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16" w:rsidRPr="006B4B95" w:rsidRDefault="00164687" w:rsidP="006B4B9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7acf88a-7132-418c-980e-7c7de2a6cca0" style="width:568.5pt;height:333pt">
            <v:imagedata r:id="rId8" o:title=""/>
          </v:shape>
        </w:pict>
      </w:r>
      <w:bookmarkEnd w:id="0"/>
    </w:p>
    <w:p w:rsidR="00732416" w:rsidRPr="00B87339" w:rsidRDefault="00732416" w:rsidP="00732416">
      <w:pPr>
        <w:sectPr w:rsidR="00732416" w:rsidRPr="00B87339" w:rsidSect="001646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732416" w:rsidRPr="00B87339" w:rsidRDefault="001415C2" w:rsidP="001415C2">
      <w:pPr>
        <w:pStyle w:val="HeadingIVX"/>
      </w:pPr>
      <w:r w:rsidRPr="00B87339">
        <w:lastRenderedPageBreak/>
        <w:t>ВЪВЕДЕНИЕ</w:t>
      </w:r>
    </w:p>
    <w:p w:rsidR="00DF434C" w:rsidRPr="00B87339" w:rsidRDefault="00DF434C" w:rsidP="00DF434C">
      <w:pPr>
        <w:spacing w:before="240"/>
        <w:ind w:left="426" w:hanging="426"/>
        <w:rPr>
          <w:b/>
          <w:bCs/>
        </w:rPr>
      </w:pPr>
      <w:r w:rsidRPr="00B87339">
        <w:rPr>
          <w:u w:val="single"/>
        </w:rPr>
        <w:t>Комисията</w:t>
      </w:r>
      <w:r w:rsidRPr="00B87339">
        <w:t xml:space="preserve"> представи предложението си на 12 юли 2010 г.</w:t>
      </w:r>
      <w:r w:rsidRPr="00B87339">
        <w:rPr>
          <w:b/>
          <w:vertAlign w:val="superscript"/>
        </w:rPr>
        <w:footnoteReference w:id="1"/>
      </w:r>
    </w:p>
    <w:p w:rsidR="00204910" w:rsidRPr="00B87339" w:rsidRDefault="00DF434C" w:rsidP="00DF434C">
      <w:pPr>
        <w:widowControl w:val="0"/>
        <w:spacing w:before="240"/>
      </w:pPr>
      <w:r w:rsidRPr="00B87339">
        <w:rPr>
          <w:u w:val="single"/>
        </w:rPr>
        <w:t>Европейският парламент</w:t>
      </w:r>
      <w:r w:rsidRPr="00B87339">
        <w:t xml:space="preserve"> прие позицията си на първо четене на пленарното си заседание от 21 ноември 2013 г.</w:t>
      </w:r>
      <w:r w:rsidRPr="00B87339">
        <w:rPr>
          <w:b/>
          <w:vertAlign w:val="superscript"/>
        </w:rPr>
        <w:footnoteReference w:id="2"/>
      </w:r>
      <w:r w:rsidRPr="00B87339">
        <w:t xml:space="preserve"> Европейската централна банка даде становището си на 6 ноември 2012 г.</w:t>
      </w:r>
      <w:r w:rsidRPr="00B87339">
        <w:rPr>
          <w:b/>
          <w:vertAlign w:val="superscript"/>
        </w:rPr>
        <w:footnoteReference w:id="3"/>
      </w:r>
    </w:p>
    <w:p w:rsidR="00204910" w:rsidRPr="00B87339" w:rsidRDefault="00DF434C" w:rsidP="00DF434C">
      <w:pPr>
        <w:widowControl w:val="0"/>
        <w:spacing w:before="240"/>
      </w:pPr>
      <w:r w:rsidRPr="00B87339">
        <w:rPr>
          <w:u w:val="single"/>
        </w:rPr>
        <w:t>Работна група „Статистика“</w:t>
      </w:r>
      <w:r w:rsidRPr="00B87339">
        <w:t xml:space="preserve"> разглежда предложения регламент повече от две години.</w:t>
      </w:r>
    </w:p>
    <w:p w:rsidR="00204910" w:rsidRPr="00B87339" w:rsidRDefault="00DF434C" w:rsidP="00DF434C">
      <w:pPr>
        <w:widowControl w:val="0"/>
        <w:spacing w:before="240"/>
      </w:pPr>
      <w:r w:rsidRPr="00B87339">
        <w:t>По време на тристранната среща от 3 декември 2014 г. двата законодателни органа постигнаха консенсус с оглед на бързото постигане на споразумение на второ четене.</w:t>
      </w:r>
    </w:p>
    <w:p w:rsidR="00DF434C" w:rsidRPr="00B87339" w:rsidRDefault="00DF434C" w:rsidP="00DF434C">
      <w:pPr>
        <w:rPr>
          <w:szCs w:val="20"/>
        </w:rPr>
      </w:pPr>
      <w:r w:rsidRPr="00B87339">
        <w:t>На 9 януари 2014 г. председателят на Комисията на Европейския парламент по икономически и парични въпроси (ECON) изпрати писмо до председателството, в което се посочва, че ако Съветът предаде официално на Парламента своята позиция във вида, в който е представена в приложението към това писмо, парламентарната комисия ще препоръча на пленарното заседание позицията на Съвета да бъде приета без изменения.</w:t>
      </w:r>
    </w:p>
    <w:p w:rsidR="00204910" w:rsidRPr="00B87339" w:rsidRDefault="00DF434C" w:rsidP="003349A6">
      <w:pPr>
        <w:widowControl w:val="0"/>
        <w:spacing w:before="240"/>
      </w:pPr>
      <w:r w:rsidRPr="00B87339">
        <w:t xml:space="preserve">На 27 януари 2015 г. </w:t>
      </w:r>
      <w:r w:rsidRPr="00B87339">
        <w:rPr>
          <w:u w:val="single"/>
        </w:rPr>
        <w:t>Съветът</w:t>
      </w:r>
      <w:r w:rsidRPr="00B87339">
        <w:t xml:space="preserve"> прие своето политическо съгласие по текста, одобрен по време на тристранната среща от 3 декември 2014 г.</w:t>
      </w:r>
      <w:r w:rsidRPr="00B87339">
        <w:rPr>
          <w:b/>
          <w:vertAlign w:val="superscript"/>
        </w:rPr>
        <w:footnoteReference w:id="4"/>
      </w:r>
      <w:r w:rsidRPr="00B87339">
        <w:t xml:space="preserve"> Като взе предвид посоченото по-горе съгласие и след финализиране на текста от юрист-лингвистите, Съветът прие позицията си на първо четене на 5 март 2015 г. в съответствие с обикновената законодателна процедура, предвидена в член 294 от Договора за функционирането на Европейския съюз (ДФЕС).</w:t>
      </w:r>
    </w:p>
    <w:p w:rsidR="00DF434C" w:rsidRPr="00B87339" w:rsidRDefault="00DF434C" w:rsidP="00DF434C">
      <w:r w:rsidRPr="00B87339">
        <w:br w:type="page"/>
      </w:r>
    </w:p>
    <w:p w:rsidR="00732416" w:rsidRPr="00B87339" w:rsidRDefault="001415C2" w:rsidP="001415C2">
      <w:pPr>
        <w:pStyle w:val="HeadingIVX"/>
      </w:pPr>
      <w:r w:rsidRPr="00B87339">
        <w:t>ЦЕЛ</w:t>
      </w:r>
    </w:p>
    <w:p w:rsidR="00DF434C" w:rsidRPr="00B87339" w:rsidRDefault="00DF434C" w:rsidP="00DF434C">
      <w:pPr>
        <w:widowControl w:val="0"/>
        <w:spacing w:before="240" w:after="0"/>
      </w:pPr>
      <w:r w:rsidRPr="00B87339">
        <w:t>За развитието на икономическото управление на ЕС е необходима надеждна статистика, която има основна роля при планирането, вземането на решение и наблюдението на всички политически инициативи на ЕС. Изменението на Регламент (ЕО) № 223/2009 относно европейската статистика е важен елемент от процеса, чиято цел е укрепването на надеждността на европейската статистика.</w:t>
      </w:r>
    </w:p>
    <w:p w:rsidR="00732416" w:rsidRPr="00B87339" w:rsidRDefault="001415C2" w:rsidP="001415C2">
      <w:pPr>
        <w:pStyle w:val="HeadingIVX"/>
      </w:pPr>
      <w:r w:rsidRPr="00B87339">
        <w:t>АНАЛИЗ НА ПОЗИЦИЯТА НА СЪВЕТА НА ПЪРВО ЧЕТЕНЕ</w:t>
      </w:r>
    </w:p>
    <w:p w:rsidR="00DF434C" w:rsidRPr="00B87339" w:rsidRDefault="00DF434C" w:rsidP="00DF434C">
      <w:pPr>
        <w:widowControl w:val="0"/>
        <w:spacing w:before="240" w:line="336" w:lineRule="auto"/>
      </w:pPr>
      <w:r w:rsidRPr="00B87339">
        <w:t>В компромиса, постигнат по време на тристранната среща от 3 декември 2014 г., се съдържат следните елементи:</w:t>
      </w:r>
    </w:p>
    <w:p w:rsidR="00204910" w:rsidRPr="00B87339" w:rsidRDefault="00DF434C" w:rsidP="00DF434C">
      <w:pPr>
        <w:widowControl w:val="0"/>
        <w:numPr>
          <w:ilvl w:val="0"/>
          <w:numId w:val="21"/>
        </w:numPr>
        <w:spacing w:before="240" w:line="336" w:lineRule="auto"/>
      </w:pPr>
      <w:r w:rsidRPr="00B87339">
        <w:tab/>
        <w:t>Генералният директор на Евростат ще се явява пред Европейския парламент незабавно след назначаването си.</w:t>
      </w:r>
    </w:p>
    <w:p w:rsidR="00DF434C" w:rsidRPr="00B87339" w:rsidRDefault="00DF434C" w:rsidP="00905041">
      <w:pPr>
        <w:widowControl w:val="0"/>
        <w:numPr>
          <w:ilvl w:val="0"/>
          <w:numId w:val="21"/>
        </w:numPr>
        <w:spacing w:before="240" w:line="336" w:lineRule="auto"/>
      </w:pPr>
      <w:r w:rsidRPr="00B87339">
        <w:tab/>
        <w:t>Ръководителят на всеки Национален статистически институт (НСИ), ползващ се с професионална независимост, се назначава въз основа на професионалната си компетентност. По време на назначаването ще се вземат предвид равните възможности за жените и мъжете.</w:t>
      </w:r>
    </w:p>
    <w:p w:rsidR="00DF434C" w:rsidRPr="00B87339" w:rsidRDefault="00DF434C" w:rsidP="00DF434C">
      <w:pPr>
        <w:widowControl w:val="0"/>
        <w:numPr>
          <w:ilvl w:val="0"/>
          <w:numId w:val="21"/>
        </w:numPr>
        <w:spacing w:before="240" w:line="336" w:lineRule="auto"/>
      </w:pPr>
      <w:r w:rsidRPr="00B87339">
        <w:tab/>
        <w:t>Връзката между Европейската статистическа система (ЕСС) и Европейската система на централните банки (ЕСЦБ) беше пояснена. В компромиса се предвижда тясно равностойно сътрудничество между ЕСС и ЕСЦБ. Националните органи ще вземат решение на национално равнище във връзка с ролята съответно на Националния статистически институт и на Националната централна банка (НЦБ). При все това трябва да се изтъкне, че доколкото НЦБ изготвя статистически данни в рамките на отговорността на НСИ, тези данни трябва да бъдат в съответствие с принципите, установени в Регламент (ЕО) № 223/2009.</w:t>
      </w:r>
    </w:p>
    <w:p w:rsidR="00DF434C" w:rsidRPr="00B87339" w:rsidRDefault="00DF434C" w:rsidP="00DF434C">
      <w:pPr>
        <w:widowControl w:val="0"/>
        <w:numPr>
          <w:ilvl w:val="0"/>
          <w:numId w:val="21"/>
        </w:numPr>
        <w:spacing w:before="240" w:line="336" w:lineRule="auto"/>
      </w:pPr>
      <w:r w:rsidRPr="00B87339">
        <w:tab/>
        <w:t>Посещенията за проверка в държавите членки ще бъдат възможни съгласно правилата в Договора и само ако в секторното законодателство е предвидено правно основание за подобни инициативи.</w:t>
      </w:r>
    </w:p>
    <w:p w:rsidR="00DF434C" w:rsidRPr="00B87339" w:rsidRDefault="00DF434C" w:rsidP="00DF434C">
      <w:pPr>
        <w:widowControl w:val="0"/>
        <w:numPr>
          <w:ilvl w:val="0"/>
          <w:numId w:val="21"/>
        </w:numPr>
        <w:spacing w:before="240" w:line="336" w:lineRule="auto"/>
      </w:pPr>
      <w:r w:rsidRPr="00B87339">
        <w:tab/>
        <w:t>Беше пояснено значението на израза „ангажимент във връзка с доверието в статистиката“.</w:t>
      </w:r>
    </w:p>
    <w:p w:rsidR="00DF434C" w:rsidRPr="00B87339" w:rsidRDefault="00DF434C" w:rsidP="00DF434C">
      <w:r w:rsidRPr="00B87339">
        <w:br w:type="page"/>
      </w:r>
    </w:p>
    <w:p w:rsidR="00732416" w:rsidRPr="00B87339" w:rsidRDefault="001415C2" w:rsidP="001415C2">
      <w:pPr>
        <w:pStyle w:val="HeadingIVX"/>
      </w:pPr>
      <w:r w:rsidRPr="00B87339">
        <w:t>ЗАКЛЮЧЕНИЕ</w:t>
      </w:r>
    </w:p>
    <w:p w:rsidR="00204910" w:rsidRPr="00B87339" w:rsidRDefault="00DF434C" w:rsidP="00DF434C">
      <w:pPr>
        <w:widowControl w:val="0"/>
        <w:spacing w:before="240" w:line="336" w:lineRule="auto"/>
      </w:pPr>
      <w:r w:rsidRPr="00B87339">
        <w:t>Постигнатият компромис беше изготвен с цел да се отговори на основните опасения на Съвета, Европейския парламент и Комисията. Всъщност, като изтъкват, че този компромис е подходящ баланс между различаващите се позиции, трите институции постигнаха справедливо и трайно съгласие, което ще допринесе съществено за укрепването на надеждността на европейската статистика.</w:t>
      </w:r>
    </w:p>
    <w:p w:rsidR="00FC4670" w:rsidRPr="001415C2" w:rsidRDefault="00FC4670" w:rsidP="00732416">
      <w:pPr>
        <w:pStyle w:val="FinalLine"/>
      </w:pPr>
    </w:p>
    <w:sectPr w:rsidR="00FC4670" w:rsidRPr="001415C2" w:rsidSect="00164687">
      <w:headerReference w:type="default" r:id="rId15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16" w:rsidRDefault="00732416" w:rsidP="00732416">
      <w:pPr>
        <w:spacing w:before="0" w:after="0" w:line="240" w:lineRule="auto"/>
      </w:pPr>
      <w:r>
        <w:separator/>
      </w:r>
    </w:p>
  </w:endnote>
  <w:endnote w:type="continuationSeparator" w:id="0">
    <w:p w:rsidR="00732416" w:rsidRDefault="00732416" w:rsidP="007324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C" w:rsidRPr="00164687" w:rsidRDefault="007C58CC" w:rsidP="00164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64687" w:rsidRPr="00D94637" w:rsidTr="001646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64687" w:rsidRPr="00D94637" w:rsidRDefault="001646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64687" w:rsidRPr="00B310DC" w:rsidTr="001646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64687" w:rsidRPr="00AD7BF2" w:rsidRDefault="00164687" w:rsidP="004F54B2">
          <w:pPr>
            <w:pStyle w:val="FooterText"/>
          </w:pPr>
          <w:r>
            <w:t>5161/2/15</w:t>
          </w:r>
          <w:r w:rsidRPr="002511D8">
            <w:t xml:space="preserve"> </w:t>
          </w:r>
          <w:r>
            <w:t>REV 2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64687" w:rsidRPr="00AD7BF2" w:rsidRDefault="001646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64687" w:rsidRPr="002511D8" w:rsidRDefault="00164687" w:rsidP="00D94637">
          <w:pPr>
            <w:pStyle w:val="FooterText"/>
            <w:jc w:val="center"/>
          </w:pPr>
          <w:r>
            <w:t>mlk/eal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64687" w:rsidRPr="00B310DC" w:rsidRDefault="001646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64687" w:rsidRPr="00D94637" w:rsidTr="00164687">
      <w:trPr>
        <w:jc w:val="center"/>
      </w:trPr>
      <w:tc>
        <w:tcPr>
          <w:tcW w:w="1774" w:type="pct"/>
          <w:shd w:val="clear" w:color="auto" w:fill="auto"/>
        </w:tcPr>
        <w:p w:rsidR="00164687" w:rsidRPr="00AD7BF2" w:rsidRDefault="001646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64687" w:rsidRPr="00AD7BF2" w:rsidRDefault="0016468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64687" w:rsidRPr="00D94637" w:rsidRDefault="001646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64687" w:rsidRPr="00D94637" w:rsidRDefault="001646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32416" w:rsidRPr="00164687" w:rsidRDefault="00732416" w:rsidP="0016468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64687" w:rsidRPr="00D94637" w:rsidTr="001646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64687" w:rsidRPr="00D94637" w:rsidRDefault="001646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64687" w:rsidRPr="00B310DC" w:rsidTr="001646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64687" w:rsidRPr="00AD7BF2" w:rsidRDefault="00164687" w:rsidP="004F54B2">
          <w:pPr>
            <w:pStyle w:val="FooterText"/>
          </w:pPr>
          <w:r>
            <w:t>5161/2/15</w:t>
          </w:r>
          <w:r w:rsidRPr="002511D8">
            <w:t xml:space="preserve"> </w:t>
          </w:r>
          <w:r>
            <w:t>REV 2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64687" w:rsidRPr="00AD7BF2" w:rsidRDefault="001646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64687" w:rsidRPr="002511D8" w:rsidRDefault="00164687" w:rsidP="00D94637">
          <w:pPr>
            <w:pStyle w:val="FooterText"/>
            <w:jc w:val="center"/>
          </w:pPr>
          <w:r>
            <w:t>mlk/eal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64687" w:rsidRPr="00B310DC" w:rsidRDefault="001646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64687" w:rsidRPr="00D94637" w:rsidTr="00164687">
      <w:trPr>
        <w:jc w:val="center"/>
      </w:trPr>
      <w:tc>
        <w:tcPr>
          <w:tcW w:w="1774" w:type="pct"/>
          <w:shd w:val="clear" w:color="auto" w:fill="auto"/>
        </w:tcPr>
        <w:p w:rsidR="00164687" w:rsidRPr="00AD7BF2" w:rsidRDefault="001646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64687" w:rsidRPr="00AD7BF2" w:rsidRDefault="0016468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64687" w:rsidRPr="00D94637" w:rsidRDefault="001646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64687" w:rsidRPr="00D94637" w:rsidRDefault="001646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32416" w:rsidRPr="00164687" w:rsidRDefault="00732416" w:rsidP="0016468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16" w:rsidRDefault="00732416" w:rsidP="00732416">
      <w:pPr>
        <w:spacing w:before="0" w:after="0" w:line="240" w:lineRule="auto"/>
      </w:pPr>
      <w:r>
        <w:separator/>
      </w:r>
    </w:p>
  </w:footnote>
  <w:footnote w:type="continuationSeparator" w:id="0">
    <w:p w:rsidR="00732416" w:rsidRDefault="00732416" w:rsidP="00732416">
      <w:pPr>
        <w:spacing w:before="0" w:after="0" w:line="240" w:lineRule="auto"/>
      </w:pPr>
      <w:r>
        <w:continuationSeparator/>
      </w:r>
    </w:p>
  </w:footnote>
  <w:footnote w:id="1">
    <w:p w:rsidR="00DF434C" w:rsidRPr="00C75B9B" w:rsidRDefault="00DF434C" w:rsidP="00DF434C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tab/>
        <w:t>9122/12 STATIS 29 ECOFIN 354 CODEC 1071</w:t>
      </w:r>
    </w:p>
  </w:footnote>
  <w:footnote w:id="2">
    <w:p w:rsidR="00DF434C" w:rsidRPr="0023017A" w:rsidRDefault="00DF434C" w:rsidP="00DF434C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tab/>
        <w:t>16317/13 CODEC 2608 STATIS 120 ECOFIN 1025 PE 540</w:t>
      </w:r>
    </w:p>
  </w:footnote>
  <w:footnote w:id="3">
    <w:p w:rsidR="00DF434C" w:rsidRPr="007C1503" w:rsidRDefault="00DF434C" w:rsidP="00DF434C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tab/>
        <w:t>ОВ C 374, 4.12.2012 г., стр. 2.</w:t>
      </w:r>
    </w:p>
  </w:footnote>
  <w:footnote w:id="4">
    <w:p w:rsidR="00DF434C" w:rsidRPr="00DC6CCA" w:rsidRDefault="00DF434C" w:rsidP="00DF434C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tab/>
        <w:t>17113/14 STATIS 143 ECOFIN 1218 CODEC 2556 + COR 1 + COR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C" w:rsidRPr="00164687" w:rsidRDefault="007C58CC" w:rsidP="00164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C" w:rsidRPr="00164687" w:rsidRDefault="007C58CC" w:rsidP="0016468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C" w:rsidRPr="00164687" w:rsidRDefault="007C58CC" w:rsidP="00164687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6" w:rsidRPr="00164687" w:rsidRDefault="00732416" w:rsidP="00164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4F36960"/>
    <w:multiLevelType w:val="hybridMultilevel"/>
    <w:tmpl w:val="C6D20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6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8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9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0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6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8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9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1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9"/>
  </w:num>
  <w:num w:numId="11">
    <w:abstractNumId w:val="20"/>
  </w:num>
  <w:num w:numId="12">
    <w:abstractNumId w:val="1"/>
  </w:num>
  <w:num w:numId="13">
    <w:abstractNumId w:val="22"/>
  </w:num>
  <w:num w:numId="14">
    <w:abstractNumId w:val="18"/>
  </w:num>
  <w:num w:numId="15">
    <w:abstractNumId w:val="15"/>
  </w:num>
  <w:num w:numId="16">
    <w:abstractNumId w:val="10"/>
  </w:num>
  <w:num w:numId="17">
    <w:abstractNumId w:val="16"/>
  </w:num>
  <w:num w:numId="18">
    <w:abstractNumId w:val="3"/>
  </w:num>
  <w:num w:numId="19">
    <w:abstractNumId w:val="21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7acf88a-7132-418c-980e-7c7de2a6cca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60&quot;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 /&gt;_x000d__x000a_    &lt;/basicdatatype&gt;_x000d__x000a_  &lt;/metadata&gt;_x000d__x000a_  &lt;metadata key=&quot;md_HeadingText&quot; translate=&quot;false&quot;&gt;_x000d__x000a_    &lt;headingtext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_x000d__x000a_      &lt;formattedtext&gt;_x000d__x000a_        &lt;xaml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&amp;lt;FlowDocument xmlns=&quot;http://schemas.microsoft.com/winfx/2006/xaml/presentation&quot;&amp;gt;&amp;lt;Paragraph&amp;g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0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16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2 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2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STATIS 3&lt;/text&gt;_x000d__x000a_      &lt;text&gt;ECOFIN 22&lt;/text&gt;_x000d__x000a_      &lt;text&gt;CODEC 30&lt;/text&gt;_x000d__x000a_      &lt;text&gt;PARLNAT 15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&gt;_x000d__x000a_      &lt;text&gt;2012/0084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88;&amp;#1077;&amp;#1075;&amp;#1083;&amp;#1072;&amp;#1084;&amp;#1077;&amp;#1085;&amp;#1090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79;&amp;#1072; &amp;#1080;&amp;#1079;&amp;#1084;&amp;#1077;&amp;#1085;&amp;#1077;&amp;#1085;&amp;#1080;&amp;#1077; &amp;#1085;&amp;#1072; &amp;#1056;&amp;#1077;&amp;#1075;&amp;#1083;&amp;#1072;&amp;#1084;&amp;#1077;&amp;#1085;&amp;#1090; (E&amp;#1054;) &amp;#8470; 223/2009 &amp;#1086;&amp;#1090;&amp;#1085;&amp;#1086;&amp;#1089;&amp;#1085;&amp;#1086; &amp;#1077;&amp;#1074;&amp;#1088;&amp;#1086;&amp;#1087;&amp;#1077;&amp;#1081;&amp;#1089;&amp;#1082;&amp;#1072;&amp;#1090;&amp;#1072; &amp;#1089;&amp;#1090;&amp;#1072;&amp;#1090;&amp;#1080;&amp;#1089;&amp;#1090;&amp;#1080;&amp;#1082;&amp;#1072; &amp;#8212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 &amp;#8212; &amp;#1055;&amp;#1088;&amp;#1080;&amp;#1077;&amp;#1090;&amp;#1072; &amp;#1086;&amp;#1090; &amp;#1057;&amp;#1098;&amp;#1074;&amp;#1077;&amp;#1090;&amp;#1072; &amp;#1085;&amp;#1072; 5 &amp;#1084;&amp;#1072;&amp;#1088;&amp;#1090; 2015 &amp;#1075;.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#1055;&amp;lt;Run xml:lang=&quot;fr-be&quot;&amp;gt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88;&amp;#1077;&amp;#1075;&amp;#1083;&amp;#1072;&amp;#1084;&amp;#1077;&amp;#1085;&amp;#1090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&amp;lt;/Run&amp;gt; &amp;#1079;&amp;#1072; &amp;#1080;&amp;#1079;&amp;#1084;&amp;#1077;&amp;#1085;&amp;#1077;&amp;#1085;&amp;#1080;&amp;#1077; &amp;#1085;&amp;#1072; &amp;#1056;&amp;#1077;&amp;#1075;&amp;#1083;&amp;#1072;&amp;#1084;&amp;#1077;&amp;#1085;&amp;#1090; (E&amp;#1054;) &amp;#8470; 223/2009 &amp;#1086;&amp;#1090;&amp;#1085;&amp;#1086;&amp;#1089;&amp;#1085;&amp;#1086; &amp;#1077;&amp;#1074;&amp;#1088;&amp;#1086;&amp;#1087;&amp;#1077;&amp;#1081;&amp;#1089;&amp;#1082;&amp;#1072;&amp;#1090;&amp;#1072; &amp;#1089;&amp;#1090;&amp;#1072;&amp;#1090;&amp;#1080;&amp;#1089;&amp;#1090;&amp;#1080;&amp;#1082;&amp;#1072;&amp;lt;LineBreak /&amp;gt;&amp;#8212; &amp;lt;Run xml:lang=&quot;fr-be&quot;&amp;gt;&amp;#1048;&amp;lt;/Run&amp;gt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amp;lt;LineBreak /&amp;gt;&amp;#8212; &amp;#1055;&amp;#1088;&amp;#1080;&amp;#1077;&amp;#1090;&amp;#1072; &amp;#1086;&amp;#1090; &amp;#1057;&amp;#1098;&amp;#1074;&amp;#1077;&amp;#1090;&amp;#1072; &amp;#1085;&amp;#1072;&amp;lt;Run xml:lang=&quot;fr-be&quot; xml:space=&quot;preserve&quot;&amp;gt; 5 &amp;#1084;&amp;#1072;&amp;#1088;&amp;#109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lk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5b8d301a-064e-4d75-b6ad-3a65ba599491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 translate=&quot;false&quot;&gt;_x000d__x000a_    &lt;basicdatatype&gt;_x000d__x000a_      &lt;heading key=&quot;uh_59&quot; text=&quot;DRAFT STATEMENT OF THE COUNCIL'S REASONS&quot; /&gt;_x000d__x000a_    &lt;/basicdatatype&gt;_x000d__x000a_  &lt;/metadata&gt;_x000d__x000a_  &lt;metadata key=&quot;md_HeadingText&quot; translate=&quot;false&quot;&gt;_x000d__x000a_    &lt;headingtext text=&quot;DRAFT STATEMENT OF THE COUNCIL'S REASONS&quot;&gt;_x000d__x000a_      &lt;formattedtext&gt;_x000d__x000a_        &lt;xaml text=&quot;DRAFT STATEMENT OF THE COUNCIL'S REASONS&quot;&gt;&amp;lt;FlowDocument xmlns=&quot;http://schemas.microsoft.com/winfx/2006/xaml/presentation&quot;&amp;gt;&amp;lt;Paragraph&amp;gt;DRAFT STATEMENT OF THE COUNCIL'S REASONS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3-0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16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STATIS 3&lt;/text&gt;_x000d__x000a_      &lt;text&gt;ECOFIN 22&lt;/text&gt;_x000d__x000a_      &lt;text&gt;CODEC 3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translate=&quot;false&quot;&gt;_x000d__x000a_    &lt;textlist&gt;_x000d__x000a_      &lt;text&gt;2012/0084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Regulation amending Regulation (EC) No 223/2009 on European statistics - Draft statement of the Council's reasons 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Proposal for a Council Regulation amending Regulation (EC) No 223/2009 on European statistics&amp;lt;LineBreak /&amp;gt;&amp;lt;Run xml:lang=&quot;en-gb&quot;&amp;gt;- Draft statement of the Council's reasons&amp;lt;/Run&amp;gt;&amp;lt;/Paragraph&amp;gt;&amp;lt;Paragraph /&amp;gt;&amp;lt;/FlowDocument&amp;gt;&lt;/xaml&gt;_x000d__x000a_  &lt;/metadata&gt;_x000d__x000a_  &lt;metadata key=&quot;md_SubjectFootnote&quot; /&gt;_x000d__x000a_  &lt;metadata key=&quot;md_DG&quot; translate=&quot;false&quot;&gt;_x000d__x000a_    &lt;text&gt;DGG 1A&lt;/text&gt;_x000d__x000a_  &lt;/metadata&gt;_x000d__x000a_  &lt;metadata key=&quot;md_Initials&quot; translate=&quot;false&quot;&gt;_x000d__x000a_    &lt;text&gt;kea/JK/mo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732416"/>
    <w:rsid w:val="00096B04"/>
    <w:rsid w:val="00130CD9"/>
    <w:rsid w:val="001415C2"/>
    <w:rsid w:val="00164687"/>
    <w:rsid w:val="00182F2F"/>
    <w:rsid w:val="00204910"/>
    <w:rsid w:val="00216520"/>
    <w:rsid w:val="0023017A"/>
    <w:rsid w:val="002618B9"/>
    <w:rsid w:val="00316F14"/>
    <w:rsid w:val="003349A6"/>
    <w:rsid w:val="00356F5F"/>
    <w:rsid w:val="003A2705"/>
    <w:rsid w:val="00414945"/>
    <w:rsid w:val="00452513"/>
    <w:rsid w:val="004A5CE6"/>
    <w:rsid w:val="005350C4"/>
    <w:rsid w:val="00625999"/>
    <w:rsid w:val="006351BB"/>
    <w:rsid w:val="00693809"/>
    <w:rsid w:val="006B365A"/>
    <w:rsid w:val="006B4B95"/>
    <w:rsid w:val="00710BFA"/>
    <w:rsid w:val="007161AD"/>
    <w:rsid w:val="00732416"/>
    <w:rsid w:val="007A44F1"/>
    <w:rsid w:val="007C1503"/>
    <w:rsid w:val="007C58CC"/>
    <w:rsid w:val="00901450"/>
    <w:rsid w:val="00905041"/>
    <w:rsid w:val="00944F78"/>
    <w:rsid w:val="009B07D1"/>
    <w:rsid w:val="00A30641"/>
    <w:rsid w:val="00A93207"/>
    <w:rsid w:val="00AF3113"/>
    <w:rsid w:val="00B54F86"/>
    <w:rsid w:val="00B87339"/>
    <w:rsid w:val="00BE6E3D"/>
    <w:rsid w:val="00C23069"/>
    <w:rsid w:val="00D13316"/>
    <w:rsid w:val="00DF434C"/>
    <w:rsid w:val="00E5767B"/>
    <w:rsid w:val="00E80814"/>
    <w:rsid w:val="00F61EE7"/>
    <w:rsid w:val="00F65465"/>
    <w:rsid w:val="00F86DEA"/>
    <w:rsid w:val="00F877DB"/>
    <w:rsid w:val="00FA485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3241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3241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3241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32416"/>
    <w:pPr>
      <w:spacing w:before="0" w:after="0" w:line="240" w:lineRule="auto"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3241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3241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3241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32416"/>
    <w:pPr>
      <w:spacing w:before="0" w:after="0" w:line="240" w:lineRule="auto"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RUGURIKA Sophie</dc:creator>
  <cp:lastModifiedBy>ALEXANDROVA-LIPMAN Elisaveta</cp:lastModifiedBy>
  <cp:revision>3</cp:revision>
  <cp:lastPrinted>2015-03-06T07:57:00Z</cp:lastPrinted>
  <dcterms:created xsi:type="dcterms:W3CDTF">2015-03-06T11:03:00Z</dcterms:created>
  <dcterms:modified xsi:type="dcterms:W3CDTF">2015-03-06T11:08:00Z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