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42" w:rsidRPr="00BA6D93" w:rsidRDefault="00BA6D93" w:rsidP="00BA6D9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862fef66-a1f5-4a35-818c-3a38e3ca2296" style="width:568.5pt;height:369.75pt">
            <v:imagedata r:id="rId8" o:title=""/>
          </v:shape>
        </w:pict>
      </w:r>
      <w:bookmarkEnd w:id="0"/>
    </w:p>
    <w:p w:rsidR="003C0F42" w:rsidRPr="007A3A61" w:rsidRDefault="003C0F42" w:rsidP="003C0F42">
      <w:pPr>
        <w:sectPr w:rsidR="003C0F42" w:rsidRPr="007A3A61" w:rsidSect="00BA6D93">
          <w:footerReference w:type="default" r:id="rId9"/>
          <w:footerReference w:type="first" r:id="rId10"/>
          <w:pgSz w:w="11907" w:h="16840" w:code="9"/>
          <w:pgMar w:top="624" w:right="1134" w:bottom="1134" w:left="1134" w:header="567" w:footer="567" w:gutter="0"/>
          <w:pgNumType w:start="1"/>
          <w:cols w:space="708"/>
          <w:titlePg/>
          <w:docGrid w:linePitch="360"/>
        </w:sectPr>
      </w:pPr>
    </w:p>
    <w:p w:rsidR="003C0F42" w:rsidRPr="007A3A61" w:rsidRDefault="00CF0F28" w:rsidP="00CF0F28">
      <w:pPr>
        <w:pStyle w:val="HeadingIVX"/>
        <w:numPr>
          <w:ilvl w:val="0"/>
          <w:numId w:val="0"/>
        </w:numPr>
      </w:pPr>
      <w:r w:rsidRPr="00CF0F28">
        <w:rPr>
          <w:u w:val="none"/>
        </w:rPr>
        <w:lastRenderedPageBreak/>
        <w:t>I.</w:t>
      </w:r>
      <w:r w:rsidRPr="00CF0F28">
        <w:rPr>
          <w:u w:val="none"/>
        </w:rPr>
        <w:tab/>
      </w:r>
      <w:r w:rsidR="004F2E9B" w:rsidRPr="007A3A61">
        <w:t>INTRODUCTION</w:t>
      </w:r>
    </w:p>
    <w:p w:rsidR="00B70F9E" w:rsidRPr="007A3A61" w:rsidRDefault="00B70F9E" w:rsidP="00B70F9E">
      <w:pPr>
        <w:spacing w:before="0" w:after="0"/>
        <w:ind w:left="993" w:hanging="426"/>
        <w:rPr>
          <w:rFonts w:eastAsia="Calibri" w:cs="Arial"/>
          <w:szCs w:val="22"/>
        </w:rPr>
      </w:pPr>
      <w:r w:rsidRPr="007A3A61">
        <w:t>1.</w:t>
      </w:r>
      <w:r w:rsidRPr="007A3A61">
        <w:tab/>
        <w:t xml:space="preserve">Le 5 novembre 2013, la </w:t>
      </w:r>
      <w:r w:rsidRPr="007A3A61">
        <w:rPr>
          <w:u w:val="single"/>
        </w:rPr>
        <w:t>Commission</w:t>
      </w:r>
      <w:r w:rsidRPr="007A3A61">
        <w:t xml:space="preserve"> a présenté au Parlement européen et au Conseil sa proposition de directive modifiant la directive 94/62/CE relative aux emballages et aux déchets d'emballage pour réduire la consommation de sacs en plastique légers, sur la base de l'article 114 du traité sur le fonctionnement de l'Union européenne.</w:t>
      </w:r>
    </w:p>
    <w:p w:rsidR="00B70F9E" w:rsidRPr="007A3A61" w:rsidRDefault="00B70F9E" w:rsidP="00B70F9E">
      <w:pPr>
        <w:spacing w:before="0" w:after="0"/>
        <w:ind w:left="567" w:hanging="567"/>
        <w:rPr>
          <w:rFonts w:eastAsia="Calibri" w:cs="Arial"/>
          <w:szCs w:val="22"/>
        </w:rPr>
      </w:pPr>
    </w:p>
    <w:p w:rsidR="00B70F9E" w:rsidRPr="007A3A61" w:rsidRDefault="00B70F9E" w:rsidP="00B70F9E">
      <w:pPr>
        <w:spacing w:before="0" w:after="0"/>
        <w:ind w:left="993" w:hanging="426"/>
        <w:rPr>
          <w:rFonts w:eastAsia="Calibri" w:cs="Arial"/>
          <w:szCs w:val="22"/>
        </w:rPr>
      </w:pPr>
      <w:r w:rsidRPr="007A3A61">
        <w:rPr>
          <w:color w:val="000000"/>
        </w:rPr>
        <w:t>2.</w:t>
      </w:r>
      <w:r w:rsidRPr="007A3A61">
        <w:tab/>
        <w:t xml:space="preserve">Le </w:t>
      </w:r>
      <w:r w:rsidRPr="007A3A61">
        <w:rPr>
          <w:color w:val="000000"/>
          <w:u w:val="single"/>
        </w:rPr>
        <w:t>Comité économique et social européen</w:t>
      </w:r>
      <w:r w:rsidRPr="007A3A61">
        <w:t xml:space="preserve"> a adopté so</w:t>
      </w:r>
      <w:r w:rsidR="00CF0F28">
        <w:t>n avis le 26 février 2014 et le </w:t>
      </w:r>
      <w:r w:rsidRPr="007A3A61">
        <w:rPr>
          <w:u w:val="single"/>
        </w:rPr>
        <w:t>Comité des régions</w:t>
      </w:r>
      <w:r w:rsidRPr="007A3A61">
        <w:t xml:space="preserve"> a adopté le sien le 3 avril 2014.</w:t>
      </w:r>
    </w:p>
    <w:p w:rsidR="00B70F9E" w:rsidRPr="007A3A61" w:rsidRDefault="00B70F9E" w:rsidP="00B70F9E">
      <w:pPr>
        <w:spacing w:before="0" w:after="0"/>
        <w:ind w:left="567"/>
        <w:rPr>
          <w:rFonts w:eastAsia="Calibri" w:cs="Arial"/>
          <w:szCs w:val="22"/>
        </w:rPr>
      </w:pPr>
    </w:p>
    <w:p w:rsidR="00B70F9E" w:rsidRPr="007A3A61" w:rsidRDefault="00B70F9E" w:rsidP="00B70F9E">
      <w:pPr>
        <w:spacing w:before="0" w:after="0"/>
        <w:ind w:left="993"/>
        <w:rPr>
          <w:rFonts w:eastAsia="Calibri" w:cs="Arial"/>
          <w:szCs w:val="22"/>
        </w:rPr>
      </w:pPr>
      <w:r w:rsidRPr="007A3A61">
        <w:t xml:space="preserve">Le </w:t>
      </w:r>
      <w:r w:rsidRPr="007A3A61">
        <w:rPr>
          <w:u w:val="single"/>
        </w:rPr>
        <w:t>Parlement européen</w:t>
      </w:r>
      <w:r w:rsidRPr="007A3A61">
        <w:t xml:space="preserve"> a voté sa résolution lég</w:t>
      </w:r>
      <w:r w:rsidR="00CF0F28">
        <w:t>islative en première lecture le </w:t>
      </w:r>
      <w:r w:rsidRPr="007A3A61">
        <w:t>16 avril 2014</w:t>
      </w:r>
      <w:r w:rsidRPr="007A3A61">
        <w:rPr>
          <w:b/>
          <w:vertAlign w:val="superscript"/>
        </w:rPr>
        <w:footnoteReference w:id="1"/>
      </w:r>
      <w:r w:rsidRPr="007A3A61">
        <w:t>, adoptant 43 amendements.</w:t>
      </w:r>
    </w:p>
    <w:p w:rsidR="00B70F9E" w:rsidRPr="007A3A61" w:rsidRDefault="00B70F9E" w:rsidP="00B70F9E">
      <w:pPr>
        <w:autoSpaceDE w:val="0"/>
        <w:autoSpaceDN w:val="0"/>
        <w:adjustRightInd w:val="0"/>
        <w:spacing w:before="0" w:after="0"/>
        <w:ind w:left="567" w:hanging="567"/>
        <w:outlineLvl w:val="0"/>
        <w:rPr>
          <w:rFonts w:eastAsia="Calibri" w:cs="Arial"/>
          <w:b/>
          <w:color w:val="000000"/>
          <w:szCs w:val="22"/>
        </w:rPr>
      </w:pPr>
    </w:p>
    <w:p w:rsidR="00B70F9E" w:rsidRPr="007A3A61" w:rsidRDefault="00B70F9E" w:rsidP="00B70F9E">
      <w:pPr>
        <w:autoSpaceDE w:val="0"/>
        <w:autoSpaceDN w:val="0"/>
        <w:adjustRightInd w:val="0"/>
        <w:spacing w:before="0" w:after="0"/>
        <w:ind w:left="993" w:hanging="426"/>
        <w:outlineLvl w:val="0"/>
        <w:rPr>
          <w:rFonts w:eastAsia="Calibri" w:cs="Arial"/>
          <w:bCs/>
          <w:color w:val="000000"/>
          <w:szCs w:val="22"/>
        </w:rPr>
      </w:pPr>
      <w:r w:rsidRPr="007A3A61">
        <w:rPr>
          <w:color w:val="000000"/>
        </w:rPr>
        <w:t>3.</w:t>
      </w:r>
      <w:r w:rsidRPr="007A3A61">
        <w:tab/>
      </w:r>
      <w:r w:rsidRPr="007A3A61">
        <w:rPr>
          <w:color w:val="000000"/>
        </w:rPr>
        <w:t xml:space="preserve">Le </w:t>
      </w:r>
      <w:r w:rsidRPr="007A3A61">
        <w:rPr>
          <w:color w:val="000000"/>
          <w:u w:val="single"/>
        </w:rPr>
        <w:t>Conseil</w:t>
      </w:r>
      <w:r w:rsidRPr="007A3A61">
        <w:rPr>
          <w:color w:val="000000"/>
        </w:rPr>
        <w:t xml:space="preserve"> et le </w:t>
      </w:r>
      <w:r w:rsidRPr="007A3A61">
        <w:rPr>
          <w:color w:val="000000"/>
          <w:u w:val="single"/>
        </w:rPr>
        <w:t>Parlement européen</w:t>
      </w:r>
      <w:r w:rsidRPr="007A3A61">
        <w:rPr>
          <w:color w:val="000000"/>
        </w:rPr>
        <w:t xml:space="preserve"> ont entamé des négociations en vue de parvenir à un accord en deuxième lecture. Ces négociations ont été conclues le 17 novembre 2014.</w:t>
      </w:r>
    </w:p>
    <w:p w:rsidR="00B70F9E" w:rsidRPr="007A3A61" w:rsidRDefault="00B70F9E" w:rsidP="00B70F9E">
      <w:pPr>
        <w:autoSpaceDE w:val="0"/>
        <w:autoSpaceDN w:val="0"/>
        <w:adjustRightInd w:val="0"/>
        <w:spacing w:before="0" w:after="0"/>
        <w:ind w:left="567" w:hanging="567"/>
        <w:outlineLvl w:val="0"/>
        <w:rPr>
          <w:rFonts w:eastAsia="Calibri" w:cs="Arial"/>
          <w:bCs/>
          <w:color w:val="000000"/>
          <w:szCs w:val="22"/>
        </w:rPr>
      </w:pPr>
    </w:p>
    <w:p w:rsidR="00B70F9E" w:rsidRPr="007A3A61" w:rsidRDefault="00B70F9E" w:rsidP="00B70F9E">
      <w:pPr>
        <w:autoSpaceDE w:val="0"/>
        <w:autoSpaceDN w:val="0"/>
        <w:adjustRightInd w:val="0"/>
        <w:spacing w:before="0" w:after="0"/>
        <w:ind w:left="993" w:hanging="426"/>
        <w:outlineLvl w:val="0"/>
        <w:rPr>
          <w:rFonts w:eastAsia="Calibri" w:cs="Arial"/>
          <w:bCs/>
          <w:color w:val="000000"/>
          <w:szCs w:val="22"/>
        </w:rPr>
      </w:pPr>
      <w:r w:rsidRPr="007A3A61">
        <w:rPr>
          <w:color w:val="000000"/>
        </w:rPr>
        <w:t>4.</w:t>
      </w:r>
      <w:r w:rsidRPr="007A3A61">
        <w:tab/>
      </w:r>
      <w:r w:rsidRPr="007A3A61">
        <w:rPr>
          <w:color w:val="000000"/>
        </w:rPr>
        <w:t xml:space="preserve">La </w:t>
      </w:r>
      <w:r w:rsidRPr="007A3A61">
        <w:rPr>
          <w:color w:val="000000"/>
          <w:u w:val="single"/>
        </w:rPr>
        <w:t>présidence de la commission ENVI du Parlement européen</w:t>
      </w:r>
      <w:r w:rsidRPr="007A3A61">
        <w:rPr>
          <w:color w:val="000000"/>
        </w:rPr>
        <w:t xml:space="preserve"> a informé la présidence par lettre du 25 novembre 2014 que, dans le cas où le Conseil transmettrait formellement sa position au Parlement européen dans les t</w:t>
      </w:r>
      <w:r w:rsidR="00CF0F28">
        <w:rPr>
          <w:color w:val="000000"/>
        </w:rPr>
        <w:t xml:space="preserve">ermes convenus, sous réserve de la </w:t>
      </w:r>
      <w:r w:rsidRPr="007A3A61">
        <w:rPr>
          <w:color w:val="000000"/>
        </w:rPr>
        <w:t>vérification du texte par les juristes-linguistes, elle recommanderait, en collaboration avec le rapporteur, à la plénière que la position du Conseil soit approuvée en deuxième lecture sans amendement.</w:t>
      </w:r>
    </w:p>
    <w:p w:rsidR="00B70F9E" w:rsidRPr="007A3A61" w:rsidRDefault="00B70F9E" w:rsidP="00B70F9E">
      <w:pPr>
        <w:autoSpaceDE w:val="0"/>
        <w:autoSpaceDN w:val="0"/>
        <w:adjustRightInd w:val="0"/>
        <w:spacing w:before="0" w:after="0"/>
        <w:ind w:left="567" w:hanging="567"/>
        <w:outlineLvl w:val="0"/>
        <w:rPr>
          <w:rFonts w:eastAsia="Calibri" w:cs="Arial"/>
          <w:bCs/>
          <w:color w:val="000000"/>
          <w:szCs w:val="22"/>
        </w:rPr>
      </w:pPr>
    </w:p>
    <w:p w:rsidR="00B70F9E" w:rsidRPr="007A3A61" w:rsidRDefault="00B70F9E" w:rsidP="00B70F9E">
      <w:pPr>
        <w:autoSpaceDE w:val="0"/>
        <w:autoSpaceDN w:val="0"/>
        <w:adjustRightInd w:val="0"/>
        <w:spacing w:before="0" w:after="0"/>
        <w:ind w:left="993" w:hanging="426"/>
        <w:outlineLvl w:val="0"/>
        <w:rPr>
          <w:rFonts w:eastAsia="Calibri" w:cs="Arial"/>
          <w:bCs/>
          <w:color w:val="000000"/>
          <w:szCs w:val="22"/>
        </w:rPr>
      </w:pPr>
      <w:r w:rsidRPr="007A3A61">
        <w:rPr>
          <w:color w:val="000000"/>
        </w:rPr>
        <w:t>5.</w:t>
      </w:r>
      <w:r w:rsidRPr="007A3A61">
        <w:tab/>
      </w:r>
      <w:r w:rsidRPr="007A3A61">
        <w:rPr>
          <w:color w:val="000000"/>
        </w:rPr>
        <w:t xml:space="preserve">Le 17 décembre 2014, le </w:t>
      </w:r>
      <w:r w:rsidRPr="007A3A61">
        <w:rPr>
          <w:color w:val="000000"/>
          <w:u w:val="single"/>
        </w:rPr>
        <w:t>Conseil</w:t>
      </w:r>
      <w:r w:rsidRPr="007A3A61">
        <w:rPr>
          <w:color w:val="000000"/>
        </w:rPr>
        <w:t xml:space="preserve"> a confirmé son accord politique sur le texte de la directive tel qu'il a été approuvé par les deux institutions.</w:t>
      </w:r>
    </w:p>
    <w:p w:rsidR="003C0F42" w:rsidRPr="007A3A61" w:rsidRDefault="00B70F9E" w:rsidP="00CF0F28">
      <w:pPr>
        <w:pStyle w:val="HeadingIVX"/>
        <w:numPr>
          <w:ilvl w:val="0"/>
          <w:numId w:val="0"/>
        </w:numPr>
      </w:pPr>
      <w:r w:rsidRPr="007A3A61">
        <w:br w:type="page"/>
      </w:r>
      <w:r w:rsidR="00CF0F28" w:rsidRPr="00CF0F28">
        <w:rPr>
          <w:u w:val="none"/>
        </w:rPr>
        <w:lastRenderedPageBreak/>
        <w:t>II.</w:t>
      </w:r>
      <w:r w:rsidR="00CF0F28" w:rsidRPr="00CF0F28">
        <w:rPr>
          <w:u w:val="none"/>
        </w:rPr>
        <w:tab/>
      </w:r>
      <w:r w:rsidR="004F2E9B" w:rsidRPr="007A3A61">
        <w:t>OBJECTIF</w:t>
      </w:r>
    </w:p>
    <w:p w:rsidR="00B70F9E" w:rsidRPr="007A3A61" w:rsidRDefault="00B70F9E" w:rsidP="00B70F9E">
      <w:pPr>
        <w:spacing w:before="0" w:after="0"/>
        <w:ind w:left="567"/>
      </w:pPr>
      <w:r w:rsidRPr="007A3A61">
        <w:t>La directive porte sur les sacs en plastique légers d'une épaisseur inférieure à 50 microns, qui représentent la majorité des sacs en plastique à poignées utilisés dans l'UE et qui sont moins souvent réutilisés que les sacs plus épais. Elle a pour objectif de limiter les effets négatifs de ces sacs sur l'environnement, de favoriser la prévention des déchets et de parvenir à une utilisation plus efficace des ressources.</w:t>
      </w:r>
    </w:p>
    <w:p w:rsidR="003C0F42" w:rsidRPr="007A3A61" w:rsidRDefault="00CF0F28" w:rsidP="00CF0F28">
      <w:pPr>
        <w:pStyle w:val="HeadingIVX"/>
        <w:numPr>
          <w:ilvl w:val="0"/>
          <w:numId w:val="0"/>
        </w:numPr>
      </w:pPr>
      <w:r w:rsidRPr="00CF0F28">
        <w:rPr>
          <w:u w:val="none"/>
        </w:rPr>
        <w:t>III.</w:t>
      </w:r>
      <w:r w:rsidRPr="00CF0F28">
        <w:rPr>
          <w:u w:val="none"/>
        </w:rPr>
        <w:tab/>
      </w:r>
      <w:r w:rsidR="004F2E9B" w:rsidRPr="007A3A61">
        <w:t>ANALYSE DE LA POSITION DU CONSEIL EN PREMIÈRE LECTURE</w:t>
      </w:r>
    </w:p>
    <w:p w:rsidR="00B70F9E" w:rsidRPr="007A3A61" w:rsidRDefault="00B70F9E" w:rsidP="00B70F9E">
      <w:pPr>
        <w:autoSpaceDE w:val="0"/>
        <w:autoSpaceDN w:val="0"/>
        <w:adjustRightInd w:val="0"/>
        <w:spacing w:before="0" w:after="0"/>
        <w:ind w:left="567"/>
        <w:outlineLvl w:val="0"/>
        <w:rPr>
          <w:rFonts w:eastAsia="Calibri" w:cs="Arial"/>
          <w:b/>
          <w:color w:val="000000"/>
        </w:rPr>
      </w:pPr>
      <w:r w:rsidRPr="007A3A61">
        <w:rPr>
          <w:b/>
          <w:color w:val="000000"/>
        </w:rPr>
        <w:t>A.</w:t>
      </w:r>
      <w:r w:rsidRPr="007A3A61">
        <w:tab/>
      </w:r>
      <w:r w:rsidRPr="007A3A61">
        <w:rPr>
          <w:b/>
          <w:color w:val="000000"/>
        </w:rPr>
        <w:t>Observations d'ordre général</w:t>
      </w:r>
    </w:p>
    <w:p w:rsidR="00B70F9E" w:rsidRPr="007A3A61" w:rsidRDefault="00B70F9E" w:rsidP="00B70F9E">
      <w:pPr>
        <w:autoSpaceDE w:val="0"/>
        <w:autoSpaceDN w:val="0"/>
        <w:adjustRightInd w:val="0"/>
        <w:spacing w:before="0" w:after="0"/>
        <w:ind w:left="567" w:hanging="567"/>
        <w:outlineLvl w:val="0"/>
        <w:rPr>
          <w:rFonts w:eastAsia="Calibri" w:cs="Arial"/>
          <w:bCs/>
          <w:color w:val="000000"/>
        </w:rPr>
      </w:pPr>
    </w:p>
    <w:p w:rsidR="00B70F9E" w:rsidRPr="007A3A61" w:rsidRDefault="00B70F9E" w:rsidP="00B70F9E">
      <w:pPr>
        <w:spacing w:before="0" w:after="0"/>
        <w:ind w:left="1134"/>
      </w:pPr>
      <w:r w:rsidRPr="007A3A61">
        <w:t>À l'issue du vote en plénière, le Parlement européen et le Conseil ont mené des négociations en vue de conclure un accord en deuxième lecture sur la base de la position du Conseil en première lecture, que le Parlement a été en mesure d'approuver telle quelle. Le texte de la position du Conseil en première lecture reflète tout à fait le compromis intervenu entre les colégislateurs.</w:t>
      </w:r>
    </w:p>
    <w:p w:rsidR="00B70F9E" w:rsidRPr="007A3A61" w:rsidRDefault="00B70F9E" w:rsidP="00EF6E97">
      <w:pPr>
        <w:spacing w:before="0" w:after="0"/>
      </w:pPr>
    </w:p>
    <w:p w:rsidR="00B70F9E" w:rsidRPr="007A3A61" w:rsidRDefault="00B70F9E" w:rsidP="00B70F9E">
      <w:pPr>
        <w:autoSpaceDE w:val="0"/>
        <w:autoSpaceDN w:val="0"/>
        <w:adjustRightInd w:val="0"/>
        <w:spacing w:before="0" w:after="0"/>
        <w:ind w:left="567"/>
        <w:outlineLvl w:val="0"/>
        <w:rPr>
          <w:rFonts w:eastAsia="Calibri" w:cs="Arial"/>
          <w:b/>
          <w:color w:val="000000"/>
        </w:rPr>
      </w:pPr>
      <w:r w:rsidRPr="007A3A61">
        <w:rPr>
          <w:b/>
          <w:color w:val="000000"/>
        </w:rPr>
        <w:t>B.</w:t>
      </w:r>
      <w:r w:rsidRPr="007A3A61">
        <w:tab/>
      </w:r>
      <w:r w:rsidRPr="007A3A61">
        <w:rPr>
          <w:b/>
          <w:color w:val="000000"/>
        </w:rPr>
        <w:t>Principaux éléments</w:t>
      </w:r>
    </w:p>
    <w:p w:rsidR="00B70F9E" w:rsidRPr="007A3A61" w:rsidRDefault="00B70F9E" w:rsidP="00B70F9E">
      <w:pPr>
        <w:spacing w:before="0" w:after="0"/>
        <w:ind w:left="567" w:hanging="567"/>
      </w:pPr>
    </w:p>
    <w:p w:rsidR="00B70F9E" w:rsidRPr="007A3A61" w:rsidRDefault="00B70F9E" w:rsidP="00B94FFC">
      <w:pPr>
        <w:spacing w:before="0" w:after="0"/>
        <w:ind w:left="1134"/>
      </w:pPr>
      <w:r w:rsidRPr="007A3A61">
        <w:t>Les principaux éléments du compromis trouvé avec le Parlement européen sont exposés ci-dessous:</w:t>
      </w:r>
    </w:p>
    <w:p w:rsidR="00B70F9E" w:rsidRPr="007A3A61" w:rsidRDefault="00B70F9E" w:rsidP="00B70F9E">
      <w:pPr>
        <w:spacing w:before="0" w:after="0"/>
        <w:ind w:left="567" w:hanging="567"/>
      </w:pPr>
    </w:p>
    <w:p w:rsidR="00B70F9E" w:rsidRPr="007A3A61" w:rsidRDefault="00B70F9E" w:rsidP="007F5923">
      <w:pPr>
        <w:spacing w:before="0" w:after="0"/>
        <w:ind w:left="1701" w:hanging="567"/>
      </w:pPr>
      <w:r w:rsidRPr="007A3A61">
        <w:t>1)</w:t>
      </w:r>
      <w:r w:rsidRPr="007A3A61">
        <w:tab/>
        <w:t>Les mesures à prendre en vue de réduire la consommation de sacs en plastique légers comprennent l'une ou l'autre des approches suivantes, ou les deux:</w:t>
      </w:r>
    </w:p>
    <w:p w:rsidR="00B70F9E" w:rsidRPr="007A3A61" w:rsidRDefault="00B70F9E" w:rsidP="00EF6E97">
      <w:pPr>
        <w:spacing w:before="0" w:after="0"/>
      </w:pPr>
    </w:p>
    <w:p w:rsidR="00B70F9E" w:rsidRPr="007A3A61" w:rsidRDefault="00B70F9E" w:rsidP="00B70F9E">
      <w:pPr>
        <w:spacing w:before="0" w:after="0"/>
        <w:ind w:left="2268" w:hanging="567"/>
      </w:pPr>
      <w:r w:rsidRPr="007A3A61">
        <w:t>-</w:t>
      </w:r>
      <w:r w:rsidRPr="007A3A61">
        <w:tab/>
        <w:t xml:space="preserve">l'adoption de mesures garantissant que le niveau de la consommation annuelle ne dépasse par 90 sacs en plastique léger par </w:t>
      </w:r>
      <w:r w:rsidR="00CF0F28">
        <w:t>personne au </w:t>
      </w:r>
      <w:r w:rsidRPr="007A3A61">
        <w:t>31 décembre 2019 et 40 sacs en plastique léger à poignées par personne au 31 décembre 2025 (ou l'équivalent en poids);</w:t>
      </w:r>
    </w:p>
    <w:p w:rsidR="00B70F9E" w:rsidRPr="007A3A61" w:rsidRDefault="00B70F9E" w:rsidP="00CF0F28">
      <w:pPr>
        <w:spacing w:before="0" w:after="0" w:line="324" w:lineRule="auto"/>
        <w:ind w:left="2268" w:hanging="567"/>
      </w:pPr>
      <w:r w:rsidRPr="007A3A61">
        <w:br w:type="page"/>
      </w:r>
      <w:r w:rsidRPr="007A3A61">
        <w:lastRenderedPageBreak/>
        <w:t>-</w:t>
      </w:r>
      <w:r w:rsidRPr="007A3A61">
        <w:tab/>
        <w:t>l'adoption de mesures garantissant que, au 31 décembre 2018, ces sacs en plastique ne seront pas fournis gratuitement aux consommateurs, sauf si des instruments d'une efficacité égale sont mis en œuvre.</w:t>
      </w:r>
    </w:p>
    <w:p w:rsidR="00B70F9E" w:rsidRPr="007A3A61" w:rsidRDefault="00B70F9E" w:rsidP="00CF0F28">
      <w:pPr>
        <w:spacing w:before="0" w:after="0" w:line="324" w:lineRule="auto"/>
      </w:pPr>
    </w:p>
    <w:p w:rsidR="00B70F9E" w:rsidRPr="007A3A61" w:rsidRDefault="00B70F9E" w:rsidP="00CF0F28">
      <w:pPr>
        <w:spacing w:before="0" w:after="0" w:line="324" w:lineRule="auto"/>
        <w:ind w:left="1701"/>
      </w:pPr>
      <w:r w:rsidRPr="007A3A61">
        <w:t>Les sacs en plastique très légers peuvent être exclus du champ d'application de ces mesures. Ils sont définis comme des sacs en plastiq</w:t>
      </w:r>
      <w:r w:rsidR="00CF0F28">
        <w:t>ue d'une épaisseur inférieure à </w:t>
      </w:r>
      <w:r w:rsidRPr="007A3A61">
        <w:t>15 microns nécessaires à des fins d'hygiène ou fournis comme premier emballage pour les denrées alimentaires en vr</w:t>
      </w:r>
      <w:r w:rsidR="00CF0F28">
        <w:t>ac lorsque que cela contribue à </w:t>
      </w:r>
      <w:r w:rsidRPr="007A3A61">
        <w:t>empêcher la déperdition de denrées alimentaires.</w:t>
      </w:r>
    </w:p>
    <w:p w:rsidR="00B70F9E" w:rsidRPr="007A3A61" w:rsidRDefault="00B70F9E" w:rsidP="00CF0F28">
      <w:pPr>
        <w:spacing w:line="324" w:lineRule="auto"/>
        <w:ind w:left="1701" w:hanging="567"/>
        <w:rPr>
          <w:bCs/>
          <w:iCs/>
        </w:rPr>
      </w:pPr>
      <w:r w:rsidRPr="007A3A61">
        <w:t>2)</w:t>
      </w:r>
      <w:r w:rsidRPr="007A3A61">
        <w:tab/>
        <w:t>L'information au public - la Commission et les États membres encourageront activement, au moins pendant la première année de mise en œuvre de la directive, les campagnes d'information et de sensibilisation du public concernant les effets néfastes pour l'environnement d'une utilisation excessive des sacs en plastique légers.</w:t>
      </w:r>
    </w:p>
    <w:p w:rsidR="00B70F9E" w:rsidRPr="007A3A61" w:rsidRDefault="00B70F9E" w:rsidP="00CF0F28">
      <w:pPr>
        <w:spacing w:line="324" w:lineRule="auto"/>
        <w:ind w:left="1701" w:hanging="567"/>
        <w:rPr>
          <w:iCs/>
        </w:rPr>
      </w:pPr>
      <w:r w:rsidRPr="007A3A61">
        <w:t>3)</w:t>
      </w:r>
      <w:r w:rsidRPr="007A3A61">
        <w:tab/>
        <w:t>Les futures étapes - deux ans après l'entrée</w:t>
      </w:r>
      <w:r w:rsidR="00CF0F28">
        <w:t xml:space="preserve"> en vigueur de la directive, la </w:t>
      </w:r>
      <w:r w:rsidRPr="007A3A61">
        <w:t>Commission présentera au Parlement européen et au Conseil un rapport examinant l'impact de l'utilisation de sacs en plastique oxodégradables sur l'environnement ainsi qu'un rapport sur les différentes solutions permettant de réduire l'utilisation de sacs en plastique très légers. Six ans et demi après l'entrée en vigueur de la directive, la Commission présente un rapport dans lequel est évaluée l'efficacité des mesures au niveau de l'UE pour lutter contre les déchets sauvages, modifier le comportement des consommateurs et promouvoir la prévention des déchets. Si cette évaluation révèle que les mesures adoptées ne sont pas efficaces, la Commission examine les autres solutions possibles pour réduire la consommation de sacs en plastique légers, y compris la fixation d'objectifs réalistes et réalisables au niveau de l'UE. Ces rapports seront assortis, le cas échéant, de propositions législatives.</w:t>
      </w:r>
    </w:p>
    <w:p w:rsidR="003C0F42" w:rsidRPr="007A3A61" w:rsidRDefault="00CF0F28" w:rsidP="00CF0F28">
      <w:pPr>
        <w:pStyle w:val="HeadingIVX"/>
        <w:numPr>
          <w:ilvl w:val="0"/>
          <w:numId w:val="0"/>
        </w:numPr>
        <w:spacing w:line="324" w:lineRule="auto"/>
      </w:pPr>
      <w:r w:rsidRPr="00CF0F28">
        <w:rPr>
          <w:u w:val="none"/>
        </w:rPr>
        <w:t>IV.</w:t>
      </w:r>
      <w:r w:rsidRPr="00CF0F28">
        <w:rPr>
          <w:u w:val="none"/>
        </w:rPr>
        <w:tab/>
      </w:r>
      <w:r w:rsidR="004F2E9B" w:rsidRPr="007A3A61">
        <w:t>CONCLUSION</w:t>
      </w:r>
    </w:p>
    <w:p w:rsidR="00B70F9E" w:rsidRPr="007A3A61" w:rsidRDefault="00B70F9E" w:rsidP="00CF0F28">
      <w:pPr>
        <w:spacing w:before="0" w:after="0" w:line="324" w:lineRule="auto"/>
        <w:ind w:left="567"/>
      </w:pPr>
      <w:r w:rsidRPr="007A3A61">
        <w:t>La position du Conseil reflète fidèlement le compromis dégagé à l'issue des négociations entre le Parlement européen et le Conseil, avec l'accord de la Commission. Ce compromis est confirmé par la lettre adressée le 25 novembre 2014 par la présidence de la commission ENVI du Parlement européen au président du Comité des représentants permanents.</w:t>
      </w:r>
    </w:p>
    <w:p w:rsidR="00FC4670" w:rsidRPr="00CF0F28" w:rsidRDefault="00FC4670" w:rsidP="00CF0F28">
      <w:pPr>
        <w:pStyle w:val="FinalLine"/>
        <w:spacing w:line="324" w:lineRule="auto"/>
      </w:pPr>
    </w:p>
    <w:sectPr w:rsidR="00FC4670" w:rsidRPr="00CF0F28" w:rsidSect="00BA6D93">
      <w:headerReference w:type="default" r:id="rId1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42" w:rsidRDefault="003C0F42" w:rsidP="003C0F42">
      <w:pPr>
        <w:spacing w:before="0" w:after="0" w:line="240" w:lineRule="auto"/>
      </w:pPr>
      <w:r>
        <w:separator/>
      </w:r>
    </w:p>
  </w:endnote>
  <w:endnote w:type="continuationSeparator" w:id="0">
    <w:p w:rsidR="003C0F42" w:rsidRDefault="003C0F42" w:rsidP="003C0F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A6D93" w:rsidRPr="00D94637" w:rsidTr="00BA6D93">
      <w:trPr>
        <w:jc w:val="center"/>
      </w:trPr>
      <w:tc>
        <w:tcPr>
          <w:tcW w:w="5000" w:type="pct"/>
          <w:gridSpan w:val="7"/>
          <w:shd w:val="clear" w:color="auto" w:fill="auto"/>
          <w:tcMar>
            <w:top w:w="57" w:type="dxa"/>
          </w:tcMar>
        </w:tcPr>
        <w:p w:rsidR="00BA6D93" w:rsidRPr="00D94637" w:rsidRDefault="00BA6D93" w:rsidP="00D94637">
          <w:pPr>
            <w:pStyle w:val="FooterText"/>
            <w:pBdr>
              <w:top w:val="single" w:sz="4" w:space="1" w:color="auto"/>
            </w:pBdr>
            <w:spacing w:before="200"/>
            <w:rPr>
              <w:sz w:val="2"/>
              <w:szCs w:val="2"/>
            </w:rPr>
          </w:pPr>
          <w:bookmarkStart w:id="2" w:name="FOOTER_STANDARD"/>
        </w:p>
      </w:tc>
    </w:tr>
    <w:tr w:rsidR="00BA6D93" w:rsidRPr="00B310DC" w:rsidTr="00BA6D93">
      <w:trPr>
        <w:jc w:val="center"/>
      </w:trPr>
      <w:tc>
        <w:tcPr>
          <w:tcW w:w="2500" w:type="pct"/>
          <w:gridSpan w:val="2"/>
          <w:shd w:val="clear" w:color="auto" w:fill="auto"/>
          <w:tcMar>
            <w:top w:w="0" w:type="dxa"/>
          </w:tcMar>
        </w:tcPr>
        <w:p w:rsidR="00BA6D93" w:rsidRPr="00AD7BF2" w:rsidRDefault="00BA6D93" w:rsidP="004F54B2">
          <w:pPr>
            <w:pStyle w:val="FooterText"/>
          </w:pPr>
          <w:r>
            <w:t>5094/1/15</w:t>
          </w:r>
          <w:r w:rsidRPr="002511D8">
            <w:t xml:space="preserve"> </w:t>
          </w:r>
          <w:r>
            <w:t>REV 1 ADD 1</w:t>
          </w:r>
        </w:p>
      </w:tc>
      <w:tc>
        <w:tcPr>
          <w:tcW w:w="625" w:type="pct"/>
          <w:shd w:val="clear" w:color="auto" w:fill="auto"/>
          <w:tcMar>
            <w:top w:w="0" w:type="dxa"/>
          </w:tcMar>
        </w:tcPr>
        <w:p w:rsidR="00BA6D93" w:rsidRPr="00AD7BF2" w:rsidRDefault="00BA6D93" w:rsidP="00D94637">
          <w:pPr>
            <w:pStyle w:val="FooterText"/>
            <w:jc w:val="center"/>
          </w:pPr>
        </w:p>
      </w:tc>
      <w:tc>
        <w:tcPr>
          <w:tcW w:w="1287" w:type="pct"/>
          <w:gridSpan w:val="3"/>
          <w:shd w:val="clear" w:color="auto" w:fill="auto"/>
          <w:tcMar>
            <w:top w:w="0" w:type="dxa"/>
          </w:tcMar>
        </w:tcPr>
        <w:p w:rsidR="00BA6D93" w:rsidRPr="002511D8" w:rsidRDefault="00BA6D93" w:rsidP="00D94637">
          <w:pPr>
            <w:pStyle w:val="FooterText"/>
            <w:jc w:val="center"/>
          </w:pPr>
          <w:r>
            <w:t>SD/is</w:t>
          </w:r>
        </w:p>
      </w:tc>
      <w:tc>
        <w:tcPr>
          <w:tcW w:w="588" w:type="pct"/>
          <w:shd w:val="clear" w:color="auto" w:fill="auto"/>
          <w:tcMar>
            <w:top w:w="0" w:type="dxa"/>
          </w:tcMar>
        </w:tcPr>
        <w:p w:rsidR="00BA6D93" w:rsidRPr="00B310DC" w:rsidRDefault="00BA6D93"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BA6D93" w:rsidRPr="00D94637" w:rsidTr="00BA6D93">
      <w:trPr>
        <w:jc w:val="center"/>
      </w:trPr>
      <w:tc>
        <w:tcPr>
          <w:tcW w:w="1774" w:type="pct"/>
          <w:shd w:val="clear" w:color="auto" w:fill="auto"/>
        </w:tcPr>
        <w:p w:rsidR="00BA6D93" w:rsidRPr="00AD7BF2" w:rsidRDefault="00BA6D93" w:rsidP="00D94637">
          <w:pPr>
            <w:pStyle w:val="FooterText"/>
            <w:spacing w:before="40"/>
          </w:pPr>
        </w:p>
      </w:tc>
      <w:tc>
        <w:tcPr>
          <w:tcW w:w="1455" w:type="pct"/>
          <w:gridSpan w:val="3"/>
          <w:shd w:val="clear" w:color="auto" w:fill="auto"/>
        </w:tcPr>
        <w:p w:rsidR="00BA6D93" w:rsidRPr="00AD7BF2" w:rsidRDefault="00BA6D93" w:rsidP="00D204D6">
          <w:pPr>
            <w:pStyle w:val="FooterText"/>
            <w:spacing w:before="40"/>
            <w:jc w:val="center"/>
          </w:pPr>
          <w:r>
            <w:t>DPG</w:t>
          </w:r>
        </w:p>
      </w:tc>
      <w:tc>
        <w:tcPr>
          <w:tcW w:w="1147" w:type="pct"/>
          <w:shd w:val="clear" w:color="auto" w:fill="auto"/>
        </w:tcPr>
        <w:p w:rsidR="00BA6D93" w:rsidRPr="00D94637" w:rsidRDefault="00BA6D93" w:rsidP="00D94637">
          <w:pPr>
            <w:pStyle w:val="FooterText"/>
            <w:jc w:val="right"/>
            <w:rPr>
              <w:b/>
              <w:position w:val="-4"/>
              <w:sz w:val="36"/>
            </w:rPr>
          </w:pPr>
        </w:p>
      </w:tc>
      <w:tc>
        <w:tcPr>
          <w:tcW w:w="625" w:type="pct"/>
          <w:gridSpan w:val="2"/>
          <w:shd w:val="clear" w:color="auto" w:fill="auto"/>
        </w:tcPr>
        <w:p w:rsidR="00BA6D93" w:rsidRPr="00D94637" w:rsidRDefault="00BA6D93" w:rsidP="00D94637">
          <w:pPr>
            <w:pStyle w:val="FooterText"/>
            <w:jc w:val="right"/>
            <w:rPr>
              <w:sz w:val="16"/>
            </w:rPr>
          </w:pPr>
          <w:r>
            <w:rPr>
              <w:b/>
              <w:position w:val="-4"/>
              <w:sz w:val="36"/>
            </w:rPr>
            <w:t>FR</w:t>
          </w:r>
        </w:p>
      </w:tc>
    </w:tr>
    <w:bookmarkEnd w:id="2"/>
  </w:tbl>
  <w:p w:rsidR="003C0F42" w:rsidRPr="00BA6D93" w:rsidRDefault="003C0F42" w:rsidP="00BA6D93">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A6D93" w:rsidRPr="00D94637" w:rsidTr="00BA6D93">
      <w:trPr>
        <w:jc w:val="center"/>
      </w:trPr>
      <w:tc>
        <w:tcPr>
          <w:tcW w:w="5000" w:type="pct"/>
          <w:gridSpan w:val="7"/>
          <w:shd w:val="clear" w:color="auto" w:fill="auto"/>
          <w:tcMar>
            <w:top w:w="57" w:type="dxa"/>
          </w:tcMar>
        </w:tcPr>
        <w:p w:rsidR="00BA6D93" w:rsidRPr="00D94637" w:rsidRDefault="00BA6D93" w:rsidP="00D94637">
          <w:pPr>
            <w:pStyle w:val="FooterText"/>
            <w:pBdr>
              <w:top w:val="single" w:sz="4" w:space="1" w:color="auto"/>
            </w:pBdr>
            <w:spacing w:before="200"/>
            <w:rPr>
              <w:sz w:val="2"/>
              <w:szCs w:val="2"/>
            </w:rPr>
          </w:pPr>
        </w:p>
      </w:tc>
    </w:tr>
    <w:tr w:rsidR="00BA6D93" w:rsidRPr="00B310DC" w:rsidTr="00BA6D93">
      <w:trPr>
        <w:jc w:val="center"/>
      </w:trPr>
      <w:tc>
        <w:tcPr>
          <w:tcW w:w="2500" w:type="pct"/>
          <w:gridSpan w:val="2"/>
          <w:shd w:val="clear" w:color="auto" w:fill="auto"/>
          <w:tcMar>
            <w:top w:w="0" w:type="dxa"/>
          </w:tcMar>
        </w:tcPr>
        <w:p w:rsidR="00BA6D93" w:rsidRPr="00AD7BF2" w:rsidRDefault="00BA6D93" w:rsidP="004F54B2">
          <w:pPr>
            <w:pStyle w:val="FooterText"/>
          </w:pPr>
          <w:r>
            <w:t>5094/1/15</w:t>
          </w:r>
          <w:r w:rsidRPr="002511D8">
            <w:t xml:space="preserve"> </w:t>
          </w:r>
          <w:r>
            <w:t>REV 1 ADD 1</w:t>
          </w:r>
        </w:p>
      </w:tc>
      <w:tc>
        <w:tcPr>
          <w:tcW w:w="625" w:type="pct"/>
          <w:shd w:val="clear" w:color="auto" w:fill="auto"/>
          <w:tcMar>
            <w:top w:w="0" w:type="dxa"/>
          </w:tcMar>
        </w:tcPr>
        <w:p w:rsidR="00BA6D93" w:rsidRPr="00AD7BF2" w:rsidRDefault="00BA6D93" w:rsidP="00D94637">
          <w:pPr>
            <w:pStyle w:val="FooterText"/>
            <w:jc w:val="center"/>
          </w:pPr>
        </w:p>
      </w:tc>
      <w:tc>
        <w:tcPr>
          <w:tcW w:w="1287" w:type="pct"/>
          <w:gridSpan w:val="3"/>
          <w:shd w:val="clear" w:color="auto" w:fill="auto"/>
          <w:tcMar>
            <w:top w:w="0" w:type="dxa"/>
          </w:tcMar>
        </w:tcPr>
        <w:p w:rsidR="00BA6D93" w:rsidRPr="002511D8" w:rsidRDefault="00BA6D93" w:rsidP="00D94637">
          <w:pPr>
            <w:pStyle w:val="FooterText"/>
            <w:jc w:val="center"/>
          </w:pPr>
          <w:r>
            <w:t>SD/is</w:t>
          </w:r>
        </w:p>
      </w:tc>
      <w:tc>
        <w:tcPr>
          <w:tcW w:w="588" w:type="pct"/>
          <w:shd w:val="clear" w:color="auto" w:fill="auto"/>
          <w:tcMar>
            <w:top w:w="0" w:type="dxa"/>
          </w:tcMar>
        </w:tcPr>
        <w:p w:rsidR="00BA6D93" w:rsidRPr="00B310DC" w:rsidRDefault="00BA6D93"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BA6D93" w:rsidRPr="00D94637" w:rsidTr="00BA6D93">
      <w:trPr>
        <w:jc w:val="center"/>
      </w:trPr>
      <w:tc>
        <w:tcPr>
          <w:tcW w:w="1774" w:type="pct"/>
          <w:shd w:val="clear" w:color="auto" w:fill="auto"/>
        </w:tcPr>
        <w:p w:rsidR="00BA6D93" w:rsidRPr="00AD7BF2" w:rsidRDefault="00BA6D93" w:rsidP="00D94637">
          <w:pPr>
            <w:pStyle w:val="FooterText"/>
            <w:spacing w:before="40"/>
          </w:pPr>
        </w:p>
      </w:tc>
      <w:tc>
        <w:tcPr>
          <w:tcW w:w="1455" w:type="pct"/>
          <w:gridSpan w:val="3"/>
          <w:shd w:val="clear" w:color="auto" w:fill="auto"/>
        </w:tcPr>
        <w:p w:rsidR="00BA6D93" w:rsidRPr="00AD7BF2" w:rsidRDefault="00BA6D93" w:rsidP="00D204D6">
          <w:pPr>
            <w:pStyle w:val="FooterText"/>
            <w:spacing w:before="40"/>
            <w:jc w:val="center"/>
          </w:pPr>
          <w:r>
            <w:t>DPG</w:t>
          </w:r>
        </w:p>
      </w:tc>
      <w:tc>
        <w:tcPr>
          <w:tcW w:w="1147" w:type="pct"/>
          <w:shd w:val="clear" w:color="auto" w:fill="auto"/>
        </w:tcPr>
        <w:p w:rsidR="00BA6D93" w:rsidRPr="00D94637" w:rsidRDefault="00BA6D93" w:rsidP="00D94637">
          <w:pPr>
            <w:pStyle w:val="FooterText"/>
            <w:jc w:val="right"/>
            <w:rPr>
              <w:b/>
              <w:position w:val="-4"/>
              <w:sz w:val="36"/>
            </w:rPr>
          </w:pPr>
        </w:p>
      </w:tc>
      <w:tc>
        <w:tcPr>
          <w:tcW w:w="625" w:type="pct"/>
          <w:gridSpan w:val="2"/>
          <w:shd w:val="clear" w:color="auto" w:fill="auto"/>
        </w:tcPr>
        <w:p w:rsidR="00BA6D93" w:rsidRPr="00D94637" w:rsidRDefault="00BA6D93" w:rsidP="00D94637">
          <w:pPr>
            <w:pStyle w:val="FooterText"/>
            <w:jc w:val="right"/>
            <w:rPr>
              <w:sz w:val="16"/>
            </w:rPr>
          </w:pPr>
          <w:r>
            <w:rPr>
              <w:b/>
              <w:position w:val="-4"/>
              <w:sz w:val="36"/>
            </w:rPr>
            <w:t>FR</w:t>
          </w:r>
        </w:p>
      </w:tc>
    </w:tr>
  </w:tbl>
  <w:p w:rsidR="003C0F42" w:rsidRPr="00BA6D93" w:rsidRDefault="003C0F42" w:rsidP="00BA6D9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42" w:rsidRDefault="003C0F42" w:rsidP="003C0F42">
      <w:pPr>
        <w:spacing w:before="0" w:after="0" w:line="240" w:lineRule="auto"/>
      </w:pPr>
      <w:r>
        <w:separator/>
      </w:r>
    </w:p>
  </w:footnote>
  <w:footnote w:type="continuationSeparator" w:id="0">
    <w:p w:rsidR="003C0F42" w:rsidRDefault="003C0F42" w:rsidP="003C0F42">
      <w:pPr>
        <w:spacing w:before="0" w:after="0" w:line="240" w:lineRule="auto"/>
      </w:pPr>
      <w:r>
        <w:continuationSeparator/>
      </w:r>
    </w:p>
  </w:footnote>
  <w:footnote w:id="1">
    <w:p w:rsidR="00B70F9E" w:rsidRDefault="00B70F9E" w:rsidP="006E5F6A">
      <w:pPr>
        <w:pStyle w:val="FootnoteText"/>
        <w:ind w:left="567" w:hanging="567"/>
      </w:pPr>
      <w:r>
        <w:rPr>
          <w:rStyle w:val="FootnoteReference"/>
        </w:rPr>
        <w:footnoteRef/>
      </w:r>
      <w:r>
        <w:tab/>
        <w:t>Doc. 9044/14.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42" w:rsidRPr="00BA6D93" w:rsidRDefault="003C0F42" w:rsidP="00BA6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2">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3">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5">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8">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4"/>
  </w:num>
  <w:num w:numId="2">
    <w:abstractNumId w:val="10"/>
  </w:num>
  <w:num w:numId="3">
    <w:abstractNumId w:val="9"/>
  </w:num>
  <w:num w:numId="4">
    <w:abstractNumId w:val="11"/>
  </w:num>
  <w:num w:numId="5">
    <w:abstractNumId w:val="7"/>
  </w:num>
  <w:num w:numId="6">
    <w:abstractNumId w:val="1"/>
  </w:num>
  <w:num w:numId="7">
    <w:abstractNumId w:val="6"/>
  </w:num>
  <w:num w:numId="8">
    <w:abstractNumId w:val="5"/>
  </w:num>
  <w:num w:numId="9">
    <w:abstractNumId w:val="3"/>
  </w:num>
  <w:num w:numId="10">
    <w:abstractNumId w:val="16"/>
  </w:num>
  <w:num w:numId="11">
    <w:abstractNumId w:val="17"/>
  </w:num>
  <w:num w:numId="12">
    <w:abstractNumId w:val="0"/>
  </w:num>
  <w:num w:numId="13">
    <w:abstractNumId w:val="19"/>
  </w:num>
  <w:num w:numId="14">
    <w:abstractNumId w:val="15"/>
  </w:num>
  <w:num w:numId="15">
    <w:abstractNumId w:val="12"/>
  </w:num>
  <w:num w:numId="16">
    <w:abstractNumId w:val="8"/>
  </w:num>
  <w:num w:numId="17">
    <w:abstractNumId w:val="13"/>
  </w:num>
  <w:num w:numId="18">
    <w:abstractNumId w:val="2"/>
  </w:num>
  <w:num w:numId="19">
    <w:abstractNumId w:val="18"/>
  </w:num>
  <w:num w:numId="20">
    <w:abstractNumId w:val="4"/>
  </w:num>
  <w:num w:numId="21">
    <w:abstractNumId w:val="14"/>
  </w:num>
  <w:num w:numId="22">
    <w:abstractNumId w:val="10"/>
  </w:num>
  <w:num w:numId="23">
    <w:abstractNumId w:val="9"/>
  </w:num>
  <w:num w:numId="24">
    <w:abstractNumId w:val="11"/>
  </w:num>
  <w:num w:numId="25">
    <w:abstractNumId w:val="7"/>
  </w:num>
  <w:num w:numId="26">
    <w:abstractNumId w:val="1"/>
  </w:num>
  <w:num w:numId="27">
    <w:abstractNumId w:val="6"/>
  </w:num>
  <w:num w:numId="28">
    <w:abstractNumId w:val="5"/>
  </w:num>
  <w:num w:numId="29">
    <w:abstractNumId w:val="3"/>
  </w:num>
  <w:num w:numId="30">
    <w:abstractNumId w:val="16"/>
  </w:num>
  <w:num w:numId="31">
    <w:abstractNumId w:val="17"/>
  </w:num>
  <w:num w:numId="32">
    <w:abstractNumId w:val="0"/>
  </w:num>
  <w:num w:numId="33">
    <w:abstractNumId w:val="19"/>
  </w:num>
  <w:num w:numId="34">
    <w:abstractNumId w:val="15"/>
  </w:num>
  <w:num w:numId="35">
    <w:abstractNumId w:val="12"/>
  </w:num>
  <w:num w:numId="36">
    <w:abstractNumId w:val="8"/>
  </w:num>
  <w:num w:numId="37">
    <w:abstractNumId w:val="13"/>
  </w:num>
  <w:num w:numId="38">
    <w:abstractNumId w:val="2"/>
  </w:num>
  <w:num w:numId="39">
    <w:abstractNumId w:val="18"/>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862fef66-a1f5-4a35-818c-3a38e3ca2296&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04&lt;/text&gt;_x000d__x000a_  &lt;/metadata&gt;_x000d__x000a_  &lt;metadata key=&quot;md_Prefix&quot; translate=&quot;false&quot;&gt;_x000d__x000a_    &lt;text&gt;&lt;/text&gt;_x000d__x000a_  &lt;/metadata&gt;_x000d__x000a_  &lt;metadata key=&quot;md_DocumentNumber&quot; translate=&quot;false&quot;&gt;_x000d__x000a_    &lt;text&gt;5094&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ENV 6&lt;/text&gt;_x000d__x000a_      &lt;text&gt;MI 11&lt;/text&gt;_x000d__x000a_      &lt;text&gt;IND 9&lt;/text&gt;_x000d__x000a_      &lt;text&gt;CONSOM 5&lt;/text&gt;_x000d__x000a_      &lt;text&gt;CODEC 16&lt;/text&gt;_x000d__x000a_      &lt;text&gt;PARLNAT 14&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371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Position du Conseil en première lecture en vue de l'adoption de la  directive du Parlement européen et du Conseil modifiant la  directive 94/62/CE en ce qui concerne la réduction de la consommation  de sacs en plastique légers &amp;#8211; Exposé des motifs du Conseil  &amp;#8211; Adoptée par le Conseil le 2 mars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 xml:space=&quot;preserve&quot;&amp;gt;Position du Conseil en première lecture en vue de l'adoption d&amp;lt;Run xml:lang=&quot;fr-be&quot;&amp;gt;e la&amp;lt;/Run&amp;gt; &amp;lt;LineBreak /&amp;gt;directive du Parlement européen et du Conseil modifiant&amp;lt;Run xml:lang=&quot;fr-be&quot;&amp;gt; la &amp;lt;/Run&amp;gt;&amp;lt;LineBreak /&amp;gt;directive 94/62/CE en ce qui concerne la réduction de la consommation &amp;lt;LineBreak /&amp;gt;de sacs en plastique légers&amp;lt;LineBreak /&amp;gt;&amp;#8211; Exposé des motifs du Conseil &amp;lt;LineBreak /&amp;gt;&amp;lt;Run FontFamily=&quot;Times New Roman&quot;&amp;gt;&amp;#8211; Adopté&amp;lt;/Run&amp;gt;&amp;lt;Run FontFamily=&quot;Times New Roman&quot; xml:lang=&quot;fr-be&quot;&amp;gt;e&amp;lt;/Run&amp;gt;&amp;lt;Run FontFamily=&quot;Times New Roman&quot;&amp;gt; par le Conseil le 2 mars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SD/i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3&quot; technicalblockguid=&quot;e7b49450-1c6e-4c7a-9113-561f566f279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18&lt;/text&gt;_x000d__x000a_  &lt;/metadata&gt;_x000d__x000a_  &lt;metadata key=&quot;md_Prefix&quot;&gt;_x000d__x000a_    &lt;text&gt;&lt;/text&gt;_x000d__x000a_  &lt;/metadata&gt;_x000d__x000a_  &lt;metadata key=&quot;md_DocumentNumber&quot;&gt;_x000d__x000a_    &lt;text&gt;5094&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6&lt;/text&gt;_x000d__x000a_      &lt;text&gt;MI 11&lt;/text&gt;_x000d__x000a_      &lt;text&gt;IND 9&lt;/text&gt;_x000d__x000a_      &lt;text&gt;CONSOM 5&lt;/text&gt;_x000d__x000a_      &lt;text&gt;CODEC 1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7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the Directive of the European Parliament and of the Council amending Directive 94/62/EC on packaging and packaging waste to reduce the consumption of lightweight plastic carrier bags &amp;#8211; Draft Statement of the Council's reasons&quot;&gt;&amp;lt;FlowDocument FontFamily=&quot;Times New Roman&quot; FontSize=&quot;16&quot; PageWidth=&quot;377&quot; PagePadding=&quot;0,0,0,0&quot; AllowDrop=&quot;False&quot; xmlns=&quot;http://schemas.microsoft.com/winfx/2006/xaml/presentation&quot;&amp;gt;&amp;lt;Paragraph&amp;gt;&amp;lt;Run xml:lang=&quot;en-gb&quot;&amp;gt;Position of the Council at first reading with a view to the adoption of the Directive of the European Parliament and of the Council amending Directive 94/62/EC on packaging and packaging waste to reduce the consumption of lightweight plastic carrier bags&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CM/a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3C0F42"/>
    <w:rsid w:val="00061D90"/>
    <w:rsid w:val="00096B04"/>
    <w:rsid w:val="00106A69"/>
    <w:rsid w:val="00130CD9"/>
    <w:rsid w:val="00182F2F"/>
    <w:rsid w:val="001A5605"/>
    <w:rsid w:val="00205792"/>
    <w:rsid w:val="00356F5F"/>
    <w:rsid w:val="003C0F42"/>
    <w:rsid w:val="003C564B"/>
    <w:rsid w:val="00414945"/>
    <w:rsid w:val="00496E01"/>
    <w:rsid w:val="004A5CE6"/>
    <w:rsid w:val="004F2E9B"/>
    <w:rsid w:val="00512D5E"/>
    <w:rsid w:val="00625999"/>
    <w:rsid w:val="006351BB"/>
    <w:rsid w:val="006E5F6A"/>
    <w:rsid w:val="007161AD"/>
    <w:rsid w:val="007A3A61"/>
    <w:rsid w:val="007F5923"/>
    <w:rsid w:val="008A3562"/>
    <w:rsid w:val="008C2394"/>
    <w:rsid w:val="00901450"/>
    <w:rsid w:val="009B07D1"/>
    <w:rsid w:val="00A30641"/>
    <w:rsid w:val="00A93207"/>
    <w:rsid w:val="00AF3113"/>
    <w:rsid w:val="00B21B25"/>
    <w:rsid w:val="00B54F86"/>
    <w:rsid w:val="00B70F9E"/>
    <w:rsid w:val="00B94FFC"/>
    <w:rsid w:val="00BA6D93"/>
    <w:rsid w:val="00BE6E3D"/>
    <w:rsid w:val="00C12AEA"/>
    <w:rsid w:val="00C70D97"/>
    <w:rsid w:val="00CF0F28"/>
    <w:rsid w:val="00D13316"/>
    <w:rsid w:val="00D506C2"/>
    <w:rsid w:val="00E5767B"/>
    <w:rsid w:val="00E80814"/>
    <w:rsid w:val="00E81BBB"/>
    <w:rsid w:val="00E826DA"/>
    <w:rsid w:val="00EF6E97"/>
    <w:rsid w:val="00F86DEA"/>
    <w:rsid w:val="00F93B1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C0F42"/>
    <w:pPr>
      <w:spacing w:before="0" w:after="440"/>
      <w:ind w:left="-1134" w:right="-1134"/>
    </w:pPr>
    <w:rPr>
      <w:sz w:val="2"/>
    </w:rPr>
  </w:style>
  <w:style w:type="character" w:customStyle="1" w:styleId="TechnicalBlockChar">
    <w:name w:val="Technical Block Char"/>
    <w:basedOn w:val="DefaultParagraphFont"/>
    <w:rsid w:val="003C0F42"/>
    <w:rPr>
      <w:sz w:val="24"/>
      <w:szCs w:val="24"/>
      <w:lang w:val="fr-FR" w:eastAsia="fr-FR"/>
    </w:rPr>
  </w:style>
  <w:style w:type="character" w:customStyle="1" w:styleId="HeaderCouncilLargeChar">
    <w:name w:val="Header Council Large Char"/>
    <w:basedOn w:val="TechnicalBlockChar"/>
    <w:link w:val="HeaderCouncilLarge"/>
    <w:rsid w:val="003C0F42"/>
    <w:rPr>
      <w:sz w:val="2"/>
      <w:szCs w:val="24"/>
      <w:lang w:val="fr-FR" w:eastAsia="fr-FR"/>
    </w:rPr>
  </w:style>
  <w:style w:type="paragraph" w:customStyle="1" w:styleId="FooterText">
    <w:name w:val="Footer Text"/>
    <w:basedOn w:val="Normal"/>
    <w:rsid w:val="003C0F42"/>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rsid w:val="00B70F9E"/>
    <w:rPr>
      <w:sz w:val="24"/>
      <w:lang w:val="fr-FR" w:eastAsia="fr-FR"/>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86DEA"/>
    <w:pPr>
      <w:spacing w:before="0" w:after="240" w:line="240" w:lineRule="auto"/>
      <w:jc w:val="center"/>
    </w:pPr>
  </w:style>
  <w:style w:type="paragraph" w:customStyle="1" w:styleId="FinalLine">
    <w:name w:val="Final Line"/>
    <w:basedOn w:val="Normal"/>
    <w:next w:val="Normal"/>
    <w:rsid w:val="00CF0F28"/>
    <w:pPr>
      <w:pBdr>
        <w:bottom w:val="single" w:sz="4" w:space="0" w:color="000000"/>
      </w:pBdr>
      <w:spacing w:before="360" w:line="336" w:lineRule="auto"/>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6"/>
      </w:numPr>
    </w:pPr>
  </w:style>
  <w:style w:type="paragraph" w:customStyle="1" w:styleId="Pointabc1">
    <w:name w:val="Point abc (1)"/>
    <w:basedOn w:val="Normal"/>
    <w:rsid w:val="00F86DEA"/>
    <w:pPr>
      <w:numPr>
        <w:ilvl w:val="3"/>
        <w:numId w:val="36"/>
      </w:numPr>
      <w:outlineLvl w:val="0"/>
    </w:pPr>
  </w:style>
  <w:style w:type="paragraph" w:customStyle="1" w:styleId="Pointabc2">
    <w:name w:val="Point abc (2)"/>
    <w:basedOn w:val="Normal"/>
    <w:rsid w:val="00F86DEA"/>
    <w:pPr>
      <w:numPr>
        <w:ilvl w:val="5"/>
        <w:numId w:val="36"/>
      </w:numPr>
      <w:outlineLvl w:val="1"/>
    </w:pPr>
  </w:style>
  <w:style w:type="paragraph" w:customStyle="1" w:styleId="Pointabc3">
    <w:name w:val="Point abc (3)"/>
    <w:basedOn w:val="Normal"/>
    <w:rsid w:val="00F86DEA"/>
    <w:pPr>
      <w:numPr>
        <w:ilvl w:val="7"/>
        <w:numId w:val="36"/>
      </w:numPr>
      <w:outlineLvl w:val="2"/>
    </w:pPr>
  </w:style>
  <w:style w:type="paragraph" w:customStyle="1" w:styleId="Pointabc4">
    <w:name w:val="Point abc (4)"/>
    <w:basedOn w:val="Normal"/>
    <w:rsid w:val="00F86DEA"/>
    <w:pPr>
      <w:numPr>
        <w:ilvl w:val="8"/>
        <w:numId w:val="36"/>
      </w:numPr>
      <w:outlineLvl w:val="3"/>
    </w:pPr>
  </w:style>
  <w:style w:type="paragraph" w:customStyle="1" w:styleId="Point123">
    <w:name w:val="Point 123"/>
    <w:basedOn w:val="Normal"/>
    <w:rsid w:val="00F86DEA"/>
    <w:pPr>
      <w:numPr>
        <w:numId w:val="36"/>
      </w:numPr>
    </w:pPr>
  </w:style>
  <w:style w:type="paragraph" w:customStyle="1" w:styleId="Point1231">
    <w:name w:val="Point 123 (1)"/>
    <w:basedOn w:val="Normal"/>
    <w:rsid w:val="00F86DEA"/>
    <w:pPr>
      <w:numPr>
        <w:ilvl w:val="2"/>
        <w:numId w:val="36"/>
      </w:numPr>
      <w:outlineLvl w:val="0"/>
    </w:pPr>
  </w:style>
  <w:style w:type="paragraph" w:customStyle="1" w:styleId="Point1232">
    <w:name w:val="Point 123 (2)"/>
    <w:basedOn w:val="Normal"/>
    <w:rsid w:val="00F86DEA"/>
    <w:pPr>
      <w:numPr>
        <w:ilvl w:val="4"/>
        <w:numId w:val="36"/>
      </w:numPr>
      <w:outlineLvl w:val="1"/>
    </w:pPr>
  </w:style>
  <w:style w:type="paragraph" w:customStyle="1" w:styleId="Point1233">
    <w:name w:val="Point 123 (3)"/>
    <w:basedOn w:val="Normal"/>
    <w:rsid w:val="00F86DEA"/>
    <w:pPr>
      <w:numPr>
        <w:ilvl w:val="6"/>
        <w:numId w:val="36"/>
      </w:numPr>
      <w:outlineLvl w:val="2"/>
    </w:pPr>
  </w:style>
  <w:style w:type="paragraph" w:customStyle="1" w:styleId="Pointivx">
    <w:name w:val="Point ivx"/>
    <w:basedOn w:val="Normal"/>
    <w:rsid w:val="00F86DEA"/>
    <w:pPr>
      <w:numPr>
        <w:numId w:val="37"/>
      </w:numPr>
    </w:pPr>
  </w:style>
  <w:style w:type="paragraph" w:customStyle="1" w:styleId="Pointivx1">
    <w:name w:val="Point ivx (1)"/>
    <w:basedOn w:val="Normal"/>
    <w:rsid w:val="00F86DEA"/>
    <w:pPr>
      <w:numPr>
        <w:ilvl w:val="1"/>
        <w:numId w:val="37"/>
      </w:numPr>
      <w:outlineLvl w:val="0"/>
    </w:pPr>
  </w:style>
  <w:style w:type="paragraph" w:customStyle="1" w:styleId="Pointivx2">
    <w:name w:val="Point ivx (2)"/>
    <w:basedOn w:val="Normal"/>
    <w:rsid w:val="00F86DEA"/>
    <w:pPr>
      <w:numPr>
        <w:ilvl w:val="2"/>
        <w:numId w:val="37"/>
      </w:numPr>
      <w:outlineLvl w:val="1"/>
    </w:pPr>
  </w:style>
  <w:style w:type="paragraph" w:customStyle="1" w:styleId="Pointivx3">
    <w:name w:val="Point ivx (3)"/>
    <w:basedOn w:val="Normal"/>
    <w:rsid w:val="00F86DEA"/>
    <w:pPr>
      <w:numPr>
        <w:ilvl w:val="3"/>
        <w:numId w:val="37"/>
      </w:numPr>
      <w:outlineLvl w:val="2"/>
    </w:pPr>
  </w:style>
  <w:style w:type="paragraph" w:customStyle="1" w:styleId="Pointivx4">
    <w:name w:val="Point ivx (4)"/>
    <w:basedOn w:val="Normal"/>
    <w:rsid w:val="00F86DEA"/>
    <w:pPr>
      <w:numPr>
        <w:ilvl w:val="4"/>
        <w:numId w:val="37"/>
      </w:numPr>
      <w:outlineLvl w:val="3"/>
    </w:pPr>
  </w:style>
  <w:style w:type="paragraph" w:customStyle="1" w:styleId="Bullet">
    <w:name w:val="Bullet"/>
    <w:basedOn w:val="Normal"/>
    <w:rsid w:val="00F86DEA"/>
    <w:pPr>
      <w:numPr>
        <w:numId w:val="31"/>
      </w:numPr>
    </w:pPr>
  </w:style>
  <w:style w:type="paragraph" w:customStyle="1" w:styleId="Bullet1">
    <w:name w:val="Bullet 1"/>
    <w:basedOn w:val="Normal"/>
    <w:rsid w:val="00F86DEA"/>
    <w:pPr>
      <w:numPr>
        <w:numId w:val="32"/>
      </w:numPr>
      <w:outlineLvl w:val="0"/>
    </w:pPr>
  </w:style>
  <w:style w:type="paragraph" w:customStyle="1" w:styleId="Bullet2">
    <w:name w:val="Bullet 2"/>
    <w:basedOn w:val="Normal"/>
    <w:rsid w:val="00F86DEA"/>
    <w:pPr>
      <w:numPr>
        <w:numId w:val="33"/>
      </w:numPr>
      <w:outlineLvl w:val="1"/>
    </w:pPr>
  </w:style>
  <w:style w:type="paragraph" w:customStyle="1" w:styleId="Bullet3">
    <w:name w:val="Bullet 3"/>
    <w:basedOn w:val="Normal"/>
    <w:rsid w:val="00F86DEA"/>
    <w:pPr>
      <w:numPr>
        <w:numId w:val="34"/>
      </w:numPr>
      <w:outlineLvl w:val="2"/>
    </w:pPr>
  </w:style>
  <w:style w:type="paragraph" w:customStyle="1" w:styleId="Bullet4">
    <w:name w:val="Bullet 4"/>
    <w:basedOn w:val="Normal"/>
    <w:rsid w:val="00F86DEA"/>
    <w:pPr>
      <w:numPr>
        <w:numId w:val="35"/>
      </w:numPr>
      <w:outlineLvl w:val="3"/>
    </w:pPr>
  </w:style>
  <w:style w:type="paragraph" w:customStyle="1" w:styleId="Dash">
    <w:name w:val="Dash"/>
    <w:basedOn w:val="Normal"/>
    <w:rsid w:val="00F86DEA"/>
    <w:pPr>
      <w:numPr>
        <w:numId w:val="21"/>
      </w:numPr>
    </w:pPr>
  </w:style>
  <w:style w:type="paragraph" w:customStyle="1" w:styleId="Dash1">
    <w:name w:val="Dash 1"/>
    <w:basedOn w:val="Normal"/>
    <w:rsid w:val="00F86DEA"/>
    <w:pPr>
      <w:numPr>
        <w:numId w:val="22"/>
      </w:numPr>
      <w:outlineLvl w:val="0"/>
    </w:pPr>
  </w:style>
  <w:style w:type="paragraph" w:customStyle="1" w:styleId="Dash2">
    <w:name w:val="Dash 2"/>
    <w:basedOn w:val="Normal"/>
    <w:rsid w:val="00F86DEA"/>
    <w:pPr>
      <w:numPr>
        <w:numId w:val="23"/>
      </w:numPr>
      <w:outlineLvl w:val="1"/>
    </w:pPr>
  </w:style>
  <w:style w:type="paragraph" w:customStyle="1" w:styleId="Dash3">
    <w:name w:val="Dash 3"/>
    <w:basedOn w:val="Normal"/>
    <w:rsid w:val="00F86DEA"/>
    <w:pPr>
      <w:numPr>
        <w:numId w:val="24"/>
      </w:numPr>
      <w:outlineLvl w:val="2"/>
    </w:pPr>
  </w:style>
  <w:style w:type="paragraph" w:customStyle="1" w:styleId="Dash4">
    <w:name w:val="Dash 4"/>
    <w:basedOn w:val="Normal"/>
    <w:rsid w:val="00F86DEA"/>
    <w:pPr>
      <w:numPr>
        <w:numId w:val="25"/>
      </w:numPr>
      <w:outlineLvl w:val="3"/>
    </w:pPr>
  </w:style>
  <w:style w:type="paragraph" w:customStyle="1" w:styleId="DashEqual">
    <w:name w:val="Dash Equal"/>
    <w:basedOn w:val="Dash"/>
    <w:rsid w:val="00F86DEA"/>
    <w:pPr>
      <w:numPr>
        <w:numId w:val="26"/>
      </w:numPr>
    </w:pPr>
  </w:style>
  <w:style w:type="paragraph" w:customStyle="1" w:styleId="DashEqual1">
    <w:name w:val="Dash Equal 1"/>
    <w:basedOn w:val="Dash1"/>
    <w:rsid w:val="00F86DEA"/>
    <w:pPr>
      <w:numPr>
        <w:numId w:val="27"/>
      </w:numPr>
    </w:pPr>
  </w:style>
  <w:style w:type="paragraph" w:customStyle="1" w:styleId="DashEqual2">
    <w:name w:val="Dash Equal 2"/>
    <w:basedOn w:val="Dash2"/>
    <w:rsid w:val="00F86DEA"/>
    <w:pPr>
      <w:numPr>
        <w:numId w:val="28"/>
      </w:numPr>
    </w:pPr>
  </w:style>
  <w:style w:type="paragraph" w:customStyle="1" w:styleId="DashEqual3">
    <w:name w:val="Dash Equal 3"/>
    <w:basedOn w:val="Dash3"/>
    <w:rsid w:val="00F86DEA"/>
    <w:pPr>
      <w:numPr>
        <w:numId w:val="29"/>
      </w:numPr>
    </w:pPr>
  </w:style>
  <w:style w:type="paragraph" w:customStyle="1" w:styleId="DashEqual4">
    <w:name w:val="Dash Equal 4"/>
    <w:basedOn w:val="Dash4"/>
    <w:rsid w:val="00F86DEA"/>
    <w:pPr>
      <w:numPr>
        <w:numId w:val="3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0"/>
      </w:numPr>
    </w:pPr>
  </w:style>
  <w:style w:type="paragraph" w:customStyle="1" w:styleId="Heading123">
    <w:name w:val="Heading 123"/>
    <w:basedOn w:val="HeadingLeft"/>
    <w:next w:val="Normal"/>
    <w:rsid w:val="00F86DEA"/>
    <w:pPr>
      <w:numPr>
        <w:numId w:val="39"/>
      </w:numPr>
    </w:pPr>
  </w:style>
  <w:style w:type="paragraph" w:customStyle="1" w:styleId="HeadingABC">
    <w:name w:val="Heading ABC"/>
    <w:basedOn w:val="HeadingLeft"/>
    <w:next w:val="Normal"/>
    <w:rsid w:val="00F86DEA"/>
    <w:pPr>
      <w:numPr>
        <w:numId w:val="3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C0F42"/>
    <w:pPr>
      <w:spacing w:before="0" w:after="440"/>
      <w:ind w:left="-1134" w:right="-1134"/>
    </w:pPr>
    <w:rPr>
      <w:sz w:val="2"/>
    </w:rPr>
  </w:style>
  <w:style w:type="character" w:customStyle="1" w:styleId="TechnicalBlockChar">
    <w:name w:val="Technical Block Char"/>
    <w:basedOn w:val="DefaultParagraphFont"/>
    <w:rsid w:val="003C0F42"/>
    <w:rPr>
      <w:sz w:val="24"/>
      <w:szCs w:val="24"/>
      <w:lang w:val="fr-FR" w:eastAsia="fr-FR"/>
    </w:rPr>
  </w:style>
  <w:style w:type="character" w:customStyle="1" w:styleId="HeaderCouncilLargeChar">
    <w:name w:val="Header Council Large Char"/>
    <w:basedOn w:val="TechnicalBlockChar"/>
    <w:link w:val="HeaderCouncilLarge"/>
    <w:rsid w:val="003C0F42"/>
    <w:rPr>
      <w:sz w:val="2"/>
      <w:szCs w:val="24"/>
      <w:lang w:val="fr-FR" w:eastAsia="fr-FR"/>
    </w:rPr>
  </w:style>
  <w:style w:type="paragraph" w:customStyle="1" w:styleId="FooterText">
    <w:name w:val="Footer Text"/>
    <w:basedOn w:val="Normal"/>
    <w:rsid w:val="003C0F42"/>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rsid w:val="00B70F9E"/>
    <w:rPr>
      <w:sz w:val="24"/>
      <w:lang w:val="fr-FR" w:eastAsia="fr-FR"/>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86DEA"/>
    <w:pPr>
      <w:spacing w:before="0" w:after="240" w:line="240" w:lineRule="auto"/>
      <w:jc w:val="center"/>
    </w:pPr>
  </w:style>
  <w:style w:type="paragraph" w:customStyle="1" w:styleId="FinalLine">
    <w:name w:val="Final Line"/>
    <w:basedOn w:val="Normal"/>
    <w:next w:val="Normal"/>
    <w:rsid w:val="00CF0F28"/>
    <w:pPr>
      <w:pBdr>
        <w:bottom w:val="single" w:sz="4" w:space="0" w:color="000000"/>
      </w:pBdr>
      <w:spacing w:before="360" w:line="336" w:lineRule="auto"/>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6"/>
      </w:numPr>
    </w:pPr>
  </w:style>
  <w:style w:type="paragraph" w:customStyle="1" w:styleId="Pointabc1">
    <w:name w:val="Point abc (1)"/>
    <w:basedOn w:val="Normal"/>
    <w:rsid w:val="00F86DEA"/>
    <w:pPr>
      <w:numPr>
        <w:ilvl w:val="3"/>
        <w:numId w:val="36"/>
      </w:numPr>
      <w:outlineLvl w:val="0"/>
    </w:pPr>
  </w:style>
  <w:style w:type="paragraph" w:customStyle="1" w:styleId="Pointabc2">
    <w:name w:val="Point abc (2)"/>
    <w:basedOn w:val="Normal"/>
    <w:rsid w:val="00F86DEA"/>
    <w:pPr>
      <w:numPr>
        <w:ilvl w:val="5"/>
        <w:numId w:val="36"/>
      </w:numPr>
      <w:outlineLvl w:val="1"/>
    </w:pPr>
  </w:style>
  <w:style w:type="paragraph" w:customStyle="1" w:styleId="Pointabc3">
    <w:name w:val="Point abc (3)"/>
    <w:basedOn w:val="Normal"/>
    <w:rsid w:val="00F86DEA"/>
    <w:pPr>
      <w:numPr>
        <w:ilvl w:val="7"/>
        <w:numId w:val="36"/>
      </w:numPr>
      <w:outlineLvl w:val="2"/>
    </w:pPr>
  </w:style>
  <w:style w:type="paragraph" w:customStyle="1" w:styleId="Pointabc4">
    <w:name w:val="Point abc (4)"/>
    <w:basedOn w:val="Normal"/>
    <w:rsid w:val="00F86DEA"/>
    <w:pPr>
      <w:numPr>
        <w:ilvl w:val="8"/>
        <w:numId w:val="36"/>
      </w:numPr>
      <w:outlineLvl w:val="3"/>
    </w:pPr>
  </w:style>
  <w:style w:type="paragraph" w:customStyle="1" w:styleId="Point123">
    <w:name w:val="Point 123"/>
    <w:basedOn w:val="Normal"/>
    <w:rsid w:val="00F86DEA"/>
    <w:pPr>
      <w:numPr>
        <w:numId w:val="36"/>
      </w:numPr>
    </w:pPr>
  </w:style>
  <w:style w:type="paragraph" w:customStyle="1" w:styleId="Point1231">
    <w:name w:val="Point 123 (1)"/>
    <w:basedOn w:val="Normal"/>
    <w:rsid w:val="00F86DEA"/>
    <w:pPr>
      <w:numPr>
        <w:ilvl w:val="2"/>
        <w:numId w:val="36"/>
      </w:numPr>
      <w:outlineLvl w:val="0"/>
    </w:pPr>
  </w:style>
  <w:style w:type="paragraph" w:customStyle="1" w:styleId="Point1232">
    <w:name w:val="Point 123 (2)"/>
    <w:basedOn w:val="Normal"/>
    <w:rsid w:val="00F86DEA"/>
    <w:pPr>
      <w:numPr>
        <w:ilvl w:val="4"/>
        <w:numId w:val="36"/>
      </w:numPr>
      <w:outlineLvl w:val="1"/>
    </w:pPr>
  </w:style>
  <w:style w:type="paragraph" w:customStyle="1" w:styleId="Point1233">
    <w:name w:val="Point 123 (3)"/>
    <w:basedOn w:val="Normal"/>
    <w:rsid w:val="00F86DEA"/>
    <w:pPr>
      <w:numPr>
        <w:ilvl w:val="6"/>
        <w:numId w:val="36"/>
      </w:numPr>
      <w:outlineLvl w:val="2"/>
    </w:pPr>
  </w:style>
  <w:style w:type="paragraph" w:customStyle="1" w:styleId="Pointivx">
    <w:name w:val="Point ivx"/>
    <w:basedOn w:val="Normal"/>
    <w:rsid w:val="00F86DEA"/>
    <w:pPr>
      <w:numPr>
        <w:numId w:val="37"/>
      </w:numPr>
    </w:pPr>
  </w:style>
  <w:style w:type="paragraph" w:customStyle="1" w:styleId="Pointivx1">
    <w:name w:val="Point ivx (1)"/>
    <w:basedOn w:val="Normal"/>
    <w:rsid w:val="00F86DEA"/>
    <w:pPr>
      <w:numPr>
        <w:ilvl w:val="1"/>
        <w:numId w:val="37"/>
      </w:numPr>
      <w:outlineLvl w:val="0"/>
    </w:pPr>
  </w:style>
  <w:style w:type="paragraph" w:customStyle="1" w:styleId="Pointivx2">
    <w:name w:val="Point ivx (2)"/>
    <w:basedOn w:val="Normal"/>
    <w:rsid w:val="00F86DEA"/>
    <w:pPr>
      <w:numPr>
        <w:ilvl w:val="2"/>
        <w:numId w:val="37"/>
      </w:numPr>
      <w:outlineLvl w:val="1"/>
    </w:pPr>
  </w:style>
  <w:style w:type="paragraph" w:customStyle="1" w:styleId="Pointivx3">
    <w:name w:val="Point ivx (3)"/>
    <w:basedOn w:val="Normal"/>
    <w:rsid w:val="00F86DEA"/>
    <w:pPr>
      <w:numPr>
        <w:ilvl w:val="3"/>
        <w:numId w:val="37"/>
      </w:numPr>
      <w:outlineLvl w:val="2"/>
    </w:pPr>
  </w:style>
  <w:style w:type="paragraph" w:customStyle="1" w:styleId="Pointivx4">
    <w:name w:val="Point ivx (4)"/>
    <w:basedOn w:val="Normal"/>
    <w:rsid w:val="00F86DEA"/>
    <w:pPr>
      <w:numPr>
        <w:ilvl w:val="4"/>
        <w:numId w:val="37"/>
      </w:numPr>
      <w:outlineLvl w:val="3"/>
    </w:pPr>
  </w:style>
  <w:style w:type="paragraph" w:customStyle="1" w:styleId="Bullet">
    <w:name w:val="Bullet"/>
    <w:basedOn w:val="Normal"/>
    <w:rsid w:val="00F86DEA"/>
    <w:pPr>
      <w:numPr>
        <w:numId w:val="31"/>
      </w:numPr>
    </w:pPr>
  </w:style>
  <w:style w:type="paragraph" w:customStyle="1" w:styleId="Bullet1">
    <w:name w:val="Bullet 1"/>
    <w:basedOn w:val="Normal"/>
    <w:rsid w:val="00F86DEA"/>
    <w:pPr>
      <w:numPr>
        <w:numId w:val="32"/>
      </w:numPr>
      <w:outlineLvl w:val="0"/>
    </w:pPr>
  </w:style>
  <w:style w:type="paragraph" w:customStyle="1" w:styleId="Bullet2">
    <w:name w:val="Bullet 2"/>
    <w:basedOn w:val="Normal"/>
    <w:rsid w:val="00F86DEA"/>
    <w:pPr>
      <w:numPr>
        <w:numId w:val="33"/>
      </w:numPr>
      <w:outlineLvl w:val="1"/>
    </w:pPr>
  </w:style>
  <w:style w:type="paragraph" w:customStyle="1" w:styleId="Bullet3">
    <w:name w:val="Bullet 3"/>
    <w:basedOn w:val="Normal"/>
    <w:rsid w:val="00F86DEA"/>
    <w:pPr>
      <w:numPr>
        <w:numId w:val="34"/>
      </w:numPr>
      <w:outlineLvl w:val="2"/>
    </w:pPr>
  </w:style>
  <w:style w:type="paragraph" w:customStyle="1" w:styleId="Bullet4">
    <w:name w:val="Bullet 4"/>
    <w:basedOn w:val="Normal"/>
    <w:rsid w:val="00F86DEA"/>
    <w:pPr>
      <w:numPr>
        <w:numId w:val="35"/>
      </w:numPr>
      <w:outlineLvl w:val="3"/>
    </w:pPr>
  </w:style>
  <w:style w:type="paragraph" w:customStyle="1" w:styleId="Dash">
    <w:name w:val="Dash"/>
    <w:basedOn w:val="Normal"/>
    <w:rsid w:val="00F86DEA"/>
    <w:pPr>
      <w:numPr>
        <w:numId w:val="21"/>
      </w:numPr>
    </w:pPr>
  </w:style>
  <w:style w:type="paragraph" w:customStyle="1" w:styleId="Dash1">
    <w:name w:val="Dash 1"/>
    <w:basedOn w:val="Normal"/>
    <w:rsid w:val="00F86DEA"/>
    <w:pPr>
      <w:numPr>
        <w:numId w:val="22"/>
      </w:numPr>
      <w:outlineLvl w:val="0"/>
    </w:pPr>
  </w:style>
  <w:style w:type="paragraph" w:customStyle="1" w:styleId="Dash2">
    <w:name w:val="Dash 2"/>
    <w:basedOn w:val="Normal"/>
    <w:rsid w:val="00F86DEA"/>
    <w:pPr>
      <w:numPr>
        <w:numId w:val="23"/>
      </w:numPr>
      <w:outlineLvl w:val="1"/>
    </w:pPr>
  </w:style>
  <w:style w:type="paragraph" w:customStyle="1" w:styleId="Dash3">
    <w:name w:val="Dash 3"/>
    <w:basedOn w:val="Normal"/>
    <w:rsid w:val="00F86DEA"/>
    <w:pPr>
      <w:numPr>
        <w:numId w:val="24"/>
      </w:numPr>
      <w:outlineLvl w:val="2"/>
    </w:pPr>
  </w:style>
  <w:style w:type="paragraph" w:customStyle="1" w:styleId="Dash4">
    <w:name w:val="Dash 4"/>
    <w:basedOn w:val="Normal"/>
    <w:rsid w:val="00F86DEA"/>
    <w:pPr>
      <w:numPr>
        <w:numId w:val="25"/>
      </w:numPr>
      <w:outlineLvl w:val="3"/>
    </w:pPr>
  </w:style>
  <w:style w:type="paragraph" w:customStyle="1" w:styleId="DashEqual">
    <w:name w:val="Dash Equal"/>
    <w:basedOn w:val="Dash"/>
    <w:rsid w:val="00F86DEA"/>
    <w:pPr>
      <w:numPr>
        <w:numId w:val="26"/>
      </w:numPr>
    </w:pPr>
  </w:style>
  <w:style w:type="paragraph" w:customStyle="1" w:styleId="DashEqual1">
    <w:name w:val="Dash Equal 1"/>
    <w:basedOn w:val="Dash1"/>
    <w:rsid w:val="00F86DEA"/>
    <w:pPr>
      <w:numPr>
        <w:numId w:val="27"/>
      </w:numPr>
    </w:pPr>
  </w:style>
  <w:style w:type="paragraph" w:customStyle="1" w:styleId="DashEqual2">
    <w:name w:val="Dash Equal 2"/>
    <w:basedOn w:val="Dash2"/>
    <w:rsid w:val="00F86DEA"/>
    <w:pPr>
      <w:numPr>
        <w:numId w:val="28"/>
      </w:numPr>
    </w:pPr>
  </w:style>
  <w:style w:type="paragraph" w:customStyle="1" w:styleId="DashEqual3">
    <w:name w:val="Dash Equal 3"/>
    <w:basedOn w:val="Dash3"/>
    <w:rsid w:val="00F86DEA"/>
    <w:pPr>
      <w:numPr>
        <w:numId w:val="29"/>
      </w:numPr>
    </w:pPr>
  </w:style>
  <w:style w:type="paragraph" w:customStyle="1" w:styleId="DashEqual4">
    <w:name w:val="Dash Equal 4"/>
    <w:basedOn w:val="Dash4"/>
    <w:rsid w:val="00F86DEA"/>
    <w:pPr>
      <w:numPr>
        <w:numId w:val="3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0"/>
      </w:numPr>
    </w:pPr>
  </w:style>
  <w:style w:type="paragraph" w:customStyle="1" w:styleId="Heading123">
    <w:name w:val="Heading 123"/>
    <w:basedOn w:val="HeadingLeft"/>
    <w:next w:val="Normal"/>
    <w:rsid w:val="00F86DEA"/>
    <w:pPr>
      <w:numPr>
        <w:numId w:val="39"/>
      </w:numPr>
    </w:pPr>
  </w:style>
  <w:style w:type="paragraph" w:customStyle="1" w:styleId="HeadingABC">
    <w:name w:val="Heading ABC"/>
    <w:basedOn w:val="HeadingLeft"/>
    <w:next w:val="Normal"/>
    <w:rsid w:val="00F86DEA"/>
    <w:pPr>
      <w:numPr>
        <w:numId w:val="3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TotalTime>
  <Pages>4</Pages>
  <Words>749</Words>
  <Characters>4340</Characters>
  <Application>Microsoft Office Word</Application>
  <DocSecurity>0</DocSecurity>
  <Lines>271</Lines>
  <Paragraphs>137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MARETTO Aline</dc:creator>
  <cp:lastModifiedBy>SCHAERLAKEN Isabelle</cp:lastModifiedBy>
  <cp:revision>2</cp:revision>
  <cp:lastPrinted>2015-03-05T09:04:00Z</cp:lastPrinted>
  <dcterms:created xsi:type="dcterms:W3CDTF">2015-03-05T11:34:00Z</dcterms:created>
  <dcterms:modified xsi:type="dcterms:W3CDTF">2015-03-05T11:34:00Z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