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38" w:rsidRPr="00B30BDB" w:rsidRDefault="00215492" w:rsidP="00B30BDB">
      <w:pPr>
        <w:pStyle w:val="TechnicalBlock"/>
        <w:ind w:left="-1134" w:right="-1134"/>
        <w:rPr>
          <w:lang w:val="en-US"/>
        </w:rPr>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0ed1ed-c305-42f7-9632-b44e984d9fea" style="width:568.5pt;height:398.6pt">
            <v:imagedata r:id="rId8" o:title=""/>
          </v:shape>
        </w:pict>
      </w:r>
      <w:bookmarkEnd w:id="0"/>
    </w:p>
    <w:p w:rsidR="00A50238" w:rsidRPr="0093147A" w:rsidRDefault="00A50238" w:rsidP="00A50238">
      <w:pPr>
        <w:sectPr w:rsidR="00A50238" w:rsidRPr="0093147A" w:rsidSect="00215492">
          <w:footerReference w:type="default" r:id="rId9"/>
          <w:footerReference w:type="first" r:id="rId10"/>
          <w:pgSz w:w="11907" w:h="16840" w:code="9"/>
          <w:pgMar w:top="624" w:right="1134" w:bottom="1134" w:left="1134" w:header="567" w:footer="567" w:gutter="0"/>
          <w:pgNumType w:start="1"/>
          <w:cols w:space="708"/>
          <w:titlePg/>
          <w:docGrid w:linePitch="360"/>
        </w:sectPr>
      </w:pPr>
    </w:p>
    <w:p w:rsidR="00A2440D" w:rsidRPr="0093147A" w:rsidRDefault="00A2440D" w:rsidP="00A2440D">
      <w:pPr>
        <w:pStyle w:val="Par-numberI"/>
        <w:numPr>
          <w:ilvl w:val="0"/>
          <w:numId w:val="0"/>
        </w:numPr>
        <w:rPr>
          <w:b/>
          <w:u w:val="single"/>
        </w:rPr>
      </w:pPr>
      <w:r w:rsidRPr="0093147A">
        <w:rPr>
          <w:b/>
        </w:rPr>
        <w:lastRenderedPageBreak/>
        <w:t>I.</w:t>
      </w:r>
      <w:r w:rsidRPr="0093147A">
        <w:tab/>
      </w:r>
      <w:r w:rsidRPr="0093147A">
        <w:rPr>
          <w:b/>
          <w:u w:val="single"/>
        </w:rPr>
        <w:t>ВЪВЕДЕНИЕ</w:t>
      </w:r>
    </w:p>
    <w:p w:rsidR="00095CB3" w:rsidRPr="0093147A" w:rsidRDefault="00095CB3" w:rsidP="00095CB3"/>
    <w:p w:rsidR="00A2440D" w:rsidRPr="0093147A" w:rsidRDefault="00A2440D" w:rsidP="00D84A6B">
      <w:pPr>
        <w:pStyle w:val="NormalIndent"/>
        <w:ind w:left="1134" w:hanging="567"/>
      </w:pPr>
      <w:r w:rsidRPr="0093147A">
        <w:t>1.</w:t>
      </w:r>
      <w:r w:rsidRPr="0093147A">
        <w:tab/>
        <w:t xml:space="preserve">На 1 юли 2013 г. </w:t>
      </w:r>
      <w:r w:rsidRPr="0093147A">
        <w:rPr>
          <w:u w:val="single"/>
        </w:rPr>
        <w:t>Комисията</w:t>
      </w:r>
      <w:r w:rsidRPr="0093147A">
        <w:t xml:space="preserve"> представи посоченото по-горе предложение</w:t>
      </w:r>
      <w:r w:rsidRPr="0093147A">
        <w:rPr>
          <w:rStyle w:val="FootnoteReference"/>
        </w:rPr>
        <w:footnoteReference w:id="1"/>
      </w:r>
      <w:r w:rsidRPr="0093147A">
        <w:t xml:space="preserve"> и свързаната с него оценка на въздействието на Съвета и на Европейския парламент.</w:t>
      </w:r>
    </w:p>
    <w:p w:rsidR="00A2440D" w:rsidRPr="0093147A" w:rsidRDefault="00A2440D" w:rsidP="00095CB3">
      <w:pPr>
        <w:pStyle w:val="NormalIndent"/>
      </w:pPr>
    </w:p>
    <w:p w:rsidR="008236CC" w:rsidRPr="0093147A" w:rsidRDefault="00D84A6B" w:rsidP="00D84A6B">
      <w:pPr>
        <w:pStyle w:val="NormalIndent"/>
        <w:ind w:left="1134" w:hanging="567"/>
      </w:pPr>
      <w:r w:rsidRPr="0093147A">
        <w:t>2.</w:t>
      </w:r>
      <w:r w:rsidRPr="0093147A">
        <w:tab/>
      </w:r>
      <w:r w:rsidRPr="0093147A">
        <w:rPr>
          <w:u w:val="single"/>
        </w:rPr>
        <w:t>Европейският икономически и социален комитет</w:t>
      </w:r>
      <w:r w:rsidRPr="0093147A">
        <w:t xml:space="preserve"> прие становището си на 16 октомври 2013 г.</w:t>
      </w:r>
      <w:r w:rsidRPr="0093147A">
        <w:rPr>
          <w:rStyle w:val="FootnoteReference"/>
        </w:rPr>
        <w:footnoteReference w:id="2"/>
      </w:r>
    </w:p>
    <w:p w:rsidR="00A2440D" w:rsidRPr="0093147A" w:rsidRDefault="00A2440D" w:rsidP="00095CB3">
      <w:pPr>
        <w:pStyle w:val="NormalIndent"/>
      </w:pPr>
    </w:p>
    <w:p w:rsidR="00A2440D" w:rsidRPr="0093147A" w:rsidRDefault="00A2440D" w:rsidP="00D84A6B">
      <w:pPr>
        <w:pStyle w:val="NormalIndent"/>
        <w:ind w:left="1134"/>
      </w:pPr>
      <w:r w:rsidRPr="0093147A">
        <w:t xml:space="preserve">Европейският </w:t>
      </w:r>
      <w:r w:rsidRPr="0093147A">
        <w:rPr>
          <w:u w:val="single"/>
        </w:rPr>
        <w:t>парламент</w:t>
      </w:r>
      <w:r w:rsidRPr="0093147A">
        <w:t xml:space="preserve"> прие становището си на първо четене на 16 април 2014 г.</w:t>
      </w:r>
      <w:r w:rsidRPr="0093147A">
        <w:rPr>
          <w:rStyle w:val="FootnoteReference"/>
        </w:rPr>
        <w:footnoteReference w:id="3"/>
      </w:r>
      <w:r w:rsidRPr="0093147A">
        <w:t>, като прие 85 изменения.</w:t>
      </w:r>
    </w:p>
    <w:p w:rsidR="00A2440D" w:rsidRPr="0093147A" w:rsidRDefault="00A2440D" w:rsidP="00095CB3">
      <w:pPr>
        <w:pStyle w:val="NormalIndent"/>
      </w:pPr>
    </w:p>
    <w:p w:rsidR="00A2440D" w:rsidRPr="0093147A" w:rsidRDefault="00D84A6B" w:rsidP="00D84A6B">
      <w:pPr>
        <w:pStyle w:val="NormalIndent"/>
        <w:ind w:left="1134" w:hanging="567"/>
      </w:pPr>
      <w:r w:rsidRPr="0093147A">
        <w:t>3.</w:t>
      </w:r>
      <w:r w:rsidRPr="0093147A">
        <w:tab/>
        <w:t>Съветът и Европейският парламент проведоха неформални преговори с оглед на сключване на споразумение на етапа на позицията на Съвета на първо четене („ранно споразумение на второ четене“). Тези преговори приключиха на 18 ноември 2014 г. с постигането на предварително споразумение.</w:t>
      </w:r>
    </w:p>
    <w:p w:rsidR="00A2440D" w:rsidRPr="0093147A" w:rsidRDefault="00A2440D" w:rsidP="00095CB3">
      <w:pPr>
        <w:pStyle w:val="NormalIndent"/>
      </w:pPr>
    </w:p>
    <w:p w:rsidR="00A2440D" w:rsidRPr="0093147A" w:rsidRDefault="00D84A6B" w:rsidP="00D84A6B">
      <w:pPr>
        <w:pStyle w:val="NormalIndent"/>
        <w:ind w:left="1134" w:hanging="567"/>
      </w:pPr>
      <w:r w:rsidRPr="0093147A">
        <w:rPr>
          <w:color w:val="000000"/>
        </w:rPr>
        <w:t>4.</w:t>
      </w:r>
      <w:r w:rsidRPr="0093147A">
        <w:tab/>
      </w:r>
      <w:r w:rsidRPr="0093147A">
        <w:rPr>
          <w:color w:val="000000"/>
        </w:rPr>
        <w:t xml:space="preserve">На 3 декември 2014 г. комисията на Европейския парламент по околна среда, обществено здраве и безопасност на храните (ENVI) одобри резултата от неформалните тристранни преговори. Същия ден </w:t>
      </w:r>
      <w:r w:rsidRPr="0093147A">
        <w:rPr>
          <w:color w:val="000000"/>
          <w:u w:val="single"/>
        </w:rPr>
        <w:t>председателят на комисията по околна среда, обществено здраве и безопасност на храните</w:t>
      </w:r>
      <w:r w:rsidRPr="0093147A">
        <w:rPr>
          <w:color w:val="000000"/>
        </w:rPr>
        <w:t xml:space="preserve"> информира посредством писмо председателя на </w:t>
      </w:r>
      <w:r w:rsidRPr="0093147A">
        <w:rPr>
          <w:color w:val="000000"/>
          <w:u w:val="single"/>
        </w:rPr>
        <w:t>Корепер (I част)</w:t>
      </w:r>
      <w:r w:rsidRPr="0093147A">
        <w:rPr>
          <w:color w:val="000000"/>
        </w:rPr>
        <w:t>, че ако Съветът предаде официално на Европейския парламент своята позиция, по която е постигнато съгласие, след проверка от юрист-лингвистите, той, заедно с докладчика, ще препоръча на пленарното заседание позицията на Съвета да бъде приета без изменения от Европейския парламент на второ четене.</w:t>
      </w:r>
    </w:p>
    <w:p w:rsidR="00A2440D" w:rsidRPr="0093147A" w:rsidRDefault="00A2440D" w:rsidP="00095CB3">
      <w:pPr>
        <w:pStyle w:val="NormalIndent"/>
      </w:pPr>
    </w:p>
    <w:p w:rsidR="00A2440D" w:rsidRPr="0093147A" w:rsidRDefault="00D84A6B" w:rsidP="00D84A6B">
      <w:pPr>
        <w:pStyle w:val="NormalIndent"/>
        <w:ind w:left="1134" w:hanging="567"/>
      </w:pPr>
      <w:r w:rsidRPr="0093147A">
        <w:t>5.</w:t>
      </w:r>
      <w:r w:rsidRPr="0093147A">
        <w:tab/>
        <w:t>Въз основа на това на 17 декември 2014 г. Съветът потвърди политическото си споразумение по текста на регламента</w:t>
      </w:r>
      <w:r w:rsidRPr="0093147A">
        <w:rPr>
          <w:rStyle w:val="FootnoteReference"/>
        </w:rPr>
        <w:footnoteReference w:id="4"/>
      </w:r>
      <w:r w:rsidRPr="0093147A">
        <w:t xml:space="preserve"> във вида, договорен от двете институции.</w:t>
      </w:r>
    </w:p>
    <w:p w:rsidR="00A2440D" w:rsidRPr="0093147A" w:rsidRDefault="00D84A6B" w:rsidP="00095CB3">
      <w:pPr>
        <w:pStyle w:val="Par-numberI"/>
        <w:numPr>
          <w:ilvl w:val="0"/>
          <w:numId w:val="0"/>
        </w:numPr>
        <w:rPr>
          <w:b/>
        </w:rPr>
      </w:pPr>
      <w:r w:rsidRPr="0093147A">
        <w:br w:type="page"/>
      </w:r>
      <w:r w:rsidRPr="0093147A">
        <w:rPr>
          <w:b/>
        </w:rPr>
        <w:lastRenderedPageBreak/>
        <w:t>II.</w:t>
      </w:r>
      <w:r w:rsidRPr="0093147A">
        <w:tab/>
      </w:r>
      <w:r w:rsidRPr="0093147A">
        <w:rPr>
          <w:b/>
          <w:u w:val="single"/>
        </w:rPr>
        <w:t>ЦЕЛ</w:t>
      </w:r>
    </w:p>
    <w:p w:rsidR="00A2440D" w:rsidRPr="0093147A" w:rsidRDefault="00A2440D" w:rsidP="00095CB3">
      <w:pPr>
        <w:spacing w:before="0" w:after="0"/>
      </w:pPr>
    </w:p>
    <w:p w:rsidR="00A2440D" w:rsidRPr="0093147A" w:rsidRDefault="00A2440D" w:rsidP="00095CB3">
      <w:pPr>
        <w:spacing w:before="0" w:after="0"/>
        <w:ind w:left="567" w:hanging="567"/>
      </w:pPr>
      <w:r w:rsidRPr="0093147A">
        <w:tab/>
        <w:t>Основната цел на предложението за регламент е да се установи система за мониторинг, докладване и проверка (МДП) на емисиите на CO</w:t>
      </w:r>
      <w:r w:rsidRPr="0093147A">
        <w:rPr>
          <w:vertAlign w:val="subscript"/>
        </w:rPr>
        <w:t>2</w:t>
      </w:r>
      <w:r w:rsidRPr="0093147A">
        <w:t xml:space="preserve"> от морския транспорт като първа стъпка към глобална система за МДП.</w:t>
      </w:r>
    </w:p>
    <w:p w:rsidR="00A2440D" w:rsidRPr="0093147A" w:rsidRDefault="00A2440D" w:rsidP="00095CB3">
      <w:pPr>
        <w:spacing w:before="0" w:after="0"/>
        <w:ind w:left="567" w:hanging="567"/>
        <w:rPr>
          <w:b/>
          <w:u w:val="single"/>
        </w:rPr>
      </w:pPr>
    </w:p>
    <w:p w:rsidR="00A2440D" w:rsidRPr="0093147A" w:rsidRDefault="00A2440D" w:rsidP="00095CB3">
      <w:pPr>
        <w:spacing w:before="0" w:after="0"/>
        <w:rPr>
          <w:u w:val="single"/>
        </w:rPr>
      </w:pPr>
      <w:r w:rsidRPr="0093147A">
        <w:rPr>
          <w:b/>
        </w:rPr>
        <w:t>III.</w:t>
      </w:r>
      <w:r w:rsidRPr="0093147A">
        <w:tab/>
      </w:r>
      <w:r w:rsidRPr="0093147A">
        <w:rPr>
          <w:b/>
          <w:u w:val="single"/>
        </w:rPr>
        <w:t>АНАЛИЗ НА ПОЗИЦИЯТА НА СЪВЕТА НА ПЪРВО ЧЕТЕНЕ</w:t>
      </w:r>
    </w:p>
    <w:p w:rsidR="00A2440D" w:rsidRPr="0093147A" w:rsidRDefault="00A2440D" w:rsidP="00095CB3">
      <w:pPr>
        <w:pStyle w:val="Par-number1"/>
        <w:numPr>
          <w:ilvl w:val="0"/>
          <w:numId w:val="0"/>
        </w:numPr>
        <w:ind w:left="567"/>
        <w:outlineLvl w:val="0"/>
        <w:rPr>
          <w:b/>
        </w:rPr>
      </w:pPr>
    </w:p>
    <w:p w:rsidR="00A2440D" w:rsidRPr="0093147A" w:rsidRDefault="001656A3" w:rsidP="001656A3">
      <w:pPr>
        <w:spacing w:before="0" w:after="0"/>
        <w:ind w:left="567"/>
        <w:rPr>
          <w:b/>
          <w:bCs/>
        </w:rPr>
      </w:pPr>
      <w:r w:rsidRPr="0093147A">
        <w:rPr>
          <w:b/>
        </w:rPr>
        <w:t>A.</w:t>
      </w:r>
      <w:r w:rsidRPr="0093147A">
        <w:tab/>
      </w:r>
      <w:r w:rsidRPr="0093147A">
        <w:rPr>
          <w:b/>
        </w:rPr>
        <w:t>Общо положение</w:t>
      </w:r>
    </w:p>
    <w:p w:rsidR="00095CB3" w:rsidRPr="0093147A" w:rsidRDefault="00095CB3" w:rsidP="00095CB3">
      <w:pPr>
        <w:spacing w:before="0" w:after="0"/>
        <w:rPr>
          <w:b/>
          <w:bCs/>
        </w:rPr>
      </w:pPr>
    </w:p>
    <w:p w:rsidR="00A2440D" w:rsidRPr="0093147A" w:rsidRDefault="00A2440D" w:rsidP="001656A3">
      <w:pPr>
        <w:spacing w:before="0" w:after="0"/>
        <w:ind w:left="567"/>
      </w:pPr>
      <w:r w:rsidRPr="0093147A">
        <w:t>След гласуването на пленарното заседание Европейският парламент и Съветът проведоха преговори с цел да сключат споразумение на второ четене въз основа на позиция на Съвета на първо четене, която Парламентът да може да одобри без изменение. Текстът на позицията на Съвета на първо четене отразява напълно постигнатия между съзаконодателите компромис.</w:t>
      </w:r>
    </w:p>
    <w:p w:rsidR="00A2440D" w:rsidRPr="0093147A" w:rsidRDefault="00A2440D" w:rsidP="00095CB3">
      <w:pPr>
        <w:spacing w:before="0" w:after="0"/>
      </w:pPr>
    </w:p>
    <w:p w:rsidR="00A2440D" w:rsidRPr="0093147A" w:rsidRDefault="00A2440D" w:rsidP="001656A3">
      <w:pPr>
        <w:spacing w:before="0" w:after="0"/>
        <w:ind w:left="567"/>
        <w:rPr>
          <w:b/>
          <w:bCs/>
        </w:rPr>
      </w:pPr>
      <w:r w:rsidRPr="0093147A">
        <w:rPr>
          <w:b/>
        </w:rPr>
        <w:t>Б.Основни въпроси</w:t>
      </w:r>
    </w:p>
    <w:p w:rsidR="00A2440D" w:rsidRPr="0093147A" w:rsidRDefault="00A2440D" w:rsidP="00095CB3">
      <w:pPr>
        <w:spacing w:before="0" w:after="0"/>
        <w:rPr>
          <w:b/>
          <w:bCs/>
        </w:rPr>
      </w:pPr>
    </w:p>
    <w:p w:rsidR="00A2440D" w:rsidRPr="0093147A" w:rsidRDefault="00A2440D" w:rsidP="001656A3">
      <w:pPr>
        <w:spacing w:before="0" w:after="0"/>
        <w:ind w:left="567"/>
      </w:pPr>
      <w:r w:rsidRPr="0093147A">
        <w:t>Измененията, внесени в предложението на Комисията, като цяло отразяват необходимостта да се намери подходящ баланс в установяването на система на мониторинг, докладване и проверка (МДП), която да остане гъвкава, като при това се гарантира минимална равнопоставеност и се свежда до минимум административната тежест.</w:t>
      </w:r>
    </w:p>
    <w:p w:rsidR="00A2440D" w:rsidRPr="0093147A" w:rsidRDefault="00A2440D" w:rsidP="00095CB3">
      <w:pPr>
        <w:spacing w:before="0" w:after="0"/>
      </w:pPr>
    </w:p>
    <w:p w:rsidR="00A2440D" w:rsidRPr="0093147A" w:rsidRDefault="00A2440D" w:rsidP="001656A3">
      <w:pPr>
        <w:spacing w:before="0" w:after="0"/>
        <w:ind w:left="567"/>
      </w:pPr>
      <w:r w:rsidRPr="0093147A">
        <w:t>По-конкретно, основните въпроси, по които се наложи да бъдат внесени изменения в сравнение с първоначалното предложение на Комисията, бяха:</w:t>
      </w:r>
    </w:p>
    <w:p w:rsidR="00A2440D" w:rsidRPr="0093147A" w:rsidRDefault="00A2440D" w:rsidP="00095CB3">
      <w:pPr>
        <w:spacing w:before="0" w:after="0"/>
      </w:pPr>
    </w:p>
    <w:p w:rsidR="00A2440D" w:rsidRPr="0093147A" w:rsidRDefault="00A2440D" w:rsidP="00DC0BFF">
      <w:pPr>
        <w:spacing w:before="0" w:after="0"/>
        <w:ind w:left="993" w:hanging="426"/>
      </w:pPr>
      <w:r w:rsidRPr="0093147A">
        <w:t>а)</w:t>
      </w:r>
      <w:r w:rsidRPr="0093147A">
        <w:tab/>
        <w:t>списъкът на определенията, който беше разширен, като бяха добавени нови определения, а други бяха уточнени по-подробно;</w:t>
      </w:r>
    </w:p>
    <w:p w:rsidR="00A2440D" w:rsidRPr="0093147A" w:rsidRDefault="00A2440D" w:rsidP="00095CB3">
      <w:pPr>
        <w:spacing w:before="0" w:after="0"/>
      </w:pPr>
    </w:p>
    <w:p w:rsidR="00A2440D" w:rsidRPr="0093147A" w:rsidRDefault="00A2440D" w:rsidP="00DC0BFF">
      <w:pPr>
        <w:spacing w:before="0" w:after="0"/>
        <w:ind w:left="993" w:hanging="426"/>
      </w:pPr>
      <w:r w:rsidRPr="0093147A">
        <w:t>б)</w:t>
      </w:r>
      <w:r w:rsidRPr="0093147A">
        <w:tab/>
        <w:t>съдържанието на промените в плана за мониторинг и процедурата за тяхното въвеждане;</w:t>
      </w:r>
    </w:p>
    <w:p w:rsidR="00A2440D" w:rsidRPr="0093147A" w:rsidRDefault="00A2440D" w:rsidP="00095CB3">
      <w:pPr>
        <w:spacing w:before="0" w:after="0"/>
      </w:pPr>
    </w:p>
    <w:p w:rsidR="00A2440D" w:rsidRPr="0093147A" w:rsidRDefault="00D84A6B" w:rsidP="00DC0BFF">
      <w:pPr>
        <w:spacing w:before="0" w:after="0"/>
        <w:ind w:left="993" w:hanging="426"/>
      </w:pPr>
      <w:r w:rsidRPr="0093147A">
        <w:br w:type="page"/>
      </w:r>
      <w:r w:rsidRPr="0093147A">
        <w:lastRenderedPageBreak/>
        <w:t>в)</w:t>
      </w:r>
      <w:r w:rsidRPr="0093147A">
        <w:tab/>
        <w:t>видовете мониторинг на емисиите от СО</w:t>
      </w:r>
      <w:r w:rsidRPr="0093147A">
        <w:rPr>
          <w:vertAlign w:val="subscript"/>
        </w:rPr>
        <w:t>2</w:t>
      </w:r>
      <w:r w:rsidRPr="0093147A">
        <w:t xml:space="preserve"> , където беше въведено специално освобождаване от мониторинга на база единично плаване; включена бе също възможността да се осъществява мониторинг и да се докладва на доброволни начала както на годишна база, така и на база единично плаване, както и бяха добавени допълнителни наблюдавани данни като тези, свързани с класа на кораба за плаване в заледени води и с плаването в заледени води;</w:t>
      </w:r>
    </w:p>
    <w:p w:rsidR="00A2440D" w:rsidRPr="0093147A" w:rsidRDefault="00A2440D" w:rsidP="00095CB3">
      <w:pPr>
        <w:spacing w:before="0" w:after="0"/>
      </w:pPr>
    </w:p>
    <w:p w:rsidR="00A2440D" w:rsidRPr="0093147A" w:rsidRDefault="00A2440D" w:rsidP="00DC0BFF">
      <w:pPr>
        <w:spacing w:before="0" w:after="0"/>
        <w:ind w:left="993" w:hanging="426"/>
      </w:pPr>
      <w:r w:rsidRPr="0093147A">
        <w:t>г)</w:t>
      </w:r>
      <w:r w:rsidRPr="0093147A">
        <w:tab/>
        <w:t>организацията на дейностите по проверката с оглед на изясняване на последователността на действията и опростяване на процедурата;</w:t>
      </w:r>
    </w:p>
    <w:p w:rsidR="00A2440D" w:rsidRPr="0093147A" w:rsidRDefault="00A2440D" w:rsidP="00095CB3">
      <w:pPr>
        <w:spacing w:before="0" w:after="0"/>
      </w:pPr>
    </w:p>
    <w:p w:rsidR="00A2440D" w:rsidRPr="0093147A" w:rsidRDefault="00A2440D" w:rsidP="00DC0BFF">
      <w:pPr>
        <w:spacing w:before="0" w:after="0"/>
        <w:ind w:left="993" w:hanging="426"/>
      </w:pPr>
      <w:r w:rsidRPr="0093147A">
        <w:t>д)</w:t>
      </w:r>
      <w:r w:rsidRPr="0093147A">
        <w:tab/>
        <w:t>структурата и съдържанието на спазването и механизмът за санкции, заедно с възможните връзки с Директива 2009/16/ЕО относно държавния пристанищен контрол;</w:t>
      </w:r>
    </w:p>
    <w:p w:rsidR="00A2440D" w:rsidRPr="0093147A" w:rsidRDefault="00A2440D" w:rsidP="00095C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p>
    <w:p w:rsidR="00A2440D" w:rsidRPr="0093147A" w:rsidRDefault="00A2440D" w:rsidP="00DC0BFF">
      <w:pPr>
        <w:spacing w:before="0" w:after="0"/>
        <w:ind w:left="993" w:hanging="426"/>
      </w:pPr>
      <w:r w:rsidRPr="0093147A">
        <w:t>е)</w:t>
      </w:r>
      <w:r w:rsidRPr="0093147A">
        <w:tab/>
        <w:t>заличаването на връзката с Регламент (ЕС) № 525/2013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w:t>
      </w:r>
    </w:p>
    <w:p w:rsidR="00A2440D" w:rsidRPr="0093147A" w:rsidRDefault="00A2440D" w:rsidP="00095CB3">
      <w:pPr>
        <w:spacing w:before="0" w:after="0"/>
      </w:pPr>
    </w:p>
    <w:p w:rsidR="008236CC" w:rsidRPr="0093147A" w:rsidRDefault="00DC0BFF" w:rsidP="00DC0BFF">
      <w:pPr>
        <w:spacing w:before="0" w:after="0"/>
        <w:ind w:left="993" w:hanging="426"/>
      </w:pPr>
      <w:r w:rsidRPr="0093147A">
        <w:t>ж)</w:t>
      </w:r>
      <w:r w:rsidRPr="0093147A">
        <w:tab/>
        <w:t>информацията, до която  Комисията осигурява достъп, признаването на (ограничено) освобождаване от изискването за такова оповестяване, както и различните видове доклади, които Комисията трябва да въведе съгласно регламента;</w:t>
      </w:r>
    </w:p>
    <w:p w:rsidR="00A2440D" w:rsidRPr="0093147A" w:rsidRDefault="00A2440D" w:rsidP="00095CB3">
      <w:pPr>
        <w:spacing w:before="0" w:after="0"/>
      </w:pPr>
    </w:p>
    <w:p w:rsidR="008236CC" w:rsidRPr="0093147A" w:rsidRDefault="00DC0BFF" w:rsidP="00DC0BFF">
      <w:pPr>
        <w:spacing w:before="0" w:after="0"/>
        <w:ind w:left="993" w:hanging="426"/>
      </w:pPr>
      <w:r w:rsidRPr="0093147A">
        <w:t>з)</w:t>
      </w:r>
      <w:r w:rsidRPr="0093147A">
        <w:tab/>
        <w:t>приложното поле на приложение II, където беше въведена възможност за диференциране между различните видове кораби и допълнително уточняване на приложимите параметри за изчисляване на превозвания товар чрез акт за изпълнение; и,</w:t>
      </w:r>
    </w:p>
    <w:p w:rsidR="00A2440D" w:rsidRPr="0093147A" w:rsidRDefault="00A2440D" w:rsidP="00095CB3">
      <w:pPr>
        <w:spacing w:before="0" w:after="0"/>
      </w:pPr>
    </w:p>
    <w:p w:rsidR="00A2440D" w:rsidRPr="0093147A" w:rsidRDefault="00DC0BFF" w:rsidP="00DC0BFF">
      <w:pPr>
        <w:spacing w:before="0" w:after="0"/>
        <w:ind w:left="993" w:hanging="426"/>
      </w:pPr>
      <w:r w:rsidRPr="0093147A">
        <w:t>и)</w:t>
      </w:r>
      <w:r w:rsidRPr="0093147A">
        <w:tab/>
        <w:t>приложното поле на делегираните актове, предвидени в регламента.</w:t>
      </w:r>
    </w:p>
    <w:p w:rsidR="00A2440D" w:rsidRPr="0093147A" w:rsidRDefault="00A2440D" w:rsidP="00095CB3">
      <w:pPr>
        <w:pStyle w:val="NormalIndent"/>
      </w:pPr>
    </w:p>
    <w:p w:rsidR="00A2440D" w:rsidRPr="0093147A" w:rsidRDefault="00D84A6B" w:rsidP="00095CB3">
      <w:pPr>
        <w:pStyle w:val="Par-numberI"/>
        <w:numPr>
          <w:ilvl w:val="0"/>
          <w:numId w:val="0"/>
        </w:numPr>
        <w:rPr>
          <w:b/>
          <w:u w:val="single"/>
        </w:rPr>
      </w:pPr>
      <w:r w:rsidRPr="0093147A">
        <w:br w:type="page"/>
      </w:r>
      <w:r w:rsidRPr="0093147A">
        <w:rPr>
          <w:b/>
        </w:rPr>
        <w:t>IV.</w:t>
      </w:r>
      <w:r w:rsidRPr="0093147A">
        <w:tab/>
      </w:r>
      <w:r w:rsidRPr="0093147A">
        <w:rPr>
          <w:b/>
          <w:u w:val="single"/>
        </w:rPr>
        <w:t>ЗАКЛЮЧЕНИЕ</w:t>
      </w:r>
    </w:p>
    <w:p w:rsidR="00A2440D" w:rsidRPr="0093147A" w:rsidRDefault="00A2440D" w:rsidP="00095CB3">
      <w:pPr>
        <w:spacing w:before="0" w:after="0"/>
      </w:pPr>
    </w:p>
    <w:p w:rsidR="00A2440D" w:rsidRPr="0093147A" w:rsidRDefault="00A2440D" w:rsidP="00095CB3">
      <w:pPr>
        <w:spacing w:before="0" w:after="0"/>
        <w:ind w:left="567"/>
      </w:pPr>
      <w:r w:rsidRPr="0093147A">
        <w:t xml:space="preserve">Позицията на </w:t>
      </w:r>
      <w:r w:rsidRPr="0093147A">
        <w:rPr>
          <w:u w:val="single"/>
        </w:rPr>
        <w:t>Съвета</w:t>
      </w:r>
      <w:r w:rsidRPr="0093147A">
        <w:t xml:space="preserve"> отразява напълно компромиса,  постигнат в неформалните преговори между Съвета и Европейския парламент с подкрепата на Комисията.</w:t>
      </w:r>
    </w:p>
    <w:p w:rsidR="00A2440D" w:rsidRPr="0093147A" w:rsidRDefault="00A2440D" w:rsidP="00095CB3">
      <w:pPr>
        <w:spacing w:before="0" w:after="0"/>
        <w:ind w:left="567"/>
      </w:pPr>
    </w:p>
    <w:p w:rsidR="00A2440D" w:rsidRPr="0093147A" w:rsidRDefault="00A2440D" w:rsidP="00095CB3">
      <w:pPr>
        <w:spacing w:before="0" w:after="0"/>
        <w:ind w:left="567"/>
      </w:pPr>
      <w:r w:rsidRPr="0093147A">
        <w:t>Този компромис беше потвърден с писмо от председателя на комисията на Европейския парламент по околна среда, обществено здраве и безопасност на храните  до председателството от 3 декември 2014 г. Впоследствие той беше одобрен от Съвета (Околна среда) на 17 декември 2014 г. посредством приемането на политическото споразумение.</w:t>
      </w:r>
    </w:p>
    <w:p w:rsidR="00A2440D" w:rsidRPr="0093147A" w:rsidRDefault="00A2440D" w:rsidP="00A2440D">
      <w:pPr>
        <w:ind w:left="567"/>
      </w:pPr>
    </w:p>
    <w:p w:rsidR="00665CC0" w:rsidRDefault="00665CC0" w:rsidP="00665CC0">
      <w:pPr>
        <w:jc w:val="center"/>
        <w:rPr>
          <w:u w:val="double"/>
        </w:rPr>
      </w:pPr>
      <w:r>
        <w:rPr>
          <w:u w:val="double"/>
        </w:rPr>
        <w:tab/>
      </w:r>
      <w:r>
        <w:rPr>
          <w:u w:val="double"/>
        </w:rPr>
        <w:tab/>
      </w:r>
      <w:r>
        <w:rPr>
          <w:u w:val="double"/>
        </w:rPr>
        <w:tab/>
      </w:r>
      <w:r>
        <w:rPr>
          <w:u w:val="double"/>
        </w:rPr>
        <w:tab/>
      </w:r>
    </w:p>
    <w:p w:rsidR="00A2440D" w:rsidRPr="001B5A36" w:rsidRDefault="00A2440D" w:rsidP="00665CC0">
      <w:pPr>
        <w:jc w:val="center"/>
        <w:rPr>
          <w:u w:val="double"/>
        </w:rPr>
      </w:pPr>
    </w:p>
    <w:sectPr w:rsidR="00A2440D" w:rsidRPr="001B5A36" w:rsidSect="00215492">
      <w:headerReference w:type="default" r:id="rId1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5C" w:rsidRDefault="004C5B5C" w:rsidP="00A50238">
      <w:pPr>
        <w:spacing w:before="0" w:after="0" w:line="240" w:lineRule="auto"/>
      </w:pPr>
      <w:r>
        <w:separator/>
      </w:r>
    </w:p>
  </w:endnote>
  <w:endnote w:type="continuationSeparator" w:id="0">
    <w:p w:rsidR="004C5B5C" w:rsidRDefault="004C5B5C" w:rsidP="00A50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15492" w:rsidRPr="00D94637" w:rsidTr="00215492">
      <w:trPr>
        <w:jc w:val="center"/>
      </w:trPr>
      <w:tc>
        <w:tcPr>
          <w:tcW w:w="5000" w:type="pct"/>
          <w:gridSpan w:val="7"/>
          <w:shd w:val="clear" w:color="auto" w:fill="auto"/>
          <w:tcMar>
            <w:top w:w="57" w:type="dxa"/>
          </w:tcMar>
        </w:tcPr>
        <w:p w:rsidR="00215492" w:rsidRPr="00D94637" w:rsidRDefault="00215492" w:rsidP="00D94637">
          <w:pPr>
            <w:pStyle w:val="FooterText"/>
            <w:pBdr>
              <w:top w:val="single" w:sz="4" w:space="1" w:color="auto"/>
            </w:pBdr>
            <w:spacing w:before="200"/>
            <w:rPr>
              <w:sz w:val="2"/>
              <w:szCs w:val="2"/>
            </w:rPr>
          </w:pPr>
          <w:bookmarkStart w:id="2" w:name="FOOTER_STANDARD"/>
        </w:p>
      </w:tc>
    </w:tr>
    <w:tr w:rsidR="00215492" w:rsidRPr="00B310DC" w:rsidTr="00215492">
      <w:trPr>
        <w:jc w:val="center"/>
      </w:trPr>
      <w:tc>
        <w:tcPr>
          <w:tcW w:w="2500" w:type="pct"/>
          <w:gridSpan w:val="2"/>
          <w:shd w:val="clear" w:color="auto" w:fill="auto"/>
          <w:tcMar>
            <w:top w:w="0" w:type="dxa"/>
          </w:tcMar>
        </w:tcPr>
        <w:p w:rsidR="00215492" w:rsidRPr="00AD7BF2" w:rsidRDefault="00215492" w:rsidP="004F54B2">
          <w:pPr>
            <w:pStyle w:val="FooterText"/>
          </w:pPr>
          <w:r>
            <w:t>17086/1/14</w:t>
          </w:r>
          <w:r w:rsidRPr="002511D8">
            <w:t xml:space="preserve"> </w:t>
          </w:r>
          <w:r>
            <w:t>REV 1 ADD 1</w:t>
          </w:r>
        </w:p>
      </w:tc>
      <w:tc>
        <w:tcPr>
          <w:tcW w:w="625" w:type="pct"/>
          <w:shd w:val="clear" w:color="auto" w:fill="auto"/>
          <w:tcMar>
            <w:top w:w="0" w:type="dxa"/>
          </w:tcMar>
        </w:tcPr>
        <w:p w:rsidR="00215492" w:rsidRPr="00AD7BF2" w:rsidRDefault="00215492" w:rsidP="00D94637">
          <w:pPr>
            <w:pStyle w:val="FooterText"/>
            <w:jc w:val="center"/>
          </w:pPr>
        </w:p>
      </w:tc>
      <w:tc>
        <w:tcPr>
          <w:tcW w:w="1287" w:type="pct"/>
          <w:gridSpan w:val="3"/>
          <w:shd w:val="clear" w:color="auto" w:fill="auto"/>
          <w:tcMar>
            <w:top w:w="0" w:type="dxa"/>
          </w:tcMar>
        </w:tcPr>
        <w:p w:rsidR="00215492" w:rsidRPr="002511D8" w:rsidRDefault="00215492" w:rsidP="00D94637">
          <w:pPr>
            <w:pStyle w:val="FooterText"/>
            <w:jc w:val="center"/>
          </w:pPr>
          <w:r>
            <w:t>vb/vv</w:t>
          </w:r>
        </w:p>
      </w:tc>
      <w:tc>
        <w:tcPr>
          <w:tcW w:w="588" w:type="pct"/>
          <w:shd w:val="clear" w:color="auto" w:fill="auto"/>
          <w:tcMar>
            <w:top w:w="0" w:type="dxa"/>
          </w:tcMar>
        </w:tcPr>
        <w:p w:rsidR="00215492" w:rsidRPr="00B310DC" w:rsidRDefault="00215492"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215492" w:rsidRPr="00D94637" w:rsidTr="00215492">
      <w:trPr>
        <w:jc w:val="center"/>
      </w:trPr>
      <w:tc>
        <w:tcPr>
          <w:tcW w:w="1774" w:type="pct"/>
          <w:shd w:val="clear" w:color="auto" w:fill="auto"/>
        </w:tcPr>
        <w:p w:rsidR="00215492" w:rsidRPr="00AD7BF2" w:rsidRDefault="00215492" w:rsidP="00D94637">
          <w:pPr>
            <w:pStyle w:val="FooterText"/>
            <w:spacing w:before="40"/>
          </w:pPr>
        </w:p>
      </w:tc>
      <w:tc>
        <w:tcPr>
          <w:tcW w:w="1455" w:type="pct"/>
          <w:gridSpan w:val="3"/>
          <w:shd w:val="clear" w:color="auto" w:fill="auto"/>
        </w:tcPr>
        <w:p w:rsidR="00215492" w:rsidRPr="00AD7BF2" w:rsidRDefault="00215492" w:rsidP="00D204D6">
          <w:pPr>
            <w:pStyle w:val="FooterText"/>
            <w:spacing w:before="40"/>
            <w:jc w:val="center"/>
          </w:pPr>
          <w:r>
            <w:t>DPG</w:t>
          </w:r>
        </w:p>
      </w:tc>
      <w:tc>
        <w:tcPr>
          <w:tcW w:w="1147" w:type="pct"/>
          <w:shd w:val="clear" w:color="auto" w:fill="auto"/>
        </w:tcPr>
        <w:p w:rsidR="00215492" w:rsidRPr="00D94637" w:rsidRDefault="00215492" w:rsidP="00D94637">
          <w:pPr>
            <w:pStyle w:val="FooterText"/>
            <w:jc w:val="right"/>
            <w:rPr>
              <w:b/>
              <w:position w:val="-4"/>
              <w:sz w:val="36"/>
            </w:rPr>
          </w:pPr>
        </w:p>
      </w:tc>
      <w:tc>
        <w:tcPr>
          <w:tcW w:w="625" w:type="pct"/>
          <w:gridSpan w:val="2"/>
          <w:shd w:val="clear" w:color="auto" w:fill="auto"/>
        </w:tcPr>
        <w:p w:rsidR="00215492" w:rsidRPr="00D94637" w:rsidRDefault="00215492" w:rsidP="00D94637">
          <w:pPr>
            <w:pStyle w:val="FooterText"/>
            <w:jc w:val="right"/>
            <w:rPr>
              <w:sz w:val="16"/>
            </w:rPr>
          </w:pPr>
          <w:r>
            <w:rPr>
              <w:b/>
              <w:position w:val="-4"/>
              <w:sz w:val="36"/>
            </w:rPr>
            <w:t>BG</w:t>
          </w:r>
        </w:p>
      </w:tc>
    </w:tr>
    <w:bookmarkEnd w:id="2"/>
  </w:tbl>
  <w:p w:rsidR="00A50238" w:rsidRPr="00215492" w:rsidRDefault="00A50238" w:rsidP="0021549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15492" w:rsidRPr="00D94637" w:rsidTr="00215492">
      <w:trPr>
        <w:jc w:val="center"/>
      </w:trPr>
      <w:tc>
        <w:tcPr>
          <w:tcW w:w="5000" w:type="pct"/>
          <w:gridSpan w:val="7"/>
          <w:shd w:val="clear" w:color="auto" w:fill="auto"/>
          <w:tcMar>
            <w:top w:w="57" w:type="dxa"/>
          </w:tcMar>
        </w:tcPr>
        <w:p w:rsidR="00215492" w:rsidRPr="00D94637" w:rsidRDefault="00215492" w:rsidP="00D94637">
          <w:pPr>
            <w:pStyle w:val="FooterText"/>
            <w:pBdr>
              <w:top w:val="single" w:sz="4" w:space="1" w:color="auto"/>
            </w:pBdr>
            <w:spacing w:before="200"/>
            <w:rPr>
              <w:sz w:val="2"/>
              <w:szCs w:val="2"/>
            </w:rPr>
          </w:pPr>
        </w:p>
      </w:tc>
    </w:tr>
    <w:tr w:rsidR="00215492" w:rsidRPr="00B310DC" w:rsidTr="00215492">
      <w:trPr>
        <w:jc w:val="center"/>
      </w:trPr>
      <w:tc>
        <w:tcPr>
          <w:tcW w:w="2500" w:type="pct"/>
          <w:gridSpan w:val="2"/>
          <w:shd w:val="clear" w:color="auto" w:fill="auto"/>
          <w:tcMar>
            <w:top w:w="0" w:type="dxa"/>
          </w:tcMar>
        </w:tcPr>
        <w:p w:rsidR="00215492" w:rsidRPr="00AD7BF2" w:rsidRDefault="00215492" w:rsidP="004F54B2">
          <w:pPr>
            <w:pStyle w:val="FooterText"/>
          </w:pPr>
          <w:r>
            <w:t>17086/1/14</w:t>
          </w:r>
          <w:r w:rsidRPr="002511D8">
            <w:t xml:space="preserve"> </w:t>
          </w:r>
          <w:r>
            <w:t>REV 1 ADD 1</w:t>
          </w:r>
        </w:p>
      </w:tc>
      <w:tc>
        <w:tcPr>
          <w:tcW w:w="625" w:type="pct"/>
          <w:shd w:val="clear" w:color="auto" w:fill="auto"/>
          <w:tcMar>
            <w:top w:w="0" w:type="dxa"/>
          </w:tcMar>
        </w:tcPr>
        <w:p w:rsidR="00215492" w:rsidRPr="00AD7BF2" w:rsidRDefault="00215492" w:rsidP="00D94637">
          <w:pPr>
            <w:pStyle w:val="FooterText"/>
            <w:jc w:val="center"/>
          </w:pPr>
        </w:p>
      </w:tc>
      <w:tc>
        <w:tcPr>
          <w:tcW w:w="1287" w:type="pct"/>
          <w:gridSpan w:val="3"/>
          <w:shd w:val="clear" w:color="auto" w:fill="auto"/>
          <w:tcMar>
            <w:top w:w="0" w:type="dxa"/>
          </w:tcMar>
        </w:tcPr>
        <w:p w:rsidR="00215492" w:rsidRPr="002511D8" w:rsidRDefault="00215492" w:rsidP="00D94637">
          <w:pPr>
            <w:pStyle w:val="FooterText"/>
            <w:jc w:val="center"/>
          </w:pPr>
          <w:r>
            <w:t>vb/vv</w:t>
          </w:r>
        </w:p>
      </w:tc>
      <w:tc>
        <w:tcPr>
          <w:tcW w:w="588" w:type="pct"/>
          <w:shd w:val="clear" w:color="auto" w:fill="auto"/>
          <w:tcMar>
            <w:top w:w="0" w:type="dxa"/>
          </w:tcMar>
        </w:tcPr>
        <w:p w:rsidR="00215492" w:rsidRPr="00B310DC" w:rsidRDefault="0021549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15492" w:rsidRPr="00D94637" w:rsidTr="00215492">
      <w:trPr>
        <w:jc w:val="center"/>
      </w:trPr>
      <w:tc>
        <w:tcPr>
          <w:tcW w:w="1774" w:type="pct"/>
          <w:shd w:val="clear" w:color="auto" w:fill="auto"/>
        </w:tcPr>
        <w:p w:rsidR="00215492" w:rsidRPr="00AD7BF2" w:rsidRDefault="00215492" w:rsidP="00D94637">
          <w:pPr>
            <w:pStyle w:val="FooterText"/>
            <w:spacing w:before="40"/>
          </w:pPr>
        </w:p>
      </w:tc>
      <w:tc>
        <w:tcPr>
          <w:tcW w:w="1455" w:type="pct"/>
          <w:gridSpan w:val="3"/>
          <w:shd w:val="clear" w:color="auto" w:fill="auto"/>
        </w:tcPr>
        <w:p w:rsidR="00215492" w:rsidRPr="00AD7BF2" w:rsidRDefault="00215492" w:rsidP="00D204D6">
          <w:pPr>
            <w:pStyle w:val="FooterText"/>
            <w:spacing w:before="40"/>
            <w:jc w:val="center"/>
          </w:pPr>
          <w:r>
            <w:t>DPG</w:t>
          </w:r>
        </w:p>
      </w:tc>
      <w:tc>
        <w:tcPr>
          <w:tcW w:w="1147" w:type="pct"/>
          <w:shd w:val="clear" w:color="auto" w:fill="auto"/>
        </w:tcPr>
        <w:p w:rsidR="00215492" w:rsidRPr="00D94637" w:rsidRDefault="00215492" w:rsidP="00D94637">
          <w:pPr>
            <w:pStyle w:val="FooterText"/>
            <w:jc w:val="right"/>
            <w:rPr>
              <w:b/>
              <w:position w:val="-4"/>
              <w:sz w:val="36"/>
            </w:rPr>
          </w:pPr>
        </w:p>
      </w:tc>
      <w:tc>
        <w:tcPr>
          <w:tcW w:w="625" w:type="pct"/>
          <w:gridSpan w:val="2"/>
          <w:shd w:val="clear" w:color="auto" w:fill="auto"/>
        </w:tcPr>
        <w:p w:rsidR="00215492" w:rsidRPr="00D94637" w:rsidRDefault="00215492" w:rsidP="00D94637">
          <w:pPr>
            <w:pStyle w:val="FooterText"/>
            <w:jc w:val="right"/>
            <w:rPr>
              <w:sz w:val="16"/>
            </w:rPr>
          </w:pPr>
          <w:r>
            <w:rPr>
              <w:b/>
              <w:position w:val="-4"/>
              <w:sz w:val="36"/>
            </w:rPr>
            <w:t>BG</w:t>
          </w:r>
        </w:p>
      </w:tc>
    </w:tr>
  </w:tbl>
  <w:p w:rsidR="00A50238" w:rsidRPr="00215492" w:rsidRDefault="00A50238" w:rsidP="0021549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5C" w:rsidRDefault="004C5B5C" w:rsidP="00A50238">
      <w:pPr>
        <w:spacing w:before="0" w:after="0" w:line="240" w:lineRule="auto"/>
      </w:pPr>
      <w:r>
        <w:separator/>
      </w:r>
    </w:p>
  </w:footnote>
  <w:footnote w:type="continuationSeparator" w:id="0">
    <w:p w:rsidR="004C5B5C" w:rsidRDefault="004C5B5C" w:rsidP="00A50238">
      <w:pPr>
        <w:spacing w:before="0" w:after="0" w:line="240" w:lineRule="auto"/>
      </w:pPr>
      <w:r>
        <w:continuationSeparator/>
      </w:r>
    </w:p>
  </w:footnote>
  <w:footnote w:id="1">
    <w:p w:rsidR="00A2440D" w:rsidRPr="00095096" w:rsidRDefault="00A2440D" w:rsidP="00A2440D">
      <w:pPr>
        <w:pStyle w:val="FootnoteText"/>
        <w:rPr>
          <w:lang w:val="pt-PT"/>
        </w:rPr>
      </w:pPr>
      <w:r>
        <w:rPr>
          <w:rStyle w:val="FootnoteReference"/>
        </w:rPr>
        <w:footnoteRef/>
      </w:r>
      <w:r>
        <w:tab/>
        <w:t>Док. 11851/13.</w:t>
      </w:r>
    </w:p>
  </w:footnote>
  <w:footnote w:id="2">
    <w:p w:rsidR="00A2440D" w:rsidRPr="00320A13" w:rsidRDefault="00A2440D" w:rsidP="00A2440D">
      <w:pPr>
        <w:pStyle w:val="FootnoteText"/>
        <w:rPr>
          <w:lang w:val="pt-PT"/>
        </w:rPr>
      </w:pPr>
      <w:r>
        <w:rPr>
          <w:rStyle w:val="FootnoteReference"/>
        </w:rPr>
        <w:footnoteRef/>
      </w:r>
      <w:r>
        <w:tab/>
        <w:t>CESE 5340/2013.</w:t>
      </w:r>
    </w:p>
  </w:footnote>
  <w:footnote w:id="3">
    <w:p w:rsidR="00A2440D" w:rsidRDefault="00A2440D" w:rsidP="00A2440D">
      <w:pPr>
        <w:pStyle w:val="FootnoteText"/>
      </w:pPr>
      <w:r>
        <w:rPr>
          <w:rStyle w:val="FootnoteReference"/>
        </w:rPr>
        <w:footnoteRef/>
      </w:r>
      <w:r>
        <w:t xml:space="preserve"> </w:t>
      </w:r>
      <w:r>
        <w:tab/>
        <w:t>Док. 8671/14.</w:t>
      </w:r>
    </w:p>
  </w:footnote>
  <w:footnote w:id="4">
    <w:p w:rsidR="00A2440D" w:rsidRDefault="00A2440D" w:rsidP="00A2440D">
      <w:pPr>
        <w:pStyle w:val="FootnoteText"/>
      </w:pPr>
      <w:r>
        <w:rPr>
          <w:rStyle w:val="FootnoteReference"/>
        </w:rPr>
        <w:footnoteRef/>
      </w:r>
      <w:r>
        <w:t xml:space="preserve"> </w:t>
      </w:r>
      <w:r>
        <w:tab/>
        <w:t>Док. 16238/14.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38" w:rsidRPr="00215492" w:rsidRDefault="00A50238" w:rsidP="00215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6E4E71E4"/>
    <w:multiLevelType w:val="singleLevel"/>
    <w:tmpl w:val="21145626"/>
    <w:lvl w:ilvl="0">
      <w:start w:val="1"/>
      <w:numFmt w:val="decimal"/>
      <w:pStyle w:val="Par-number1"/>
      <w:lvlText w:val="%1."/>
      <w:lvlJc w:val="left"/>
      <w:pPr>
        <w:tabs>
          <w:tab w:val="num" w:pos="567"/>
        </w:tabs>
        <w:ind w:left="567" w:hanging="567"/>
      </w:p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5"/>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0"/>
  </w:num>
  <w:num w:numId="13">
    <w:abstractNumId w:val="21"/>
  </w:num>
  <w:num w:numId="14">
    <w:abstractNumId w:val="16"/>
  </w:num>
  <w:num w:numId="15">
    <w:abstractNumId w:val="13"/>
  </w:num>
  <w:num w:numId="16">
    <w:abstractNumId w:val="9"/>
  </w:num>
  <w:num w:numId="17">
    <w:abstractNumId w:val="14"/>
  </w:num>
  <w:num w:numId="18">
    <w:abstractNumId w:val="3"/>
  </w:num>
  <w:num w:numId="19">
    <w:abstractNumId w:val="20"/>
  </w:num>
  <w:num w:numId="20">
    <w:abstractNumId w:val="5"/>
  </w:num>
  <w:num w:numId="21">
    <w:abstractNumId w:val="17"/>
  </w:num>
  <w:num w:numId="22">
    <w:abstractNumId w:val="1"/>
  </w:num>
  <w:num w:numId="23">
    <w:abstractNumId w:val="15"/>
  </w:num>
  <w:num w:numId="24">
    <w:abstractNumId w:val="11"/>
  </w:num>
  <w:num w:numId="25">
    <w:abstractNumId w:val="10"/>
  </w:num>
  <w:num w:numId="26">
    <w:abstractNumId w:val="12"/>
  </w:num>
  <w:num w:numId="27">
    <w:abstractNumId w:val="8"/>
  </w:num>
  <w:num w:numId="28">
    <w:abstractNumId w:val="2"/>
  </w:num>
  <w:num w:numId="29">
    <w:abstractNumId w:val="7"/>
  </w:num>
  <w:num w:numId="30">
    <w:abstractNumId w:val="6"/>
  </w:num>
  <w:num w:numId="31">
    <w:abstractNumId w:val="4"/>
  </w:num>
  <w:num w:numId="32">
    <w:abstractNumId w:val="18"/>
  </w:num>
  <w:num w:numId="33">
    <w:abstractNumId w:val="19"/>
  </w:num>
  <w:num w:numId="34">
    <w:abstractNumId w:val="0"/>
  </w:num>
  <w:num w:numId="35">
    <w:abstractNumId w:val="21"/>
  </w:num>
  <w:num w:numId="36">
    <w:abstractNumId w:val="16"/>
  </w:num>
  <w:num w:numId="37">
    <w:abstractNumId w:val="13"/>
  </w:num>
  <w:num w:numId="38">
    <w:abstractNumId w:val="9"/>
  </w:num>
  <w:num w:numId="39">
    <w:abstractNumId w:val="14"/>
  </w:num>
  <w:num w:numId="40">
    <w:abstractNumId w:val="3"/>
  </w:num>
  <w:num w:numId="41">
    <w:abstractNumId w:val="2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190ed1ed-c305-42f7-9632-b44e984d9fea&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05&lt;/text&gt;_x000d__x000a_  &lt;/metadata&gt;_x000d__x000a_  &lt;metadata key=&quot;md_Prefix&quot; translate=&quot;false&quot;&gt;_x000d__x000a_    &lt;text&gt;&lt;/text&gt;_x000d__x000a_  &lt;/metadata&gt;_x000d__x000a_  &lt;metadata key=&quot;md_DocumentNumber&quot; translate=&quot;false&quot;&gt;_x000d__x000a_    &lt;text&gt;17086&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LIMA 119&lt;/text&gt;_x000d__x000a_      &lt;text&gt;ENV 1010&lt;/text&gt;_x000d__x000a_      &lt;text&gt;MAR 191&lt;/text&gt;_x000d__x000a_      &lt;text&gt;MI 1013&lt;/text&gt;_x000d__x000a_      &lt;text&gt;ONU 167&lt;/text&gt;_x000d__x000a_      &lt;text&gt;CODEC 2552&lt;/text&gt;_x000d__x000a_      &lt;text&gt;PARLNAT 302&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224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88;&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86;&amp;#1090;&amp;#1085;&amp;#1086;&amp;#1089;&amp;#1085;&amp;#1086; &amp;#1084;&amp;#1086;&amp;#1085;&amp;#1080;&amp;#1090;&amp;#1086;&amp;#1088;&amp;#1080;&amp;#1085;&amp;#1075;&amp;#1072;, &amp;#1076;&amp;#1086;&amp;#1082;&amp;#1083;&amp;#1072;&amp;#1076;&amp;#1074;&amp;#1072;&amp;#1085;&amp;#1077;&amp;#1090;&amp;#1086; &amp;#1080; &amp;#1087;&amp;#1088;&amp;#1086;&amp;#1074;&amp;#1077;&amp;#1088;&amp;#1082;&amp;#1072;&amp;#1090;&amp;#1072; &amp;#1085;&amp;#1072; &amp;#1077;&amp;#1084;&amp;#1080;&amp;#1089;&amp;#1080;&amp;#1080;&amp;#1090;&amp;#1077; &amp;#1085;&amp;#1072; &amp;#1074;&amp;#1098;&amp;#1075;&amp;#1083;&amp;#1077;&amp;#1088;&amp;#1086;&amp;#1076;&amp;#1077;&amp;#1085; &amp;#1076;&amp;#1080;&amp;#1086;&amp;#1082;&amp;#1089;&amp;#1080;&amp;#1076; &amp;#1086;&amp;#1090; &amp;#1084;&amp;#1086;&amp;#1088;&amp;#1089;&amp;#1082;&amp;#1080;&amp;#1103; &amp;#1090;&amp;#1088;&amp;#1072;&amp;#1085;&amp;#1089;&amp;#1087;&amp;#1086;&amp;#1088;&amp;#1090; &amp;#1080; &amp;#1079;&amp;#1072; &amp;#1080;&amp;#1079;&amp;#1084;&amp;#1077;&amp;#1085;&amp;#1077;&amp;#1085;&amp;#1080;&amp;#1077; &amp;#1085;&amp;#1072; &amp;#1044;&amp;#1080;&amp;#1088;&amp;#1077;&amp;#1082;&amp;#1090;&amp;#1080;&amp;#1074;&amp;#1072; 2009/16/&amp;#1045;&amp;#1054; &amp;#8212; &amp;#1048;&amp;#1079;&amp;#1083;&amp;#1086;&amp;#1078;&amp;#1077;&amp;#1085;&amp;#1080;&amp;#1077; &amp;#1085;&amp;#1072; &amp;#1084;&amp;#1086;&amp;#1090;&amp;#1080;&amp;#1074;&amp;#1080;&amp;#1090;&amp;#1077; &amp;#1085;&amp;#1072; &amp;#1057;&amp;#1098;&amp;#1074;&amp;#1077;&amp;#1090;&amp;#1072;  &amp;#8212; &amp;#1055;&amp;#1088;&amp;#1080;&amp;#1077;&amp;#1090;&amp;#1086; &amp;#1086;&amp;#1090; &amp;#1057;&amp;#1098;&amp;#1074;&amp;#1077;&amp;#1090;&amp;#1072; &amp;#1085;&amp;#1072; 5 &amp;#1084;&amp;#1072;&amp;#1088;&amp;#1090; 2015 &amp;#107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88;&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86;&amp;#1090;&amp;#1085;&amp;#1086;&amp;#1089;&amp;#1085;&amp;#1086; &amp;#1084;&amp;#1086;&amp;#1085;&amp;#1080;&amp;#1090;&amp;#1086;&amp;#1088;&amp;#1080;&amp;#1085;&amp;#1075;&amp;#1072;, &amp;#1076;&amp;#1086;&amp;#1082;&amp;#1083;&amp;#1072;&amp;#1076;&amp;#1074;&amp;#1072;&amp;#1085;&amp;#1077;&amp;#1090;&amp;#1086; &amp;#1080; &amp;#1087;&amp;#1088;&amp;#1086;&amp;#1074;&amp;#1077;&amp;#1088;&amp;#1082;&amp;#1072;&amp;#1090;&amp;#1072; &amp;#1085;&amp;#1072; &amp;#1077;&amp;#1084;&amp;#1080;&amp;#1089;&amp;#1080;&amp;#1080;&amp;#1090;&amp;#1077; &amp;#1085;&amp;#1072; &amp;#1074;&amp;#1098;&amp;#1075;&amp;#1083;&amp;#1077;&amp;#1088;&amp;#1086;&amp;#1076;&amp;#1077;&amp;#1085; &amp;#1076;&amp;#1080;&amp;#1086;&amp;#1082;&amp;#1089;&amp;#1080;&amp;#1076; &amp;#1086;&amp;#1090; &amp;#1084;&amp;#1086;&amp;#1088;&amp;#1089;&amp;#1082;&amp;#1080;&amp;#1103; &amp;#1090;&amp;#1088;&amp;#1072;&amp;#1085;&amp;#1089;&amp;#1087;&amp;#1086;&amp;#1088;&amp;#1090; &amp;#1080; &amp;#1079;&amp;#1072; &amp;#1080;&amp;#1079;&amp;#1084;&amp;#1077;&amp;#1085;&amp;#1077;&amp;#1085;&amp;#1080;&amp;#1077; &amp;#1085;&amp;#1072; &amp;#1044;&amp;#1080;&amp;#1088;&amp;#1077;&amp;#1082;&amp;#1090;&amp;#1080;&amp;#1074;&amp;#1072; 2009/16/&amp;#1045;&amp;#1054;&amp;lt;/Paragraph&amp;gt;&amp;lt;Paragraph xml:space=&quot;preserve&quot;&amp;gt;&amp;#8212; &amp;#1048;&amp;#1079;&amp;#1083;&amp;#1086;&amp;#1078;&amp;#1077;&amp;#1085;&amp;#1080;&amp;#1077; &amp;#1085;&amp;#1072; &amp;#1084;&amp;#1086;&amp;#1090;&amp;#1080;&amp;#1074;&amp;#1080;&amp;#1090;&amp;#1077; &amp;#1085;&amp;#1072; &amp;#1057;&amp;#1098;&amp;#1074;&amp;#1077;&amp;#1090;&amp;#1072; &amp;lt;LineBreak /&amp;gt;&amp;#8212; &amp;#1055;&amp;#1088;&amp;#1080;&amp;#1077;&amp;#1090;&amp;#1086; &amp;#1086;&amp;#1090; &amp;#1057;&amp;#1098;&amp;#1074;&amp;#1077;&amp;#1090;&amp;#1072; &amp;#1085;&amp;#1072; 5 &amp;#1084;&amp;#1072;&amp;#1088;&amp;#1090; 2015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b/vv&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A50238"/>
    <w:rsid w:val="00095CB3"/>
    <w:rsid w:val="00096B04"/>
    <w:rsid w:val="000B0C39"/>
    <w:rsid w:val="00130CD9"/>
    <w:rsid w:val="001656A3"/>
    <w:rsid w:val="00182F2F"/>
    <w:rsid w:val="001870C0"/>
    <w:rsid w:val="001B5A36"/>
    <w:rsid w:val="001F0645"/>
    <w:rsid w:val="00215492"/>
    <w:rsid w:val="002C1132"/>
    <w:rsid w:val="00356F5F"/>
    <w:rsid w:val="0036366B"/>
    <w:rsid w:val="00414945"/>
    <w:rsid w:val="004A5CE6"/>
    <w:rsid w:val="004C5B5C"/>
    <w:rsid w:val="005D2D61"/>
    <w:rsid w:val="00625999"/>
    <w:rsid w:val="006351BB"/>
    <w:rsid w:val="0064018D"/>
    <w:rsid w:val="00653E52"/>
    <w:rsid w:val="00665CC0"/>
    <w:rsid w:val="007161AD"/>
    <w:rsid w:val="007C43A1"/>
    <w:rsid w:val="00803B94"/>
    <w:rsid w:val="008236CC"/>
    <w:rsid w:val="008F00E0"/>
    <w:rsid w:val="00901450"/>
    <w:rsid w:val="0092762A"/>
    <w:rsid w:val="00930B84"/>
    <w:rsid w:val="0093147A"/>
    <w:rsid w:val="00957038"/>
    <w:rsid w:val="009B07D1"/>
    <w:rsid w:val="009E0987"/>
    <w:rsid w:val="00A2440D"/>
    <w:rsid w:val="00A30641"/>
    <w:rsid w:val="00A50238"/>
    <w:rsid w:val="00A93207"/>
    <w:rsid w:val="00AF3113"/>
    <w:rsid w:val="00B30BDB"/>
    <w:rsid w:val="00B54F86"/>
    <w:rsid w:val="00B92D10"/>
    <w:rsid w:val="00BE6E3D"/>
    <w:rsid w:val="00C22021"/>
    <w:rsid w:val="00C34E91"/>
    <w:rsid w:val="00C35E20"/>
    <w:rsid w:val="00C53BFD"/>
    <w:rsid w:val="00CC35E3"/>
    <w:rsid w:val="00CF0077"/>
    <w:rsid w:val="00D13316"/>
    <w:rsid w:val="00D60189"/>
    <w:rsid w:val="00D84A6B"/>
    <w:rsid w:val="00DC0BFF"/>
    <w:rsid w:val="00DC4B72"/>
    <w:rsid w:val="00DE1CED"/>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50238"/>
    <w:pPr>
      <w:spacing w:before="0" w:after="440"/>
      <w:ind w:left="-1134" w:right="-1134"/>
    </w:pPr>
    <w:rPr>
      <w:sz w:val="2"/>
    </w:rPr>
  </w:style>
  <w:style w:type="character" w:customStyle="1" w:styleId="TechnicalBlockChar">
    <w:name w:val="Technical Block Char"/>
    <w:rsid w:val="00A50238"/>
    <w:rPr>
      <w:sz w:val="24"/>
      <w:szCs w:val="24"/>
      <w:lang w:eastAsia="bg-BG"/>
    </w:rPr>
  </w:style>
  <w:style w:type="character" w:customStyle="1" w:styleId="HeaderCouncilLargeChar">
    <w:name w:val="Header Council Large Char"/>
    <w:link w:val="HeaderCouncilLarge"/>
    <w:rsid w:val="00A50238"/>
    <w:rPr>
      <w:sz w:val="2"/>
      <w:szCs w:val="24"/>
    </w:rPr>
  </w:style>
  <w:style w:type="paragraph" w:customStyle="1" w:styleId="FooterText">
    <w:name w:val="Footer Text"/>
    <w:basedOn w:val="Normal"/>
    <w:rsid w:val="00A50238"/>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1,Tekst przypisu Char,WB-Fuﬂnotentext Char"/>
    <w:rsid w:val="00B92D10"/>
    <w:rPr>
      <w:sz w:val="24"/>
      <w:lang w:eastAsia="bg-BG"/>
    </w:rPr>
  </w:style>
  <w:style w:type="paragraph" w:styleId="NormalIndent">
    <w:name w:val="Normal Indent"/>
    <w:basedOn w:val="Normal"/>
    <w:rsid w:val="00A2440D"/>
    <w:pPr>
      <w:widowControl w:val="0"/>
      <w:spacing w:before="0" w:after="0"/>
      <w:ind w:left="567"/>
    </w:pPr>
    <w:rPr>
      <w:szCs w:val="20"/>
    </w:rPr>
  </w:style>
  <w:style w:type="paragraph" w:customStyle="1" w:styleId="Par-number1">
    <w:name w:val="Par-number 1."/>
    <w:basedOn w:val="Normal"/>
    <w:next w:val="Normal"/>
    <w:rsid w:val="00A2440D"/>
    <w:pPr>
      <w:widowControl w:val="0"/>
      <w:numPr>
        <w:numId w:val="21"/>
      </w:numPr>
      <w:spacing w:before="0" w:after="0"/>
    </w:pPr>
    <w:rPr>
      <w:szCs w:val="20"/>
    </w:rPr>
  </w:style>
  <w:style w:type="paragraph" w:customStyle="1" w:styleId="Par-numberI">
    <w:name w:val="Par-number I."/>
    <w:basedOn w:val="Normal"/>
    <w:next w:val="Normal"/>
    <w:rsid w:val="00A2440D"/>
    <w:pPr>
      <w:widowControl w:val="0"/>
      <w:numPr>
        <w:numId w:val="22"/>
      </w:numPr>
      <w:spacing w:before="0" w:after="0"/>
    </w:pPr>
    <w:rPr>
      <w:szCs w:val="20"/>
    </w:rPr>
  </w:style>
  <w:style w:type="paragraph" w:customStyle="1" w:styleId="CharChar">
    <w:name w:val="Char Char"/>
    <w:basedOn w:val="Normal"/>
    <w:rsid w:val="00A2440D"/>
    <w:pPr>
      <w:spacing w:before="0" w:after="0" w:line="240" w:lineRule="auto"/>
    </w:pPr>
  </w:style>
  <w:style w:type="paragraph" w:styleId="BalloonText">
    <w:name w:val="Balloon Text"/>
    <w:basedOn w:val="Normal"/>
    <w:link w:val="BalloonTextChar"/>
    <w:uiPriority w:val="99"/>
    <w:semiHidden/>
    <w:unhideWhenUsed/>
    <w:rsid w:val="007C43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3A1"/>
    <w:rPr>
      <w:rFonts w:ascii="Tahoma" w:hAnsi="Tahoma" w:cs="Tahoma"/>
      <w:sz w:val="16"/>
      <w:szCs w:val="16"/>
      <w:lang w:eastAsia="bg-BG"/>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TotalTime>
  <Pages>4</Pages>
  <Words>614</Words>
  <Characters>4170</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VASILEVA Sokolova Veselina</cp:lastModifiedBy>
  <cp:revision>4</cp:revision>
  <cp:lastPrinted>2015-03-06T07:48:00Z</cp:lastPrinted>
  <dcterms:created xsi:type="dcterms:W3CDTF">2015-03-06T10:56:00Z</dcterms:created>
  <dcterms:modified xsi:type="dcterms:W3CDTF">2015-03-06T10:57:00Z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