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1" w:rsidRPr="00D36192" w:rsidRDefault="00D36192" w:rsidP="00D3619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3751200-ec57-4cfb-933c-e9722cc6460b" style="width:568.5pt;height:336.35pt">
            <v:imagedata r:id="rId9" o:title=""/>
          </v:shape>
        </w:pict>
      </w:r>
      <w:bookmarkEnd w:id="0"/>
    </w:p>
    <w:p w:rsidR="00DF5C21" w:rsidRDefault="00DF5C21" w:rsidP="00DF5C21">
      <w:pPr>
        <w:rPr>
          <w:noProof/>
        </w:rPr>
        <w:sectPr w:rsidR="00DF5C21" w:rsidSect="00D361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7" w:h="1683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2C48EB" w:rsidRDefault="004118AF" w:rsidP="006F42A1">
      <w:pPr>
        <w:pStyle w:val="Typedudocument"/>
      </w:pPr>
      <w:r w:rsidRPr="007F7F7E">
        <w:lastRenderedPageBreak/>
        <w:t xml:space="preserve">РЕГЛАМЕНТ </w:t>
      </w:r>
      <w:r w:rsidR="002C48EB" w:rsidRPr="00E6087B">
        <w:t>(</w:t>
      </w:r>
      <w:r w:rsidR="002C48EB">
        <w:t>ЕС</w:t>
      </w:r>
      <w:r w:rsidR="002C48EB" w:rsidRPr="00E6087B">
        <w:t>)</w:t>
      </w:r>
      <w:r w:rsidR="002C48EB">
        <w:t xml:space="preserve"> 2015</w:t>
      </w:r>
      <w:r w:rsidR="00D86C28">
        <w:t>/...</w:t>
      </w:r>
      <w:r w:rsidR="002C48EB">
        <w:t xml:space="preserve"> </w:t>
      </w:r>
      <w:r w:rsidR="002C48EB">
        <w:br/>
      </w:r>
      <w:r w:rsidRPr="007F7F7E">
        <w:t>НА ЕВРОПЕЙСКИЯ ПАРЛАМЕНТ И НА СЪВЕТА</w:t>
      </w:r>
    </w:p>
    <w:p w:rsidR="002C48EB" w:rsidRDefault="002C48EB" w:rsidP="006F42A1">
      <w:pPr>
        <w:pStyle w:val="Datedadoption"/>
      </w:pPr>
      <w:r>
        <w:t>от</w:t>
      </w:r>
    </w:p>
    <w:p w:rsidR="004118AF" w:rsidRPr="00E6087B" w:rsidRDefault="004118AF" w:rsidP="006F42A1">
      <w:pPr>
        <w:pStyle w:val="Titreobjet"/>
      </w:pPr>
      <w:r w:rsidRPr="007F7F7E">
        <w:t>за изменение на Регламент (ЕО) № 223/2009 относно европейската статистика</w:t>
      </w:r>
    </w:p>
    <w:p w:rsidR="004118AF" w:rsidRPr="00E6087B" w:rsidRDefault="00071E65" w:rsidP="006F42A1">
      <w:pPr>
        <w:pStyle w:val="Sous-titreobjet"/>
        <w:rPr>
          <w:sz w:val="28"/>
        </w:rPr>
      </w:pPr>
      <w:r>
        <w:t>(Текст от значение за ЕИП и за Швейцария)</w:t>
      </w:r>
    </w:p>
    <w:p w:rsidR="002C48EB" w:rsidRDefault="002C48EB" w:rsidP="006F42A1">
      <w:pPr>
        <w:pStyle w:val="Institutionquiagit"/>
      </w:pPr>
      <w:r>
        <w:t>ЕВРОПЕЙСКИЯТ ПАРЛАМЕНТ И СЪВЕТЪТ НА ЕВРОПЕЙСКИЯ СЪЮЗ</w:t>
      </w:r>
    </w:p>
    <w:p w:rsidR="004118AF" w:rsidRPr="006F42A1" w:rsidRDefault="004118AF" w:rsidP="006F42A1">
      <w:pPr>
        <w:rPr>
          <w:rFonts w:eastAsia="Calibri"/>
        </w:rPr>
      </w:pPr>
      <w:r w:rsidRPr="007F7F7E">
        <w:t xml:space="preserve">като </w:t>
      </w:r>
      <w:r w:rsidRPr="006F42A1">
        <w:t>взеха предвид Договора за функционирането на Европейския съюз, и по-специално член 338, параграф 1 от него,</w:t>
      </w:r>
    </w:p>
    <w:p w:rsidR="004118AF" w:rsidRPr="006F42A1" w:rsidRDefault="004118AF" w:rsidP="006F42A1">
      <w:pPr>
        <w:rPr>
          <w:rFonts w:eastAsia="Calibri"/>
        </w:rPr>
      </w:pPr>
      <w:r w:rsidRPr="006F42A1">
        <w:t>като взеха предвид предложението на Европейската комисия,</w:t>
      </w:r>
    </w:p>
    <w:p w:rsidR="004118AF" w:rsidRPr="006F42A1" w:rsidRDefault="004118AF" w:rsidP="006F42A1">
      <w:pPr>
        <w:rPr>
          <w:rFonts w:eastAsia="Calibri"/>
        </w:rPr>
      </w:pPr>
      <w:r w:rsidRPr="006F42A1">
        <w:t>след предаване на проекта на законодателния акт на националните парламенти,</w:t>
      </w:r>
    </w:p>
    <w:p w:rsidR="004118AF" w:rsidRPr="006F42A1" w:rsidRDefault="004118AF" w:rsidP="006F42A1">
      <w:pPr>
        <w:rPr>
          <w:rFonts w:eastAsia="Calibri"/>
        </w:rPr>
      </w:pPr>
      <w:r w:rsidRPr="006F42A1">
        <w:t>като взеха предвид становището на Европейската централна банка</w:t>
      </w:r>
      <w:r w:rsidR="002C48EB" w:rsidRPr="00B86DA0">
        <w:rPr>
          <w:rStyle w:val="FootnoteReference"/>
        </w:rPr>
        <w:footnoteReference w:id="1"/>
      </w:r>
      <w:r w:rsidRPr="006F42A1">
        <w:t>,</w:t>
      </w:r>
    </w:p>
    <w:p w:rsidR="004118AF" w:rsidRDefault="004118AF" w:rsidP="006F42A1">
      <w:r w:rsidRPr="006F42A1">
        <w:t>в съответствие с</w:t>
      </w:r>
      <w:r w:rsidRPr="007F7F7E">
        <w:t xml:space="preserve"> обикновената законодателна процедура</w:t>
      </w:r>
      <w:r w:rsidR="002C48EB">
        <w:rPr>
          <w:rStyle w:val="FootnoteReference"/>
        </w:rPr>
        <w:footnoteReference w:id="2"/>
      </w:r>
      <w:r w:rsidRPr="007F7F7E">
        <w:t>,</w:t>
      </w:r>
    </w:p>
    <w:p w:rsidR="002E34B5" w:rsidRPr="007F7F7E" w:rsidRDefault="004B128E" w:rsidP="006F42A1">
      <w:pPr>
        <w:rPr>
          <w:rFonts w:eastAsia="Calibri"/>
        </w:rPr>
      </w:pPr>
      <w:r>
        <w:br w:type="page"/>
      </w:r>
      <w:r w:rsidR="002E34B5">
        <w:lastRenderedPageBreak/>
        <w:t xml:space="preserve">като имат </w:t>
      </w:r>
      <w:r w:rsidR="002E34B5" w:rsidRPr="006F42A1">
        <w:t>предвид</w:t>
      </w:r>
      <w:r w:rsidR="002E34B5">
        <w:t>, че</w:t>
      </w:r>
    </w:p>
    <w:p w:rsidR="004118AF" w:rsidRPr="007F7F7E" w:rsidRDefault="004118AF" w:rsidP="006F42A1">
      <w:pPr>
        <w:pStyle w:val="ManualConsidrant"/>
        <w:rPr>
          <w:rFonts w:eastAsia="Calibri"/>
        </w:rPr>
      </w:pPr>
      <w:r w:rsidRPr="007F7F7E">
        <w:t>(1)</w:t>
      </w:r>
      <w:r w:rsidRPr="007F7F7E">
        <w:tab/>
        <w:t xml:space="preserve">В качеството си на партньорство Европейската статистическа система (ЕСС) като цяло успешно е обединила дейностите си с цел да гарантира разработването, изготвянето и разпространението на висококачествена европейска статистика, в това число и чрез подобряване на управлението на </w:t>
      </w:r>
      <w:r w:rsidR="002E34B5">
        <w:t>ЕСС</w:t>
      </w:r>
      <w:r w:rsidRPr="007F7F7E">
        <w:t>.</w:t>
      </w:r>
    </w:p>
    <w:p w:rsidR="004118AF" w:rsidRPr="007F7F7E" w:rsidRDefault="004118AF" w:rsidP="006F42A1">
      <w:pPr>
        <w:pStyle w:val="ManualConsidrant"/>
        <w:rPr>
          <w:rFonts w:eastAsia="Calibri"/>
        </w:rPr>
      </w:pPr>
      <w:r w:rsidRPr="007F7F7E">
        <w:t>(2)</w:t>
      </w:r>
      <w:r w:rsidRPr="007F7F7E">
        <w:tab/>
        <w:t>Неотдавна обаче бяха установени някои слабости, по-специално по отношение на рамката за управление на качеството на статистиката.</w:t>
      </w:r>
    </w:p>
    <w:p w:rsidR="004118AF" w:rsidRPr="007F7F7E" w:rsidRDefault="004118AF" w:rsidP="006F42A1">
      <w:pPr>
        <w:pStyle w:val="ManualConsidrant"/>
        <w:rPr>
          <w:rFonts w:eastAsia="Calibri"/>
        </w:rPr>
      </w:pPr>
      <w:r w:rsidRPr="007F7F7E">
        <w:t>(3)</w:t>
      </w:r>
      <w:r w:rsidRPr="007F7F7E">
        <w:tab/>
        <w:t>В съобщението си от 15 април 2011 г.</w:t>
      </w:r>
      <w:r w:rsidR="002E34B5">
        <w:t>, озаглавено</w:t>
      </w:r>
      <w:r w:rsidRPr="007F7F7E">
        <w:t xml:space="preserve"> „Към стабилно управление на качеството на европейската статистика“</w:t>
      </w:r>
      <w:r w:rsidR="002E34B5">
        <w:t>,</w:t>
      </w:r>
      <w:r w:rsidRPr="007F7F7E">
        <w:t xml:space="preserve"> Комисията предложи действия за преодоляване на тези слабости </w:t>
      </w:r>
      <w:r w:rsidRPr="0020230D">
        <w:t>и за укрепване на управлението на ЕСС</w:t>
      </w:r>
      <w:r w:rsidRPr="007F7F7E">
        <w:t>. По-специално, тя предложи целево изменение на Регламент (ЕО) № 223/2009 на Европейския парламент и на Съвета</w:t>
      </w:r>
      <w:r w:rsidR="002E34B5">
        <w:rPr>
          <w:rStyle w:val="FootnoteReference"/>
        </w:rPr>
        <w:footnoteReference w:id="3"/>
      </w:r>
      <w:r w:rsidRPr="007F7F7E">
        <w:t>.</w:t>
      </w:r>
    </w:p>
    <w:p w:rsidR="004118AF" w:rsidRPr="007F7F7E" w:rsidRDefault="004118AF" w:rsidP="006F42A1">
      <w:pPr>
        <w:pStyle w:val="ManualConsidrant"/>
        <w:rPr>
          <w:rFonts w:eastAsia="Calibri"/>
        </w:rPr>
      </w:pPr>
      <w:r w:rsidRPr="007F7F7E">
        <w:t>(4)</w:t>
      </w:r>
      <w:r w:rsidRPr="007F7F7E">
        <w:tab/>
        <w:t>В заключенията си от 20 юни 2011 г. Съветът приветства инициативата на Комисията и подчерта значението на непрекъснато подобряване на управлението на ЕСС и повишаване на нейната ефективност.</w:t>
      </w:r>
    </w:p>
    <w:p w:rsidR="004118AF" w:rsidRPr="007F7F7E" w:rsidRDefault="004118AF" w:rsidP="006F42A1">
      <w:pPr>
        <w:pStyle w:val="ManualConsidrant"/>
        <w:rPr>
          <w:rFonts w:eastAsia="Calibri"/>
        </w:rPr>
      </w:pPr>
      <w:r w:rsidRPr="007F7F7E">
        <w:br w:type="page"/>
      </w:r>
      <w:r w:rsidRPr="007F7F7E">
        <w:lastRenderedPageBreak/>
        <w:t>(5)</w:t>
      </w:r>
      <w:r w:rsidRPr="007F7F7E">
        <w:tab/>
      </w:r>
      <w:r w:rsidR="002E34B5" w:rsidRPr="00C40D62">
        <w:t>С</w:t>
      </w:r>
      <w:r w:rsidRPr="00C40D62">
        <w:t xml:space="preserve">ледва да се вземе предвид въздействието върху статистическата област </w:t>
      </w:r>
      <w:r w:rsidR="002E34B5" w:rsidRPr="00C40D62">
        <w:t xml:space="preserve">на последните промени </w:t>
      </w:r>
      <w:r w:rsidRPr="00C40D62">
        <w:t xml:space="preserve">в контекста на рамката на Съюза за икономическо управление, по-специално аспектите, свързани с професионалната независимост, като прозрачни процедури за назначаване и освобождаване на персонала, разпределение на бюджетните средства и </w:t>
      </w:r>
      <w:r w:rsidR="00CD5FB9" w:rsidRPr="00C40D62">
        <w:t>календар за разпространение на резултатите от статистическите изследвания</w:t>
      </w:r>
      <w:r w:rsidRPr="00C40D62">
        <w:t>, както е предвидено в Регламент (ЕС) № 1175/2011 на Европейския парламент и на Съвета</w:t>
      </w:r>
      <w:r w:rsidR="00071E65" w:rsidRPr="00C40D62">
        <w:rPr>
          <w:rStyle w:val="FootnoteReference"/>
        </w:rPr>
        <w:footnoteReference w:id="4"/>
      </w:r>
      <w:r w:rsidRPr="00C40D62">
        <w:t>,</w:t>
      </w:r>
      <w:r w:rsidR="005126E9" w:rsidRPr="00C40D62">
        <w:t xml:space="preserve"> </w:t>
      </w:r>
      <w:r w:rsidRPr="00C40D62">
        <w:t xml:space="preserve">както и аспектите, свързани с изискването органите, отговарящи за мониторинга на </w:t>
      </w:r>
      <w:r w:rsidR="002E34B5" w:rsidRPr="00C40D62">
        <w:t xml:space="preserve">прилагането </w:t>
      </w:r>
      <w:r w:rsidRPr="00C40D62">
        <w:t>на националните фискални правила, да се ползват с функционална автономност, както е предвидено в Регламент (ЕС) № 473/2013 на Европейския парламент и на Съвета</w:t>
      </w:r>
      <w:r w:rsidR="00071E65" w:rsidRPr="00C40D62">
        <w:rPr>
          <w:rStyle w:val="FootnoteReference"/>
        </w:rPr>
        <w:footnoteReference w:id="5"/>
      </w:r>
      <w:r w:rsidRPr="00C40D62">
        <w:t>.</w:t>
      </w:r>
    </w:p>
    <w:p w:rsidR="004118AF" w:rsidRPr="007F7F7E" w:rsidRDefault="004118AF" w:rsidP="006F42A1">
      <w:pPr>
        <w:pStyle w:val="ManualConsidrant"/>
        <w:rPr>
          <w:rFonts w:eastAsia="Calibri"/>
        </w:rPr>
      </w:pPr>
      <w:r w:rsidRPr="007F7F7E">
        <w:t>(6)</w:t>
      </w:r>
      <w:r w:rsidRPr="007F7F7E">
        <w:tab/>
      </w:r>
      <w:r w:rsidR="002E34B5">
        <w:t>А</w:t>
      </w:r>
      <w:r w:rsidRPr="007F7F7E">
        <w:t>спекти</w:t>
      </w:r>
      <w:r w:rsidR="002E34B5">
        <w:t>те</w:t>
      </w:r>
      <w:r w:rsidRPr="007F7F7E">
        <w:t xml:space="preserve">, които се отнасят до професионалната независимост, като например прозрачните процедури за </w:t>
      </w:r>
      <w:r w:rsidRPr="00CD5FB9">
        <w:t xml:space="preserve">назначаване и освобождаване на персонала, разпределението на бюджетните средства и </w:t>
      </w:r>
      <w:r w:rsidR="005126E9" w:rsidRPr="005126E9">
        <w:t>календар</w:t>
      </w:r>
      <w:r w:rsidR="005126E9">
        <w:t xml:space="preserve">ът </w:t>
      </w:r>
      <w:r w:rsidR="00CD5FB9" w:rsidRPr="005126E9">
        <w:t>за разпространение на резултатите от статистическите изследвания</w:t>
      </w:r>
      <w:r w:rsidRPr="007F0987">
        <w:t>, не следва да се огра</w:t>
      </w:r>
      <w:r w:rsidRPr="00243169">
        <w:t>ничават до статистиката, изготвена</w:t>
      </w:r>
      <w:r w:rsidRPr="007F7F7E">
        <w:t xml:space="preserve"> за целите на системата за фискален надзор и процедурата за прекомерен дефицит, а следва да се прилагат към цялата европейска статистика, разработвана, изготвяна и разпространявана от ЕСС.</w:t>
      </w:r>
    </w:p>
    <w:p w:rsidR="004118AF" w:rsidRPr="00C40D62" w:rsidRDefault="00557EA8" w:rsidP="0046387A">
      <w:pPr>
        <w:pStyle w:val="ManualConsidrant"/>
        <w:rPr>
          <w:rFonts w:eastAsia="Calibri"/>
        </w:rPr>
      </w:pPr>
      <w:r>
        <w:br w:type="page"/>
      </w:r>
      <w:r w:rsidR="004118AF" w:rsidRPr="007F7F7E">
        <w:lastRenderedPageBreak/>
        <w:t>(7)</w:t>
      </w:r>
      <w:r w:rsidR="004118AF" w:rsidRPr="007F7F7E">
        <w:tab/>
      </w:r>
      <w:r w:rsidR="004118AF" w:rsidRPr="00C40D62">
        <w:t>Освен това адекватността на разпределените средства в годишен или многогодишен план</w:t>
      </w:r>
      <w:r w:rsidR="005126E9" w:rsidRPr="00C40D62">
        <w:t>,</w:t>
      </w:r>
      <w:r w:rsidR="004118AF" w:rsidRPr="00C40D62">
        <w:t xml:space="preserve"> </w:t>
      </w:r>
      <w:r w:rsidR="005126E9" w:rsidRPr="00C40D62">
        <w:t>които са налични</w:t>
      </w:r>
      <w:r w:rsidR="004118AF" w:rsidRPr="00C40D62">
        <w:t xml:space="preserve"> за посрещане на нуждите на статистиката</w:t>
      </w:r>
      <w:r w:rsidR="005126E9" w:rsidRPr="00C40D62">
        <w:t>,</w:t>
      </w:r>
      <w:r w:rsidR="004118AF" w:rsidRPr="00C40D62">
        <w:t xml:space="preserve"> </w:t>
      </w:r>
      <w:r w:rsidR="0046387A">
        <w:t xml:space="preserve">е </w:t>
      </w:r>
      <w:r w:rsidR="004118AF" w:rsidRPr="00C40D62">
        <w:t>необходимо условие за гарантиране на професионалната независимост на статистическите органи и за осигуряване на високо качество на статистическите данни.</w:t>
      </w:r>
    </w:p>
    <w:p w:rsidR="004118AF" w:rsidRPr="007F7F7E" w:rsidRDefault="004118AF" w:rsidP="00E63F3F">
      <w:pPr>
        <w:pStyle w:val="ManualConsidrant"/>
        <w:rPr>
          <w:rFonts w:eastAsia="Calibri"/>
        </w:rPr>
      </w:pPr>
      <w:r w:rsidRPr="007F7F7E">
        <w:t>(8)</w:t>
      </w:r>
      <w:r w:rsidRPr="007F7F7E">
        <w:tab/>
        <w:t xml:space="preserve">За тази цел следва да бъде </w:t>
      </w:r>
      <w:r w:rsidR="0030527E">
        <w:t>повишена</w:t>
      </w:r>
      <w:r w:rsidR="0030527E" w:rsidRPr="007F7F7E">
        <w:t xml:space="preserve"> </w:t>
      </w:r>
      <w:r w:rsidRPr="007F7F7E">
        <w:t xml:space="preserve">професионалната независимост на статистическите органи и </w:t>
      </w:r>
      <w:r w:rsidRPr="00E63F3F">
        <w:t xml:space="preserve">да се </w:t>
      </w:r>
      <w:r w:rsidR="0030527E" w:rsidRPr="00E63F3F">
        <w:t>осигури спазването на</w:t>
      </w:r>
      <w:r w:rsidR="0030527E" w:rsidRPr="007F7F7E">
        <w:t xml:space="preserve"> </w:t>
      </w:r>
      <w:r w:rsidRPr="007F7F7E">
        <w:t xml:space="preserve">минимални стандарти, </w:t>
      </w:r>
      <w:r w:rsidRPr="00E63F3F">
        <w:t>приложими в целия Съюз</w:t>
      </w:r>
      <w:r w:rsidRPr="007F7F7E">
        <w:t>.</w:t>
      </w:r>
      <w:r w:rsidRPr="00E63F3F">
        <w:t xml:space="preserve"> На ръководителите на националните статистически институти (НСИ) следва да се предоставят конкретни гаранции</w:t>
      </w:r>
      <w:r w:rsidRPr="007F7F7E">
        <w:t xml:space="preserve"> по отношение на изпълнението на статистическите задачи, организационното управление и разпределението на средствата. </w:t>
      </w:r>
      <w:r w:rsidRPr="00E63F3F">
        <w:t>Процедурите за назначаване на ръководители на НСИ следва да са прозрачни и да се основават единствено на професионални</w:t>
      </w:r>
      <w:r w:rsidRPr="007F7F7E">
        <w:t xml:space="preserve"> </w:t>
      </w:r>
      <w:r w:rsidRPr="00E63F3F">
        <w:t>критерии</w:t>
      </w:r>
      <w:r w:rsidRPr="007F7F7E">
        <w:t xml:space="preserve">. </w:t>
      </w:r>
      <w:r w:rsidRPr="00E63F3F">
        <w:t xml:space="preserve">Те следва да гарантират </w:t>
      </w:r>
      <w:r w:rsidR="0030527E" w:rsidRPr="00E63F3F">
        <w:t xml:space="preserve">спазването на принципа на </w:t>
      </w:r>
      <w:r w:rsidRPr="00E63F3F">
        <w:t>равни</w:t>
      </w:r>
      <w:r w:rsidR="0030527E" w:rsidRPr="00E63F3F">
        <w:t>те</w:t>
      </w:r>
      <w:r w:rsidRPr="00E63F3F">
        <w:t xml:space="preserve"> възможности, по-специално по отношение на пола</w:t>
      </w:r>
      <w:r w:rsidRPr="007F7F7E">
        <w:t>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5A4285" w:rsidRPr="00BA0A6A">
        <w:t>9</w:t>
      </w:r>
      <w:r w:rsidRPr="007F7F7E">
        <w:t>)</w:t>
      </w:r>
      <w:r w:rsidRPr="007F7F7E">
        <w:tab/>
      </w:r>
      <w:r w:rsidRPr="00E63F3F">
        <w:t>Въпреки че надеждната европейска статистика изисква висока степен на професионална независимост на статистиците</w:t>
      </w:r>
      <w:r w:rsidRPr="007F7F7E">
        <w:t xml:space="preserve">, </w:t>
      </w:r>
      <w:r w:rsidRPr="00E63F3F">
        <w:t xml:space="preserve">европейската статистика следва да отговаря </w:t>
      </w:r>
      <w:r w:rsidR="0030527E" w:rsidRPr="00E63F3F">
        <w:t xml:space="preserve">и </w:t>
      </w:r>
      <w:r w:rsidRPr="00E63F3F">
        <w:t xml:space="preserve">на потребностите на политиките и да </w:t>
      </w:r>
      <w:r w:rsidR="0030527E" w:rsidRPr="00E63F3F">
        <w:t xml:space="preserve">осигурява </w:t>
      </w:r>
      <w:r w:rsidRPr="00E63F3F">
        <w:t xml:space="preserve">статистическа </w:t>
      </w:r>
      <w:r w:rsidR="0030527E" w:rsidRPr="00E63F3F">
        <w:t xml:space="preserve">основа </w:t>
      </w:r>
      <w:r w:rsidRPr="00E63F3F">
        <w:t>за нови политически инициативи на национално равнище и на равнището на Съюза</w:t>
      </w:r>
      <w:r w:rsidRPr="007F7F7E">
        <w:t>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5A4285" w:rsidRPr="00BA0A6A">
        <w:t>10</w:t>
      </w:r>
      <w:r w:rsidRPr="007F7F7E">
        <w:t>)</w:t>
      </w:r>
      <w:r w:rsidRPr="007F7F7E">
        <w:tab/>
      </w:r>
      <w:r w:rsidRPr="00E63F3F">
        <w:t>Необходимо е независимостта на</w:t>
      </w:r>
      <w:r w:rsidR="005A4285" w:rsidRPr="00E63F3F">
        <w:t xml:space="preserve"> </w:t>
      </w:r>
      <w:r w:rsidR="00A440BC" w:rsidRPr="00E63F3F">
        <w:t>статистическия орган на Съюза (</w:t>
      </w:r>
      <w:r w:rsidRPr="00E63F3F">
        <w:t>Евростат</w:t>
      </w:r>
      <w:r w:rsidR="00A440BC" w:rsidRPr="00E63F3F">
        <w:t>)</w:t>
      </w:r>
      <w:r w:rsidRPr="00E63F3F">
        <w:t xml:space="preserve"> да бъде </w:t>
      </w:r>
      <w:r w:rsidR="0030527E" w:rsidRPr="00E63F3F">
        <w:t xml:space="preserve">утвърдена </w:t>
      </w:r>
      <w:r w:rsidRPr="00E63F3F">
        <w:t>и гарантирана</w:t>
      </w:r>
      <w:r w:rsidRPr="007F7F7E">
        <w:t xml:space="preserve"> </w:t>
      </w:r>
      <w:r w:rsidRPr="00E63F3F">
        <w:t xml:space="preserve">чрез ефективен парламентарен контрол, а независимостта на НСИ да бъде </w:t>
      </w:r>
      <w:r w:rsidR="0030527E" w:rsidRPr="00E63F3F">
        <w:t xml:space="preserve">утвърдена </w:t>
      </w:r>
      <w:r w:rsidRPr="00E63F3F">
        <w:t>и гарантирана чрез демократична отчетност</w:t>
      </w:r>
      <w:r w:rsidRPr="007F7F7E">
        <w:t>.</w:t>
      </w:r>
    </w:p>
    <w:p w:rsidR="004118AF" w:rsidRPr="00E63F3F" w:rsidRDefault="00E63F3F" w:rsidP="00E63F3F">
      <w:pPr>
        <w:pStyle w:val="ManualConsidrant"/>
      </w:pPr>
      <w:r>
        <w:br w:type="page"/>
      </w:r>
      <w:r w:rsidR="004118AF" w:rsidRPr="007F7F7E">
        <w:lastRenderedPageBreak/>
        <w:t>(</w:t>
      </w:r>
      <w:r w:rsidR="005A4285" w:rsidRPr="00BA0A6A">
        <w:t>11</w:t>
      </w:r>
      <w:r w:rsidR="004118AF" w:rsidRPr="007F7F7E">
        <w:t>)</w:t>
      </w:r>
      <w:r w:rsidR="004118AF" w:rsidRPr="007F7F7E">
        <w:tab/>
        <w:t xml:space="preserve">Освен това следва да се внесе яснота по отношение на обхвата на вече възложената на НСИ координираща роля, така че да </w:t>
      </w:r>
      <w:r w:rsidR="005126E9">
        <w:t>се постигне</w:t>
      </w:r>
      <w:r w:rsidR="004118AF" w:rsidRPr="007F7F7E">
        <w:t xml:space="preserve"> по-ефективна координация на статистическите дейности на национално равнище, включително управление на качеството, </w:t>
      </w:r>
      <w:r w:rsidR="004118AF" w:rsidRPr="00E63F3F">
        <w:t>като се отчитат надлежно статистическите задачи, изпълнявани от Европейската система на централните банки (ЕСЦБ)</w:t>
      </w:r>
      <w:r w:rsidR="004118AF" w:rsidRPr="007F7F7E">
        <w:t>.</w:t>
      </w:r>
      <w:r w:rsidR="004118AF" w:rsidRPr="00E63F3F">
        <w:t xml:space="preserve"> Доколкото европейската статистика може да бъде събирана от националните централни банки (НЦБ)</w:t>
      </w:r>
      <w:r w:rsidR="004118AF" w:rsidRPr="007F7F7E">
        <w:t xml:space="preserve"> </w:t>
      </w:r>
      <w:r w:rsidR="004118AF" w:rsidRPr="00E63F3F">
        <w:t>в качеството им на членове на ЕСЦБ</w:t>
      </w:r>
      <w:r w:rsidR="004118AF" w:rsidRPr="007F7F7E">
        <w:t xml:space="preserve">, </w:t>
      </w:r>
      <w:r w:rsidR="004118AF" w:rsidRPr="00E63F3F">
        <w:t>НСИ и НЦБ следва да работят в тясно сътрудничество</w:t>
      </w:r>
      <w:r w:rsidR="004118AF" w:rsidRPr="007F7F7E">
        <w:t xml:space="preserve"> </w:t>
      </w:r>
      <w:r w:rsidR="004118AF" w:rsidRPr="00E63F3F">
        <w:t xml:space="preserve">в съответствие с националните договорености с </w:t>
      </w:r>
      <w:r w:rsidR="00BA0A6A" w:rsidRPr="00E63F3F">
        <w:t xml:space="preserve">цел </w:t>
      </w:r>
      <w:r w:rsidR="0030527E" w:rsidRPr="00E63F3F">
        <w:t xml:space="preserve">осигуряване </w:t>
      </w:r>
      <w:r w:rsidR="004118AF" w:rsidRPr="00E63F3F">
        <w:t>изготвянето на пълна и съгласувана европейска статистика, като същевременно се гарантира необходимото сътрудничество между ЕСС и ЕСЦБ</w:t>
      </w:r>
      <w:r w:rsidR="004118AF" w:rsidRPr="007F7F7E">
        <w:t>.</w:t>
      </w:r>
    </w:p>
    <w:p w:rsidR="004118AF" w:rsidRPr="005126E9" w:rsidRDefault="004118AF" w:rsidP="00E63F3F">
      <w:pPr>
        <w:pStyle w:val="ManualConsidrant"/>
      </w:pPr>
      <w:r w:rsidRPr="007F7F7E">
        <w:t>(1</w:t>
      </w:r>
      <w:r w:rsidR="005A4285" w:rsidRPr="00BA0A6A">
        <w:t>2</w:t>
      </w:r>
      <w:r w:rsidRPr="007F7F7E">
        <w:t>)</w:t>
      </w:r>
      <w:r w:rsidRPr="007F7F7E">
        <w:tab/>
        <w:t xml:space="preserve">За да се намали тежестта върху статистическите органи и респондентите, НСИ и други национални органи следва да имат възможност за незабавен и безвъзмезден достъп </w:t>
      </w:r>
      <w:r w:rsidR="00CD5FB9">
        <w:t xml:space="preserve">и използване на </w:t>
      </w:r>
      <w:r w:rsidRPr="007F7F7E">
        <w:t xml:space="preserve">административните записи, </w:t>
      </w:r>
      <w:r w:rsidR="0030527E">
        <w:t xml:space="preserve">включително </w:t>
      </w:r>
      <w:r w:rsidRPr="007F7F7E">
        <w:t xml:space="preserve">попълваните по електронен път, както и за </w:t>
      </w:r>
      <w:r w:rsidR="00CD5FB9">
        <w:t>интегрирането на тези записи със</w:t>
      </w:r>
      <w:r w:rsidRPr="007F7F7E">
        <w:t xml:space="preserve"> статистиката.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5A4285" w:rsidRPr="00BA0A6A">
        <w:t>13</w:t>
      </w:r>
      <w:r w:rsidRPr="007F7F7E">
        <w:t>)</w:t>
      </w:r>
      <w:r w:rsidR="00E63F3F">
        <w:tab/>
      </w:r>
      <w:r w:rsidRPr="00E63F3F">
        <w:t xml:space="preserve">Европейската статистика следва да бъде лесно съпоставима и достъпна и да бъде актуализирана своевременно и редовно, за да се гарантира, че политиките на Съюза и инициативите за финансиране </w:t>
      </w:r>
      <w:r w:rsidR="0030527E" w:rsidRPr="00E63F3F">
        <w:t>са</w:t>
      </w:r>
      <w:r w:rsidRPr="00E63F3F">
        <w:t xml:space="preserve"> изцяло </w:t>
      </w:r>
      <w:r w:rsidR="0030527E" w:rsidRPr="00E63F3F">
        <w:t xml:space="preserve">съобразени с тенденциите </w:t>
      </w:r>
      <w:r w:rsidR="00CD5FB9" w:rsidRPr="00E63F3F">
        <w:t xml:space="preserve">на развитие </w:t>
      </w:r>
      <w:r w:rsidRPr="00E63F3F">
        <w:t xml:space="preserve">в </w:t>
      </w:r>
      <w:r w:rsidR="005A4285" w:rsidRPr="00E63F3F">
        <w:t>Съюза</w:t>
      </w:r>
      <w:r w:rsidRPr="007F7F7E">
        <w:t>.</w:t>
      </w:r>
    </w:p>
    <w:p w:rsidR="004118AF" w:rsidRPr="00E63F3F" w:rsidRDefault="0006098B" w:rsidP="00E63F3F">
      <w:pPr>
        <w:pStyle w:val="ManualConsidrant"/>
      </w:pPr>
      <w:r>
        <w:br w:type="page"/>
      </w:r>
      <w:r w:rsidR="004118AF" w:rsidRPr="007F7F7E">
        <w:lastRenderedPageBreak/>
        <w:t>(</w:t>
      </w:r>
      <w:r w:rsidR="005A4285">
        <w:t>14</w:t>
      </w:r>
      <w:r w:rsidR="004118AF" w:rsidRPr="007F7F7E">
        <w:t>)</w:t>
      </w:r>
      <w:r w:rsidR="004118AF" w:rsidRPr="007F7F7E">
        <w:tab/>
        <w:t xml:space="preserve">Освен това следва да бъдат провеждани консултации на ранен етап с НСИ относно създаването на нови административни записи, които </w:t>
      </w:r>
      <w:r w:rsidR="00CD5FB9">
        <w:t>осигуряват</w:t>
      </w:r>
      <w:r w:rsidR="004118AF" w:rsidRPr="007F7F7E">
        <w:t xml:space="preserve"> данни за статистически цели, а също и относно планираните изменения в съществуващи административни източници или за преустановяване на използването им. НСИ следва да получават и съответните метаданни от притежателите на административни данни и да координират дейностите по стандартизация, </w:t>
      </w:r>
      <w:r w:rsidR="0030527E">
        <w:t>отнасящи се до</w:t>
      </w:r>
      <w:r w:rsidR="0030527E" w:rsidRPr="007F7F7E">
        <w:t xml:space="preserve"> </w:t>
      </w:r>
      <w:r w:rsidR="004118AF" w:rsidRPr="007F7F7E">
        <w:t>административните записи, които имат значение за изготвянето на статистически данни.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5A4285">
        <w:t>15</w:t>
      </w:r>
      <w:r w:rsidRPr="007F7F7E">
        <w:t>)</w:t>
      </w:r>
      <w:r w:rsidRPr="007F7F7E">
        <w:tab/>
        <w:t xml:space="preserve">Поверителността на данните, получени от административни записи, следва да се защитава в съответствие с общите принципи и насоки, приложими към всички поверителни данни, използвани за изготвянето на европейска статистика. Следва да се </w:t>
      </w:r>
      <w:r w:rsidR="00A440BC">
        <w:t>изготвят</w:t>
      </w:r>
      <w:r w:rsidRPr="007F7F7E">
        <w:t xml:space="preserve"> </w:t>
      </w:r>
      <w:r w:rsidRPr="00E63F3F">
        <w:t>и публикуват</w:t>
      </w:r>
      <w:r w:rsidRPr="007F7F7E">
        <w:t xml:space="preserve"> също така приложими към тези данни </w:t>
      </w:r>
      <w:r w:rsidR="00BC02BA" w:rsidRPr="007F7F7E">
        <w:t>рамки за оценка на качеството</w:t>
      </w:r>
      <w:r w:rsidR="00BC02BA">
        <w:t>, както и</w:t>
      </w:r>
      <w:r w:rsidR="00BC02BA" w:rsidRPr="00E63F3F">
        <w:t xml:space="preserve"> </w:t>
      </w:r>
      <w:r w:rsidRPr="00E63F3F">
        <w:t>принципи за прозрачност</w:t>
      </w:r>
      <w:r w:rsidRPr="007F7F7E">
        <w:t>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5A4285">
        <w:t>16</w:t>
      </w:r>
      <w:r w:rsidRPr="007F7F7E">
        <w:t>)</w:t>
      </w:r>
      <w:r w:rsidR="00E63F3F">
        <w:tab/>
      </w:r>
      <w:r w:rsidRPr="007F7F7E">
        <w:t>Всички ползватели следва да имат достъп до едни и същи данни по едно и също време.</w:t>
      </w:r>
      <w:r w:rsidRPr="00E63F3F">
        <w:t xml:space="preserve"> НСИ следва да </w:t>
      </w:r>
      <w:r w:rsidR="00A440BC" w:rsidRPr="00E63F3F">
        <w:t>из</w:t>
      </w:r>
      <w:r w:rsidR="00BA0A6A" w:rsidRPr="00E63F3F">
        <w:t xml:space="preserve">готвят </w:t>
      </w:r>
      <w:r w:rsidR="00CD5FB9" w:rsidRPr="00E63F3F">
        <w:t>календар за разпространение на резултатите от статистическите изследвания</w:t>
      </w:r>
      <w:r w:rsidRPr="00CD5FB9">
        <w:t>.</w:t>
      </w:r>
    </w:p>
    <w:p w:rsidR="004118AF" w:rsidRPr="00E63F3F" w:rsidRDefault="004118AF" w:rsidP="0046387A">
      <w:pPr>
        <w:pStyle w:val="ManualConsidrant"/>
      </w:pPr>
      <w:r w:rsidRPr="007F7F7E">
        <w:t>(</w:t>
      </w:r>
      <w:r w:rsidR="005A4285">
        <w:t>17</w:t>
      </w:r>
      <w:r w:rsidRPr="007F7F7E">
        <w:t>)</w:t>
      </w:r>
      <w:r w:rsidR="00EF79EB">
        <w:tab/>
      </w:r>
      <w:r w:rsidRPr="007F7F7E">
        <w:t xml:space="preserve">Качеството на европейската статистика може да бъде подобрено, а доверието на ползвателите може да се повиши чрез споделяне </w:t>
      </w:r>
      <w:r w:rsidR="0030527E" w:rsidRPr="007F7F7E">
        <w:t xml:space="preserve">с националните правителства </w:t>
      </w:r>
      <w:r w:rsidRPr="007F7F7E">
        <w:t xml:space="preserve">на отговорността за прилагането на Кодекса на европейската статистическа практика </w:t>
      </w:r>
      <w:r w:rsidR="005A4285" w:rsidRPr="00E63F3F">
        <w:t>(</w:t>
      </w:r>
      <w:r w:rsidR="0030527E" w:rsidRPr="00E63F3F">
        <w:t>наричан по-долу "</w:t>
      </w:r>
      <w:r w:rsidR="005A4285" w:rsidRPr="00E63F3F">
        <w:t>Кодекс</w:t>
      </w:r>
      <w:r w:rsidR="005126E9" w:rsidRPr="00E63F3F">
        <w:t>ът</w:t>
      </w:r>
      <w:r w:rsidR="005A4285" w:rsidRPr="00E63F3F">
        <w:t xml:space="preserve"> на практика</w:t>
      </w:r>
      <w:r w:rsidR="0030527E" w:rsidRPr="00E63F3F">
        <w:t>та"</w:t>
      </w:r>
      <w:r w:rsidR="005A4285" w:rsidRPr="00E63F3F">
        <w:t>)</w:t>
      </w:r>
      <w:r w:rsidRPr="007F7F7E">
        <w:t>. За тази цел</w:t>
      </w:r>
      <w:r w:rsidR="00BA0A6A">
        <w:t>,</w:t>
      </w:r>
      <w:r w:rsidRPr="007F7F7E">
        <w:t xml:space="preserve"> </w:t>
      </w:r>
      <w:r w:rsidR="00BA0A6A">
        <w:t>при отчитане на</w:t>
      </w:r>
      <w:r w:rsidR="00BA0A6A" w:rsidRPr="007F7F7E">
        <w:t xml:space="preserve"> националните особености, </w:t>
      </w:r>
      <w:r w:rsidRPr="007F7F7E">
        <w:t>„ангажиментът във връзка с доверието в статистиката“</w:t>
      </w:r>
      <w:r w:rsidR="005A4285">
        <w:t xml:space="preserve"> </w:t>
      </w:r>
      <w:r w:rsidR="005A4285" w:rsidRPr="00E63F3F">
        <w:t>(</w:t>
      </w:r>
      <w:r w:rsidR="0030527E" w:rsidRPr="00E63F3F">
        <w:t>наричан по-долу "</w:t>
      </w:r>
      <w:r w:rsidR="0030527E">
        <w:t>а</w:t>
      </w:r>
      <w:r w:rsidR="005A4285" w:rsidRPr="007F7F7E">
        <w:t>нгажимент</w:t>
      </w:r>
      <w:r w:rsidR="0030527E">
        <w:t>ът"</w:t>
      </w:r>
      <w:r w:rsidR="005A4285" w:rsidRPr="00E63F3F">
        <w:t>)</w:t>
      </w:r>
      <w:r w:rsidRPr="007F7F7E">
        <w:t xml:space="preserve"> </w:t>
      </w:r>
      <w:r w:rsidR="00A440BC">
        <w:t>на</w:t>
      </w:r>
      <w:r w:rsidRPr="007F7F7E">
        <w:t xml:space="preserve"> дадена държава членка следва да включва поемането на конкретни задължения от правителството </w:t>
      </w:r>
      <w:r w:rsidR="005A4285">
        <w:t xml:space="preserve">на държавата членка </w:t>
      </w:r>
      <w:r w:rsidRPr="007F7F7E">
        <w:t xml:space="preserve">за подобряване или </w:t>
      </w:r>
      <w:r w:rsidR="0046387A">
        <w:t>запазване</w:t>
      </w:r>
      <w:r w:rsidRPr="007F7F7E">
        <w:t xml:space="preserve"> на условията за </w:t>
      </w:r>
      <w:r w:rsidR="005126E9">
        <w:t>прилагане</w:t>
      </w:r>
      <w:r w:rsidR="005126E9" w:rsidRPr="007F7F7E">
        <w:t xml:space="preserve"> </w:t>
      </w:r>
      <w:r w:rsidRPr="007F7F7E">
        <w:t>на Кодекса</w:t>
      </w:r>
      <w:r w:rsidR="0030527E">
        <w:t xml:space="preserve"> на практиката</w:t>
      </w:r>
      <w:r w:rsidRPr="007F7F7E">
        <w:t>. Този ангажимент, който следва да се актуализира при необходимост, може да включва национални рамки за гарантиране на високо качество, включително самооценки, действия за подобряване и механизми за наблюдение.</w:t>
      </w:r>
    </w:p>
    <w:p w:rsidR="004118AF" w:rsidRPr="00E63F3F" w:rsidRDefault="00E63F3F" w:rsidP="00E63F3F">
      <w:pPr>
        <w:pStyle w:val="ManualConsidrant"/>
      </w:pPr>
      <w:r>
        <w:br w:type="page"/>
      </w:r>
      <w:r w:rsidR="004118AF" w:rsidRPr="007F7F7E">
        <w:lastRenderedPageBreak/>
        <w:t>(</w:t>
      </w:r>
      <w:r w:rsidR="005A4285">
        <w:t>18</w:t>
      </w:r>
      <w:r w:rsidR="004118AF" w:rsidRPr="007F7F7E">
        <w:t>)</w:t>
      </w:r>
      <w:r w:rsidRPr="00E63F3F">
        <w:tab/>
      </w:r>
      <w:r w:rsidR="004118AF" w:rsidRPr="00E63F3F">
        <w:t>Комисията (Евростат) следва да предприеме всички необходими мерки, за да даде възможност за лесен онлайн достъп до пълни</w:t>
      </w:r>
      <w:r w:rsidR="0030527E" w:rsidRPr="00E63F3F">
        <w:t xml:space="preserve"> и </w:t>
      </w:r>
      <w:r w:rsidR="00BC02BA" w:rsidRPr="00E63F3F">
        <w:t xml:space="preserve">удобни за ползвателя </w:t>
      </w:r>
      <w:r w:rsidR="004118AF" w:rsidRPr="00E63F3F">
        <w:t>серии от данни. Когато е възможно, периодично актуализираните данни следва да предоставят информация за всяка държава членка на годишна и месечна база.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5A4285">
        <w:t>19</w:t>
      </w:r>
      <w:r w:rsidRPr="007F7F7E">
        <w:t>)</w:t>
      </w:r>
      <w:r w:rsidRPr="007F7F7E">
        <w:tab/>
        <w:t>Тъй като европейската статистика трябва да се изготвя въз основа на дългосрочно оперативно и финансово планиране с цел да се осигури висока степен на независимост, Европейската статистическа програма следва да обхваща същия период като многогодишната финансова рамка.</w:t>
      </w:r>
    </w:p>
    <w:p w:rsidR="004118AF" w:rsidRPr="00E63F3F" w:rsidRDefault="004118AF" w:rsidP="0046387A">
      <w:pPr>
        <w:pStyle w:val="ManualConsidrant"/>
      </w:pPr>
      <w:r w:rsidRPr="007F7F7E">
        <w:t>(</w:t>
      </w:r>
      <w:r w:rsidR="005A4285">
        <w:t>20</w:t>
      </w:r>
      <w:r w:rsidRPr="007F7F7E">
        <w:t>)</w:t>
      </w:r>
      <w:r w:rsidRPr="007F7F7E">
        <w:tab/>
        <w:t xml:space="preserve">С Регламент (ЕО) № 223/2009 се предоставят правомощия на Комисията </w:t>
      </w:r>
      <w:r w:rsidR="0046387A">
        <w:t>във връзка с изпълнението</w:t>
      </w:r>
      <w:r w:rsidRPr="007F7F7E">
        <w:t xml:space="preserve"> на някои от разпоредбите на посочения </w:t>
      </w:r>
      <w:r w:rsidRPr="00E63F3F">
        <w:t>регламент в съответствие с Решение 1999/468/EО на Съвета</w:t>
      </w:r>
      <w:r w:rsidR="005A4285" w:rsidRPr="00EF79EB">
        <w:rPr>
          <w:rStyle w:val="FootnoteReference"/>
        </w:rPr>
        <w:footnoteReference w:id="6"/>
      </w:r>
      <w:r w:rsidRPr="00E63F3F">
        <w:t>.</w:t>
      </w:r>
      <w:r w:rsidRPr="007F7F7E">
        <w:t xml:space="preserve"> Вследствие на влизането в сила на </w:t>
      </w:r>
      <w:r w:rsidRPr="00E63F3F">
        <w:t>Регламент (ЕС) № 182/2011</w:t>
      </w:r>
      <w:r w:rsidR="005A4285" w:rsidRPr="00E63F3F">
        <w:t xml:space="preserve"> на Европе</w:t>
      </w:r>
      <w:r w:rsidR="0030527E" w:rsidRPr="00E63F3F">
        <w:t>й</w:t>
      </w:r>
      <w:r w:rsidR="005A4285" w:rsidRPr="00E63F3F">
        <w:t>ския парламент и на Съвета</w:t>
      </w:r>
      <w:r w:rsidR="005A4285" w:rsidRPr="00EF79EB">
        <w:rPr>
          <w:rStyle w:val="FootnoteReference"/>
        </w:rPr>
        <w:footnoteReference w:id="7"/>
      </w:r>
      <w:r w:rsidRPr="00E63F3F">
        <w:t xml:space="preserve">, който отменя Решение 1999/468/EО, правомощията, предоставени на Комисията, </w:t>
      </w:r>
      <w:r w:rsidR="0030527E" w:rsidRPr="00E63F3F">
        <w:t xml:space="preserve">следва </w:t>
      </w:r>
      <w:r w:rsidRPr="00E63F3F">
        <w:t>да бъдат приведени в съответствие с тази нова правна рамка</w:t>
      </w:r>
      <w:r w:rsidRPr="007F7F7E">
        <w:t>.Тези правомощия следва да бъдат упражнявани в съответствие с Регламент (ЕС) № 182/2011. Комисията следва да гарантира, че актовете за изпълнение не водят до значителна допълнителна административна тежест за държавите членки и</w:t>
      </w:r>
      <w:r w:rsidR="0030527E">
        <w:t>ли за</w:t>
      </w:r>
      <w:r w:rsidRPr="007F7F7E">
        <w:t xml:space="preserve"> респонденти</w:t>
      </w:r>
      <w:r w:rsidR="0006098B">
        <w:t>те</w:t>
      </w:r>
      <w:r w:rsidRPr="007F7F7E">
        <w:t>.</w:t>
      </w:r>
    </w:p>
    <w:p w:rsidR="004118AF" w:rsidRPr="00E63F3F" w:rsidRDefault="00E63F3F" w:rsidP="00E63F3F">
      <w:pPr>
        <w:pStyle w:val="ManualConsidrant"/>
      </w:pPr>
      <w:r>
        <w:br w:type="page"/>
      </w:r>
      <w:r w:rsidR="004118AF" w:rsidRPr="007F7F7E">
        <w:t>(</w:t>
      </w:r>
      <w:r w:rsidR="00112781" w:rsidRPr="00BA0A6A">
        <w:t>21</w:t>
      </w:r>
      <w:r w:rsidR="004118AF" w:rsidRPr="007F7F7E">
        <w:t>)</w:t>
      </w:r>
      <w:r w:rsidR="004118AF" w:rsidRPr="007F7F7E">
        <w:tab/>
      </w:r>
      <w:r w:rsidR="0030527E">
        <w:t xml:space="preserve">На </w:t>
      </w:r>
      <w:r w:rsidR="004118AF" w:rsidRPr="007F7F7E">
        <w:t xml:space="preserve">Комисията следва да </w:t>
      </w:r>
      <w:r w:rsidR="0030527E">
        <w:t>бъде предоставено</w:t>
      </w:r>
      <w:r w:rsidR="004118AF" w:rsidRPr="007F7F7E">
        <w:t xml:space="preserve"> правомощието да приема актове за изпълнение в съответствие с </w:t>
      </w:r>
      <w:r w:rsidR="004118AF" w:rsidRPr="00E63F3F">
        <w:t>член 291, параграф 2</w:t>
      </w:r>
      <w:r w:rsidR="004118AF" w:rsidRPr="007F7F7E">
        <w:t xml:space="preserve"> от Договора </w:t>
      </w:r>
      <w:r w:rsidR="004118AF" w:rsidRPr="00E63F3F">
        <w:t>за функционирането на Европейския съюз</w:t>
      </w:r>
      <w:r w:rsidR="00112781" w:rsidRPr="00E63F3F">
        <w:t xml:space="preserve"> (ДФЕС)</w:t>
      </w:r>
      <w:r w:rsidR="004118AF" w:rsidRPr="007F7F7E">
        <w:t>, за да се осигури еднакво</w:t>
      </w:r>
      <w:r w:rsidR="0030527E">
        <w:t>то</w:t>
      </w:r>
      <w:r w:rsidR="004118AF" w:rsidRPr="007F7F7E">
        <w:t xml:space="preserve"> прилагане на изискванията за качество чрез </w:t>
      </w:r>
      <w:r w:rsidR="004118AF" w:rsidRPr="00E63F3F">
        <w:t>определяне на условията, структурата и периодичността на докладите за качеството, обхванати от секторното законодателство</w:t>
      </w:r>
      <w:r w:rsidR="004118AF" w:rsidRPr="007F7F7E">
        <w:t>, когато секторното законодателство в областта на статистиката не предвижда такива. Комисията следва да гарантира, че тези актове за изпълнение не водят до значителна допълнителна административна тежест за държавите членки и</w:t>
      </w:r>
      <w:r w:rsidR="00BA0A6A">
        <w:t>ли</w:t>
      </w:r>
      <w:r w:rsidR="004118AF" w:rsidRPr="007F7F7E">
        <w:t xml:space="preserve"> респонденти</w:t>
      </w:r>
      <w:r w:rsidR="0006098B">
        <w:t>те</w:t>
      </w:r>
      <w:r w:rsidR="004118AF" w:rsidRPr="007F7F7E">
        <w:t>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112781">
        <w:t>22</w:t>
      </w:r>
      <w:r w:rsidRPr="007F7F7E">
        <w:t>)</w:t>
      </w:r>
      <w:r w:rsidRPr="007F7F7E">
        <w:tab/>
        <w:t xml:space="preserve">Налице е необходимост от еднакви условия за осигуряване на достъп до поверителни данни за научни цели. </w:t>
      </w:r>
      <w:r w:rsidR="00370D01">
        <w:t>За да се осигурят еднакви условия за изпълнението на настоящия регламент, н</w:t>
      </w:r>
      <w:r w:rsidRPr="007F7F7E">
        <w:t>а Комисията следва да бъдат предоставени изпълнителни правомощия с оглед на установяването на договорености, правила и условия, уреждащи посочения достъп на равнището на Съюза</w:t>
      </w:r>
      <w:r w:rsidR="00370D01">
        <w:t>. Тези правомощия следва да бъдат упражнявани</w:t>
      </w:r>
      <w:r w:rsidRPr="007F7F7E">
        <w:t xml:space="preserve"> в съответствие с Регламент (ЕС) № 182/2011.</w:t>
      </w:r>
    </w:p>
    <w:p w:rsidR="004118AF" w:rsidRPr="007F7F7E" w:rsidRDefault="004118AF" w:rsidP="00E63F3F">
      <w:pPr>
        <w:pStyle w:val="ManualConsidrant"/>
        <w:rPr>
          <w:rFonts w:eastAsia="Calibri"/>
        </w:rPr>
      </w:pPr>
      <w:r w:rsidRPr="007F7F7E">
        <w:t>(</w:t>
      </w:r>
      <w:r w:rsidR="00112781">
        <w:t>23</w:t>
      </w:r>
      <w:r w:rsidRPr="007F7F7E">
        <w:t>)</w:t>
      </w:r>
      <w:r w:rsidRPr="007F7F7E">
        <w:tab/>
        <w:t>Тъй като целта на настоящия регламент</w:t>
      </w:r>
      <w:r w:rsidR="00370D01">
        <w:t>, а именно укрепване на управлението на ЕСС,</w:t>
      </w:r>
      <w:r w:rsidRPr="007F7F7E">
        <w:t xml:space="preserve"> не може да бъде постигната в достатъчна степен от държавите членки, а </w:t>
      </w:r>
      <w:r w:rsidR="00370D01">
        <w:t xml:space="preserve">поради изискването за наличието на </w:t>
      </w:r>
      <w:r w:rsidR="00370D01" w:rsidRPr="00BC02BA">
        <w:t xml:space="preserve">достоверни данни на равнището на Съюза, </w:t>
      </w:r>
      <w:r w:rsidRPr="00BC02BA">
        <w:t>може да бъде постигната по-добре на равнището на Съюза, Съюзът може да приеме</w:t>
      </w:r>
      <w:r w:rsidRPr="007F7F7E">
        <w:t xml:space="preserve"> мерки в съответствие с принципа на субсидиарност, </w:t>
      </w:r>
      <w:r w:rsidR="00370D01" w:rsidRPr="007F7F7E">
        <w:t>у</w:t>
      </w:r>
      <w:r w:rsidR="00370D01">
        <w:t>реден</w:t>
      </w:r>
      <w:r w:rsidR="00370D01" w:rsidRPr="007F7F7E">
        <w:t xml:space="preserve"> </w:t>
      </w:r>
      <w:r w:rsidRPr="007F7F7E">
        <w:t>в член 5 от Договора за Европейския съюз. В съответствие с принципа на пропорционалност, уреден в същия член, настоящият регламент не надхвърля необходимото за постигането на тази цел.</w:t>
      </w:r>
    </w:p>
    <w:p w:rsidR="004118AF" w:rsidRPr="00E63F3F" w:rsidRDefault="0006098B" w:rsidP="00E63F3F">
      <w:pPr>
        <w:pStyle w:val="ManualConsidrant"/>
      </w:pPr>
      <w:r w:rsidRPr="00156F7C">
        <w:br w:type="page"/>
      </w:r>
      <w:r w:rsidR="004118AF" w:rsidRPr="00156F7C">
        <w:t>(</w:t>
      </w:r>
      <w:r w:rsidR="00112781" w:rsidRPr="00156F7C">
        <w:t>24</w:t>
      </w:r>
      <w:r w:rsidR="00156F7C" w:rsidRPr="000300DA">
        <w:t>)</w:t>
      </w:r>
      <w:r w:rsidR="00156F7C">
        <w:tab/>
      </w:r>
      <w:r w:rsidR="004118AF" w:rsidRPr="007A7625">
        <w:t>Независимостта на ЕСЦБ при изпълнение на техните задачи, посочени в Протокол № 4 относно устава на</w:t>
      </w:r>
      <w:r w:rsidR="00112781" w:rsidRPr="007A7625">
        <w:t xml:space="preserve"> </w:t>
      </w:r>
      <w:r w:rsidR="00370D01" w:rsidRPr="007A7625">
        <w:t xml:space="preserve">Европейската система на централните банки и на </w:t>
      </w:r>
      <w:r w:rsidR="00112781" w:rsidRPr="007A7625">
        <w:t>Европейската централна банка</w:t>
      </w:r>
      <w:r w:rsidR="004118AF" w:rsidRPr="007A7625">
        <w:t>, следва да се зачита в пълна степен при прилагането на настоящия регламент, в съответствие с членове 130 и 338 ДФЕС</w:t>
      </w:r>
      <w:r w:rsidR="004118AF" w:rsidRPr="00156F7C">
        <w:t>.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112781">
        <w:t>25</w:t>
      </w:r>
      <w:r w:rsidRPr="007F7F7E">
        <w:t>)</w:t>
      </w:r>
      <w:r w:rsidRPr="007F7F7E">
        <w:tab/>
        <w:t xml:space="preserve">Проведена бе консултация с Комитета на </w:t>
      </w:r>
      <w:r w:rsidR="00112781">
        <w:t>ЕСС</w:t>
      </w:r>
      <w:r w:rsidRPr="007F7F7E">
        <w:t>,</w:t>
      </w:r>
    </w:p>
    <w:p w:rsidR="004118AF" w:rsidRPr="00E63F3F" w:rsidRDefault="004118AF" w:rsidP="00E63F3F">
      <w:pPr>
        <w:pStyle w:val="ManualConsidrant"/>
      </w:pPr>
      <w:r w:rsidRPr="007F7F7E">
        <w:t>(</w:t>
      </w:r>
      <w:r w:rsidR="00112781">
        <w:t>26</w:t>
      </w:r>
      <w:r w:rsidR="00156F7C" w:rsidRPr="007F7F7E">
        <w:t>)</w:t>
      </w:r>
      <w:r w:rsidR="00156F7C">
        <w:tab/>
      </w:r>
      <w:r w:rsidRPr="00E63F3F">
        <w:t>Поради това Регламент (ЕО) № 223/2009 следва да бъде съответно изменен</w:t>
      </w:r>
      <w:r w:rsidRPr="007F7F7E">
        <w:t>,</w:t>
      </w:r>
    </w:p>
    <w:p w:rsidR="00112781" w:rsidRPr="00990802" w:rsidRDefault="00112781" w:rsidP="00E63F3F">
      <w:pPr>
        <w:pStyle w:val="Formuledadoption"/>
      </w:pPr>
      <w:r>
        <w:t>ПРИЕХА НАСТОЯЩОТО РЕШЕНИЕ:</w:t>
      </w:r>
    </w:p>
    <w:p w:rsidR="00112781" w:rsidRPr="0020230D" w:rsidRDefault="00156F7C" w:rsidP="0020230D">
      <w:pPr>
        <w:pStyle w:val="Titrearticle"/>
      </w:pPr>
      <w:r w:rsidRPr="0020230D">
        <w:br w:type="page"/>
      </w:r>
      <w:r w:rsidR="004118AF" w:rsidRPr="0020230D">
        <w:t>Член 1</w:t>
      </w:r>
      <w:r w:rsidR="00E63F3F" w:rsidRPr="0020230D">
        <w:br/>
      </w:r>
      <w:r w:rsidRPr="0020230D">
        <w:t xml:space="preserve">Изменения </w:t>
      </w:r>
      <w:r w:rsidR="00112781" w:rsidRPr="0020230D">
        <w:t xml:space="preserve">на Регламент (EО) </w:t>
      </w:r>
      <w:r w:rsidR="00370D01" w:rsidRPr="0020230D">
        <w:t>№</w:t>
      </w:r>
      <w:r w:rsidR="00112781" w:rsidRPr="0020230D">
        <w:t xml:space="preserve"> 223/2009</w:t>
      </w:r>
    </w:p>
    <w:p w:rsidR="004118AF" w:rsidRPr="007F7F7E" w:rsidRDefault="004118AF" w:rsidP="00E63F3F">
      <w:pPr>
        <w:rPr>
          <w:rFonts w:eastAsia="Calibri"/>
        </w:rPr>
      </w:pPr>
      <w:r w:rsidRPr="007F7F7E">
        <w:t>Регламент (ЕО) № 223/2009 се изменя, както следва:</w:t>
      </w:r>
    </w:p>
    <w:p w:rsidR="004118AF" w:rsidRPr="007F7F7E" w:rsidRDefault="004118AF" w:rsidP="00E63F3F">
      <w:pPr>
        <w:pStyle w:val="Point0"/>
        <w:rPr>
          <w:rFonts w:eastAsia="Calibri"/>
        </w:rPr>
      </w:pPr>
      <w:r w:rsidRPr="007F7F7E">
        <w:t>1)</w:t>
      </w:r>
      <w:r w:rsidR="00E63F3F" w:rsidRPr="00E63F3F">
        <w:tab/>
      </w:r>
      <w:r w:rsidRPr="007F7F7E">
        <w:t>В член 2, параграф 1 буква а) се заменя със следното:</w:t>
      </w:r>
    </w:p>
    <w:p w:rsidR="004118AF" w:rsidRPr="007F7F7E" w:rsidRDefault="004118AF" w:rsidP="0046387A">
      <w:pPr>
        <w:pStyle w:val="Point1"/>
        <w:rPr>
          <w:rFonts w:eastAsia="Calibri"/>
        </w:rPr>
      </w:pPr>
      <w:r w:rsidRPr="007F7F7E">
        <w:t>„a)</w:t>
      </w:r>
      <w:r w:rsidRPr="007F7F7E">
        <w:tab/>
        <w:t>„професионална независимост“, ко</w:t>
      </w:r>
      <w:r w:rsidR="0046387A">
        <w:t>е</w:t>
      </w:r>
      <w:r w:rsidRPr="007F7F7E">
        <w:t xml:space="preserve">то означава, че статистиката трябва да се разработва, изготвя и разпространява по независим начин, особено що се отнася до подбора на техники, определения, методологии и източници, които да бъдат използвани, и времето и съдържанието на всички форми на разпространение, и че </w:t>
      </w:r>
      <w:r w:rsidR="00370D01">
        <w:t xml:space="preserve">при </w:t>
      </w:r>
      <w:r w:rsidRPr="007F7F7E">
        <w:t xml:space="preserve">изпълнението на тези задачи </w:t>
      </w:r>
      <w:r w:rsidR="00370D01">
        <w:t>няма никакъв</w:t>
      </w:r>
      <w:r w:rsidRPr="007F7F7E">
        <w:t xml:space="preserve"> натиск от политически или заинтересовани групи или от органи на Съюза или национални органи;“</w:t>
      </w:r>
      <w:r w:rsidR="00370D01">
        <w:t>.</w:t>
      </w:r>
    </w:p>
    <w:p w:rsidR="004118AF" w:rsidRPr="007F7F7E" w:rsidRDefault="004118AF" w:rsidP="00E63F3F">
      <w:pPr>
        <w:pStyle w:val="Point0"/>
        <w:rPr>
          <w:rFonts w:eastAsia="Calibri"/>
        </w:rPr>
      </w:pPr>
      <w:r w:rsidRPr="007F7F7E">
        <w:t>2)</w:t>
      </w:r>
      <w:r w:rsidR="00E63F3F" w:rsidRPr="00E63F3F">
        <w:tab/>
      </w:r>
      <w:r w:rsidRPr="007F7F7E">
        <w:t>В член 5 параграф 1 се заменя със следното:</w:t>
      </w:r>
    </w:p>
    <w:p w:rsidR="004118AF" w:rsidRPr="00E63F3F" w:rsidRDefault="00B86DA0" w:rsidP="00E63F3F">
      <w:pPr>
        <w:pStyle w:val="Point1"/>
        <w:rPr>
          <w:rFonts w:eastAsia="Calibri"/>
        </w:rPr>
      </w:pPr>
      <w:r>
        <w:t>„</w:t>
      </w:r>
      <w:r w:rsidR="004118AF" w:rsidRPr="00E63F3F">
        <w:t>1.</w:t>
      </w:r>
      <w:r w:rsidR="004118AF" w:rsidRPr="00E63F3F">
        <w:tab/>
        <w:t>Националният статистически орган, определен от всяка държава членка като орган, ко</w:t>
      </w:r>
      <w:r w:rsidR="00370D01" w:rsidRPr="00E63F3F">
        <w:t>й</w:t>
      </w:r>
      <w:r w:rsidR="004118AF" w:rsidRPr="00E63F3F">
        <w:t>то носи отговорност за координирането на всички дейности на национално равнище за разработването, изготвянето и разпространението на европейска статистика, които са определени в Европейската статистическа програма в съответствие с член 1</w:t>
      </w:r>
      <w:r w:rsidR="0046387A">
        <w:t>, (НСИ)</w:t>
      </w:r>
      <w:r w:rsidR="004118AF" w:rsidRPr="002F7D0E">
        <w:t xml:space="preserve"> </w:t>
      </w:r>
      <w:r w:rsidR="00BC02BA" w:rsidRPr="00E63F3F">
        <w:t xml:space="preserve">представлява </w:t>
      </w:r>
      <w:r w:rsidR="004118AF" w:rsidRPr="00E63F3F">
        <w:t>в това отношение единствено звено за контакт с Комисията (Евростат) по статистически въпроси.</w:t>
      </w:r>
    </w:p>
    <w:p w:rsidR="004118AF" w:rsidRPr="00E63F3F" w:rsidRDefault="004118AF" w:rsidP="0046387A">
      <w:pPr>
        <w:pStyle w:val="Text2"/>
        <w:rPr>
          <w:rFonts w:eastAsia="Calibri"/>
        </w:rPr>
      </w:pPr>
      <w:r w:rsidRPr="007F7F7E">
        <w:br w:type="page"/>
      </w:r>
      <w:r w:rsidRPr="00E63F3F">
        <w:t>Отговорността на НСИ по отношение на координацията обхваща всички други национални органи, отговарящи за разработването, изготвянето и разпространението на европейска статистика, които са определени в Европейската статистическа програма в съответствие с член 1. По-специално, НСИ отговаря на национално равнище за координирането на статистическите програми и доклади, за наблюдението на качеството, методологията, предаването на данни и за съобщенията за статистическите действия на ЕСС. Доколкото част от посочената европейска статистика може да бъде събирана от националните централни банки (НЦБ) в качеството им на членове на Е</w:t>
      </w:r>
      <w:r w:rsidR="00263560" w:rsidRPr="00E63F3F">
        <w:t>вропейската система на централните банки (Е</w:t>
      </w:r>
      <w:r w:rsidRPr="00E63F3F">
        <w:t>СЦБ</w:t>
      </w:r>
      <w:r w:rsidR="00263560" w:rsidRPr="00E63F3F">
        <w:t>)</w:t>
      </w:r>
      <w:r w:rsidRPr="00E63F3F">
        <w:t>, НСИ и НЦБ работят в тясно сътрудничество в съответствие с националните договорености с оглед да се осигури изготвянето на пълна и съгласувана европейска статистика, като същевременно се гарантира необходимото сътрудничество между ЕСС и ЕСЦБ, както е посочено в член 9.</w:t>
      </w:r>
      <w:r w:rsidR="00B86DA0">
        <w:t>“</w:t>
      </w:r>
      <w:r w:rsidR="00370D01" w:rsidRPr="00E63F3F">
        <w:t>.</w:t>
      </w:r>
    </w:p>
    <w:p w:rsidR="004118AF" w:rsidRPr="007F7F7E" w:rsidRDefault="004118AF" w:rsidP="00E63F3F">
      <w:pPr>
        <w:pStyle w:val="Point0"/>
        <w:rPr>
          <w:rFonts w:eastAsia="Calibri"/>
        </w:rPr>
      </w:pPr>
      <w:r w:rsidRPr="007F7F7E">
        <w:t>3)</w:t>
      </w:r>
      <w:r w:rsidR="00E63F3F" w:rsidRPr="00E63F3F">
        <w:tab/>
      </w:r>
      <w:r w:rsidRPr="007F7F7E">
        <w:t>Вмъква се следният член:</w:t>
      </w:r>
    </w:p>
    <w:p w:rsidR="004118AF" w:rsidRPr="00D51CD5" w:rsidRDefault="004118AF" w:rsidP="00E63F3F">
      <w:pPr>
        <w:pStyle w:val="Text1"/>
        <w:rPr>
          <w:rFonts w:eastAsia="Calibri"/>
          <w:i/>
        </w:rPr>
      </w:pPr>
      <w:r w:rsidRPr="0020230D">
        <w:rPr>
          <w:iCs/>
        </w:rPr>
        <w:t>„</w:t>
      </w:r>
      <w:r w:rsidRPr="00D51CD5">
        <w:rPr>
          <w:i/>
        </w:rPr>
        <w:t>Член 5a</w:t>
      </w:r>
      <w:r w:rsidR="00E63F3F" w:rsidRPr="00D51CD5">
        <w:rPr>
          <w:i/>
        </w:rPr>
        <w:br/>
      </w:r>
      <w:r w:rsidRPr="00D51CD5">
        <w:rPr>
          <w:i/>
        </w:rPr>
        <w:t>Ръководители на НСИ и ръководители по статистическите въпроси на други национални органи</w:t>
      </w:r>
    </w:p>
    <w:p w:rsidR="004118AF" w:rsidRPr="007F7F7E" w:rsidRDefault="004118AF" w:rsidP="00E63F3F">
      <w:pPr>
        <w:pStyle w:val="Point1"/>
        <w:rPr>
          <w:rFonts w:eastAsia="Calibri"/>
        </w:rPr>
      </w:pPr>
      <w:r w:rsidRPr="007F7F7E">
        <w:t>1.</w:t>
      </w:r>
      <w:r w:rsidRPr="007F7F7E">
        <w:tab/>
        <w:t xml:space="preserve">В рамките на своите национални статистически системи държавите членки гарантират професионалната независимост на </w:t>
      </w:r>
      <w:r w:rsidR="00370D01">
        <w:t>служителите</w:t>
      </w:r>
      <w:r w:rsidRPr="007F7F7E">
        <w:t>, които отговарят за изпълнението на задачите, предвидени в настоящия регламент.</w:t>
      </w:r>
    </w:p>
    <w:p w:rsidR="004118AF" w:rsidRPr="007F7F7E" w:rsidRDefault="00FD2D1B" w:rsidP="00E63F3F">
      <w:pPr>
        <w:pStyle w:val="Point1"/>
        <w:rPr>
          <w:rFonts w:eastAsia="Calibri"/>
        </w:rPr>
      </w:pPr>
      <w:r>
        <w:br w:type="page"/>
      </w:r>
      <w:r w:rsidR="004118AF" w:rsidRPr="007F7F7E">
        <w:t>2.</w:t>
      </w:r>
      <w:r w:rsidR="004118AF" w:rsidRPr="007F7F7E">
        <w:tab/>
        <w:t>За тази цел ръководителите на НСИ:</w:t>
      </w:r>
    </w:p>
    <w:p w:rsidR="004118AF" w:rsidRPr="003A25EB" w:rsidRDefault="004118AF" w:rsidP="00E63F3F">
      <w:pPr>
        <w:pStyle w:val="Point2"/>
      </w:pPr>
      <w:r w:rsidRPr="007F7F7E">
        <w:t>а)</w:t>
      </w:r>
      <w:r w:rsidR="00E63F3F" w:rsidRPr="00E63F3F">
        <w:tab/>
      </w:r>
      <w:r w:rsidRPr="007F7F7E">
        <w:t xml:space="preserve">носят цялата отговорност за вземането на решения за процесите, статистическите методи, стандартите и процедурите, както и за съдържанието и </w:t>
      </w:r>
      <w:r w:rsidR="00BC02BA">
        <w:t>времето</w:t>
      </w:r>
      <w:r w:rsidR="00BC02BA" w:rsidRPr="007F7F7E">
        <w:t xml:space="preserve"> </w:t>
      </w:r>
      <w:r w:rsidRPr="007F7F7E">
        <w:t>на оповестяване на статистическите съобщения и публикации на европейската статистика, разработвана, изготвяна и разпространявана от НСИ;</w:t>
      </w:r>
    </w:p>
    <w:p w:rsidR="004118AF" w:rsidRPr="007F7F7E" w:rsidRDefault="004118AF" w:rsidP="00E63F3F">
      <w:pPr>
        <w:pStyle w:val="Point2"/>
        <w:rPr>
          <w:rFonts w:eastAsia="Calibri"/>
        </w:rPr>
      </w:pPr>
      <w:r w:rsidRPr="007F7F7E">
        <w:t>б)</w:t>
      </w:r>
      <w:r w:rsidR="00E63F3F" w:rsidRPr="00E63F3F">
        <w:tab/>
      </w:r>
      <w:r w:rsidRPr="007F7F7E">
        <w:t>разполагат с правомощия да вземат решения по всички въпроси, свързани с вътрешното управление на НСИ;</w:t>
      </w:r>
    </w:p>
    <w:p w:rsidR="004118AF" w:rsidRPr="007F7F7E" w:rsidRDefault="004118AF" w:rsidP="00E63F3F">
      <w:pPr>
        <w:pStyle w:val="Point2"/>
        <w:rPr>
          <w:rFonts w:eastAsia="Calibri"/>
        </w:rPr>
      </w:pPr>
      <w:r w:rsidRPr="007F7F7E">
        <w:t>в)</w:t>
      </w:r>
      <w:r w:rsidR="00E63F3F" w:rsidRPr="00E63F3F">
        <w:tab/>
      </w:r>
      <w:r w:rsidRPr="007F7F7E">
        <w:t>са независими в действията си при изпълнение на своите свързани със статистиката задачи</w:t>
      </w:r>
      <w:r w:rsidR="00DA07FB">
        <w:t xml:space="preserve"> и</w:t>
      </w:r>
      <w:r w:rsidRPr="007F7F7E">
        <w:t xml:space="preserve"> не търсят и не получават указания от никое правителство или друга институция, орган, служба или образувание;</w:t>
      </w:r>
    </w:p>
    <w:p w:rsidR="004118AF" w:rsidRPr="007F7F7E" w:rsidRDefault="004118AF" w:rsidP="00E63F3F">
      <w:pPr>
        <w:pStyle w:val="Point2"/>
        <w:rPr>
          <w:rFonts w:eastAsia="Calibri"/>
        </w:rPr>
      </w:pPr>
      <w:r w:rsidRPr="007F7F7E">
        <w:t>г)</w:t>
      </w:r>
      <w:r w:rsidR="00E63F3F" w:rsidRPr="00E63F3F">
        <w:tab/>
      </w:r>
      <w:r w:rsidRPr="007F7F7E">
        <w:t>отговарят за статистическите дейности и за изпълнението на бюджета на НСИ;</w:t>
      </w:r>
    </w:p>
    <w:p w:rsidR="004118AF" w:rsidRPr="007F7F7E" w:rsidRDefault="004118AF" w:rsidP="00E63F3F">
      <w:pPr>
        <w:pStyle w:val="Point2"/>
        <w:rPr>
          <w:rFonts w:eastAsia="Calibri"/>
        </w:rPr>
      </w:pPr>
      <w:r w:rsidRPr="007F7F7E">
        <w:t>д)</w:t>
      </w:r>
      <w:r w:rsidR="00E63F3F" w:rsidRPr="00E63F3F">
        <w:tab/>
      </w:r>
      <w:r w:rsidRPr="007F7F7E">
        <w:t>публикуват годишен доклад и могат да изказват мнения по въпроси относно разпределението на бюджета, свързани със статистическите дейности на НСИ;</w:t>
      </w:r>
    </w:p>
    <w:p w:rsidR="004118AF" w:rsidRPr="007F7F7E" w:rsidRDefault="004118AF" w:rsidP="00E63F3F">
      <w:pPr>
        <w:pStyle w:val="Point2"/>
        <w:rPr>
          <w:rFonts w:eastAsia="Calibri"/>
        </w:rPr>
      </w:pPr>
      <w:r w:rsidRPr="007F7F7E">
        <w:t>е)</w:t>
      </w:r>
      <w:r w:rsidR="00E63F3F" w:rsidRPr="00E63F3F">
        <w:tab/>
      </w:r>
      <w:r w:rsidRPr="007F7F7E">
        <w:t>координират статистическите дейности на всички национални органи, които отговарят за разработването, изготвянето и разпространението на европейска статистика, както е посочено в член 5, параграф 1;</w:t>
      </w:r>
    </w:p>
    <w:p w:rsidR="004118AF" w:rsidRPr="007F7F7E" w:rsidRDefault="002B69B1" w:rsidP="00E63F3F">
      <w:pPr>
        <w:pStyle w:val="Point2"/>
        <w:rPr>
          <w:rFonts w:eastAsia="Calibri"/>
        </w:rPr>
      </w:pPr>
      <w:r>
        <w:br w:type="page"/>
      </w:r>
      <w:r w:rsidR="004118AF" w:rsidRPr="007F7F7E">
        <w:t>ж)</w:t>
      </w:r>
      <w:r w:rsidR="00E63F3F" w:rsidRPr="00E63F3F">
        <w:tab/>
      </w:r>
      <w:r w:rsidR="004118AF" w:rsidRPr="007F7F7E">
        <w:t>изготвят национални насоки</w:t>
      </w:r>
      <w:r w:rsidR="00370D01">
        <w:t>,</w:t>
      </w:r>
      <w:r w:rsidR="004118AF" w:rsidRPr="007F7F7E">
        <w:t xml:space="preserve"> </w:t>
      </w:r>
      <w:r w:rsidR="00370D01" w:rsidRPr="007F7F7E">
        <w:t xml:space="preserve">когато </w:t>
      </w:r>
      <w:r w:rsidR="00370D01">
        <w:t xml:space="preserve">това </w:t>
      </w:r>
      <w:r w:rsidR="00370D01" w:rsidRPr="007F7F7E">
        <w:t xml:space="preserve">е необходимо </w:t>
      </w:r>
      <w:r w:rsidR="004118AF" w:rsidRPr="007F7F7E">
        <w:t xml:space="preserve">за осигуряване на качеството при разработването, изготвянето и разпространението на цялата европейска статистика в рамките на своята национална статистическа система и наблюдават </w:t>
      </w:r>
      <w:r>
        <w:t xml:space="preserve">и </w:t>
      </w:r>
      <w:r w:rsidR="00164B76">
        <w:t>правят преглед на</w:t>
      </w:r>
      <w:r w:rsidR="004118AF" w:rsidRPr="007F7F7E">
        <w:t xml:space="preserve"> тяхното изпълнение</w:t>
      </w:r>
      <w:r w:rsidR="00370D01">
        <w:t>, като обаче отговарят</w:t>
      </w:r>
      <w:r w:rsidR="004118AF" w:rsidRPr="007F7F7E">
        <w:t xml:space="preserve"> за осигуряване на спазването на тези насоки единствено в рамките на НСИ; и</w:t>
      </w:r>
    </w:p>
    <w:p w:rsidR="004118AF" w:rsidRPr="007F7F7E" w:rsidRDefault="004118AF" w:rsidP="00E63F3F">
      <w:pPr>
        <w:pStyle w:val="Point2"/>
        <w:rPr>
          <w:rFonts w:eastAsia="Calibri"/>
        </w:rPr>
      </w:pPr>
      <w:r w:rsidRPr="007F7F7E">
        <w:t>з)</w:t>
      </w:r>
      <w:r w:rsidR="00E63F3F" w:rsidRPr="00E63F3F">
        <w:tab/>
      </w:r>
      <w:r w:rsidRPr="007F7F7E">
        <w:t>представляват своята национална статистическа система в рамките на ЕСС.</w:t>
      </w:r>
    </w:p>
    <w:p w:rsidR="004118AF" w:rsidRPr="00E63F3F" w:rsidRDefault="004118AF" w:rsidP="00E63F3F">
      <w:pPr>
        <w:pStyle w:val="Point1"/>
        <w:rPr>
          <w:rFonts w:eastAsia="Calibri"/>
        </w:rPr>
      </w:pPr>
      <w:r w:rsidRPr="007F7F7E">
        <w:t>3.</w:t>
      </w:r>
      <w:r w:rsidRPr="007F7F7E">
        <w:tab/>
      </w:r>
      <w:r w:rsidR="00DA07FB" w:rsidRPr="00E63F3F">
        <w:t>Всяка д</w:t>
      </w:r>
      <w:r w:rsidRPr="00E63F3F">
        <w:t>ържав</w:t>
      </w:r>
      <w:r w:rsidR="00DA07FB" w:rsidRPr="00E63F3F">
        <w:t>а</w:t>
      </w:r>
      <w:r w:rsidRPr="00E63F3F">
        <w:t xml:space="preserve"> членк</w:t>
      </w:r>
      <w:r w:rsidR="00DA07FB" w:rsidRPr="00E63F3F">
        <w:t>а</w:t>
      </w:r>
      <w:r w:rsidRPr="00E63F3F">
        <w:t xml:space="preserve"> гарантира, че други</w:t>
      </w:r>
      <w:r w:rsidR="004D2322">
        <w:t>те</w:t>
      </w:r>
      <w:r w:rsidRPr="00E63F3F">
        <w:t xml:space="preserve"> национални органи, отговарящи за разработването, изготвянето и разпространението на европейска статистика, изпълняват тези задачи в съответствие с националните насоки, изготвени от ръководителя на НСИ.</w:t>
      </w:r>
    </w:p>
    <w:p w:rsidR="004118AF" w:rsidRPr="00E63F3F" w:rsidRDefault="004118AF" w:rsidP="00E63F3F">
      <w:pPr>
        <w:pStyle w:val="Point1"/>
        <w:rPr>
          <w:rFonts w:eastAsia="Calibri"/>
        </w:rPr>
      </w:pPr>
      <w:r w:rsidRPr="00E63F3F">
        <w:t>4.</w:t>
      </w:r>
      <w:r w:rsidRPr="00E63F3F">
        <w:tab/>
        <w:t xml:space="preserve">Държавите членки гарантират, че процедурите за набиране и назначаване на ръководители на НСИ и, </w:t>
      </w:r>
      <w:r w:rsidR="00370D01" w:rsidRPr="00E63F3F">
        <w:t>когато е приложимо</w:t>
      </w:r>
      <w:r w:rsidRPr="00E63F3F">
        <w:t>, на ръководители по статистическите въпроси на други национални органи, които изготвят европейска статистика, са прозрачни и се основават единствено на професионални критерии. Те</w:t>
      </w:r>
      <w:r w:rsidR="007B5143" w:rsidRPr="00E63F3F">
        <w:t>зи процедури</w:t>
      </w:r>
      <w:r w:rsidRPr="00E63F3F">
        <w:t xml:space="preserve"> гарантират </w:t>
      </w:r>
      <w:r w:rsidR="007B5143" w:rsidRPr="00E63F3F">
        <w:t xml:space="preserve">спазването на принципа на </w:t>
      </w:r>
      <w:r w:rsidRPr="00E63F3F">
        <w:t>равни</w:t>
      </w:r>
      <w:r w:rsidR="007B5143" w:rsidRPr="00E63F3F">
        <w:t>те</w:t>
      </w:r>
      <w:r w:rsidRPr="00E63F3F">
        <w:t xml:space="preserve"> възможности, по-специално по отношение на пола. Причините за освобождаване от длъжност на ръководители на НСИ или прехвърлянето им на друга длъжност не </w:t>
      </w:r>
      <w:r w:rsidR="007B5143" w:rsidRPr="00E63F3F">
        <w:t xml:space="preserve">трябва да засягат </w:t>
      </w:r>
      <w:r w:rsidRPr="00E63F3F">
        <w:t>професионалната независимост.</w:t>
      </w:r>
    </w:p>
    <w:p w:rsidR="004118AF" w:rsidRPr="00E63F3F" w:rsidRDefault="002B69B1" w:rsidP="00B86DA0">
      <w:pPr>
        <w:pStyle w:val="Point1"/>
        <w:rPr>
          <w:rFonts w:eastAsia="Calibri"/>
        </w:rPr>
      </w:pPr>
      <w:r w:rsidRPr="00E63F3F">
        <w:br w:type="page"/>
      </w:r>
      <w:r w:rsidR="009A1B78" w:rsidRPr="00E63F3F">
        <w:t>5</w:t>
      </w:r>
      <w:r w:rsidR="004118AF" w:rsidRPr="00E63F3F">
        <w:t>.</w:t>
      </w:r>
      <w:r w:rsidR="004118AF" w:rsidRPr="00E63F3F">
        <w:tab/>
      </w:r>
      <w:r w:rsidR="00DA07FB" w:rsidRPr="00E63F3F">
        <w:t>Всяка д</w:t>
      </w:r>
      <w:r w:rsidR="004118AF" w:rsidRPr="00E63F3F">
        <w:t>ържав</w:t>
      </w:r>
      <w:r w:rsidR="00DA07FB" w:rsidRPr="00E63F3F">
        <w:t>а</w:t>
      </w:r>
      <w:r w:rsidR="004118AF" w:rsidRPr="00E63F3F">
        <w:t xml:space="preserve"> членк</w:t>
      </w:r>
      <w:r w:rsidR="00DA07FB" w:rsidRPr="00E63F3F">
        <w:t>а</w:t>
      </w:r>
      <w:r w:rsidR="004118AF" w:rsidRPr="00E63F3F">
        <w:t xml:space="preserve"> мо</w:t>
      </w:r>
      <w:r w:rsidR="00DA07FB" w:rsidRPr="00E63F3F">
        <w:t>же</w:t>
      </w:r>
      <w:r w:rsidR="004118AF" w:rsidRPr="00E63F3F">
        <w:t xml:space="preserve"> да създад</w:t>
      </w:r>
      <w:r w:rsidR="00DA07FB" w:rsidRPr="00E63F3F">
        <w:t>е</w:t>
      </w:r>
      <w:r w:rsidR="004118AF" w:rsidRPr="00E63F3F">
        <w:t xml:space="preserve"> национален орган за гарантиране на професионалната независимост на лицата, изготвящи европейска статистика. Ръководителите на НСИ и, когато е </w:t>
      </w:r>
      <w:r w:rsidR="007B5143" w:rsidRPr="00E63F3F">
        <w:t>приложимо</w:t>
      </w:r>
      <w:r w:rsidR="004118AF" w:rsidRPr="00E63F3F">
        <w:t xml:space="preserve">, ръководителите по статистическите въпроси на други национални органи, които изготвят европейска статистика, могат да получават експертни съвети от тези органи. Процедурите за назначаване, </w:t>
      </w:r>
      <w:r w:rsidR="007B5143" w:rsidRPr="00E63F3F">
        <w:t xml:space="preserve">преместване </w:t>
      </w:r>
      <w:r w:rsidR="004118AF" w:rsidRPr="00E63F3F">
        <w:t xml:space="preserve">и освобождаване на членове на тези органи </w:t>
      </w:r>
      <w:r w:rsidR="007B5143" w:rsidRPr="00E63F3F">
        <w:t xml:space="preserve">трябва да </w:t>
      </w:r>
      <w:r w:rsidR="004118AF" w:rsidRPr="00E63F3F">
        <w:t xml:space="preserve">са прозрачни и </w:t>
      </w:r>
      <w:r w:rsidR="007B5143" w:rsidRPr="00E63F3F">
        <w:t xml:space="preserve">да </w:t>
      </w:r>
      <w:r w:rsidR="004118AF" w:rsidRPr="00E63F3F">
        <w:t xml:space="preserve">се основават единствено на професионални критерии. Те гарантират </w:t>
      </w:r>
      <w:r w:rsidR="007B5143" w:rsidRPr="00E63F3F">
        <w:t xml:space="preserve">спазването на принципа на </w:t>
      </w:r>
      <w:r w:rsidR="004118AF" w:rsidRPr="00E63F3F">
        <w:t>равни</w:t>
      </w:r>
      <w:r w:rsidR="007B5143" w:rsidRPr="00E63F3F">
        <w:t>те</w:t>
      </w:r>
      <w:r w:rsidR="004118AF" w:rsidRPr="00E63F3F">
        <w:t xml:space="preserve"> възможности, по-специално по отношение на пола.</w:t>
      </w:r>
      <w:r w:rsidR="00B86DA0">
        <w:t>“</w:t>
      </w:r>
      <w:r w:rsidR="007B5143" w:rsidRPr="00E63F3F">
        <w:t>.</w:t>
      </w:r>
    </w:p>
    <w:p w:rsidR="004118AF" w:rsidRPr="007F7F7E" w:rsidRDefault="004118AF" w:rsidP="00E63F3F">
      <w:pPr>
        <w:pStyle w:val="Point0"/>
        <w:rPr>
          <w:rFonts w:eastAsia="Calibri"/>
        </w:rPr>
      </w:pPr>
      <w:r w:rsidRPr="007F7F7E">
        <w:t>4)</w:t>
      </w:r>
      <w:r w:rsidR="00E63F3F" w:rsidRPr="00E63F3F">
        <w:tab/>
      </w:r>
      <w:r w:rsidRPr="00E63F3F">
        <w:t>В член 6 параграфи 2 и 3 се заменят със следното:</w:t>
      </w:r>
    </w:p>
    <w:p w:rsidR="004118AF" w:rsidRPr="00E63F3F" w:rsidRDefault="00237BA9" w:rsidP="00E63F3F">
      <w:pPr>
        <w:pStyle w:val="Point1"/>
        <w:rPr>
          <w:rFonts w:eastAsia="Calibri"/>
        </w:rPr>
      </w:pPr>
      <w:r>
        <w:t>„</w:t>
      </w:r>
      <w:r w:rsidR="004118AF" w:rsidRPr="00E63F3F">
        <w:t>2.</w:t>
      </w:r>
      <w:r w:rsidR="004118AF" w:rsidRPr="00E63F3F">
        <w:tab/>
        <w:t xml:space="preserve">На равнището на Съюза Комисията (Евростат) е независима в действията си </w:t>
      </w:r>
      <w:r w:rsidR="007B5143" w:rsidRPr="00E63F3F">
        <w:t xml:space="preserve">по </w:t>
      </w:r>
      <w:r w:rsidR="004118AF" w:rsidRPr="00E63F3F">
        <w:t>осигуряване на изготвянето на европейска статистика в съответствие с установените правила и статистически принципи.</w:t>
      </w:r>
    </w:p>
    <w:p w:rsidR="004118AF" w:rsidRPr="00E63F3F" w:rsidRDefault="004118AF" w:rsidP="00E63F3F">
      <w:pPr>
        <w:pStyle w:val="Point1"/>
      </w:pPr>
      <w:r w:rsidRPr="00E63F3F">
        <w:t>3.</w:t>
      </w:r>
      <w:r w:rsidRPr="00E63F3F">
        <w:tab/>
        <w:t>Без да се засяга член 5 от Протокол</w:t>
      </w:r>
      <w:r w:rsidR="007B5143" w:rsidRPr="00E63F3F">
        <w:t xml:space="preserve"> №4</w:t>
      </w:r>
      <w:r w:rsidRPr="00E63F3F">
        <w:t xml:space="preserve"> относно устава на Европейската система на централните банки и </w:t>
      </w:r>
      <w:r w:rsidR="007B5143" w:rsidRPr="00E63F3F">
        <w:t xml:space="preserve">на </w:t>
      </w:r>
      <w:r w:rsidRPr="00E63F3F">
        <w:t xml:space="preserve">Европейската централна банка, Комисията (Евростат) координира статистическите дейности на институциите и органите на Съюза, по-специално с оглед на гарантиране на последователността и качеството на данните и свеждането до минимум на отчетната тежест. За тази цел Комисията (Евростат) може да покани всяка институция или орган на Съюза за </w:t>
      </w:r>
      <w:r w:rsidR="007B5143" w:rsidRPr="00E63F3F">
        <w:t xml:space="preserve">предоставяне на </w:t>
      </w:r>
      <w:r w:rsidRPr="00E63F3F">
        <w:t>консулт</w:t>
      </w:r>
      <w:r w:rsidR="007B5143" w:rsidRPr="00E63F3F">
        <w:t>ации</w:t>
      </w:r>
      <w:r w:rsidRPr="00E63F3F">
        <w:t xml:space="preserve"> или сътрудничество с нея за целите на разработването на методи и системи за статистически цели в техните съответни области на компетентност. Всяка от тези институции или органи, които предлагат да изготвят статистика, се консултира с Комисията (Евростат) и взема под внимание препоръките, които Комисията (Евростат) би могла да отправи към тях в този контекст.</w:t>
      </w:r>
      <w:r w:rsidR="00237BA9">
        <w:t>“</w:t>
      </w:r>
      <w:r w:rsidR="007B5143" w:rsidRPr="00E63F3F">
        <w:t>.</w:t>
      </w:r>
    </w:p>
    <w:p w:rsidR="009A1B78" w:rsidRPr="007F7F7E" w:rsidRDefault="002B69B1" w:rsidP="00C40D62">
      <w:pPr>
        <w:pStyle w:val="Point0"/>
        <w:rPr>
          <w:rFonts w:eastAsia="Calibri"/>
        </w:rPr>
      </w:pPr>
      <w:r>
        <w:br w:type="page"/>
      </w:r>
      <w:r w:rsidR="009A1B78">
        <w:t>5</w:t>
      </w:r>
      <w:r w:rsidR="00DA07FB">
        <w:t>)</w:t>
      </w:r>
      <w:r w:rsidR="009A1B78">
        <w:tab/>
      </w:r>
      <w:r w:rsidR="007B5143">
        <w:t>Вмъква се следният член:</w:t>
      </w:r>
    </w:p>
    <w:p w:rsidR="004118AF" w:rsidRPr="009E63F7" w:rsidRDefault="00B86DA0" w:rsidP="009E63F7">
      <w:pPr>
        <w:pStyle w:val="Text1"/>
        <w:rPr>
          <w:rFonts w:eastAsia="Calibri"/>
          <w:i/>
          <w:iCs/>
        </w:rPr>
      </w:pPr>
      <w:r>
        <w:rPr>
          <w:i/>
          <w:iCs/>
        </w:rPr>
        <w:t>„</w:t>
      </w:r>
      <w:r w:rsidR="004118AF" w:rsidRPr="009E63F7">
        <w:rPr>
          <w:i/>
          <w:iCs/>
        </w:rPr>
        <w:t>Член 6а</w:t>
      </w:r>
      <w:r w:rsidR="009E63F7" w:rsidRPr="009E63F7">
        <w:rPr>
          <w:i/>
          <w:iCs/>
        </w:rPr>
        <w:br/>
      </w:r>
      <w:r w:rsidR="004118AF" w:rsidRPr="009E63F7">
        <w:rPr>
          <w:i/>
          <w:iCs/>
        </w:rPr>
        <w:t>Генерален директор на Комисията (Евростат)</w:t>
      </w:r>
    </w:p>
    <w:p w:rsidR="004118AF" w:rsidRPr="00237BA9" w:rsidRDefault="004118AF" w:rsidP="009E63F7">
      <w:pPr>
        <w:pStyle w:val="Point1"/>
        <w:rPr>
          <w:rFonts w:eastAsia="Calibri"/>
        </w:rPr>
      </w:pPr>
      <w:r w:rsidRPr="00237BA9">
        <w:t>1.</w:t>
      </w:r>
      <w:r w:rsidRPr="00237BA9">
        <w:tab/>
        <w:t>Евростат е статистическият орган на Съюза и генерална дирекция на Комисията. Той се ръководи от генерален директор.</w:t>
      </w:r>
    </w:p>
    <w:p w:rsidR="004118AF" w:rsidRPr="00237BA9" w:rsidRDefault="004118AF" w:rsidP="004D2322">
      <w:pPr>
        <w:pStyle w:val="Point1"/>
        <w:rPr>
          <w:rFonts w:eastAsia="Calibri"/>
        </w:rPr>
      </w:pPr>
      <w:r w:rsidRPr="00237BA9">
        <w:t>2.</w:t>
      </w:r>
      <w:r w:rsidRPr="00237BA9">
        <w:tab/>
        <w:t>Комисията гарантира, че процедур</w:t>
      </w:r>
      <w:r w:rsidR="004D2322">
        <w:t>ата</w:t>
      </w:r>
      <w:r w:rsidRPr="00237BA9">
        <w:t xml:space="preserve"> за назначаване на генералния директор на Евростат е прозрачна и се основава на професионални критерии. Процедурата гарантира</w:t>
      </w:r>
      <w:r w:rsidR="007B5143" w:rsidRPr="00237BA9">
        <w:t xml:space="preserve"> спазването на принципа на</w:t>
      </w:r>
      <w:r w:rsidRPr="00237BA9">
        <w:t xml:space="preserve"> равни</w:t>
      </w:r>
      <w:r w:rsidR="007B5143" w:rsidRPr="00237BA9">
        <w:t>те</w:t>
      </w:r>
      <w:r w:rsidRPr="00237BA9">
        <w:t xml:space="preserve"> възможности, по-специално по отношение на пола.</w:t>
      </w:r>
    </w:p>
    <w:p w:rsidR="004118AF" w:rsidRPr="00237BA9" w:rsidRDefault="004118AF" w:rsidP="009E63F7">
      <w:pPr>
        <w:pStyle w:val="Point1"/>
        <w:rPr>
          <w:rFonts w:eastAsia="Calibri"/>
        </w:rPr>
      </w:pPr>
      <w:r w:rsidRPr="00237BA9">
        <w:t>3.</w:t>
      </w:r>
      <w:r w:rsidRPr="00237BA9">
        <w:tab/>
        <w:t>Генералният директор носи изключителна отговорност за вземане на решения за процесите, статистическите методи, стандарти и процедури, както и за съдържанието и момента на оповестяване на статистическите съобщения и публикации за всички статистики, изготвени от Евростат. При изпълнението на тези статистически задачи генералният директор е независим в действията си и не търси и не получава указания от институции или органи на Съюза, нито от правителства или от други институции, органи, служби или агенции.</w:t>
      </w:r>
    </w:p>
    <w:p w:rsidR="004118AF" w:rsidRPr="00237BA9" w:rsidRDefault="004118AF" w:rsidP="004D2322">
      <w:pPr>
        <w:pStyle w:val="Point1"/>
        <w:rPr>
          <w:rFonts w:eastAsia="Calibri"/>
        </w:rPr>
      </w:pPr>
      <w:r w:rsidRPr="00237BA9">
        <w:t>4.</w:t>
      </w:r>
      <w:r w:rsidRPr="00237BA9">
        <w:tab/>
        <w:t>Генералният директор на Евростат отговаря за статистическите дейности на Евростат. В рамките на диалог</w:t>
      </w:r>
      <w:r w:rsidR="007B5143" w:rsidRPr="00237BA9">
        <w:t>а</w:t>
      </w:r>
      <w:r w:rsidRPr="00237BA9">
        <w:t xml:space="preserve"> по въпросите на статистиката генералният директор се явява веднага след назначаването си от Комисията и всяка година след това пред съответната комисия на Европейския парламент за обсъждане на въпроси, свързани със статистическо управление, методология и </w:t>
      </w:r>
      <w:r w:rsidR="004D2322">
        <w:t xml:space="preserve">статистически </w:t>
      </w:r>
      <w:r w:rsidRPr="00237BA9">
        <w:t>иновации</w:t>
      </w:r>
      <w:r w:rsidR="009A1B78" w:rsidRPr="00237BA9">
        <w:t>.</w:t>
      </w:r>
      <w:r w:rsidRPr="00237BA9">
        <w:t xml:space="preserve"> </w:t>
      </w:r>
      <w:r w:rsidR="009A1B78" w:rsidRPr="00237BA9">
        <w:t>Генералният директор на Евростат</w:t>
      </w:r>
      <w:r w:rsidRPr="00237BA9">
        <w:t xml:space="preserve"> публикува годишен доклад.</w:t>
      </w:r>
      <w:r w:rsidR="00B86DA0">
        <w:t>“</w:t>
      </w:r>
      <w:r w:rsidR="00831996" w:rsidRPr="00237BA9">
        <w:t>.</w:t>
      </w:r>
    </w:p>
    <w:p w:rsidR="004118AF" w:rsidRPr="00237BA9" w:rsidRDefault="004118AF" w:rsidP="009E63F7">
      <w:pPr>
        <w:pStyle w:val="Point0"/>
        <w:rPr>
          <w:rFonts w:eastAsia="Calibri"/>
        </w:rPr>
      </w:pPr>
      <w:r w:rsidRPr="00237BA9">
        <w:br w:type="page"/>
      </w:r>
      <w:r w:rsidR="009E63F7" w:rsidRPr="009E63F7">
        <w:t>6</w:t>
      </w:r>
      <w:r w:rsidRPr="00237BA9">
        <w:t>)</w:t>
      </w:r>
      <w:r w:rsidR="00EF79EB">
        <w:tab/>
      </w:r>
      <w:r w:rsidRPr="00237BA9">
        <w:t>В член 11 се добавя</w:t>
      </w:r>
      <w:r w:rsidR="00831996" w:rsidRPr="00237BA9">
        <w:t>т</w:t>
      </w:r>
      <w:r w:rsidRPr="00237BA9">
        <w:t xml:space="preserve"> </w:t>
      </w:r>
      <w:r w:rsidR="00831996" w:rsidRPr="00237BA9">
        <w:t xml:space="preserve">следните </w:t>
      </w:r>
      <w:r w:rsidRPr="00237BA9">
        <w:t>параграф</w:t>
      </w:r>
      <w:r w:rsidR="00831996" w:rsidRPr="00237BA9">
        <w:t>и</w:t>
      </w:r>
      <w:r w:rsidRPr="00237BA9">
        <w:t>:</w:t>
      </w:r>
    </w:p>
    <w:p w:rsidR="004118AF" w:rsidRPr="00237BA9" w:rsidRDefault="00B86DA0" w:rsidP="004D2322">
      <w:pPr>
        <w:pStyle w:val="Point1"/>
        <w:rPr>
          <w:rFonts w:eastAsia="Calibri"/>
        </w:rPr>
      </w:pPr>
      <w:r>
        <w:t>„</w:t>
      </w:r>
      <w:r w:rsidR="004118AF" w:rsidRPr="00237BA9">
        <w:t>3.</w:t>
      </w:r>
      <w:r w:rsidR="004118AF" w:rsidRPr="00237BA9">
        <w:tab/>
        <w:t>Държавите членки и Комисията предприемат всички необходими мерки за запазване на доверието в европейската статистика. За тази цел „ангажиментите във връзка с доверието в статистиката“</w:t>
      </w:r>
      <w:r w:rsidR="009A1B78" w:rsidRPr="00237BA9">
        <w:t xml:space="preserve"> (</w:t>
      </w:r>
      <w:r w:rsidR="00831996" w:rsidRPr="00237BA9">
        <w:t xml:space="preserve">наричани по-долу </w:t>
      </w:r>
      <w:r w:rsidR="009A1B78" w:rsidRPr="00237BA9">
        <w:t>„</w:t>
      </w:r>
      <w:r w:rsidR="00831996" w:rsidRPr="00237BA9">
        <w:t>а</w:t>
      </w:r>
      <w:r w:rsidR="009A1B78" w:rsidRPr="00237BA9">
        <w:t>нгажиментите“)</w:t>
      </w:r>
      <w:r w:rsidR="004118AF" w:rsidRPr="00237BA9">
        <w:t xml:space="preserve"> </w:t>
      </w:r>
      <w:r w:rsidR="00DA07FB" w:rsidRPr="00237BA9">
        <w:t>на</w:t>
      </w:r>
      <w:r w:rsidR="004118AF" w:rsidRPr="00237BA9">
        <w:t xml:space="preserve"> държавите членки и </w:t>
      </w:r>
      <w:r w:rsidR="00DA07FB" w:rsidRPr="00237BA9">
        <w:t xml:space="preserve">на </w:t>
      </w:r>
      <w:r w:rsidR="004118AF" w:rsidRPr="00237BA9">
        <w:t xml:space="preserve">Комисията имат за цел и гарантиране на </w:t>
      </w:r>
      <w:r w:rsidR="00164B76" w:rsidRPr="00237BA9">
        <w:t xml:space="preserve">общественото </w:t>
      </w:r>
      <w:r w:rsidR="004118AF" w:rsidRPr="00237BA9">
        <w:t>доверие в европейската статистика и напредък</w:t>
      </w:r>
      <w:r w:rsidR="00164B76" w:rsidRPr="00237BA9">
        <w:t>а</w:t>
      </w:r>
      <w:r w:rsidR="004118AF" w:rsidRPr="00237BA9">
        <w:t xml:space="preserve"> при спазването на статистическите принципи, които се съдържат в Кодекса на практика</w:t>
      </w:r>
      <w:r w:rsidR="00831996" w:rsidRPr="00237BA9">
        <w:t>та</w:t>
      </w:r>
      <w:r w:rsidR="004118AF" w:rsidRPr="00237BA9">
        <w:t xml:space="preserve">. Тези ангажименти включват конкретни политически ангажименти за подобряване или </w:t>
      </w:r>
      <w:r w:rsidR="0046387A">
        <w:t>запазване</w:t>
      </w:r>
      <w:r w:rsidR="004118AF" w:rsidRPr="00237BA9">
        <w:t xml:space="preserve">, </w:t>
      </w:r>
      <w:r w:rsidR="004D2322">
        <w:t xml:space="preserve">при </w:t>
      </w:r>
      <w:r w:rsidR="004118AF" w:rsidRPr="00237BA9">
        <w:t>необходимо</w:t>
      </w:r>
      <w:r w:rsidR="004D2322">
        <w:t>ст</w:t>
      </w:r>
      <w:r w:rsidR="004118AF" w:rsidRPr="00237BA9">
        <w:t xml:space="preserve">, на условията за прилагането на Кодекса </w:t>
      </w:r>
      <w:r w:rsidR="00831996" w:rsidRPr="00237BA9">
        <w:t xml:space="preserve">на практиката </w:t>
      </w:r>
      <w:r w:rsidR="004118AF" w:rsidRPr="00237BA9">
        <w:t>и се публикуват с обобщение за гражданите.</w:t>
      </w:r>
    </w:p>
    <w:p w:rsidR="004118AF" w:rsidRPr="00237BA9" w:rsidRDefault="009A1B78" w:rsidP="009E63F7">
      <w:pPr>
        <w:pStyle w:val="Point1"/>
        <w:rPr>
          <w:rFonts w:eastAsia="Calibri"/>
        </w:rPr>
      </w:pPr>
      <w:r w:rsidRPr="00237BA9">
        <w:t>4</w:t>
      </w:r>
      <w:r w:rsidR="00831996" w:rsidRPr="00237BA9">
        <w:t>.</w:t>
      </w:r>
      <w:r w:rsidR="004118AF" w:rsidRPr="00237BA9">
        <w:tab/>
      </w:r>
      <w:r w:rsidR="00DA07FB" w:rsidRPr="00237BA9">
        <w:t>А</w:t>
      </w:r>
      <w:r w:rsidR="004118AF" w:rsidRPr="00237BA9">
        <w:t>нгажименти</w:t>
      </w:r>
      <w:r w:rsidR="00DA07FB" w:rsidRPr="00237BA9">
        <w:t>те</w:t>
      </w:r>
      <w:r w:rsidR="004118AF" w:rsidRPr="00237BA9">
        <w:t xml:space="preserve"> на държавите членки са обект на редовно наблюдение от страна на Комисията въз основа на годишните доклади, изпращани от държавите членки, и при необходимост се актуализират.</w:t>
      </w:r>
    </w:p>
    <w:p w:rsidR="004118AF" w:rsidRPr="00237BA9" w:rsidRDefault="00831996" w:rsidP="009E63F7">
      <w:pPr>
        <w:pStyle w:val="Text2"/>
        <w:rPr>
          <w:rFonts w:eastAsia="Calibri"/>
        </w:rPr>
      </w:pPr>
      <w:r w:rsidRPr="00237BA9">
        <w:t>Ако до …</w:t>
      </w:r>
      <w:r w:rsidRPr="00237BA9">
        <w:rPr>
          <w:rStyle w:val="FootnoteReference"/>
        </w:rPr>
        <w:footnoteReference w:customMarkFollows="1" w:id="8"/>
        <w:sym w:font="Symbol" w:char="F02B"/>
      </w:r>
      <w:r w:rsidRPr="00237BA9">
        <w:t xml:space="preserve"> няма </w:t>
      </w:r>
      <w:r w:rsidR="004118AF" w:rsidRPr="00237BA9">
        <w:t>публикуван ангажимент</w:t>
      </w:r>
      <w:r w:rsidRPr="00237BA9">
        <w:t xml:space="preserve"> </w:t>
      </w:r>
      <w:r w:rsidR="004118AF" w:rsidRPr="00237BA9">
        <w:t>държавата членка представя на Комисията и оповестява публично доклад за напредъка относно прилагането на Кодекса на практика</w:t>
      </w:r>
      <w:r w:rsidRPr="00237BA9">
        <w:t>та</w:t>
      </w:r>
      <w:r w:rsidR="004118AF" w:rsidRPr="00237BA9">
        <w:t xml:space="preserve"> и, ако е приложимо, относно положените усилия за </w:t>
      </w:r>
      <w:r w:rsidRPr="00237BA9">
        <w:t xml:space="preserve">поемане </w:t>
      </w:r>
      <w:r w:rsidR="004118AF" w:rsidRPr="00237BA9">
        <w:t>на ангажимент</w:t>
      </w:r>
      <w:r w:rsidRPr="00237BA9">
        <w:t>.</w:t>
      </w:r>
      <w:r w:rsidR="00164B76" w:rsidRPr="00237BA9">
        <w:t xml:space="preserve"> </w:t>
      </w:r>
      <w:r w:rsidR="004118AF" w:rsidRPr="00237BA9">
        <w:t xml:space="preserve">Тези доклади за напредъка се актуализират периодично, най-малко на всеки </w:t>
      </w:r>
      <w:r w:rsidRPr="00237BA9">
        <w:t>две </w:t>
      </w:r>
      <w:r w:rsidR="004118AF" w:rsidRPr="00237BA9">
        <w:t>години след първоначалното им публикуване.</w:t>
      </w:r>
    </w:p>
    <w:p w:rsidR="004118AF" w:rsidRPr="00237BA9" w:rsidRDefault="004118AF" w:rsidP="00FD2D1B">
      <w:pPr>
        <w:pStyle w:val="Text2"/>
        <w:rPr>
          <w:rFonts w:eastAsia="Calibri"/>
        </w:rPr>
      </w:pPr>
      <w:r w:rsidRPr="00237BA9">
        <w:t xml:space="preserve">Комисията докладва на Европейския парламент и на Съвета относно публикуваните ангажименти и, </w:t>
      </w:r>
      <w:r w:rsidR="00831996" w:rsidRPr="00237BA9">
        <w:t xml:space="preserve">когато е </w:t>
      </w:r>
      <w:r w:rsidRPr="00237BA9">
        <w:t xml:space="preserve">целесъобразно, </w:t>
      </w:r>
      <w:r w:rsidR="00831996" w:rsidRPr="00237BA9">
        <w:t xml:space="preserve">относно </w:t>
      </w:r>
      <w:r w:rsidRPr="00237BA9">
        <w:t>докладите за напредъка</w:t>
      </w:r>
      <w:r w:rsidR="00831996" w:rsidRPr="00237BA9">
        <w:t xml:space="preserve"> до</w:t>
      </w:r>
      <w:r w:rsidRPr="00237BA9">
        <w:t xml:space="preserve"> </w:t>
      </w:r>
      <w:r w:rsidR="009A1B78" w:rsidRPr="00237BA9">
        <w:t>…</w:t>
      </w:r>
      <w:r w:rsidR="005C7619" w:rsidRPr="00237BA9">
        <w:rPr>
          <w:rStyle w:val="FootnoteReference"/>
        </w:rPr>
        <w:footnoteReference w:customMarkFollows="1" w:id="9"/>
        <w:sym w:font="Symbol" w:char="F02B"/>
      </w:r>
      <w:r w:rsidR="005C7619" w:rsidRPr="00237BA9">
        <w:rPr>
          <w:rStyle w:val="FootnoteReference"/>
        </w:rPr>
        <w:sym w:font="Symbol" w:char="F02B"/>
      </w:r>
      <w:r w:rsidR="00FD2D1B" w:rsidRPr="00FD2D1B">
        <w:t xml:space="preserve"> </w:t>
      </w:r>
      <w:r w:rsidRPr="00237BA9">
        <w:t xml:space="preserve">и на всеки </w:t>
      </w:r>
      <w:r w:rsidR="009A1B78" w:rsidRPr="00237BA9">
        <w:t>две</w:t>
      </w:r>
      <w:r w:rsidR="00831996" w:rsidRPr="00237BA9">
        <w:t xml:space="preserve"> </w:t>
      </w:r>
      <w:r w:rsidRPr="00237BA9">
        <w:t>години след това.</w:t>
      </w:r>
    </w:p>
    <w:p w:rsidR="004118AF" w:rsidRPr="00237BA9" w:rsidRDefault="00FD2D1B" w:rsidP="00B86DA0">
      <w:pPr>
        <w:pStyle w:val="Point1"/>
      </w:pPr>
      <w:r>
        <w:br w:type="page"/>
      </w:r>
      <w:r w:rsidR="004118AF" w:rsidRPr="00237BA9">
        <w:t>5</w:t>
      </w:r>
      <w:r w:rsidR="00831996" w:rsidRPr="00237BA9">
        <w:t>.</w:t>
      </w:r>
      <w:r w:rsidR="004118AF" w:rsidRPr="00237BA9">
        <w:tab/>
      </w:r>
      <w:r w:rsidR="00831996" w:rsidRPr="00237BA9">
        <w:t xml:space="preserve">Поетият от Комисията </w:t>
      </w:r>
      <w:r w:rsidR="004118AF" w:rsidRPr="00237BA9">
        <w:t>ангажимент е обект на редовно наблюдение от Европейския консултативен съвет за статистическо управление (ESGAB). Оценката на ESGAB относно изпълнението на този ангажимент се включва в неговия годишен доклад, представян на Европейския парламент и на Съвета в съответствие с Решение № 235/2008/EО</w:t>
      </w:r>
      <w:r w:rsidR="00387885" w:rsidRPr="00237BA9">
        <w:t xml:space="preserve"> на Европейския парламент и на Съвета</w:t>
      </w:r>
      <w:r w:rsidR="00387885" w:rsidRPr="00B86DA0">
        <w:rPr>
          <w:rFonts w:eastAsia="Calibri"/>
          <w:vertAlign w:val="superscript"/>
        </w:rPr>
        <w:sym w:font="Symbol" w:char="F02A"/>
      </w:r>
      <w:r w:rsidR="004118AF" w:rsidRPr="00237BA9">
        <w:t xml:space="preserve">. ESGAB докладва на Европейския парламент и на Съвета за изпълнението на посочения ангажимент </w:t>
      </w:r>
      <w:r w:rsidR="00831996" w:rsidRPr="00237BA9">
        <w:t>до</w:t>
      </w:r>
      <w:r w:rsidR="004118AF" w:rsidRPr="00237BA9">
        <w:t xml:space="preserve"> </w:t>
      </w:r>
      <w:r w:rsidR="00387885" w:rsidRPr="00237BA9">
        <w:t>…</w:t>
      </w:r>
      <w:r w:rsidR="00B86DA0" w:rsidRPr="00B86DA0">
        <w:rPr>
          <w:rStyle w:val="FootnoteReference"/>
        </w:rPr>
        <w:footnoteReference w:customMarkFollows="1" w:id="10"/>
        <w:sym w:font="Symbol" w:char="F02B"/>
      </w:r>
      <w:r w:rsidR="004118AF" w:rsidRPr="00237BA9">
        <w:t>.</w:t>
      </w:r>
    </w:p>
    <w:p w:rsidR="00387885" w:rsidRPr="00237BA9" w:rsidRDefault="00387885" w:rsidP="00FD2D1B">
      <w:pPr>
        <w:pStyle w:val="Text1"/>
      </w:pPr>
      <w:r w:rsidRPr="00237BA9">
        <w:t>____________________________</w:t>
      </w:r>
    </w:p>
    <w:p w:rsidR="00387885" w:rsidRPr="00237BA9" w:rsidRDefault="00387885" w:rsidP="00B86DA0">
      <w:pPr>
        <w:pStyle w:val="Point1"/>
        <w:spacing w:line="240" w:lineRule="auto"/>
        <w:ind w:left="1418"/>
        <w:rPr>
          <w:rFonts w:eastAsia="Calibri"/>
        </w:rPr>
      </w:pPr>
      <w:r w:rsidRPr="00237BA9">
        <w:rPr>
          <w:rFonts w:eastAsia="Calibri"/>
          <w:vertAlign w:val="superscript"/>
        </w:rPr>
        <w:sym w:font="Symbol" w:char="F02A"/>
      </w:r>
      <w:r w:rsidRPr="00237BA9">
        <w:rPr>
          <w:rFonts w:eastAsia="Calibri"/>
          <w:vertAlign w:val="superscript"/>
        </w:rPr>
        <w:tab/>
      </w:r>
      <w:r w:rsidRPr="00237BA9">
        <w:rPr>
          <w:rFonts w:eastAsia="Calibri"/>
        </w:rPr>
        <w:t>Решение № 235/2008/ЕО на Европейския парламент и на Съвета от 11 март 2008 г</w:t>
      </w:r>
      <w:r w:rsidR="00831996" w:rsidRPr="00237BA9">
        <w:rPr>
          <w:rFonts w:eastAsia="Calibri"/>
        </w:rPr>
        <w:t>.</w:t>
      </w:r>
      <w:r w:rsidRPr="00237BA9">
        <w:rPr>
          <w:rFonts w:eastAsia="Calibri"/>
        </w:rPr>
        <w:t xml:space="preserve"> за създаване на Европейски консултативен съвет за статистическо управление (OB L 73, 15.3.2008 г., стр. 17).</w:t>
      </w:r>
      <w:r w:rsidR="00B86DA0">
        <w:rPr>
          <w:rFonts w:eastAsia="Calibri"/>
        </w:rPr>
        <w:t>“</w:t>
      </w:r>
      <w:r w:rsidR="00831996" w:rsidRPr="00237BA9">
        <w:rPr>
          <w:rFonts w:eastAsia="Calibri"/>
        </w:rPr>
        <w:t>.</w:t>
      </w:r>
    </w:p>
    <w:p w:rsidR="004118AF" w:rsidRPr="00237BA9" w:rsidRDefault="00387885" w:rsidP="009E63F7">
      <w:pPr>
        <w:pStyle w:val="Point0"/>
        <w:rPr>
          <w:rFonts w:eastAsia="Calibri"/>
        </w:rPr>
      </w:pPr>
      <w:r w:rsidRPr="00237BA9">
        <w:t>7)</w:t>
      </w:r>
      <w:r w:rsidRPr="00237BA9">
        <w:tab/>
      </w:r>
      <w:r w:rsidR="004118AF" w:rsidRPr="00237BA9">
        <w:t>Член 12 се изменя, както следва:</w:t>
      </w:r>
    </w:p>
    <w:p w:rsidR="004118AF" w:rsidRPr="00237BA9" w:rsidRDefault="004118AF" w:rsidP="009E63F7">
      <w:pPr>
        <w:pStyle w:val="Point1"/>
        <w:rPr>
          <w:rFonts w:eastAsia="Calibri"/>
        </w:rPr>
      </w:pPr>
      <w:r w:rsidRPr="00237BA9">
        <w:t>а)</w:t>
      </w:r>
      <w:r w:rsidR="00EF79EB">
        <w:tab/>
      </w:r>
      <w:r w:rsidRPr="00237BA9">
        <w:t>параграфи 2 и 3 се заменят със следното:</w:t>
      </w:r>
    </w:p>
    <w:p w:rsidR="004118AF" w:rsidRPr="00237BA9" w:rsidRDefault="004118AF" w:rsidP="00C32474">
      <w:pPr>
        <w:pStyle w:val="Point2"/>
        <w:rPr>
          <w:rFonts w:eastAsia="Calibri"/>
        </w:rPr>
      </w:pPr>
      <w:r w:rsidRPr="00237BA9">
        <w:t>„2.</w:t>
      </w:r>
      <w:r w:rsidRPr="00237BA9">
        <w:tab/>
        <w:t xml:space="preserve">В секторното законодателство </w:t>
      </w:r>
      <w:r w:rsidR="00C32474" w:rsidRPr="00237BA9">
        <w:t xml:space="preserve">също </w:t>
      </w:r>
      <w:r w:rsidRPr="00237BA9">
        <w:t xml:space="preserve">могат да бъдат предвидени </w:t>
      </w:r>
      <w:r w:rsidR="00831996" w:rsidRPr="00237BA9">
        <w:t xml:space="preserve">специални </w:t>
      </w:r>
      <w:r w:rsidRPr="00237BA9">
        <w:t>изисквания за качество, като целеви стойности и минимални стандарти за изготвяне на статистика.</w:t>
      </w:r>
    </w:p>
    <w:p w:rsidR="004118AF" w:rsidRPr="00237BA9" w:rsidRDefault="004118AF" w:rsidP="009E63F7">
      <w:pPr>
        <w:pStyle w:val="Text3"/>
        <w:rPr>
          <w:rFonts w:eastAsia="Calibri"/>
        </w:rPr>
      </w:pPr>
      <w:r w:rsidRPr="00237BA9">
        <w:t xml:space="preserve">С цел да се гарантира еднаквото прилагане на критериите за качество, предвидени в параграф 1, спрямо данните, обхванати от секторното законодателство в конкретни статистически области, Комисията приема актове за изпълнение за </w:t>
      </w:r>
      <w:r w:rsidR="00831996" w:rsidRPr="00237BA9">
        <w:t xml:space="preserve">установяване </w:t>
      </w:r>
      <w:r w:rsidRPr="00237BA9">
        <w:t>на условията, структурата и периодичността на докладите за качеството, обхванати от секторното законодателство. Тези актове за изпълнение се приемат в съответствие с процедурата по разглеждане, посочена в член 27, параграф 2.</w:t>
      </w:r>
    </w:p>
    <w:p w:rsidR="004118AF" w:rsidRPr="00237BA9" w:rsidRDefault="004118AF" w:rsidP="009E63F7">
      <w:pPr>
        <w:pStyle w:val="Point2"/>
        <w:rPr>
          <w:rFonts w:eastAsia="Calibri"/>
        </w:rPr>
      </w:pPr>
      <w:r w:rsidRPr="00237BA9">
        <w:br w:type="page"/>
        <w:t>3.</w:t>
      </w:r>
      <w:r w:rsidRPr="00237BA9">
        <w:tab/>
        <w:t xml:space="preserve">Държавите членки представят на Комисията (Евростат) доклади относно качеството на предадените данни, </w:t>
      </w:r>
      <w:r w:rsidR="00831996" w:rsidRPr="00237BA9">
        <w:t xml:space="preserve">включващи </w:t>
      </w:r>
      <w:r w:rsidRPr="00237BA9">
        <w:t>всякакви опасения относно точността на данните. Комисията (Евростат) оценява качеството на предадените данни въз основа на подходящ анализ и изготвя и публикува доклади и съобщения относно качеството на европейската статистика.</w:t>
      </w:r>
      <w:r w:rsidR="00831996" w:rsidRPr="00237BA9">
        <w:t>";</w:t>
      </w:r>
    </w:p>
    <w:p w:rsidR="004118AF" w:rsidRPr="00237BA9" w:rsidRDefault="004118AF" w:rsidP="009E63F7">
      <w:pPr>
        <w:pStyle w:val="Point1"/>
        <w:rPr>
          <w:rFonts w:eastAsia="Calibri"/>
        </w:rPr>
      </w:pPr>
      <w:r w:rsidRPr="00237BA9">
        <w:t>б)</w:t>
      </w:r>
      <w:r w:rsidR="00EF79EB">
        <w:tab/>
      </w:r>
      <w:r w:rsidRPr="00237BA9">
        <w:t>добавят се следните параграфи:</w:t>
      </w:r>
    </w:p>
    <w:p w:rsidR="004118AF" w:rsidRPr="00237BA9" w:rsidRDefault="004118AF" w:rsidP="009E63F7">
      <w:pPr>
        <w:pStyle w:val="Point2"/>
        <w:rPr>
          <w:rFonts w:eastAsia="Calibri"/>
        </w:rPr>
      </w:pPr>
      <w:r w:rsidRPr="00237BA9">
        <w:t>„</w:t>
      </w:r>
      <w:r w:rsidR="00387885" w:rsidRPr="00237BA9">
        <w:t>4</w:t>
      </w:r>
      <w:r w:rsidRPr="00237BA9">
        <w:t>.</w:t>
      </w:r>
      <w:r w:rsidRPr="00237BA9">
        <w:tab/>
        <w:t>В интерес на прозрачността и когато това е целесъобразно, Комисията (Евростат) оповестява публично своята оценка на качеството на националния принос в европейската статистика.</w:t>
      </w:r>
    </w:p>
    <w:p w:rsidR="004118AF" w:rsidRPr="00237BA9" w:rsidRDefault="00387885" w:rsidP="00FD2D1B">
      <w:pPr>
        <w:pStyle w:val="Point2"/>
        <w:rPr>
          <w:rFonts w:eastAsia="Calibri"/>
        </w:rPr>
      </w:pPr>
      <w:r w:rsidRPr="00237BA9">
        <w:t>5</w:t>
      </w:r>
      <w:r w:rsidR="004118AF" w:rsidRPr="00237BA9">
        <w:t>.</w:t>
      </w:r>
      <w:r w:rsidR="004118AF" w:rsidRPr="00237BA9">
        <w:tab/>
        <w:t xml:space="preserve">Когато в секторното законодателство се предвиждат глоби в случаите, когато държавите членки представят погрешно статистически данни, Комисията може, при необходимост и в съответствие с Договорите и приложимото секторно законодателство, да </w:t>
      </w:r>
      <w:r w:rsidR="00831996" w:rsidRPr="00237BA9">
        <w:t xml:space="preserve">започне </w:t>
      </w:r>
      <w:r w:rsidR="004118AF" w:rsidRPr="00237BA9">
        <w:t xml:space="preserve">и </w:t>
      </w:r>
      <w:r w:rsidR="00831996" w:rsidRPr="00237BA9">
        <w:t xml:space="preserve">проведе </w:t>
      </w:r>
      <w:r w:rsidR="004118AF" w:rsidRPr="00237BA9">
        <w:t xml:space="preserve">разследвания, включително, </w:t>
      </w:r>
      <w:r w:rsidR="00831996" w:rsidRPr="00237BA9">
        <w:t xml:space="preserve">когато е </w:t>
      </w:r>
      <w:r w:rsidR="004118AF" w:rsidRPr="00237BA9">
        <w:t>целесъобразно,</w:t>
      </w:r>
      <w:r w:rsidR="007F0987" w:rsidRPr="00237BA9">
        <w:t xml:space="preserve"> </w:t>
      </w:r>
      <w:r w:rsidR="00831996" w:rsidRPr="00237BA9">
        <w:t>да извърши</w:t>
      </w:r>
      <w:r w:rsidR="004118AF" w:rsidRPr="00237BA9">
        <w:t xml:space="preserve"> проверки на място, за да установи дали това погрешно представяне е сериозно и умишлено или е в резултат на груба небрежност.</w:t>
      </w:r>
      <w:r w:rsidR="00FD2D1B">
        <w:t>“</w:t>
      </w:r>
      <w:r w:rsidR="00831996" w:rsidRPr="00237BA9">
        <w:t>.</w:t>
      </w:r>
    </w:p>
    <w:p w:rsidR="004118AF" w:rsidRPr="00237BA9" w:rsidRDefault="002B69B1" w:rsidP="009E63F7">
      <w:pPr>
        <w:pStyle w:val="Point0"/>
        <w:rPr>
          <w:rFonts w:eastAsia="Calibri"/>
        </w:rPr>
      </w:pPr>
      <w:r w:rsidRPr="00237BA9">
        <w:br w:type="page"/>
      </w:r>
      <w:r w:rsidR="00387885" w:rsidRPr="00237BA9">
        <w:t>8</w:t>
      </w:r>
      <w:r w:rsidR="004118AF" w:rsidRPr="00237BA9">
        <w:t>)</w:t>
      </w:r>
      <w:r w:rsidR="00EF79EB">
        <w:tab/>
      </w:r>
      <w:r w:rsidR="004118AF" w:rsidRPr="00237BA9">
        <w:t>В член 13 параграф 1 се заменя със следното:</w:t>
      </w:r>
    </w:p>
    <w:p w:rsidR="004118AF" w:rsidRPr="00237BA9" w:rsidRDefault="004118AF" w:rsidP="00C40D62">
      <w:pPr>
        <w:pStyle w:val="Point1"/>
        <w:rPr>
          <w:rFonts w:eastAsia="Calibri"/>
        </w:rPr>
      </w:pPr>
      <w:r w:rsidRPr="00237BA9">
        <w:t>„1.</w:t>
      </w:r>
      <w:r w:rsidRPr="00237BA9">
        <w:tab/>
        <w:t>Европейската статистическа програма осигурява рамката за разработването, изготвянето и разпространението на европейска статистика и определя основните области и целите на предвидените дейности за период, който съответства на периода</w:t>
      </w:r>
      <w:r w:rsidR="00831996" w:rsidRPr="00237BA9">
        <w:t>, обхванат от</w:t>
      </w:r>
      <w:r w:rsidRPr="00237BA9">
        <w:t xml:space="preserve"> многогодишната финансова рамка. Програмата се приема от Европейския парламент и от Съвета. Нейното въздействие и разходна ефективност се оценяват, като се включва становището на независими експерти.“</w:t>
      </w:r>
      <w:r w:rsidR="00831996" w:rsidRPr="00237BA9">
        <w:t>.</w:t>
      </w:r>
    </w:p>
    <w:p w:rsidR="004118AF" w:rsidRPr="00237BA9" w:rsidRDefault="00387885" w:rsidP="009E63F7">
      <w:pPr>
        <w:pStyle w:val="Point0"/>
        <w:rPr>
          <w:rFonts w:eastAsia="Calibri"/>
        </w:rPr>
      </w:pPr>
      <w:r w:rsidRPr="00237BA9">
        <w:t>9</w:t>
      </w:r>
      <w:r w:rsidR="004118AF" w:rsidRPr="00237BA9">
        <w:t>)</w:t>
      </w:r>
      <w:r w:rsidR="00EF79EB">
        <w:tab/>
      </w:r>
      <w:r w:rsidR="004118AF" w:rsidRPr="00237BA9">
        <w:t>В член 14 параграф 2</w:t>
      </w:r>
      <w:r w:rsidRPr="00237BA9">
        <w:t xml:space="preserve"> се заменя със следното</w:t>
      </w:r>
      <w:r w:rsidR="004118AF" w:rsidRPr="00237BA9">
        <w:t>:</w:t>
      </w:r>
    </w:p>
    <w:p w:rsidR="004118AF" w:rsidRPr="00237BA9" w:rsidRDefault="00FD2D1B" w:rsidP="00C40D62">
      <w:pPr>
        <w:pStyle w:val="Point1"/>
        <w:rPr>
          <w:rFonts w:eastAsia="Calibri"/>
        </w:rPr>
      </w:pPr>
      <w:r>
        <w:t>„</w:t>
      </w:r>
      <w:r w:rsidR="004118AF" w:rsidRPr="00237BA9">
        <w:t>2</w:t>
      </w:r>
      <w:r w:rsidR="00831996" w:rsidRPr="00237BA9">
        <w:t>.</w:t>
      </w:r>
      <w:r w:rsidR="004118AF" w:rsidRPr="00237BA9">
        <w:tab/>
        <w:t>Комисията може</w:t>
      </w:r>
      <w:r w:rsidR="00831996" w:rsidRPr="00237BA9">
        <w:t xml:space="preserve"> чрез</w:t>
      </w:r>
      <w:r w:rsidR="004118AF" w:rsidRPr="00237BA9">
        <w:t xml:space="preserve"> актове за изпълнение да </w:t>
      </w:r>
      <w:r w:rsidR="00164B76" w:rsidRPr="00237BA9">
        <w:t xml:space="preserve">вземе решение </w:t>
      </w:r>
      <w:r w:rsidR="004118AF" w:rsidRPr="00237BA9">
        <w:t>за временно пряко статистическо действие, при условие че:</w:t>
      </w:r>
    </w:p>
    <w:p w:rsidR="004118AF" w:rsidRPr="00237BA9" w:rsidRDefault="004118AF" w:rsidP="00C40D62">
      <w:pPr>
        <w:pStyle w:val="Point2"/>
        <w:rPr>
          <w:rFonts w:eastAsia="Calibri"/>
        </w:rPr>
      </w:pPr>
      <w:r w:rsidRPr="00237BA9">
        <w:t>а)</w:t>
      </w:r>
      <w:r w:rsidRPr="00237BA9">
        <w:tab/>
        <w:t>действието не предвижда събиране на данни, които обхващат повече от три референтни години;</w:t>
      </w:r>
    </w:p>
    <w:p w:rsidR="004118AF" w:rsidRPr="00237BA9" w:rsidRDefault="004118AF" w:rsidP="00C40D62">
      <w:pPr>
        <w:pStyle w:val="Point2"/>
        <w:rPr>
          <w:rFonts w:eastAsia="Calibri"/>
        </w:rPr>
      </w:pPr>
      <w:r w:rsidRPr="00237BA9">
        <w:t>б)</w:t>
      </w:r>
      <w:r w:rsidRPr="00237BA9">
        <w:tab/>
        <w:t xml:space="preserve">данните са вече налични или достъпни </w:t>
      </w:r>
      <w:r w:rsidR="00164B76" w:rsidRPr="00237BA9">
        <w:t xml:space="preserve">в рамките на </w:t>
      </w:r>
      <w:r w:rsidRPr="00237BA9">
        <w:t>НСИ и други компетентни национални органи или могат да бъдат получени пряко, като се използват подходящите извадки за наблюдение на статистическата съвкупност на равнището на Съюза при съответно координиране с НСИ и други национални органи; и</w:t>
      </w:r>
    </w:p>
    <w:p w:rsidR="004118AF" w:rsidRPr="00237BA9" w:rsidRDefault="004118AF" w:rsidP="00C40D62">
      <w:pPr>
        <w:pStyle w:val="Point2"/>
        <w:rPr>
          <w:rFonts w:eastAsia="Calibri"/>
        </w:rPr>
      </w:pPr>
      <w:r w:rsidRPr="00237BA9">
        <w:br w:type="page"/>
        <w:t>в)</w:t>
      </w:r>
      <w:r w:rsidRPr="00237BA9">
        <w:tab/>
        <w:t>в съответствие с Регламент (ЕС, Евратом) № 966/2012 на Европейския парламент и на Съвета</w:t>
      </w:r>
      <w:r w:rsidR="00387885" w:rsidRPr="00237BA9">
        <w:t>*</w:t>
      </w:r>
      <w:r w:rsidRPr="00237BA9">
        <w:t xml:space="preserve"> Съюзът прави финансови вноски в полза на НСИ и други национални органи, с цел да покрие направените от тях допълнителни разходи.</w:t>
      </w:r>
    </w:p>
    <w:p w:rsidR="004118AF" w:rsidRPr="00237BA9" w:rsidRDefault="004118AF" w:rsidP="00C40D62">
      <w:pPr>
        <w:pStyle w:val="Text3"/>
      </w:pPr>
      <w:r w:rsidRPr="00237BA9">
        <w:t>Тези актове за изпълнение се приемат в съответствие с процедурата по разглеждане, посочена в член 27, параграф 2.</w:t>
      </w:r>
    </w:p>
    <w:p w:rsidR="00387885" w:rsidRPr="00237BA9" w:rsidRDefault="00387885" w:rsidP="00FD2D1B">
      <w:pPr>
        <w:pStyle w:val="Text1"/>
      </w:pPr>
      <w:r w:rsidRPr="00237BA9">
        <w:t>________________________________</w:t>
      </w:r>
    </w:p>
    <w:p w:rsidR="00387885" w:rsidRPr="00237BA9" w:rsidRDefault="00C40D62" w:rsidP="00FD2D1B">
      <w:pPr>
        <w:pStyle w:val="Point1"/>
        <w:spacing w:line="240" w:lineRule="auto"/>
        <w:ind w:left="1418"/>
      </w:pPr>
      <w:r>
        <w:t>*</w:t>
      </w:r>
      <w:r w:rsidR="00FD2D1B">
        <w:tab/>
      </w:r>
      <w:r w:rsidR="00387885" w:rsidRPr="00237BA9">
        <w:t xml:space="preserve">Регламент (ЕС, Евратом) № 966/2012 на Европейския парламент и на Съвета от 25 октомври 2012 </w:t>
      </w:r>
      <w:r w:rsidR="00831996" w:rsidRPr="00237BA9">
        <w:t xml:space="preserve">г. </w:t>
      </w:r>
      <w:r w:rsidR="00387885" w:rsidRPr="00237BA9">
        <w:t>относно финансовите правила, приложими за общия бюджет на Съюза и за отмяна на Регламент (ЕО, Евратом) № 1605/2002 на Съвета (OB L 298, 26.10.2012 г., стр. 1).</w:t>
      </w:r>
      <w:r w:rsidR="00FD2D1B">
        <w:t>“</w:t>
      </w:r>
      <w:r w:rsidR="00831996" w:rsidRPr="00237BA9">
        <w:t>.</w:t>
      </w:r>
    </w:p>
    <w:p w:rsidR="00387885" w:rsidRPr="00237BA9" w:rsidRDefault="00C40D62" w:rsidP="009E63F7">
      <w:pPr>
        <w:pStyle w:val="Point0"/>
      </w:pPr>
      <w:r>
        <w:t>10)</w:t>
      </w:r>
      <w:r w:rsidRPr="00C40D62">
        <w:tab/>
      </w:r>
      <w:r w:rsidR="00387885" w:rsidRPr="00237BA9">
        <w:t>Член 17 се заменя със следното:</w:t>
      </w:r>
    </w:p>
    <w:p w:rsidR="004118AF" w:rsidRPr="00C40D62" w:rsidRDefault="004118AF" w:rsidP="00C40D62">
      <w:pPr>
        <w:pStyle w:val="Text1"/>
        <w:rPr>
          <w:rFonts w:eastAsia="Calibri"/>
          <w:i/>
          <w:iCs/>
        </w:rPr>
      </w:pPr>
      <w:r w:rsidRPr="00C40D62">
        <w:rPr>
          <w:i/>
          <w:iCs/>
        </w:rPr>
        <w:t>„Член 17</w:t>
      </w:r>
      <w:r w:rsidR="00C40D62" w:rsidRPr="00C40D62">
        <w:rPr>
          <w:i/>
          <w:iCs/>
        </w:rPr>
        <w:br/>
      </w:r>
      <w:r w:rsidRPr="00C40D62">
        <w:rPr>
          <w:i/>
          <w:iCs/>
        </w:rPr>
        <w:t>Годишна работна програма“</w:t>
      </w:r>
    </w:p>
    <w:p w:rsidR="004118AF" w:rsidRPr="00237BA9" w:rsidRDefault="00831996" w:rsidP="00C40D62">
      <w:pPr>
        <w:pStyle w:val="Text1"/>
        <w:rPr>
          <w:rFonts w:eastAsia="Calibri"/>
        </w:rPr>
      </w:pPr>
      <w:r w:rsidRPr="00237BA9">
        <w:t xml:space="preserve">До 30 април </w:t>
      </w:r>
      <w:r w:rsidR="004118AF" w:rsidRPr="00237BA9">
        <w:t xml:space="preserve">Комисията представя на Комитета на ЕСС своята </w:t>
      </w:r>
      <w:r w:rsidRPr="00237BA9">
        <w:t xml:space="preserve">годишна </w:t>
      </w:r>
      <w:r w:rsidR="004118AF" w:rsidRPr="00237BA9">
        <w:t>работна програма за следващата година.</w:t>
      </w:r>
    </w:p>
    <w:p w:rsidR="004118AF" w:rsidRPr="00237BA9" w:rsidRDefault="00FD2D1B" w:rsidP="00C40D62">
      <w:pPr>
        <w:pStyle w:val="Text1"/>
        <w:rPr>
          <w:rFonts w:eastAsia="Calibri"/>
        </w:rPr>
      </w:pPr>
      <w:r>
        <w:br w:type="page"/>
      </w:r>
      <w:r w:rsidR="004118AF" w:rsidRPr="00237BA9">
        <w:t xml:space="preserve">При подготовката на </w:t>
      </w:r>
      <w:r w:rsidR="00833D55" w:rsidRPr="00237BA9">
        <w:t xml:space="preserve">всяка годишна </w:t>
      </w:r>
      <w:r w:rsidR="004118AF" w:rsidRPr="00237BA9">
        <w:t xml:space="preserve">работна програма Комисията гарантира ефективно определяне на приоритетите, включително </w:t>
      </w:r>
      <w:r w:rsidR="00831996" w:rsidRPr="00237BA9">
        <w:t>преглед</w:t>
      </w:r>
      <w:r w:rsidR="00102684" w:rsidRPr="00237BA9">
        <w:t xml:space="preserve"> и </w:t>
      </w:r>
      <w:r w:rsidR="004118AF" w:rsidRPr="00237BA9">
        <w:t xml:space="preserve">докладване </w:t>
      </w:r>
      <w:r w:rsidR="00102684" w:rsidRPr="00237BA9">
        <w:t xml:space="preserve">във връзка със </w:t>
      </w:r>
      <w:r w:rsidR="004118AF" w:rsidRPr="00237BA9">
        <w:t xml:space="preserve">статистическите приоритети и разпределяне на финансовите средства. Комисията взема под внимание във възможно най-голяма степен бележките на Комитета на ЕСС. </w:t>
      </w:r>
      <w:r w:rsidR="00833D55" w:rsidRPr="00237BA9">
        <w:t xml:space="preserve">Всяка годишна работна </w:t>
      </w:r>
      <w:r w:rsidR="004118AF" w:rsidRPr="00237BA9">
        <w:t>програм</w:t>
      </w:r>
      <w:r w:rsidR="00833D55" w:rsidRPr="00237BA9">
        <w:t>а</w:t>
      </w:r>
      <w:r w:rsidR="004118AF" w:rsidRPr="00237BA9">
        <w:t xml:space="preserve"> се основава на Европейската статистическа програма и посочва по-специално:</w:t>
      </w:r>
    </w:p>
    <w:p w:rsidR="004118AF" w:rsidRPr="00237BA9" w:rsidRDefault="004118AF" w:rsidP="00C40D62">
      <w:pPr>
        <w:pStyle w:val="Point1"/>
        <w:rPr>
          <w:rFonts w:eastAsia="Calibri"/>
        </w:rPr>
      </w:pPr>
      <w:r w:rsidRPr="00237BA9">
        <w:t>а)</w:t>
      </w:r>
      <w:r w:rsidR="00EF79EB">
        <w:tab/>
      </w:r>
      <w:r w:rsidRPr="00237BA9">
        <w:t>дейностите, които Комисията счита за приоритетни, като се имат предвид потребностите на политиките на Съюза, финансовите ограничения на национално равнище и на равнището на Съюза, както и тежестта върху респондентите;</w:t>
      </w:r>
    </w:p>
    <w:p w:rsidR="004118AF" w:rsidRPr="00237BA9" w:rsidRDefault="004118AF" w:rsidP="00C40D62">
      <w:pPr>
        <w:pStyle w:val="Point1"/>
        <w:rPr>
          <w:rFonts w:eastAsia="Calibri"/>
        </w:rPr>
      </w:pPr>
      <w:r w:rsidRPr="00237BA9">
        <w:t>б)</w:t>
      </w:r>
      <w:r w:rsidR="00EF79EB">
        <w:tab/>
      </w:r>
      <w:r w:rsidRPr="00237BA9">
        <w:t>инициативите за преглед на приоритетите, включително отрицателните приоритети, и намаляването на тежестта както върху доставчиците на данни, така и върху лицата, изготвящи статистиката; и</w:t>
      </w:r>
    </w:p>
    <w:p w:rsidR="004118AF" w:rsidRPr="00237BA9" w:rsidRDefault="004118AF" w:rsidP="00B86DA0">
      <w:pPr>
        <w:pStyle w:val="Point1"/>
        <w:rPr>
          <w:rFonts w:eastAsia="Calibri"/>
        </w:rPr>
      </w:pPr>
      <w:r w:rsidRPr="00237BA9">
        <w:t>в)</w:t>
      </w:r>
      <w:r w:rsidR="00EF79EB">
        <w:tab/>
      </w:r>
      <w:r w:rsidRPr="00237BA9">
        <w:t xml:space="preserve">процедурите и всички правни инструменти, предвидени от Комисията за изпълнението на </w:t>
      </w:r>
      <w:r w:rsidR="00652639" w:rsidRPr="00237BA9">
        <w:t xml:space="preserve">годишната работна </w:t>
      </w:r>
      <w:r w:rsidRPr="00237BA9">
        <w:t>програма.</w:t>
      </w:r>
      <w:r w:rsidR="00B86DA0">
        <w:t>“</w:t>
      </w:r>
      <w:r w:rsidR="00831996" w:rsidRPr="00237BA9">
        <w:t>.</w:t>
      </w:r>
    </w:p>
    <w:p w:rsidR="004118AF" w:rsidRPr="00237BA9" w:rsidRDefault="002B69B1" w:rsidP="009E63F7">
      <w:pPr>
        <w:pStyle w:val="Point0"/>
        <w:rPr>
          <w:rFonts w:eastAsia="Calibri"/>
        </w:rPr>
      </w:pPr>
      <w:r w:rsidRPr="00237BA9">
        <w:br w:type="page"/>
      </w:r>
      <w:r w:rsidR="00652639" w:rsidRPr="00237BA9">
        <w:t>11</w:t>
      </w:r>
      <w:r w:rsidR="004118AF" w:rsidRPr="00237BA9">
        <w:t>)</w:t>
      </w:r>
      <w:r w:rsidR="00EF79EB">
        <w:tab/>
      </w:r>
      <w:r w:rsidR="004118AF" w:rsidRPr="00237BA9">
        <w:t>Вмъква се следният член:</w:t>
      </w:r>
    </w:p>
    <w:p w:rsidR="004118AF" w:rsidRPr="00C40D62" w:rsidRDefault="004118AF" w:rsidP="00C40D62">
      <w:pPr>
        <w:pStyle w:val="Text1"/>
        <w:rPr>
          <w:rFonts w:eastAsia="Calibri"/>
          <w:i/>
          <w:iCs/>
        </w:rPr>
      </w:pPr>
      <w:r w:rsidRPr="00C40D62">
        <w:rPr>
          <w:i/>
          <w:iCs/>
        </w:rPr>
        <w:t>„Член 17a</w:t>
      </w:r>
      <w:r w:rsidR="00C40D62" w:rsidRPr="00C40D62">
        <w:rPr>
          <w:i/>
          <w:iCs/>
        </w:rPr>
        <w:br/>
      </w:r>
      <w:r w:rsidRPr="00C40D62">
        <w:rPr>
          <w:i/>
          <w:iCs/>
        </w:rPr>
        <w:t xml:space="preserve">Достъп до административни записи, използване и </w:t>
      </w:r>
      <w:r w:rsidR="007F0987" w:rsidRPr="00C40D62">
        <w:rPr>
          <w:i/>
          <w:iCs/>
        </w:rPr>
        <w:t xml:space="preserve">интегриране </w:t>
      </w:r>
      <w:r w:rsidRPr="00C40D62">
        <w:rPr>
          <w:i/>
          <w:iCs/>
        </w:rPr>
        <w:t>на административни записи</w:t>
      </w:r>
    </w:p>
    <w:p w:rsidR="004118AF" w:rsidRPr="00237BA9" w:rsidRDefault="004118AF" w:rsidP="00C32474">
      <w:pPr>
        <w:pStyle w:val="Point1"/>
        <w:rPr>
          <w:rFonts w:eastAsia="Calibri"/>
        </w:rPr>
      </w:pPr>
      <w:r w:rsidRPr="00237BA9">
        <w:t>1.</w:t>
      </w:r>
      <w:r w:rsidRPr="00237BA9">
        <w:tab/>
        <w:t xml:space="preserve">За да се намали тежестта върху респондентите, НСИ, посочените в член 4 други национални органи и Комисията (Евростат) имат право на незабавен и безвъзмезден достъп до всички административни записи, както и на тяхното използване и </w:t>
      </w:r>
      <w:r w:rsidR="007F0987" w:rsidRPr="00237BA9">
        <w:t>интегриране със</w:t>
      </w:r>
      <w:r w:rsidRPr="00237BA9">
        <w:t xml:space="preserve"> статистиката, доколкото това е необходимо за разработването, изготвянето и разпространението на европейска статистика, определена в Европейската статистическа програма</w:t>
      </w:r>
      <w:r w:rsidR="00833D55" w:rsidRPr="00237BA9">
        <w:t xml:space="preserve"> в съответствие с член 1.</w:t>
      </w:r>
    </w:p>
    <w:p w:rsidR="004118AF" w:rsidRPr="00237BA9" w:rsidRDefault="00951138" w:rsidP="00C32474">
      <w:pPr>
        <w:pStyle w:val="Point1"/>
        <w:rPr>
          <w:rFonts w:eastAsia="Calibri"/>
        </w:rPr>
      </w:pPr>
      <w:r w:rsidRPr="00237BA9">
        <w:t>2.</w:t>
      </w:r>
      <w:r w:rsidR="00C40D62" w:rsidRPr="00C40D62">
        <w:tab/>
      </w:r>
      <w:r w:rsidR="004118AF" w:rsidRPr="002F7D0E">
        <w:t>НСИ</w:t>
      </w:r>
      <w:r w:rsidR="004118AF" w:rsidRPr="00237BA9">
        <w:t xml:space="preserve"> и Комисията (Евростат) участват в консултации и </w:t>
      </w:r>
      <w:r w:rsidR="00A40C4E" w:rsidRPr="00237BA9">
        <w:t>се привличат</w:t>
      </w:r>
      <w:r w:rsidR="004118AF" w:rsidRPr="00237BA9">
        <w:t xml:space="preserve"> в първоначалното </w:t>
      </w:r>
      <w:r w:rsidR="00A40C4E" w:rsidRPr="00237BA9">
        <w:t xml:space="preserve">планиране </w:t>
      </w:r>
      <w:r w:rsidR="004118AF" w:rsidRPr="00237BA9">
        <w:t>и последващото разработване и пре</w:t>
      </w:r>
      <w:r w:rsidR="00C32474">
        <w:t>установяване на използването</w:t>
      </w:r>
      <w:r w:rsidR="004118AF" w:rsidRPr="00237BA9">
        <w:t xml:space="preserve"> на административните записи, създадени и поддържани от други организации, с което впоследствие се улеснява използването на тези записи за целите на изготвянето на европейска статистика. Те участват в дейностите по стандартизация по отношение на административните записи, които имат значение за изготвянето на европейска статистика.</w:t>
      </w:r>
    </w:p>
    <w:p w:rsidR="004118AF" w:rsidRPr="00237BA9" w:rsidRDefault="004118AF" w:rsidP="00C40D62">
      <w:pPr>
        <w:pStyle w:val="Point1"/>
        <w:rPr>
          <w:rFonts w:eastAsia="Calibri"/>
        </w:rPr>
      </w:pPr>
      <w:r w:rsidRPr="002F7D0E">
        <w:t>3.</w:t>
      </w:r>
      <w:r w:rsidRPr="00237BA9">
        <w:tab/>
        <w:t>Достъпът и участието на НСИ, други национални органи и Комисията (Евростат) съгласно параграфи 1 и 2 са ограничени до административните записи в рамките на съответните им публични административни системи.</w:t>
      </w:r>
    </w:p>
    <w:p w:rsidR="004118AF" w:rsidRPr="00237BA9" w:rsidRDefault="004118AF" w:rsidP="00C40D62">
      <w:pPr>
        <w:pStyle w:val="Point1"/>
        <w:rPr>
          <w:rFonts w:eastAsia="Calibri"/>
        </w:rPr>
      </w:pPr>
      <w:r w:rsidRPr="00237BA9">
        <w:t>4.</w:t>
      </w:r>
      <w:r w:rsidRPr="00237BA9">
        <w:tab/>
        <w:t>Административните записи, които се предоставят от техните притежатели на НСИ, други национални органи и Комисията (Евростат), за да се използват за изготвянето на европейска статистика, се придружават от съответните метаданни.</w:t>
      </w:r>
    </w:p>
    <w:p w:rsidR="004118AF" w:rsidRPr="00237BA9" w:rsidRDefault="00FD2D1B" w:rsidP="00C40D62">
      <w:pPr>
        <w:pStyle w:val="Point1"/>
        <w:rPr>
          <w:rFonts w:eastAsia="Calibri"/>
        </w:rPr>
      </w:pPr>
      <w:r>
        <w:br w:type="page"/>
      </w:r>
      <w:r w:rsidR="004118AF" w:rsidRPr="00237BA9">
        <w:t>5.</w:t>
      </w:r>
      <w:r w:rsidR="004118AF" w:rsidRPr="00237BA9">
        <w:tab/>
        <w:t>НСИ и притежателите на административни записи установяват необходимите механизми за сътрудничество.“</w:t>
      </w:r>
      <w:r w:rsidR="00A40C4E" w:rsidRPr="00237BA9">
        <w:t>.</w:t>
      </w:r>
    </w:p>
    <w:p w:rsidR="004118AF" w:rsidRPr="00237BA9" w:rsidRDefault="00652639" w:rsidP="009E63F7">
      <w:pPr>
        <w:pStyle w:val="Point0"/>
        <w:rPr>
          <w:rFonts w:eastAsia="Calibri"/>
        </w:rPr>
      </w:pPr>
      <w:r w:rsidRPr="00237BA9">
        <w:t>12</w:t>
      </w:r>
      <w:r w:rsidR="004118AF" w:rsidRPr="00237BA9">
        <w:t>)</w:t>
      </w:r>
      <w:r w:rsidR="00EF79EB">
        <w:tab/>
      </w:r>
      <w:r w:rsidR="004118AF" w:rsidRPr="00237BA9">
        <w:t>В член 20, параграф 4 втора алинея се заменя със следното:</w:t>
      </w:r>
    </w:p>
    <w:p w:rsidR="004118AF" w:rsidRPr="00237BA9" w:rsidRDefault="00C32474" w:rsidP="00C32474">
      <w:pPr>
        <w:pStyle w:val="Text1"/>
        <w:rPr>
          <w:rFonts w:eastAsia="Calibri"/>
        </w:rPr>
      </w:pPr>
      <w:r w:rsidRPr="00C32474">
        <w:t>„</w:t>
      </w:r>
      <w:r w:rsidR="004118AF" w:rsidRPr="00237BA9">
        <w:t>НСИ, други</w:t>
      </w:r>
      <w:r w:rsidR="00A40C4E" w:rsidRPr="00237BA9">
        <w:t>те</w:t>
      </w:r>
      <w:r w:rsidR="004118AF" w:rsidRPr="00237BA9">
        <w:t xml:space="preserve"> национални органи и Комисията (Евростат) предприемат всички необходими мерки, за да гарантират </w:t>
      </w:r>
      <w:r w:rsidR="00A40C4E" w:rsidRPr="00237BA9">
        <w:t xml:space="preserve">съобразяването </w:t>
      </w:r>
      <w:r w:rsidR="004118AF" w:rsidRPr="00237BA9">
        <w:t>на принципите и насоките</w:t>
      </w:r>
      <w:r w:rsidR="00A40C4E" w:rsidRPr="00237BA9">
        <w:t xml:space="preserve"> по отношение на</w:t>
      </w:r>
      <w:r w:rsidR="004118AF" w:rsidRPr="00237BA9">
        <w:t xml:space="preserve"> физическата и логическата защита на поверителните данни. Комисията гарантира това </w:t>
      </w:r>
      <w:r w:rsidR="00A40C4E" w:rsidRPr="00237BA9">
        <w:t xml:space="preserve">съобразяване </w:t>
      </w:r>
      <w:r w:rsidR="004118AF" w:rsidRPr="00237BA9">
        <w:t>чрез актове за изпълнение, без да допълва настоящия регламент. Тези актове за изпълнение се приемат в съответствие с процедурата по разглеждане, посочена в член 27, параграф 2.</w:t>
      </w:r>
      <w:r w:rsidR="00B86DA0">
        <w:t>“</w:t>
      </w:r>
      <w:r w:rsidR="00A40C4E" w:rsidRPr="00237BA9">
        <w:t>.</w:t>
      </w:r>
    </w:p>
    <w:p w:rsidR="004118AF" w:rsidRPr="00237BA9" w:rsidRDefault="00652639" w:rsidP="009E63F7">
      <w:pPr>
        <w:pStyle w:val="Point0"/>
        <w:rPr>
          <w:rFonts w:eastAsia="Calibri"/>
        </w:rPr>
      </w:pPr>
      <w:r w:rsidRPr="00237BA9">
        <w:t>13</w:t>
      </w:r>
      <w:r w:rsidR="004118AF" w:rsidRPr="00237BA9">
        <w:t>)</w:t>
      </w:r>
      <w:r w:rsidR="00EF79EB">
        <w:tab/>
      </w:r>
      <w:r w:rsidR="004118AF" w:rsidRPr="00237BA9">
        <w:t>В член 23 втора алинея се заменя със следното:</w:t>
      </w:r>
    </w:p>
    <w:p w:rsidR="004118AF" w:rsidRPr="00237BA9" w:rsidRDefault="004118AF" w:rsidP="00C32474">
      <w:pPr>
        <w:pStyle w:val="Text1"/>
        <w:rPr>
          <w:rFonts w:eastAsia="Calibri"/>
        </w:rPr>
      </w:pPr>
      <w:r w:rsidRPr="00237BA9">
        <w:t>„</w:t>
      </w:r>
      <w:r w:rsidR="00BC21C3" w:rsidRPr="00237BA9">
        <w:t xml:space="preserve">Комисията приема </w:t>
      </w:r>
      <w:r w:rsidR="00CD5FB9" w:rsidRPr="00237BA9">
        <w:t xml:space="preserve">чрез </w:t>
      </w:r>
      <w:r w:rsidR="00BC21C3" w:rsidRPr="00237BA9">
        <w:t>актове за изпълнение д</w:t>
      </w:r>
      <w:r w:rsidRPr="00237BA9">
        <w:t>оговореностите, правилата и условията за достъп на равнището на Съюза</w:t>
      </w:r>
      <w:r w:rsidR="00BC21C3" w:rsidRPr="00237BA9">
        <w:t>. Тези актове за изпълнение</w:t>
      </w:r>
      <w:r w:rsidRPr="00237BA9">
        <w:t xml:space="preserve"> се </w:t>
      </w:r>
      <w:r w:rsidR="00BC21C3" w:rsidRPr="00237BA9">
        <w:t>приемат</w:t>
      </w:r>
      <w:r w:rsidRPr="00237BA9">
        <w:t xml:space="preserve"> в съответствие с процедурата по разглеждане, посочена в член 27, параграф 2.“</w:t>
      </w:r>
      <w:r w:rsidR="00A40C4E" w:rsidRPr="00237BA9">
        <w:t>.</w:t>
      </w:r>
    </w:p>
    <w:p w:rsidR="004118AF" w:rsidRPr="00237BA9" w:rsidRDefault="00652639" w:rsidP="009E63F7">
      <w:pPr>
        <w:pStyle w:val="Point0"/>
        <w:rPr>
          <w:rFonts w:eastAsia="Calibri"/>
        </w:rPr>
      </w:pPr>
      <w:r w:rsidRPr="00237BA9">
        <w:t>14</w:t>
      </w:r>
      <w:r w:rsidR="004118AF" w:rsidRPr="00237BA9">
        <w:t>)</w:t>
      </w:r>
      <w:r w:rsidR="00EF79EB">
        <w:tab/>
      </w:r>
      <w:r w:rsidR="004118AF" w:rsidRPr="00237BA9">
        <w:t>Член 24 се заличава.</w:t>
      </w:r>
    </w:p>
    <w:p w:rsidR="004118AF" w:rsidRPr="00237BA9" w:rsidRDefault="002B69B1" w:rsidP="009E63F7">
      <w:pPr>
        <w:pStyle w:val="Point0"/>
        <w:rPr>
          <w:rFonts w:eastAsia="Calibri"/>
        </w:rPr>
      </w:pPr>
      <w:r w:rsidRPr="00237BA9">
        <w:br w:type="page"/>
      </w:r>
      <w:r w:rsidR="004118AF" w:rsidRPr="00237BA9">
        <w:t>1</w:t>
      </w:r>
      <w:r w:rsidR="00652639" w:rsidRPr="00237BA9">
        <w:t>5</w:t>
      </w:r>
      <w:r w:rsidR="004118AF" w:rsidRPr="00237BA9">
        <w:t>)</w:t>
      </w:r>
      <w:r w:rsidR="00EF79EB">
        <w:tab/>
      </w:r>
      <w:r w:rsidR="004118AF" w:rsidRPr="00237BA9">
        <w:t>Член 26 се заменя със следното:</w:t>
      </w:r>
    </w:p>
    <w:p w:rsidR="004118AF" w:rsidRPr="00C40D62" w:rsidRDefault="00B86DA0" w:rsidP="00C40D62">
      <w:pPr>
        <w:pStyle w:val="Text1"/>
        <w:rPr>
          <w:rFonts w:eastAsia="Calibri"/>
          <w:i/>
          <w:iCs/>
        </w:rPr>
      </w:pPr>
      <w:r>
        <w:rPr>
          <w:i/>
          <w:iCs/>
        </w:rPr>
        <w:t>„</w:t>
      </w:r>
      <w:r w:rsidR="004118AF" w:rsidRPr="00C40D62">
        <w:rPr>
          <w:i/>
          <w:iCs/>
        </w:rPr>
        <w:t>Член 26</w:t>
      </w:r>
      <w:r w:rsidR="00C40D62" w:rsidRPr="00C40D62">
        <w:rPr>
          <w:i/>
          <w:iCs/>
        </w:rPr>
        <w:br/>
      </w:r>
      <w:r w:rsidR="00CD5FB9" w:rsidRPr="00C40D62">
        <w:rPr>
          <w:i/>
          <w:iCs/>
        </w:rPr>
        <w:t>Нарушени</w:t>
      </w:r>
      <w:r w:rsidR="003E2D2E" w:rsidRPr="00C40D62">
        <w:rPr>
          <w:i/>
          <w:iCs/>
        </w:rPr>
        <w:t>я</w:t>
      </w:r>
      <w:r w:rsidR="00CD5FB9" w:rsidRPr="00C40D62">
        <w:rPr>
          <w:i/>
          <w:iCs/>
        </w:rPr>
        <w:t xml:space="preserve"> </w:t>
      </w:r>
      <w:r w:rsidR="004118AF" w:rsidRPr="00C40D62">
        <w:rPr>
          <w:i/>
          <w:iCs/>
        </w:rPr>
        <w:t>на статистическата поверителност</w:t>
      </w:r>
    </w:p>
    <w:p w:rsidR="004118AF" w:rsidRPr="00237BA9" w:rsidRDefault="004118AF" w:rsidP="00B86DA0">
      <w:pPr>
        <w:pStyle w:val="Text1"/>
        <w:rPr>
          <w:rFonts w:eastAsia="Calibri"/>
        </w:rPr>
      </w:pPr>
      <w:r w:rsidRPr="00237BA9">
        <w:t>Държавите членки и Комисията предприемат подходящи мерки за предотвратяване и санкциониране на всякакви нарушения на статистическата поверителност. Предвидените санкции трябва да бъдат ефективни, пропорционални и възпиращи.</w:t>
      </w:r>
      <w:r w:rsidR="00B86DA0">
        <w:t>“</w:t>
      </w:r>
      <w:r w:rsidR="00A40C4E" w:rsidRPr="00237BA9">
        <w:t>.</w:t>
      </w:r>
    </w:p>
    <w:p w:rsidR="004118AF" w:rsidRPr="00237BA9" w:rsidRDefault="004118AF" w:rsidP="00C40D62">
      <w:pPr>
        <w:pStyle w:val="Point0"/>
        <w:rPr>
          <w:rFonts w:eastAsia="Calibri"/>
        </w:rPr>
      </w:pPr>
      <w:r w:rsidRPr="00237BA9">
        <w:t>1</w:t>
      </w:r>
      <w:r w:rsidR="00652639" w:rsidRPr="00237BA9">
        <w:t>6</w:t>
      </w:r>
      <w:r w:rsidRPr="00237BA9">
        <w:t>)</w:t>
      </w:r>
      <w:r w:rsidR="00EF79EB">
        <w:tab/>
      </w:r>
      <w:r w:rsidRPr="00237BA9">
        <w:t>Член 27 се заменя със следното:</w:t>
      </w:r>
    </w:p>
    <w:p w:rsidR="004118AF" w:rsidRPr="00C40D62" w:rsidRDefault="00B86DA0" w:rsidP="00C40D62">
      <w:pPr>
        <w:pStyle w:val="Text1"/>
        <w:rPr>
          <w:rFonts w:eastAsia="Calibri"/>
          <w:i/>
          <w:iCs/>
        </w:rPr>
      </w:pPr>
      <w:r>
        <w:rPr>
          <w:i/>
          <w:iCs/>
        </w:rPr>
        <w:t>„</w:t>
      </w:r>
      <w:r w:rsidR="004118AF" w:rsidRPr="00C40D62">
        <w:rPr>
          <w:i/>
          <w:iCs/>
        </w:rPr>
        <w:t>Член 27</w:t>
      </w:r>
      <w:r w:rsidR="00C40D62" w:rsidRPr="00C40D62">
        <w:rPr>
          <w:i/>
          <w:iCs/>
        </w:rPr>
        <w:br/>
      </w:r>
      <w:r w:rsidR="00CD5FB9" w:rsidRPr="00C40D62">
        <w:rPr>
          <w:i/>
          <w:iCs/>
        </w:rPr>
        <w:t>Процедура на к</w:t>
      </w:r>
      <w:r w:rsidR="004118AF" w:rsidRPr="00C40D62">
        <w:rPr>
          <w:i/>
          <w:iCs/>
        </w:rPr>
        <w:t>омитет</w:t>
      </w:r>
    </w:p>
    <w:p w:rsidR="004118AF" w:rsidRPr="00237BA9" w:rsidRDefault="004118AF" w:rsidP="00C40D62">
      <w:pPr>
        <w:pStyle w:val="Point1"/>
        <w:rPr>
          <w:rFonts w:eastAsia="Calibri"/>
        </w:rPr>
      </w:pPr>
      <w:r w:rsidRPr="00237BA9">
        <w:t>1.</w:t>
      </w:r>
      <w:r w:rsidRPr="00237BA9">
        <w:tab/>
        <w:t>Комисията се подпомага от Комитета на</w:t>
      </w:r>
      <w:r w:rsidR="00A40C4E" w:rsidRPr="00237BA9">
        <w:t xml:space="preserve"> </w:t>
      </w:r>
      <w:r w:rsidR="00652639" w:rsidRPr="00237BA9">
        <w:t>ЕСС</w:t>
      </w:r>
      <w:r w:rsidRPr="00237BA9">
        <w:t>. Този комитет е комитет по смисъла на Регламент (ЕС) № 182/2011 на Европейския парламент и на Съвета</w:t>
      </w:r>
      <w:r w:rsidR="00652639" w:rsidRPr="00237BA9">
        <w:rPr>
          <w:noProof/>
        </w:rPr>
        <w:t>*</w:t>
      </w:r>
      <w:r w:rsidRPr="00237BA9">
        <w:t>.</w:t>
      </w:r>
    </w:p>
    <w:p w:rsidR="004118AF" w:rsidRDefault="004118AF" w:rsidP="00C40D62">
      <w:pPr>
        <w:pStyle w:val="Point1"/>
      </w:pPr>
      <w:r w:rsidRPr="007F7F7E">
        <w:t>2.</w:t>
      </w:r>
      <w:r w:rsidRPr="007F7F7E">
        <w:tab/>
        <w:t>При позоваване на настоящия параграф се прилага член 5 от Регламент (ЕС) № 182/2011.</w:t>
      </w:r>
    </w:p>
    <w:p w:rsidR="00652639" w:rsidRPr="0047342E" w:rsidRDefault="00652639" w:rsidP="00FD2D1B">
      <w:pPr>
        <w:pStyle w:val="Text1"/>
        <w:rPr>
          <w:rFonts w:eastAsia="Calibri"/>
        </w:rPr>
      </w:pPr>
      <w:r w:rsidRPr="0047342E">
        <w:rPr>
          <w:rFonts w:eastAsia="Calibri"/>
        </w:rPr>
        <w:t>____________________</w:t>
      </w:r>
    </w:p>
    <w:p w:rsidR="00652639" w:rsidRPr="00CD5FB9" w:rsidRDefault="00652639" w:rsidP="00C32474">
      <w:pPr>
        <w:pStyle w:val="Point1"/>
        <w:spacing w:line="240" w:lineRule="auto"/>
        <w:ind w:left="1418"/>
        <w:rPr>
          <w:noProof/>
        </w:rPr>
      </w:pPr>
      <w:r>
        <w:rPr>
          <w:noProof/>
        </w:rPr>
        <w:t>*</w:t>
      </w:r>
      <w:r>
        <w:rPr>
          <w:noProof/>
        </w:rPr>
        <w:tab/>
        <w:t>Регламент (ЕС) № 182/2011 на Европейския парламент и на Съвета от 16 февруари 2011 г</w:t>
      </w:r>
      <w:r w:rsidR="00A40C4E">
        <w:rPr>
          <w:noProof/>
        </w:rPr>
        <w:t>.</w:t>
      </w:r>
      <w:r>
        <w:rPr>
          <w:noProof/>
        </w:rPr>
        <w:t xml:space="preserve"> </w:t>
      </w:r>
      <w:r w:rsidR="00C32474" w:rsidRPr="00C32474">
        <w:rPr>
          <w:noProof/>
        </w:rPr>
        <w:t>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</w:t>
      </w:r>
      <w:r>
        <w:rPr>
          <w:noProof/>
        </w:rPr>
        <w:t xml:space="preserve"> </w:t>
      </w:r>
      <w:r w:rsidRPr="007F7F7E">
        <w:t>(</w:t>
      </w:r>
      <w:r>
        <w:rPr>
          <w:noProof/>
        </w:rPr>
        <w:t>OB L 55, 28.2.2011 г., стр. 13</w:t>
      </w:r>
      <w:r w:rsidRPr="007F7F7E">
        <w:t>)</w:t>
      </w:r>
      <w:r>
        <w:t>.</w:t>
      </w:r>
      <w:r w:rsidR="00FD2D1B">
        <w:t>“</w:t>
      </w:r>
      <w:r w:rsidR="00A40C4E">
        <w:t>.</w:t>
      </w:r>
    </w:p>
    <w:p w:rsidR="004118AF" w:rsidRPr="00C40D62" w:rsidRDefault="00FD2D1B" w:rsidP="00C40D62">
      <w:pPr>
        <w:pStyle w:val="Titrearticle"/>
      </w:pPr>
      <w:r>
        <w:br w:type="page"/>
      </w:r>
      <w:r w:rsidR="004118AF" w:rsidRPr="00C40D62">
        <w:t>Член 2</w:t>
      </w:r>
      <w:r w:rsidR="00C40D62" w:rsidRPr="00C40D62">
        <w:br/>
      </w:r>
      <w:r w:rsidR="004118AF" w:rsidRPr="00C40D62">
        <w:t>Влизане в сила</w:t>
      </w:r>
    </w:p>
    <w:p w:rsidR="004118AF" w:rsidRPr="00C40D62" w:rsidRDefault="004118AF" w:rsidP="00C40D62">
      <w:pPr>
        <w:rPr>
          <w:rFonts w:eastAsia="Calibri"/>
        </w:rPr>
      </w:pPr>
      <w:r w:rsidRPr="00C40D62">
        <w:t xml:space="preserve">Настоящият регламент влиза в сила на двадесетия ден след публикуването му в </w:t>
      </w:r>
      <w:r w:rsidRPr="00D51CD5">
        <w:rPr>
          <w:i/>
          <w:iCs/>
        </w:rPr>
        <w:t>Официален вестник на Европейския съюз</w:t>
      </w:r>
      <w:r w:rsidRPr="00C40D62">
        <w:t>.</w:t>
      </w:r>
    </w:p>
    <w:p w:rsidR="004118AF" w:rsidRPr="00C40D62" w:rsidRDefault="004118AF" w:rsidP="00C40D62">
      <w:r w:rsidRPr="00C40D62">
        <w:t>Настоящият регламент е задължителен в своята цялост и се прилага пряко във всички държави членки.</w:t>
      </w:r>
    </w:p>
    <w:p w:rsidR="00652639" w:rsidRDefault="00652639" w:rsidP="00951138">
      <w:pPr>
        <w:pStyle w:val="Fait"/>
      </w:pPr>
      <w:r>
        <w:t>Съ</w:t>
      </w:r>
      <w:r w:rsidR="00E6783E">
        <w:t xml:space="preserve">ставено в </w:t>
      </w:r>
      <w:r w:rsidR="00951138">
        <w:t xml:space="preserve">… </w:t>
      </w:r>
      <w:r w:rsidR="00E6783E">
        <w:t>на</w:t>
      </w:r>
    </w:p>
    <w:p w:rsidR="00652639" w:rsidRPr="0020230D" w:rsidRDefault="00652639" w:rsidP="00C40D62">
      <w:pPr>
        <w:pStyle w:val="Institutionquisigne"/>
      </w:pPr>
      <w:r w:rsidRPr="0020230D">
        <w:t xml:space="preserve">За </w:t>
      </w:r>
      <w:r w:rsidRPr="00C40D62">
        <w:t>Европейския</w:t>
      </w:r>
      <w:r w:rsidRPr="0020230D">
        <w:t xml:space="preserve"> парламент</w:t>
      </w:r>
      <w:r w:rsidRPr="0020230D">
        <w:tab/>
        <w:t>За Съвета</w:t>
      </w:r>
    </w:p>
    <w:p w:rsidR="00652639" w:rsidRPr="0020230D" w:rsidRDefault="00652639" w:rsidP="00C40D62">
      <w:pPr>
        <w:pStyle w:val="Personnequisigne"/>
      </w:pPr>
      <w:r w:rsidRPr="00C40D62">
        <w:t>Председател</w:t>
      </w:r>
      <w:r w:rsidRPr="0020230D">
        <w:tab/>
        <w:t>Председател</w:t>
      </w:r>
    </w:p>
    <w:p w:rsidR="004118AF" w:rsidRPr="009E2DA2" w:rsidRDefault="004118AF" w:rsidP="004118AF">
      <w:pPr>
        <w:pStyle w:val="Lignefinal"/>
        <w:rPr>
          <w:rFonts w:eastAsia="Calibri"/>
        </w:rPr>
      </w:pPr>
    </w:p>
    <w:sectPr w:rsidR="004118AF" w:rsidRPr="009E2DA2" w:rsidSect="00D36192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footnotePr>
        <w:numRestart w:val="eachPage"/>
      </w:footnotePr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4B" w:rsidRPr="00B63664" w:rsidRDefault="002E464B">
      <w:r w:rsidRPr="00B63664">
        <w:separator/>
      </w:r>
    </w:p>
  </w:endnote>
  <w:endnote w:type="continuationSeparator" w:id="0">
    <w:p w:rsidR="002E464B" w:rsidRPr="00B63664" w:rsidRDefault="002E464B">
      <w:r w:rsidRPr="00B636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FB" w:rsidRPr="00D36192" w:rsidRDefault="005601FB" w:rsidP="00D361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D36192" w:rsidRPr="0035025C" w:rsidTr="00D3619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36192" w:rsidRPr="0035025C" w:rsidRDefault="00D36192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LEGACTS"/>
        </w:p>
      </w:tc>
    </w:tr>
    <w:tr w:rsidR="00D36192" w:rsidRPr="00B310DC" w:rsidTr="00D3619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36192" w:rsidRPr="00AD7BF2" w:rsidRDefault="00D36192" w:rsidP="0035025C">
          <w:pPr>
            <w:pStyle w:val="FooterText"/>
          </w:pPr>
          <w:r>
            <w:t xml:space="preserve">5161/2/15 REV 2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36192" w:rsidRPr="00AD7BF2" w:rsidRDefault="00D36192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36192" w:rsidRPr="002511D8" w:rsidRDefault="00D36192" w:rsidP="0035025C">
          <w:pPr>
            <w:pStyle w:val="FooterText"/>
            <w:jc w:val="center"/>
          </w:pPr>
          <w:r>
            <w:t>DG/rb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36192" w:rsidRPr="00B310DC" w:rsidRDefault="00D36192" w:rsidP="0035025C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D36192" w:rsidRPr="0035025C" w:rsidTr="00D36192">
      <w:trPr>
        <w:jc w:val="center"/>
      </w:trPr>
      <w:tc>
        <w:tcPr>
          <w:tcW w:w="1774" w:type="pct"/>
          <w:shd w:val="clear" w:color="auto" w:fill="auto"/>
        </w:tcPr>
        <w:p w:rsidR="00D36192" w:rsidRPr="00AD7BF2" w:rsidRDefault="00D36192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D36192" w:rsidRPr="00AD7BF2" w:rsidRDefault="00D36192" w:rsidP="0035025C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07" w:type="pct"/>
          <w:shd w:val="clear" w:color="auto" w:fill="auto"/>
        </w:tcPr>
        <w:p w:rsidR="00D36192" w:rsidRPr="0035025C" w:rsidRDefault="00D36192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36192" w:rsidRPr="0035025C" w:rsidRDefault="00D36192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E418B" w:rsidRPr="00D36192" w:rsidRDefault="009E418B" w:rsidP="00D3619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D36192" w:rsidRPr="0035025C" w:rsidTr="00D3619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36192" w:rsidRPr="0035025C" w:rsidRDefault="00D36192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36192" w:rsidRPr="00B310DC" w:rsidTr="00D3619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36192" w:rsidRPr="00AD7BF2" w:rsidRDefault="00D36192" w:rsidP="0035025C">
          <w:pPr>
            <w:pStyle w:val="FooterText"/>
          </w:pPr>
          <w:r>
            <w:t xml:space="preserve">5161/2/15 REV 2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36192" w:rsidRPr="00AD7BF2" w:rsidRDefault="00D36192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36192" w:rsidRPr="002511D8" w:rsidRDefault="00D36192" w:rsidP="0035025C">
          <w:pPr>
            <w:pStyle w:val="FooterText"/>
            <w:jc w:val="center"/>
          </w:pPr>
          <w:r>
            <w:t>DG/rb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36192" w:rsidRPr="00B310DC" w:rsidRDefault="00D36192" w:rsidP="0035025C">
          <w:pPr>
            <w:pStyle w:val="FooterText"/>
            <w:jc w:val="right"/>
          </w:pPr>
        </w:p>
      </w:tc>
    </w:tr>
    <w:tr w:rsidR="00D36192" w:rsidRPr="0035025C" w:rsidTr="00D36192">
      <w:trPr>
        <w:jc w:val="center"/>
      </w:trPr>
      <w:tc>
        <w:tcPr>
          <w:tcW w:w="1774" w:type="pct"/>
          <w:shd w:val="clear" w:color="auto" w:fill="auto"/>
        </w:tcPr>
        <w:p w:rsidR="00D36192" w:rsidRPr="00AD7BF2" w:rsidRDefault="00D36192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D36192" w:rsidRPr="00AD7BF2" w:rsidRDefault="00D36192" w:rsidP="0035025C">
          <w:pPr>
            <w:pStyle w:val="FooterText"/>
            <w:spacing w:before="40"/>
            <w:jc w:val="center"/>
          </w:pPr>
          <w:r>
            <w:t>DGG 1A</w:t>
          </w:r>
        </w:p>
      </w:tc>
      <w:tc>
        <w:tcPr>
          <w:tcW w:w="1107" w:type="pct"/>
          <w:shd w:val="clear" w:color="auto" w:fill="auto"/>
        </w:tcPr>
        <w:p w:rsidR="00D36192" w:rsidRPr="0035025C" w:rsidRDefault="00D36192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36192" w:rsidRPr="0035025C" w:rsidRDefault="00D36192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E418B" w:rsidRPr="00D36192" w:rsidRDefault="009E418B" w:rsidP="00D36192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BD" w:rsidRPr="00D36192" w:rsidRDefault="001876BD" w:rsidP="00D3619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BD" w:rsidRPr="00D36192" w:rsidRDefault="001876BD" w:rsidP="00D36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4B" w:rsidRPr="00B63664" w:rsidRDefault="002E464B">
      <w:r w:rsidRPr="00B63664">
        <w:separator/>
      </w:r>
    </w:p>
  </w:footnote>
  <w:footnote w:type="continuationSeparator" w:id="0">
    <w:p w:rsidR="002E464B" w:rsidRPr="00B63664" w:rsidRDefault="002E464B">
      <w:r w:rsidRPr="00B63664">
        <w:continuationSeparator/>
      </w:r>
    </w:p>
  </w:footnote>
  <w:footnote w:id="1">
    <w:p w:rsidR="002C48EB" w:rsidRDefault="002C48EB" w:rsidP="002C48EB">
      <w:pPr>
        <w:pStyle w:val="FootnoteText"/>
      </w:pPr>
      <w:r>
        <w:rPr>
          <w:rStyle w:val="FootnoteReference"/>
        </w:rPr>
        <w:footnoteRef/>
      </w:r>
      <w:r>
        <w:tab/>
        <w:t>OВ</w:t>
      </w:r>
      <w:r w:rsidRPr="002C48EB">
        <w:t xml:space="preserve"> C 374, 4.12.2012</w:t>
      </w:r>
      <w:r>
        <w:t xml:space="preserve"> г., стр</w:t>
      </w:r>
      <w:r w:rsidRPr="002C48EB">
        <w:t>. 2.</w:t>
      </w:r>
    </w:p>
  </w:footnote>
  <w:footnote w:id="2">
    <w:p w:rsidR="002C48EB" w:rsidRDefault="002C48EB" w:rsidP="007A769F">
      <w:pPr>
        <w:pStyle w:val="FootnoteText"/>
      </w:pPr>
      <w:r>
        <w:rPr>
          <w:rStyle w:val="FootnoteReference"/>
        </w:rPr>
        <w:footnoteRef/>
      </w:r>
      <w:r>
        <w:tab/>
      </w:r>
      <w:r w:rsidR="00071E65" w:rsidRPr="00071E65">
        <w:t xml:space="preserve">Позиция на Европейския парламент от </w:t>
      </w:r>
      <w:r w:rsidR="00071E65">
        <w:t>…</w:t>
      </w:r>
      <w:r w:rsidR="00071E65" w:rsidRPr="00071E65">
        <w:t xml:space="preserve"> (ОВ С …) [(все още непуб</w:t>
      </w:r>
      <w:r w:rsidR="00071E65">
        <w:t xml:space="preserve">ликувана в Официален вестник)] </w:t>
      </w:r>
      <w:r w:rsidR="00071E65" w:rsidRPr="00071E65">
        <w:t xml:space="preserve">и позиция на Съвета на първо четене от </w:t>
      </w:r>
      <w:r w:rsidR="007A769F">
        <w:t>5 март 2015 г.</w:t>
      </w:r>
      <w:r w:rsidR="00071E65" w:rsidRPr="00071E65">
        <w:t>[(ОВ …)] [(все още непубликувана в Официален вестник)]. Позиция на</w:t>
      </w:r>
      <w:r w:rsidR="006F42A1">
        <w:t xml:space="preserve"> Европейския парламент от …</w:t>
      </w:r>
      <w:r w:rsidR="006F42A1" w:rsidRPr="00E63F3F">
        <w:t xml:space="preserve"> </w:t>
      </w:r>
      <w:r w:rsidR="006F42A1">
        <w:t>[(ОВ </w:t>
      </w:r>
      <w:r w:rsidR="00071E65" w:rsidRPr="00071E65">
        <w:t>…)] [(все още непубликувана в Официален вестник)]</w:t>
      </w:r>
      <w:r w:rsidR="00BA0A6A" w:rsidRPr="00BC1B53">
        <w:t xml:space="preserve"> </w:t>
      </w:r>
      <w:r w:rsidR="00BA0A6A" w:rsidRPr="00BA0A6A">
        <w:t>[</w:t>
      </w:r>
      <w:r w:rsidR="00E63F3F">
        <w:t>и решение на Съвета от </w:t>
      </w:r>
      <w:r w:rsidR="00BA0A6A">
        <w:t>…</w:t>
      </w:r>
      <w:r w:rsidR="00BA0A6A" w:rsidRPr="00BA0A6A">
        <w:t>]</w:t>
      </w:r>
      <w:r w:rsidR="00071E65">
        <w:t>.</w:t>
      </w:r>
    </w:p>
  </w:footnote>
  <w:footnote w:id="3">
    <w:p w:rsidR="002E34B5" w:rsidRDefault="002E34B5" w:rsidP="002E34B5">
      <w:pPr>
        <w:pStyle w:val="FootnoteText"/>
      </w:pPr>
      <w:r>
        <w:rPr>
          <w:rStyle w:val="FootnoteReference"/>
        </w:rPr>
        <w:footnoteRef/>
      </w:r>
      <w:r>
        <w:tab/>
        <w:t>Регламент (ЕО) № 223/2009 на Европейския парламент и на Съвета от 11 март 2009 г. относно европейската статистика и за отмяна на Регламент (ЕО, Евратом) № 1101/2008 за предоставянето на поверителна статистическа информация на Статистическата служба на Европейските общности, на Регламент (ЕО) № 322/97 на Съвета относно статистиката на Общността и на Решение 89/382/ЕИО, Евратом на Съвета за създаване на Статистически програмен комитет на Европейските общности (OB L 87, 31.3.2009 г., стр. 164).</w:t>
      </w:r>
    </w:p>
  </w:footnote>
  <w:footnote w:id="4">
    <w:p w:rsidR="00071E65" w:rsidRPr="00071E65" w:rsidRDefault="00071E65" w:rsidP="005126E9"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 1175/2011 на Европейския парламент и на Съвета от 16 ноември 2011 </w:t>
      </w:r>
      <w:r w:rsidR="005126E9">
        <w:t xml:space="preserve">г. </w:t>
      </w:r>
      <w:r>
        <w:t xml:space="preserve">за изменение на Регламент (ЕО) № 1466/97 на Съвета за засилване на надзора върху състоянието на бюджета и на надзора и координацията на икономическите политики </w:t>
      </w:r>
      <w:r w:rsidRPr="00D86C28">
        <w:t>(</w:t>
      </w:r>
      <w:r>
        <w:t>OB L 306, 23.11.2011 г., стр. 12</w:t>
      </w:r>
      <w:r w:rsidRPr="00D86C28">
        <w:t>).</w:t>
      </w:r>
    </w:p>
  </w:footnote>
  <w:footnote w:id="5">
    <w:p w:rsidR="00071E65" w:rsidRPr="00071E65" w:rsidRDefault="00071E65" w:rsidP="005126E9"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 473/2013 на Европейския парламент и на Съвета от 21 май 2013 </w:t>
      </w:r>
      <w:r w:rsidR="005126E9">
        <w:t xml:space="preserve">г. </w:t>
      </w:r>
      <w:r>
        <w:t xml:space="preserve">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</w:t>
      </w:r>
      <w:r w:rsidRPr="008765D3">
        <w:t>(</w:t>
      </w:r>
      <w:r>
        <w:t>OB L 140, 27.5.2013 г., стр. 11</w:t>
      </w:r>
      <w:r w:rsidRPr="008765D3">
        <w:t>)</w:t>
      </w:r>
      <w:r w:rsidRPr="00D86C28">
        <w:t>.</w:t>
      </w:r>
    </w:p>
  </w:footnote>
  <w:footnote w:id="6">
    <w:p w:rsidR="005A4285" w:rsidRPr="00112781" w:rsidRDefault="005A4285" w:rsidP="00BA0A6A">
      <w:pPr>
        <w:pStyle w:val="FootnoteText"/>
      </w:pPr>
      <w:r>
        <w:rPr>
          <w:rStyle w:val="FootnoteReference"/>
        </w:rPr>
        <w:footnoteRef/>
      </w:r>
      <w:r>
        <w:tab/>
      </w:r>
      <w:r w:rsidR="00112781">
        <w:t xml:space="preserve">Решение </w:t>
      </w:r>
      <w:r w:rsidR="00112781" w:rsidRPr="002A0BD3">
        <w:t>1999/468/E</w:t>
      </w:r>
      <w:r w:rsidR="00112781">
        <w:t>О</w:t>
      </w:r>
      <w:r w:rsidR="00112781" w:rsidRPr="002A0BD3">
        <w:t xml:space="preserve"> </w:t>
      </w:r>
      <w:r w:rsidR="00112781">
        <w:t xml:space="preserve">на Съвета от 28 юни 1999 </w:t>
      </w:r>
      <w:r w:rsidR="00BA0A6A">
        <w:t xml:space="preserve">г. </w:t>
      </w:r>
      <w:r w:rsidR="00112781">
        <w:t xml:space="preserve">за установяване на условията и реда за упражняване на изпълнителните правомощия, предоставени на Комисията </w:t>
      </w:r>
      <w:r w:rsidR="00112781" w:rsidRPr="00BA0A6A">
        <w:t>(</w:t>
      </w:r>
      <w:r w:rsidR="00112781">
        <w:t>OB L 184, 17.7.1999 г., стр. 23</w:t>
      </w:r>
      <w:r w:rsidR="00112781" w:rsidRPr="00BA0A6A">
        <w:t>).</w:t>
      </w:r>
    </w:p>
  </w:footnote>
  <w:footnote w:id="7">
    <w:p w:rsidR="005A4285" w:rsidRPr="00112781" w:rsidRDefault="005A4285" w:rsidP="00C32474">
      <w:pPr>
        <w:pStyle w:val="FootnoteText"/>
      </w:pPr>
      <w:r>
        <w:rPr>
          <w:rStyle w:val="FootnoteReference"/>
        </w:rPr>
        <w:footnoteRef/>
      </w:r>
      <w:r>
        <w:tab/>
      </w:r>
      <w:r w:rsidR="00112781">
        <w:t xml:space="preserve">Регламент (ЕС) № 182/2011 на Европейския парламент и на Съвета от 16 февруари 2011 </w:t>
      </w:r>
      <w:r w:rsidR="00BA0A6A">
        <w:t xml:space="preserve">г. </w:t>
      </w:r>
      <w:r w:rsidR="00112781">
        <w:t>за установяване на общите правила и принципи относно реда и условията за контрол от страна на държавите</w:t>
      </w:r>
      <w:r w:rsidR="00C32474">
        <w:t xml:space="preserve"> </w:t>
      </w:r>
      <w:r w:rsidR="00112781">
        <w:t xml:space="preserve">членки върху упражняването на изпълнителните правомощия от страна на Комисията </w:t>
      </w:r>
      <w:r w:rsidR="00112781" w:rsidRPr="008765D3">
        <w:t>(</w:t>
      </w:r>
      <w:r w:rsidR="00112781">
        <w:t>OB L 55, 28.2.2011 г., стр. 13</w:t>
      </w:r>
      <w:r w:rsidR="00112781" w:rsidRPr="008765D3">
        <w:t>)</w:t>
      </w:r>
      <w:r w:rsidR="00112781" w:rsidRPr="00BA0A6A">
        <w:t>.</w:t>
      </w:r>
    </w:p>
  </w:footnote>
  <w:footnote w:id="8">
    <w:p w:rsidR="00831996" w:rsidRPr="00C05A48" w:rsidRDefault="00831996" w:rsidP="005C7619">
      <w:pPr>
        <w:pStyle w:val="FootnoteText"/>
        <w:rPr>
          <w:b/>
          <w:bCs/>
          <w:vertAlign w:val="superscript"/>
        </w:rPr>
      </w:pPr>
      <w:r w:rsidRPr="009A1B78">
        <w:rPr>
          <w:rStyle w:val="FootnoteReference"/>
        </w:rPr>
        <w:sym w:font="Symbol" w:char="F02B"/>
      </w:r>
      <w:r>
        <w:tab/>
      </w:r>
      <w:r w:rsidRPr="000B5BDD">
        <w:t>ОВ: моля въведете дата</w:t>
      </w:r>
      <w:r>
        <w:t>:</w:t>
      </w:r>
      <w:r w:rsidRPr="000B5BDD">
        <w:t xml:space="preserve"> </w:t>
      </w:r>
      <w:r>
        <w:t>2 години след влизане в сила на настоящия регламент.</w:t>
      </w:r>
    </w:p>
  </w:footnote>
  <w:footnote w:id="9">
    <w:p w:rsidR="005C7619" w:rsidRPr="00E63F3F" w:rsidRDefault="005C7619">
      <w:pPr>
        <w:pStyle w:val="FootnoteText"/>
      </w:pPr>
      <w:r w:rsidRPr="005C7619">
        <w:rPr>
          <w:rStyle w:val="FootnoteReference"/>
        </w:rPr>
        <w:sym w:font="Symbol" w:char="F02B"/>
      </w:r>
      <w:r w:rsidRPr="005C7619">
        <w:rPr>
          <w:rStyle w:val="FootnoteReference"/>
        </w:rPr>
        <w:sym w:font="Symbol" w:char="F02B"/>
      </w:r>
      <w:r w:rsidRPr="00E63F3F">
        <w:tab/>
      </w:r>
      <w:r w:rsidRPr="000B5BDD">
        <w:t xml:space="preserve">ОВ: моля въведете дата: </w:t>
      </w:r>
      <w:r>
        <w:t>3</w:t>
      </w:r>
      <w:r w:rsidRPr="00C05A48">
        <w:t xml:space="preserve"> години след влизане в сила на настоящия регламент.</w:t>
      </w:r>
    </w:p>
  </w:footnote>
  <w:footnote w:id="10">
    <w:p w:rsidR="00B86DA0" w:rsidRDefault="00B86DA0" w:rsidP="00B86DA0">
      <w:pPr>
        <w:pStyle w:val="FootnoteText"/>
      </w:pPr>
      <w:r w:rsidRPr="00B86DA0">
        <w:rPr>
          <w:rStyle w:val="FootnoteReference"/>
        </w:rPr>
        <w:sym w:font="Symbol" w:char="F02B"/>
      </w:r>
      <w:r w:rsidR="00EF79EB">
        <w:tab/>
      </w:r>
      <w:r w:rsidRPr="000B5BDD">
        <w:t xml:space="preserve">ОВ: моля въведете дата: </w:t>
      </w:r>
      <w:r>
        <w:t>3</w:t>
      </w:r>
      <w:r w:rsidRPr="00C05A48">
        <w:t xml:space="preserve"> години след влизане в сила на настоящия регламент.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FB" w:rsidRPr="00D36192" w:rsidRDefault="005601FB" w:rsidP="00D36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FB" w:rsidRPr="00D36192" w:rsidRDefault="005601FB" w:rsidP="00D3619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FB" w:rsidRPr="00D36192" w:rsidRDefault="005601FB" w:rsidP="00D36192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BD" w:rsidRPr="00D36192" w:rsidRDefault="001876BD" w:rsidP="00D361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BD" w:rsidRPr="00D36192" w:rsidRDefault="001876BD" w:rsidP="00D3619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BD" w:rsidRPr="00D36192" w:rsidRDefault="001876BD" w:rsidP="00D361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A5E7C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886C0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FD2411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474A75"/>
    <w:multiLevelType w:val="multilevel"/>
    <w:tmpl w:val="12A223C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5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6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AF76E7A"/>
    <w:multiLevelType w:val="singleLevel"/>
    <w:tmpl w:val="C74C5A32"/>
    <w:name w:val="Bullet 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54593082"/>
    <w:multiLevelType w:val="singleLevel"/>
    <w:tmpl w:val="EDE069AC"/>
    <w:name w:val="Bullet 0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">
    <w:nsid w:val="5F342530"/>
    <w:multiLevelType w:val="singleLevel"/>
    <w:tmpl w:val="D5444702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6">
    <w:nsid w:val="5F9C40AA"/>
    <w:multiLevelType w:val="singleLevel"/>
    <w:tmpl w:val="B89CB5A2"/>
    <w:name w:val="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19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5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12"/>
  </w:num>
  <w:num w:numId="13">
    <w:abstractNumId w:val="20"/>
  </w:num>
  <w:num w:numId="14">
    <w:abstractNumId w:val="7"/>
  </w:num>
  <w:num w:numId="15">
    <w:abstractNumId w:val="3"/>
  </w:num>
  <w:num w:numId="16">
    <w:abstractNumId w:val="21"/>
  </w:num>
  <w:num w:numId="17">
    <w:abstractNumId w:val="9"/>
  </w:num>
  <w:num w:numId="18">
    <w:abstractNumId w:val="5"/>
  </w:num>
  <w:num w:numId="19">
    <w:abstractNumId w:val="4"/>
  </w:num>
  <w:num w:numId="20">
    <w:abstractNumId w:val="19"/>
  </w:num>
  <w:num w:numId="21">
    <w:abstractNumId w:val="17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6"/>
  </w:num>
  <w:num w:numId="26">
    <w:abstractNumId w:val="11"/>
  </w:num>
  <w:num w:numId="27">
    <w:abstractNumId w:val="14"/>
  </w:num>
  <w:num w:numId="28">
    <w:abstractNumId w:val="12"/>
  </w:num>
  <w:num w:numId="29">
    <w:abstractNumId w:val="20"/>
  </w:num>
  <w:num w:numId="30">
    <w:abstractNumId w:val="7"/>
  </w:num>
  <w:num w:numId="31">
    <w:abstractNumId w:val="3"/>
  </w:num>
  <w:num w:numId="32">
    <w:abstractNumId w:val="21"/>
  </w:num>
  <w:num w:numId="33">
    <w:abstractNumId w:val="9"/>
  </w:num>
  <w:num w:numId="34">
    <w:abstractNumId w:val="5"/>
  </w:num>
  <w:num w:numId="35">
    <w:abstractNumId w:val="4"/>
  </w:num>
  <w:num w:numId="36">
    <w:abstractNumId w:val="19"/>
  </w:num>
  <w:num w:numId="37">
    <w:abstractNumId w:val="17"/>
  </w:num>
  <w:num w:numId="3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Lw5x\Copylist\CecCons\Template"/>
    <w:docVar w:name="Council" w:val="true"/>
    <w:docVar w:name="COVERPAGE_EXISTS" w:val="True"/>
    <w:docVar w:name="DocuWriteMetaData" w:val="&lt;metadataset docuwriteversion=&quot;3.4.3&quot; technicalblockguid=&quot;43751200-ec57-4cfb-933c-e9722cc6460b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22&quot;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 /&gt;_x000d__x000a_    &lt;/basicdatatype&gt;_x000d__x000a_  &lt;/metadata&gt;_x000d__x000a_  &lt;metadata key=&quot;md_HeadingText&quot;&gt;_x000d__x000a_    &lt;headingtext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&gt;_x000d__x000a_      &lt;formattedtext&gt;_x000d__x000a_        &lt;xaml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&gt;&amp;lt;FlowDocument xmlns=&quot;http://schemas.microsoft.com/winfx/2006/xaml/presentation&quot;&amp;gt;&amp;lt;Paragraph&amp;g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&lt;/text&gt;_x000d__x000a_  &lt;/metadata&gt;_x000d__x000a_  &lt;metadata key=&quot;md_DocumentNumber&quot;&gt;_x000d__x000a_    &lt;text&gt;516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2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2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STATIS 3&lt;/text&gt;_x000d__x000a_      &lt;text&gt;ECOFIN 22&lt;/text&gt;_x000d__x000a_      &lt;text&gt;CODEC 30&lt;/text&gt;_x000d__x000a_      &lt;text&gt;PARLNAT 1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2/0084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7;&amp;#1088;&amp;#1080;&amp;#1077;&amp;#1084;&amp;#1072;&amp;#1085;&amp;#1077;&amp;#1090;&amp;#1086; &amp;#1085;&amp;#1072; 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0;&amp;#1079;&amp;#1084;&amp;#1077;&amp;#1085;&amp;#1077;&amp;#1085;&amp;#1080;&amp;#1077; &amp;#1085;&amp;#1072; &amp;#1056;&amp;#1077;&amp;#1075;&amp;#1083;&amp;#1072;&amp;#1084;&amp;#1077;&amp;#1085;&amp;#1090; (&amp;#1045;&amp;#1054;) &amp;#8470; 223/2009 &amp;#1086;&amp;#1090;&amp;#1085;&amp;#1086;&amp;#1089;&amp;#1085;&amp;#1086; &amp;#1077;&amp;#1074;&amp;#1088;&amp;#1086;&amp;#1087;&amp;#1077;&amp;#1081;&amp;#1089;&amp;#1082;&amp;#1072;&amp;#1090;&amp;#1072; &amp;#1089;&amp;#1090;&amp;#1072;&amp;#1090;&amp;#1080;&amp;#1089;&amp;#1090;&amp;#1080;&amp;#1082;&amp;#1072; - &amp;#1055;&amp;#1088;&amp;#1080;&amp;#1077;&amp;#1090;&amp;#1072; &amp;#1086;&amp;#1090; &amp;#1057;&amp;#1098;&amp;#1074;&amp;#1077;&amp;#1090;&amp;#1072; &amp;#1085;&amp;#1072; 5 &amp;#1084;&amp;#1072;&amp;#1088;&amp;#1090; 2015 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xml:lang=&quot;bg-bg&quot; xml:space=&quot;preserve&quot;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7;&amp;#1088;&amp;#1080;&amp;#1077;&amp;#1084;&amp;#1072;&amp;#1085;&amp;#1077;&amp;#1090;&amp;#1086; &amp;#1085;&amp;#1072; &amp;lt;/Run&amp;gt;&amp;lt;Run FontFamily=&quot;Times New Roman&quot;&amp;gt;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0;&amp;#1079;&amp;#1084;&amp;#1077;&amp;#1085;&amp;#1077;&amp;#1085;&amp;#1080;&amp;#1077; &amp;#1085;&amp;#1072; &amp;#1056;&amp;#1077;&amp;#1075;&amp;#1083;&amp;#1072;&amp;#1084;&amp;#1077;&amp;#1085;&amp;#1090; (&amp;#1045;&amp;#1054;) &amp;#8470; 223/2009 &amp;#1086;&amp;#1090;&amp;#1085;&amp;#1086;&amp;#1089;&amp;#1085;&amp;#1086; &amp;#1077;&amp;#1074;&amp;#1088;&amp;#1086;&amp;#1087;&amp;#1077;&amp;#1081;&amp;#1089;&amp;#1082;&amp;#1072;&amp;#1090;&amp;#1072; &amp;#1089;&amp;#1090;&amp;#1072;&amp;#1090;&amp;#1080;&amp;#1089;&amp;#1090;&amp;#1080;&amp;#1082;&amp;#1072;&amp;lt;/Run&amp;gt;&amp;lt;/Paragraph&amp;gt;&amp;lt;Paragraph FontFamily=&quot;Georgia&quot; NumberSubstitution.CultureSource=&quot;Text&quot;&amp;gt;&amp;lt;Run FontFamily=&quot;Times New Roman&quot;&amp;gt;-&amp;lt;/Run&amp;gt;&amp;lt;Run FontFamily=&quot;Times New Roman&quot; xml:lang=&quot;bg-bg&quot; xml:space=&quot;preserve&quot;&amp;gt; &amp;#1055;&amp;#1088;&amp;#1080;&amp;#1077;&amp;#1090;&amp;#1072; &amp;#1086;&amp;#1090; &amp;#1057;&amp;#1098;&amp;#1074;&amp;#1077;&amp;#1090;&amp;#1072; &amp;#1085;&amp;#1072; 5 &amp;#1084;&amp;#1072;&amp;#1088;&amp;#1090; 2015 &amp;#1075;.&amp;lt;/Run&amp;gt;&amp;lt;/Paragraph&amp;gt;&amp;lt;/FlowDocument&amp;gt;&lt;/xaml&gt;_x000d__x000a_  &lt;/metadata&gt;_x000d__x000a_  &lt;metadata key=&quot;md_SubjectFootnote&quot; /&gt;_x000d__x000a_  &lt;metadata key=&quot;md_DG&quot;&gt;_x000d__x000a_    &lt;text&gt;DGG 1A&lt;/text&gt;_x000d__x000a_  &lt;/metadata&gt;_x000d__x000a_  &lt;metadata key=&quot;md_Initials&quot;&gt;_x000d__x000a_    &lt;text&gt;DG/rb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BG&lt;/text&gt;_x000d__x000a_  &lt;/metadata&gt;_x000d__x000a_  &lt;metadata key=&quot;md_SourceDocType&quot;&gt;_x000d__x000a_    &lt;text&gt;&amp;#1055;&amp;#1088;&amp;#1077;&amp;#1076;&amp;#1083;&amp;#1086;&amp;#1078;&amp;#1077;&amp;#1085;&amp;#1080;&amp;#1077; &amp;#1079;&amp;#1072; _x000d__x000a_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&lt;/text&gt;_x000d__x000a_  &lt;/metadata&gt;_x000d__x000a_  &lt;metadata key=&quot;md_SourceDocTitle&quot;&gt;_x000d__x000a_    &lt;text&gt;&amp;#1079;&amp;#1072; &amp;#1080;&amp;#1079;&amp;#1084;&amp;#1077;&amp;#1085;&amp;#1077;&amp;#1085;&amp;#1080;&amp;#1077; &amp;#1085;&amp;#1072; &amp;#1056;&amp;#1077;&amp;#1075;&amp;#1083;&amp;#1072;&amp;#1084;&amp;#1077;&amp;#1085;&amp;#1090; (E&amp;#1054;) &amp;#8470; 223/2009 &amp;#1086;&amp;#1090;&amp;#1085;&amp;#1086;&amp;#1089;&amp;#1085;&amp;#1086; &amp;#1077;&amp;#1074;&amp;#1088;&amp;#1086;&amp;#1087;&amp;#1077;&amp;#1081;&amp;#1089;&amp;#1082;&amp;#1072;&amp;#1090;&amp;#1072; &amp;#1089;&amp;#1090;&amp;#1072;&amp;#1090;&amp;#1080;&amp;#1089;&amp;#1090;&amp;#1080;&amp;#1082;&amp;#1072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Highlighting" w:val="100"/>
    <w:docVar w:name="DW_DocType" w:val="DW_LEGACTS"/>
    <w:docVar w:name="LW_DocType" w:val="DW_LEGACTS"/>
    <w:docVar w:name="Stamp" w:val="\\dossiers.dgt.cec.eu.int\dossiers\ESTAT\ESTAT-2012-10092\ESTAT-2012-10092-00-00-EN-REV-00.DOC"/>
    <w:docVar w:name="VSSDB_IniPath" w:val="\\at100\user\wovo\SEILEG\vss\srcsafe.ini"/>
    <w:docVar w:name="VSSDB_ProjectPath" w:val="$/LegisWrite/DOT/COM"/>
  </w:docVars>
  <w:rsids>
    <w:rsidRoot w:val="0037555D"/>
    <w:rsid w:val="00011066"/>
    <w:rsid w:val="00025DEA"/>
    <w:rsid w:val="00027DB1"/>
    <w:rsid w:val="000300DA"/>
    <w:rsid w:val="00030DE5"/>
    <w:rsid w:val="00036367"/>
    <w:rsid w:val="00036718"/>
    <w:rsid w:val="000411B7"/>
    <w:rsid w:val="000455BC"/>
    <w:rsid w:val="00046870"/>
    <w:rsid w:val="0006098B"/>
    <w:rsid w:val="0006241A"/>
    <w:rsid w:val="00063AAC"/>
    <w:rsid w:val="00070A07"/>
    <w:rsid w:val="00070D42"/>
    <w:rsid w:val="00071E65"/>
    <w:rsid w:val="00072B67"/>
    <w:rsid w:val="00090441"/>
    <w:rsid w:val="000A1C4D"/>
    <w:rsid w:val="000A3335"/>
    <w:rsid w:val="000A3DC2"/>
    <w:rsid w:val="000B552C"/>
    <w:rsid w:val="000B5BDD"/>
    <w:rsid w:val="000C0C56"/>
    <w:rsid w:val="000C2C7D"/>
    <w:rsid w:val="000C5E46"/>
    <w:rsid w:val="000D0267"/>
    <w:rsid w:val="000D1517"/>
    <w:rsid w:val="000D24E4"/>
    <w:rsid w:val="000D613B"/>
    <w:rsid w:val="000E01C0"/>
    <w:rsid w:val="000E0E01"/>
    <w:rsid w:val="000E5925"/>
    <w:rsid w:val="000F598E"/>
    <w:rsid w:val="000F6B80"/>
    <w:rsid w:val="00100533"/>
    <w:rsid w:val="00102684"/>
    <w:rsid w:val="00105191"/>
    <w:rsid w:val="001058D9"/>
    <w:rsid w:val="0010593F"/>
    <w:rsid w:val="00112781"/>
    <w:rsid w:val="00122199"/>
    <w:rsid w:val="00125355"/>
    <w:rsid w:val="00136055"/>
    <w:rsid w:val="00136532"/>
    <w:rsid w:val="00140949"/>
    <w:rsid w:val="00140B2C"/>
    <w:rsid w:val="00143517"/>
    <w:rsid w:val="001510AE"/>
    <w:rsid w:val="00151CE3"/>
    <w:rsid w:val="00154FC8"/>
    <w:rsid w:val="00156F7C"/>
    <w:rsid w:val="0016041F"/>
    <w:rsid w:val="00164B76"/>
    <w:rsid w:val="001677C1"/>
    <w:rsid w:val="00170270"/>
    <w:rsid w:val="00175D2D"/>
    <w:rsid w:val="0018094B"/>
    <w:rsid w:val="001818C6"/>
    <w:rsid w:val="00186928"/>
    <w:rsid w:val="001876BD"/>
    <w:rsid w:val="00187DF2"/>
    <w:rsid w:val="001A3AAE"/>
    <w:rsid w:val="001B52AA"/>
    <w:rsid w:val="001C4534"/>
    <w:rsid w:val="001D54DC"/>
    <w:rsid w:val="001E02B8"/>
    <w:rsid w:val="001E2E4F"/>
    <w:rsid w:val="001E6263"/>
    <w:rsid w:val="001F0C4A"/>
    <w:rsid w:val="001F36FF"/>
    <w:rsid w:val="001F389A"/>
    <w:rsid w:val="001F3FBE"/>
    <w:rsid w:val="0020230D"/>
    <w:rsid w:val="00203165"/>
    <w:rsid w:val="00204A7F"/>
    <w:rsid w:val="0020716B"/>
    <w:rsid w:val="00207880"/>
    <w:rsid w:val="002105C6"/>
    <w:rsid w:val="00211EFE"/>
    <w:rsid w:val="0023210C"/>
    <w:rsid w:val="00237BA9"/>
    <w:rsid w:val="00243169"/>
    <w:rsid w:val="00246FF3"/>
    <w:rsid w:val="002516A4"/>
    <w:rsid w:val="00263560"/>
    <w:rsid w:val="002659C0"/>
    <w:rsid w:val="002737D0"/>
    <w:rsid w:val="002746F1"/>
    <w:rsid w:val="00274DBE"/>
    <w:rsid w:val="0028020D"/>
    <w:rsid w:val="0029053A"/>
    <w:rsid w:val="00290FBC"/>
    <w:rsid w:val="002A6574"/>
    <w:rsid w:val="002B2EFD"/>
    <w:rsid w:val="002B69B1"/>
    <w:rsid w:val="002C23A7"/>
    <w:rsid w:val="002C4464"/>
    <w:rsid w:val="002C48EB"/>
    <w:rsid w:val="002D000D"/>
    <w:rsid w:val="002D0294"/>
    <w:rsid w:val="002D7D14"/>
    <w:rsid w:val="002E14F0"/>
    <w:rsid w:val="002E34B5"/>
    <w:rsid w:val="002E464B"/>
    <w:rsid w:val="002E4950"/>
    <w:rsid w:val="002E53FF"/>
    <w:rsid w:val="002E5D7A"/>
    <w:rsid w:val="002F3D18"/>
    <w:rsid w:val="002F7D0E"/>
    <w:rsid w:val="002F7FAC"/>
    <w:rsid w:val="00302B7A"/>
    <w:rsid w:val="00304D1E"/>
    <w:rsid w:val="0030527E"/>
    <w:rsid w:val="00312FFD"/>
    <w:rsid w:val="00313113"/>
    <w:rsid w:val="00317420"/>
    <w:rsid w:val="003221C9"/>
    <w:rsid w:val="003326E7"/>
    <w:rsid w:val="003347DF"/>
    <w:rsid w:val="003444A6"/>
    <w:rsid w:val="003509E9"/>
    <w:rsid w:val="003632AF"/>
    <w:rsid w:val="003658CD"/>
    <w:rsid w:val="00370D01"/>
    <w:rsid w:val="003726C6"/>
    <w:rsid w:val="0037555D"/>
    <w:rsid w:val="00375870"/>
    <w:rsid w:val="00377C84"/>
    <w:rsid w:val="003801E5"/>
    <w:rsid w:val="00382565"/>
    <w:rsid w:val="00387885"/>
    <w:rsid w:val="00391A63"/>
    <w:rsid w:val="00391EEC"/>
    <w:rsid w:val="003A25EB"/>
    <w:rsid w:val="003A5177"/>
    <w:rsid w:val="003B1D82"/>
    <w:rsid w:val="003B343B"/>
    <w:rsid w:val="003B4AEF"/>
    <w:rsid w:val="003D381D"/>
    <w:rsid w:val="003D6008"/>
    <w:rsid w:val="003D7A94"/>
    <w:rsid w:val="003E09D6"/>
    <w:rsid w:val="003E0C68"/>
    <w:rsid w:val="003E1772"/>
    <w:rsid w:val="003E253B"/>
    <w:rsid w:val="003E2D2E"/>
    <w:rsid w:val="003E4777"/>
    <w:rsid w:val="003E6775"/>
    <w:rsid w:val="003F1668"/>
    <w:rsid w:val="003F7278"/>
    <w:rsid w:val="00404ED2"/>
    <w:rsid w:val="00406039"/>
    <w:rsid w:val="00410982"/>
    <w:rsid w:val="00411039"/>
    <w:rsid w:val="004112A1"/>
    <w:rsid w:val="004118AF"/>
    <w:rsid w:val="00412F6A"/>
    <w:rsid w:val="00422276"/>
    <w:rsid w:val="00427664"/>
    <w:rsid w:val="00430D06"/>
    <w:rsid w:val="00443827"/>
    <w:rsid w:val="00445005"/>
    <w:rsid w:val="0044536E"/>
    <w:rsid w:val="00447C2E"/>
    <w:rsid w:val="0046387A"/>
    <w:rsid w:val="0046486B"/>
    <w:rsid w:val="0046587F"/>
    <w:rsid w:val="004704E0"/>
    <w:rsid w:val="00474D03"/>
    <w:rsid w:val="00480BC7"/>
    <w:rsid w:val="0048611F"/>
    <w:rsid w:val="00490BC9"/>
    <w:rsid w:val="004A2C9F"/>
    <w:rsid w:val="004A56EB"/>
    <w:rsid w:val="004A6512"/>
    <w:rsid w:val="004B128E"/>
    <w:rsid w:val="004B2B3D"/>
    <w:rsid w:val="004B540D"/>
    <w:rsid w:val="004B77CE"/>
    <w:rsid w:val="004C1D72"/>
    <w:rsid w:val="004C23BC"/>
    <w:rsid w:val="004C3B61"/>
    <w:rsid w:val="004C708B"/>
    <w:rsid w:val="004D2322"/>
    <w:rsid w:val="004D373C"/>
    <w:rsid w:val="004D7F40"/>
    <w:rsid w:val="004E4B4F"/>
    <w:rsid w:val="004F21BE"/>
    <w:rsid w:val="00501CC6"/>
    <w:rsid w:val="0050210D"/>
    <w:rsid w:val="0050600F"/>
    <w:rsid w:val="00507BDA"/>
    <w:rsid w:val="005126E9"/>
    <w:rsid w:val="005152AE"/>
    <w:rsid w:val="00525645"/>
    <w:rsid w:val="00525BC3"/>
    <w:rsid w:val="0053043A"/>
    <w:rsid w:val="0054484D"/>
    <w:rsid w:val="00545C9B"/>
    <w:rsid w:val="00550BE3"/>
    <w:rsid w:val="00551376"/>
    <w:rsid w:val="00552BCC"/>
    <w:rsid w:val="005542BB"/>
    <w:rsid w:val="00554553"/>
    <w:rsid w:val="00555E1B"/>
    <w:rsid w:val="00557EA8"/>
    <w:rsid w:val="005601FB"/>
    <w:rsid w:val="00560D45"/>
    <w:rsid w:val="005653CA"/>
    <w:rsid w:val="00571EFD"/>
    <w:rsid w:val="00575CCE"/>
    <w:rsid w:val="0058038F"/>
    <w:rsid w:val="00587C3E"/>
    <w:rsid w:val="005A4285"/>
    <w:rsid w:val="005B11EB"/>
    <w:rsid w:val="005B1FA3"/>
    <w:rsid w:val="005B41B1"/>
    <w:rsid w:val="005B5E1A"/>
    <w:rsid w:val="005C217E"/>
    <w:rsid w:val="005C7619"/>
    <w:rsid w:val="005D3DFF"/>
    <w:rsid w:val="005D62C9"/>
    <w:rsid w:val="005E05A9"/>
    <w:rsid w:val="005E56FF"/>
    <w:rsid w:val="005F1036"/>
    <w:rsid w:val="005F15F0"/>
    <w:rsid w:val="005F4015"/>
    <w:rsid w:val="005F478D"/>
    <w:rsid w:val="005F5E63"/>
    <w:rsid w:val="006079FD"/>
    <w:rsid w:val="00611953"/>
    <w:rsid w:val="0061195B"/>
    <w:rsid w:val="006145D6"/>
    <w:rsid w:val="00614D04"/>
    <w:rsid w:val="00625133"/>
    <w:rsid w:val="00625F12"/>
    <w:rsid w:val="0063051C"/>
    <w:rsid w:val="006337BF"/>
    <w:rsid w:val="00637EEF"/>
    <w:rsid w:val="006427C8"/>
    <w:rsid w:val="0064353C"/>
    <w:rsid w:val="006446A6"/>
    <w:rsid w:val="00652296"/>
    <w:rsid w:val="00652639"/>
    <w:rsid w:val="006665F0"/>
    <w:rsid w:val="0067036C"/>
    <w:rsid w:val="006720B4"/>
    <w:rsid w:val="00673CCC"/>
    <w:rsid w:val="006740CE"/>
    <w:rsid w:val="0067446D"/>
    <w:rsid w:val="00682EB0"/>
    <w:rsid w:val="0069147E"/>
    <w:rsid w:val="006979E2"/>
    <w:rsid w:val="006D2D1D"/>
    <w:rsid w:val="006D4721"/>
    <w:rsid w:val="006E3B96"/>
    <w:rsid w:val="006E567F"/>
    <w:rsid w:val="006F084F"/>
    <w:rsid w:val="006F42A1"/>
    <w:rsid w:val="006F5CC4"/>
    <w:rsid w:val="006F770D"/>
    <w:rsid w:val="00701D8A"/>
    <w:rsid w:val="00710545"/>
    <w:rsid w:val="007225AE"/>
    <w:rsid w:val="007254FA"/>
    <w:rsid w:val="007315C4"/>
    <w:rsid w:val="00733A45"/>
    <w:rsid w:val="00741498"/>
    <w:rsid w:val="0074332E"/>
    <w:rsid w:val="00746F44"/>
    <w:rsid w:val="00752396"/>
    <w:rsid w:val="00774EC9"/>
    <w:rsid w:val="007753F1"/>
    <w:rsid w:val="00776447"/>
    <w:rsid w:val="00776758"/>
    <w:rsid w:val="007773BB"/>
    <w:rsid w:val="00781EA2"/>
    <w:rsid w:val="007A28D2"/>
    <w:rsid w:val="007A2BDF"/>
    <w:rsid w:val="007A3191"/>
    <w:rsid w:val="007A5119"/>
    <w:rsid w:val="007A7625"/>
    <w:rsid w:val="007A769F"/>
    <w:rsid w:val="007B0E1C"/>
    <w:rsid w:val="007B1874"/>
    <w:rsid w:val="007B5143"/>
    <w:rsid w:val="007B6A87"/>
    <w:rsid w:val="007C0106"/>
    <w:rsid w:val="007C2368"/>
    <w:rsid w:val="007C7C1A"/>
    <w:rsid w:val="007D4415"/>
    <w:rsid w:val="007E1780"/>
    <w:rsid w:val="007E27F1"/>
    <w:rsid w:val="007F0987"/>
    <w:rsid w:val="007F0E3F"/>
    <w:rsid w:val="007F16C9"/>
    <w:rsid w:val="007F28A5"/>
    <w:rsid w:val="00800291"/>
    <w:rsid w:val="008049DA"/>
    <w:rsid w:val="008055EC"/>
    <w:rsid w:val="008065B3"/>
    <w:rsid w:val="00810F53"/>
    <w:rsid w:val="00827BD3"/>
    <w:rsid w:val="00831996"/>
    <w:rsid w:val="00833D55"/>
    <w:rsid w:val="0083412F"/>
    <w:rsid w:val="008351BC"/>
    <w:rsid w:val="00840F0D"/>
    <w:rsid w:val="00843CB9"/>
    <w:rsid w:val="00845BD5"/>
    <w:rsid w:val="00850298"/>
    <w:rsid w:val="00862BA7"/>
    <w:rsid w:val="008638F4"/>
    <w:rsid w:val="00872E27"/>
    <w:rsid w:val="00884310"/>
    <w:rsid w:val="008948FB"/>
    <w:rsid w:val="008A1050"/>
    <w:rsid w:val="008A15E2"/>
    <w:rsid w:val="008A2478"/>
    <w:rsid w:val="008B3A96"/>
    <w:rsid w:val="008B4DAC"/>
    <w:rsid w:val="008C3B5F"/>
    <w:rsid w:val="008C6CAF"/>
    <w:rsid w:val="008D19FA"/>
    <w:rsid w:val="008E4E69"/>
    <w:rsid w:val="008E57AC"/>
    <w:rsid w:val="008F4470"/>
    <w:rsid w:val="00906728"/>
    <w:rsid w:val="00923768"/>
    <w:rsid w:val="009303D9"/>
    <w:rsid w:val="00931039"/>
    <w:rsid w:val="0094609C"/>
    <w:rsid w:val="00951138"/>
    <w:rsid w:val="009511B7"/>
    <w:rsid w:val="009716E8"/>
    <w:rsid w:val="00971AC3"/>
    <w:rsid w:val="0097272C"/>
    <w:rsid w:val="009763B9"/>
    <w:rsid w:val="00983986"/>
    <w:rsid w:val="009840A5"/>
    <w:rsid w:val="00985FC1"/>
    <w:rsid w:val="00986397"/>
    <w:rsid w:val="009932C6"/>
    <w:rsid w:val="009942FB"/>
    <w:rsid w:val="009A1B78"/>
    <w:rsid w:val="009A2365"/>
    <w:rsid w:val="009A780F"/>
    <w:rsid w:val="009B53B1"/>
    <w:rsid w:val="009B6D50"/>
    <w:rsid w:val="009B77BE"/>
    <w:rsid w:val="009C4D38"/>
    <w:rsid w:val="009C684D"/>
    <w:rsid w:val="009D468A"/>
    <w:rsid w:val="009E09BC"/>
    <w:rsid w:val="009E1B01"/>
    <w:rsid w:val="009E2DA2"/>
    <w:rsid w:val="009E418B"/>
    <w:rsid w:val="009E5CD7"/>
    <w:rsid w:val="009E63F7"/>
    <w:rsid w:val="009F093C"/>
    <w:rsid w:val="009F2AAD"/>
    <w:rsid w:val="009F4C28"/>
    <w:rsid w:val="00A105E3"/>
    <w:rsid w:val="00A21BB0"/>
    <w:rsid w:val="00A22414"/>
    <w:rsid w:val="00A230F5"/>
    <w:rsid w:val="00A23706"/>
    <w:rsid w:val="00A25A86"/>
    <w:rsid w:val="00A3077E"/>
    <w:rsid w:val="00A333F9"/>
    <w:rsid w:val="00A40C4E"/>
    <w:rsid w:val="00A41807"/>
    <w:rsid w:val="00A434DB"/>
    <w:rsid w:val="00A440BC"/>
    <w:rsid w:val="00A5251F"/>
    <w:rsid w:val="00A628B5"/>
    <w:rsid w:val="00A71DFB"/>
    <w:rsid w:val="00A8241E"/>
    <w:rsid w:val="00A8593B"/>
    <w:rsid w:val="00A97AE3"/>
    <w:rsid w:val="00AB21FF"/>
    <w:rsid w:val="00AC1957"/>
    <w:rsid w:val="00AD6170"/>
    <w:rsid w:val="00AE03FC"/>
    <w:rsid w:val="00AF2D33"/>
    <w:rsid w:val="00AF36E8"/>
    <w:rsid w:val="00AF42C4"/>
    <w:rsid w:val="00AF78EF"/>
    <w:rsid w:val="00AF7B49"/>
    <w:rsid w:val="00B03E0E"/>
    <w:rsid w:val="00B2563C"/>
    <w:rsid w:val="00B272E5"/>
    <w:rsid w:val="00B31708"/>
    <w:rsid w:val="00B34D59"/>
    <w:rsid w:val="00B35CED"/>
    <w:rsid w:val="00B412E7"/>
    <w:rsid w:val="00B439BA"/>
    <w:rsid w:val="00B43B2C"/>
    <w:rsid w:val="00B457A0"/>
    <w:rsid w:val="00B47321"/>
    <w:rsid w:val="00B63664"/>
    <w:rsid w:val="00B86DA0"/>
    <w:rsid w:val="00B87709"/>
    <w:rsid w:val="00B9361C"/>
    <w:rsid w:val="00B95349"/>
    <w:rsid w:val="00B956C1"/>
    <w:rsid w:val="00B95A9B"/>
    <w:rsid w:val="00BA0A6A"/>
    <w:rsid w:val="00BA5BA8"/>
    <w:rsid w:val="00BB5DB5"/>
    <w:rsid w:val="00BB78E1"/>
    <w:rsid w:val="00BC02BA"/>
    <w:rsid w:val="00BC1B53"/>
    <w:rsid w:val="00BC21C3"/>
    <w:rsid w:val="00BC6F34"/>
    <w:rsid w:val="00BC7EC8"/>
    <w:rsid w:val="00BD43AF"/>
    <w:rsid w:val="00BD5E90"/>
    <w:rsid w:val="00BD700B"/>
    <w:rsid w:val="00BE338C"/>
    <w:rsid w:val="00BE4968"/>
    <w:rsid w:val="00BF139E"/>
    <w:rsid w:val="00BF5FD8"/>
    <w:rsid w:val="00C00444"/>
    <w:rsid w:val="00C05C66"/>
    <w:rsid w:val="00C157AA"/>
    <w:rsid w:val="00C15A1A"/>
    <w:rsid w:val="00C238F6"/>
    <w:rsid w:val="00C32474"/>
    <w:rsid w:val="00C36BE1"/>
    <w:rsid w:val="00C37206"/>
    <w:rsid w:val="00C40D62"/>
    <w:rsid w:val="00C61DC3"/>
    <w:rsid w:val="00C6412D"/>
    <w:rsid w:val="00C707A1"/>
    <w:rsid w:val="00C70A45"/>
    <w:rsid w:val="00C763D9"/>
    <w:rsid w:val="00C8207D"/>
    <w:rsid w:val="00C83DEA"/>
    <w:rsid w:val="00C843C8"/>
    <w:rsid w:val="00C84EAF"/>
    <w:rsid w:val="00C94978"/>
    <w:rsid w:val="00C96826"/>
    <w:rsid w:val="00CB47CB"/>
    <w:rsid w:val="00CB76E7"/>
    <w:rsid w:val="00CC2A01"/>
    <w:rsid w:val="00CC2ECD"/>
    <w:rsid w:val="00CC52B1"/>
    <w:rsid w:val="00CC7AB4"/>
    <w:rsid w:val="00CD22AD"/>
    <w:rsid w:val="00CD5719"/>
    <w:rsid w:val="00CD5FB9"/>
    <w:rsid w:val="00CE709C"/>
    <w:rsid w:val="00CE7CAD"/>
    <w:rsid w:val="00CF0422"/>
    <w:rsid w:val="00D00932"/>
    <w:rsid w:val="00D00E3E"/>
    <w:rsid w:val="00D061E3"/>
    <w:rsid w:val="00D06246"/>
    <w:rsid w:val="00D14473"/>
    <w:rsid w:val="00D15A57"/>
    <w:rsid w:val="00D26175"/>
    <w:rsid w:val="00D26EEB"/>
    <w:rsid w:val="00D34B1A"/>
    <w:rsid w:val="00D36192"/>
    <w:rsid w:val="00D4421F"/>
    <w:rsid w:val="00D51CD5"/>
    <w:rsid w:val="00D70C3F"/>
    <w:rsid w:val="00D73F19"/>
    <w:rsid w:val="00D80C98"/>
    <w:rsid w:val="00D84256"/>
    <w:rsid w:val="00D86C28"/>
    <w:rsid w:val="00DA07FB"/>
    <w:rsid w:val="00DA0A69"/>
    <w:rsid w:val="00DA3A12"/>
    <w:rsid w:val="00DA4641"/>
    <w:rsid w:val="00DA65B9"/>
    <w:rsid w:val="00DA7BA4"/>
    <w:rsid w:val="00DB2886"/>
    <w:rsid w:val="00DC486D"/>
    <w:rsid w:val="00DC4F5F"/>
    <w:rsid w:val="00DC5A6F"/>
    <w:rsid w:val="00DC6329"/>
    <w:rsid w:val="00DC7215"/>
    <w:rsid w:val="00DD4566"/>
    <w:rsid w:val="00DE511B"/>
    <w:rsid w:val="00DF5C21"/>
    <w:rsid w:val="00DF6258"/>
    <w:rsid w:val="00DF7261"/>
    <w:rsid w:val="00E013AC"/>
    <w:rsid w:val="00E02767"/>
    <w:rsid w:val="00E036C5"/>
    <w:rsid w:val="00E04B00"/>
    <w:rsid w:val="00E12263"/>
    <w:rsid w:val="00E20D9B"/>
    <w:rsid w:val="00E24805"/>
    <w:rsid w:val="00E30E5A"/>
    <w:rsid w:val="00E37838"/>
    <w:rsid w:val="00E40744"/>
    <w:rsid w:val="00E44D1F"/>
    <w:rsid w:val="00E533EF"/>
    <w:rsid w:val="00E6049A"/>
    <w:rsid w:val="00E6087B"/>
    <w:rsid w:val="00E63F3F"/>
    <w:rsid w:val="00E6783E"/>
    <w:rsid w:val="00E70F6A"/>
    <w:rsid w:val="00E7585E"/>
    <w:rsid w:val="00E813E2"/>
    <w:rsid w:val="00E82A71"/>
    <w:rsid w:val="00E841CA"/>
    <w:rsid w:val="00E85BA2"/>
    <w:rsid w:val="00E8730D"/>
    <w:rsid w:val="00EA2529"/>
    <w:rsid w:val="00EA5112"/>
    <w:rsid w:val="00EA68D7"/>
    <w:rsid w:val="00EB30C7"/>
    <w:rsid w:val="00EB6311"/>
    <w:rsid w:val="00EB7495"/>
    <w:rsid w:val="00EC46AA"/>
    <w:rsid w:val="00EC506F"/>
    <w:rsid w:val="00ED30B8"/>
    <w:rsid w:val="00EE0C04"/>
    <w:rsid w:val="00EE42B4"/>
    <w:rsid w:val="00EE79E4"/>
    <w:rsid w:val="00EE7D49"/>
    <w:rsid w:val="00EF79EB"/>
    <w:rsid w:val="00F1119C"/>
    <w:rsid w:val="00F13A45"/>
    <w:rsid w:val="00F13BDB"/>
    <w:rsid w:val="00F1533E"/>
    <w:rsid w:val="00F30E86"/>
    <w:rsid w:val="00F32FFE"/>
    <w:rsid w:val="00F35D34"/>
    <w:rsid w:val="00F40263"/>
    <w:rsid w:val="00F42B5E"/>
    <w:rsid w:val="00F43FA7"/>
    <w:rsid w:val="00F65DE7"/>
    <w:rsid w:val="00F67B6F"/>
    <w:rsid w:val="00F67F5C"/>
    <w:rsid w:val="00F70713"/>
    <w:rsid w:val="00F70DF6"/>
    <w:rsid w:val="00F71F49"/>
    <w:rsid w:val="00F72819"/>
    <w:rsid w:val="00F8031A"/>
    <w:rsid w:val="00F8583C"/>
    <w:rsid w:val="00F9234F"/>
    <w:rsid w:val="00F9251F"/>
    <w:rsid w:val="00F945CE"/>
    <w:rsid w:val="00F969FF"/>
    <w:rsid w:val="00F96E01"/>
    <w:rsid w:val="00FA68FB"/>
    <w:rsid w:val="00FC4073"/>
    <w:rsid w:val="00FD0E9F"/>
    <w:rsid w:val="00FD2D1B"/>
    <w:rsid w:val="00FD36D2"/>
    <w:rsid w:val="00FD79C7"/>
    <w:rsid w:val="00FE2081"/>
    <w:rsid w:val="00FF14B6"/>
    <w:rsid w:val="00FF2585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bg-BG" w:eastAsia="en-US"/>
    </w:rPr>
  </w:style>
  <w:style w:type="paragraph" w:styleId="Heading1">
    <w:name w:val="heading 1"/>
    <w:basedOn w:val="Normal"/>
    <w:next w:val="Text1"/>
    <w:qFormat/>
    <w:rsid w:val="00224697"/>
    <w:pPr>
      <w:keepNext/>
      <w:numPr>
        <w:numId w:val="3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224697"/>
    <w:pPr>
      <w:keepNext/>
      <w:numPr>
        <w:ilvl w:val="1"/>
        <w:numId w:val="31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224697"/>
    <w:pPr>
      <w:keepNext/>
      <w:numPr>
        <w:ilvl w:val="2"/>
        <w:numId w:val="3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224697"/>
    <w:pPr>
      <w:keepNext/>
      <w:numPr>
        <w:ilvl w:val="3"/>
        <w:numId w:val="31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2">
    <w:name w:val="Marker2"/>
    <w:rsid w:val="00CE7CAD"/>
    <w:rPr>
      <w:rFonts w:cs="Times New Roman"/>
      <w:color w:val="FF0000"/>
      <w:shd w:val="clear" w:color="auto" w:fill="auto"/>
    </w:rPr>
  </w:style>
  <w:style w:type="paragraph" w:customStyle="1" w:styleId="Avertissementtitre">
    <w:name w:val="Avertissement titre"/>
    <w:basedOn w:val="Normal"/>
    <w:next w:val="Normal"/>
    <w:rsid w:val="00CE7CAD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CE7CAD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rsid w:val="00B87709"/>
    <w:pPr>
      <w:spacing w:before="240" w:after="240"/>
      <w:ind w:left="5103"/>
    </w:pPr>
    <w:rPr>
      <w:i/>
      <w:sz w:val="32"/>
    </w:rPr>
  </w:style>
  <w:style w:type="paragraph" w:customStyle="1" w:styleId="Emission">
    <w:name w:val="Emission"/>
    <w:basedOn w:val="Normal"/>
    <w:next w:val="Rfrenceinstitutionnelle"/>
    <w:rsid w:val="00CE7CAD"/>
    <w:pPr>
      <w:spacing w:before="0" w:after="0"/>
      <w:ind w:left="5103"/>
    </w:pPr>
  </w:style>
  <w:style w:type="paragraph" w:customStyle="1" w:styleId="Nomdelinstitution">
    <w:name w:val="Nom de l'institution"/>
    <w:basedOn w:val="Normal"/>
    <w:next w:val="Emission"/>
    <w:rsid w:val="00CE7CAD"/>
    <w:pPr>
      <w:spacing w:before="0" w:after="0"/>
    </w:pPr>
    <w:rPr>
      <w:rFonts w:ascii="Arial" w:hAnsi="Arial" w:cs="Arial"/>
    </w:rPr>
  </w:style>
  <w:style w:type="paragraph" w:customStyle="1" w:styleId="Rfrenceinstitutionnelle">
    <w:name w:val="Référence institutionnelle"/>
    <w:basedOn w:val="Normal"/>
    <w:next w:val="Confidentialit"/>
    <w:rsid w:val="00CE7CAD"/>
    <w:pPr>
      <w:spacing w:before="0"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CE7CAD"/>
    <w:pPr>
      <w:spacing w:before="0" w:after="0"/>
      <w:ind w:left="5103"/>
    </w:pPr>
  </w:style>
  <w:style w:type="character" w:customStyle="1" w:styleId="Added">
    <w:name w:val="Added"/>
    <w:rsid w:val="00CE7CAD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CE7CAD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CE7CAD"/>
    <w:pPr>
      <w:keepLines/>
      <w:ind w:left="3402"/>
    </w:pPr>
  </w:style>
  <w:style w:type="paragraph" w:customStyle="1" w:styleId="Objetexterne">
    <w:name w:val="Objet externe"/>
    <w:basedOn w:val="Normal"/>
    <w:next w:val="Normal"/>
    <w:rsid w:val="00CE7CAD"/>
    <w:rPr>
      <w:i/>
      <w:caps/>
    </w:rPr>
  </w:style>
  <w:style w:type="paragraph" w:customStyle="1" w:styleId="ListParagraph1">
    <w:name w:val="List Paragraph1"/>
    <w:basedOn w:val="Normal"/>
    <w:rsid w:val="00C707A1"/>
    <w:pPr>
      <w:spacing w:before="0"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AC1957"/>
    <w:pPr>
      <w:numPr>
        <w:numId w:val="1"/>
      </w:numPr>
      <w:tabs>
        <w:tab w:val="num" w:pos="709"/>
      </w:tabs>
      <w:ind w:left="360" w:hanging="360"/>
    </w:pPr>
  </w:style>
  <w:style w:type="paragraph" w:styleId="ListBullet2">
    <w:name w:val="List Bullet 2"/>
    <w:basedOn w:val="Normal"/>
    <w:rsid w:val="00AC1957"/>
    <w:pPr>
      <w:numPr>
        <w:numId w:val="2"/>
      </w:numPr>
      <w:tabs>
        <w:tab w:val="num" w:pos="643"/>
      </w:tabs>
      <w:ind w:left="643" w:hanging="360"/>
    </w:pPr>
  </w:style>
  <w:style w:type="paragraph" w:styleId="ListBullet3">
    <w:name w:val="List Bullet 3"/>
    <w:basedOn w:val="Normal"/>
    <w:rsid w:val="00AC1957"/>
    <w:pPr>
      <w:numPr>
        <w:numId w:val="3"/>
      </w:num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AC1957"/>
    <w:pPr>
      <w:numPr>
        <w:numId w:val="4"/>
      </w:numPr>
      <w:tabs>
        <w:tab w:val="num" w:pos="1209"/>
      </w:tabs>
      <w:ind w:left="1209" w:hanging="360"/>
    </w:pPr>
  </w:style>
  <w:style w:type="paragraph" w:styleId="BalloonText">
    <w:name w:val="Balloon Text"/>
    <w:basedOn w:val="Normal"/>
    <w:semiHidden/>
    <w:rsid w:val="0069147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68D7"/>
    <w:rPr>
      <w:rFonts w:cs="Times New Roman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rsid w:val="00EA68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68D7"/>
    <w:rPr>
      <w:b/>
      <w:bCs/>
    </w:rPr>
  </w:style>
  <w:style w:type="paragraph" w:customStyle="1" w:styleId="Style1">
    <w:name w:val="Style1"/>
    <w:basedOn w:val="FootnoteText"/>
    <w:next w:val="FootnoteText"/>
    <w:rsid w:val="004B2B3D"/>
  </w:style>
  <w:style w:type="paragraph" w:styleId="ListNumber4">
    <w:name w:val="List Number 4"/>
    <w:basedOn w:val="Text4"/>
    <w:rsid w:val="005F478D"/>
    <w:pPr>
      <w:numPr>
        <w:numId w:val="5"/>
      </w:numPr>
      <w:spacing w:before="0" w:after="240"/>
    </w:pPr>
    <w:rPr>
      <w:szCs w:val="20"/>
    </w:rPr>
  </w:style>
  <w:style w:type="paragraph" w:styleId="Title">
    <w:name w:val="Title"/>
    <w:basedOn w:val="Normal"/>
    <w:qFormat/>
    <w:rsid w:val="005F47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customStyle="1" w:styleId="ListNumber4Level2">
    <w:name w:val="List Number 4 (Level 2)"/>
    <w:basedOn w:val="Text4"/>
    <w:rsid w:val="005F478D"/>
    <w:pPr>
      <w:numPr>
        <w:ilvl w:val="1"/>
        <w:numId w:val="5"/>
      </w:numPr>
      <w:spacing w:before="0" w:after="240"/>
    </w:pPr>
    <w:rPr>
      <w:szCs w:val="20"/>
    </w:rPr>
  </w:style>
  <w:style w:type="paragraph" w:customStyle="1" w:styleId="ListNumber4Level3">
    <w:name w:val="List Number 4 (Level 3)"/>
    <w:basedOn w:val="Text4"/>
    <w:rsid w:val="005F478D"/>
    <w:pPr>
      <w:numPr>
        <w:ilvl w:val="2"/>
        <w:numId w:val="5"/>
      </w:numPr>
      <w:spacing w:before="0" w:after="240"/>
    </w:pPr>
    <w:rPr>
      <w:szCs w:val="20"/>
    </w:rPr>
  </w:style>
  <w:style w:type="paragraph" w:customStyle="1" w:styleId="ListNumber4Level4">
    <w:name w:val="List Number 4 (Level 4)"/>
    <w:basedOn w:val="Text4"/>
    <w:rsid w:val="005F478D"/>
    <w:pPr>
      <w:numPr>
        <w:ilvl w:val="3"/>
        <w:numId w:val="5"/>
      </w:numPr>
      <w:spacing w:before="0" w:after="240"/>
    </w:pPr>
    <w:rPr>
      <w:szCs w:val="20"/>
    </w:rPr>
  </w:style>
  <w:style w:type="paragraph" w:customStyle="1" w:styleId="ZCom">
    <w:name w:val="Z_Com"/>
    <w:basedOn w:val="Normal"/>
    <w:next w:val="ZDGName"/>
    <w:rsid w:val="005F478D"/>
    <w:pPr>
      <w:widowControl w:val="0"/>
      <w:autoSpaceDE w:val="0"/>
      <w:autoSpaceDN w:val="0"/>
      <w:spacing w:before="0"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rsid w:val="005F478D"/>
    <w:pPr>
      <w:widowControl w:val="0"/>
      <w:autoSpaceDE w:val="0"/>
      <w:autoSpaceDN w:val="0"/>
      <w:spacing w:before="0" w:after="0"/>
      <w:ind w:right="85"/>
    </w:pPr>
    <w:rPr>
      <w:rFonts w:ascii="Arial" w:hAnsi="Arial" w:cs="Arial"/>
      <w:sz w:val="16"/>
      <w:szCs w:val="16"/>
      <w:lang w:eastAsia="en-GB"/>
    </w:rPr>
  </w:style>
  <w:style w:type="table" w:styleId="TableGrid">
    <w:name w:val="Table Grid"/>
    <w:basedOn w:val="TableNormal"/>
    <w:rsid w:val="005F478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3E4777"/>
    <w:rPr>
      <w:rFonts w:cs="Times New Roman"/>
    </w:rPr>
  </w:style>
  <w:style w:type="paragraph" w:styleId="Caption">
    <w:name w:val="caption"/>
    <w:basedOn w:val="Normal"/>
    <w:next w:val="Normal"/>
    <w:qFormat/>
    <w:rsid w:val="000A3335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0A3335"/>
  </w:style>
  <w:style w:type="paragraph" w:styleId="ListNumber">
    <w:name w:val="List Number"/>
    <w:basedOn w:val="Normal"/>
    <w:rsid w:val="000A3335"/>
    <w:pPr>
      <w:numPr>
        <w:numId w:val="6"/>
      </w:numPr>
    </w:pPr>
  </w:style>
  <w:style w:type="paragraph" w:styleId="ListNumber2">
    <w:name w:val="List Number 2"/>
    <w:basedOn w:val="Normal"/>
    <w:rsid w:val="000A3335"/>
    <w:pPr>
      <w:numPr>
        <w:numId w:val="7"/>
      </w:numPr>
    </w:pPr>
  </w:style>
  <w:style w:type="paragraph" w:styleId="ListNumber3">
    <w:name w:val="List Number 3"/>
    <w:basedOn w:val="Normal"/>
    <w:rsid w:val="000A3335"/>
    <w:pPr>
      <w:numPr>
        <w:numId w:val="8"/>
      </w:numPr>
    </w:pPr>
  </w:style>
  <w:style w:type="character" w:styleId="Hyperlink">
    <w:name w:val="Hyperlink"/>
    <w:rsid w:val="000A3335"/>
    <w:rPr>
      <w:color w:val="0000FF"/>
      <w:u w:val="single"/>
    </w:rPr>
  </w:style>
  <w:style w:type="paragraph" w:customStyle="1" w:styleId="Exposdesmotifstitre">
    <w:name w:val="Exposй des motifs titre"/>
    <w:basedOn w:val="Normal"/>
    <w:next w:val="Normal"/>
    <w:rsid w:val="00D15A57"/>
    <w:pPr>
      <w:jc w:val="center"/>
    </w:pPr>
    <w:rPr>
      <w:b/>
      <w:snapToGrid w:val="0"/>
      <w:u w:val="single"/>
      <w:lang w:eastAsia="en-GB"/>
    </w:rPr>
  </w:style>
  <w:style w:type="character" w:customStyle="1" w:styleId="tw4winMark">
    <w:name w:val="tw4winMark"/>
    <w:rsid w:val="00D15A57"/>
    <w:rPr>
      <w:rFonts w:ascii="Courier New" w:hAnsi="Courier New"/>
      <w:vanish/>
      <w:color w:val="800080"/>
      <w:vertAlign w:val="subscript"/>
    </w:rPr>
  </w:style>
  <w:style w:type="paragraph" w:customStyle="1" w:styleId="Considrant0">
    <w:name w:val="Considйrant"/>
    <w:basedOn w:val="Normal"/>
    <w:rsid w:val="003F1668"/>
    <w:pPr>
      <w:tabs>
        <w:tab w:val="num" w:pos="709"/>
      </w:tabs>
      <w:ind w:left="709" w:hanging="709"/>
    </w:pPr>
    <w:rPr>
      <w:snapToGrid w:val="0"/>
      <w:lang w:eastAsia="en-GB"/>
    </w:rPr>
  </w:style>
  <w:style w:type="paragraph" w:customStyle="1" w:styleId="IntrtEEE">
    <w:name w:val="Int?r?t EEE"/>
    <w:basedOn w:val="Normal"/>
    <w:next w:val="Normal"/>
    <w:rsid w:val="007753F1"/>
    <w:pPr>
      <w:spacing w:before="360" w:after="240"/>
      <w:jc w:val="center"/>
    </w:pPr>
    <w:rPr>
      <w:lang w:eastAsia="en-GB"/>
    </w:rPr>
  </w:style>
  <w:style w:type="paragraph" w:customStyle="1" w:styleId="Default">
    <w:name w:val="Default"/>
    <w:rsid w:val="00070D4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70D4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70D42"/>
    <w:rPr>
      <w:rFonts w:cs="Times New Roman"/>
      <w:color w:val="auto"/>
    </w:rPr>
  </w:style>
  <w:style w:type="character" w:styleId="FollowedHyperlink">
    <w:name w:val="FollowedHyperlink"/>
    <w:rsid w:val="00E85BA2"/>
    <w:rPr>
      <w:color w:val="800080"/>
      <w:u w:val="single"/>
    </w:rPr>
  </w:style>
  <w:style w:type="paragraph" w:customStyle="1" w:styleId="pj">
    <w:name w:val="p.j."/>
    <w:basedOn w:val="Normal"/>
    <w:next w:val="Normal"/>
    <w:rsid w:val="009E418B"/>
    <w:pPr>
      <w:spacing w:before="1200"/>
      <w:ind w:left="1440" w:hanging="1440"/>
    </w:pPr>
    <w:rPr>
      <w:szCs w:val="20"/>
    </w:rPr>
  </w:style>
  <w:style w:type="paragraph" w:customStyle="1" w:styleId="Fait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IntrtEEE0">
    <w:name w:val="Intérêt EEE"/>
    <w:basedOn w:val="Languesfaisantfoi"/>
    <w:next w:val="Normal"/>
    <w:rsid w:val="00224697"/>
    <w:pPr>
      <w:spacing w:after="240"/>
    </w:pPr>
  </w:style>
  <w:style w:type="paragraph" w:customStyle="1" w:styleId="HeaderCouncilLarge">
    <w:name w:val="Header Council Large"/>
    <w:basedOn w:val="Normal"/>
    <w:link w:val="HeaderCouncilLargeChar"/>
    <w:rsid w:val="008B4DAC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8B4DAC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link w:val="HeaderCouncilLarge"/>
    <w:rsid w:val="008B4DAC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8B4DAC"/>
    <w:pPr>
      <w:spacing w:before="0" w:after="0" w:line="240" w:lineRule="auto"/>
    </w:pPr>
    <w:rPr>
      <w:lang w:val="en-GB"/>
    </w:rPr>
  </w:style>
  <w:style w:type="paragraph" w:customStyle="1" w:styleId="FinalLine">
    <w:name w:val="Final Line"/>
    <w:basedOn w:val="Normal"/>
    <w:next w:val="Normal"/>
    <w:rsid w:val="004118AF"/>
    <w:pPr>
      <w:pBdr>
        <w:bottom w:val="single" w:sz="4" w:space="0" w:color="000000"/>
      </w:pBdr>
      <w:spacing w:before="360"/>
      <w:ind w:left="3400" w:right="3400"/>
      <w:jc w:val="center"/>
    </w:pPr>
    <w:rPr>
      <w:b/>
      <w:lang w:eastAsia="bg-BG" w:bidi="bg-BG"/>
    </w:rPr>
  </w:style>
  <w:style w:type="paragraph" w:customStyle="1" w:styleId="Annex">
    <w:name w:val="Annex"/>
    <w:basedOn w:val="Normal"/>
    <w:next w:val="Normal"/>
    <w:rsid w:val="004118AF"/>
    <w:pPr>
      <w:jc w:val="right"/>
    </w:pPr>
    <w:rPr>
      <w:b/>
      <w:u w:val="single"/>
      <w:lang w:eastAsia="bg-BG" w:bidi="bg-BG"/>
    </w:rPr>
  </w:style>
  <w:style w:type="character" w:customStyle="1" w:styleId="CommentTextChar">
    <w:name w:val="Comment Text Char"/>
    <w:link w:val="CommentText"/>
    <w:uiPriority w:val="99"/>
    <w:semiHidden/>
    <w:rsid w:val="00112781"/>
    <w:rPr>
      <w:lang w:val="bg-BG" w:eastAsia="en-US"/>
    </w:rPr>
  </w:style>
  <w:style w:type="paragraph" w:customStyle="1" w:styleId="xt1">
    <w:name w:val="xt 1"/>
    <w:basedOn w:val="Normal"/>
    <w:rsid w:val="00C40D62"/>
    <w:pPr>
      <w:spacing w:before="0" w:after="200" w:line="276" w:lineRule="auto"/>
      <w:ind w:left="567" w:hanging="567"/>
    </w:pPr>
  </w:style>
  <w:style w:type="paragraph" w:styleId="Header">
    <w:name w:val="header"/>
    <w:basedOn w:val="Normal"/>
    <w:rsid w:val="00224697"/>
    <w:pPr>
      <w:tabs>
        <w:tab w:val="right" w:pos="9638"/>
      </w:tabs>
    </w:pPr>
  </w:style>
  <w:style w:type="paragraph" w:styleId="Footer">
    <w:name w:val="footer"/>
    <w:basedOn w:val="Normal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224697"/>
    <w:pPr>
      <w:spacing w:before="0" w:after="0" w:line="240" w:lineRule="auto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22469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22469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22469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224697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EF79EB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224697"/>
    <w:pPr>
      <w:spacing w:before="0" w:after="240" w:line="240" w:lineRule="auto"/>
      <w:jc w:val="center"/>
    </w:pPr>
  </w:style>
  <w:style w:type="character" w:customStyle="1" w:styleId="Marker">
    <w:name w:val="Marker"/>
    <w:rsid w:val="00224697"/>
    <w:rPr>
      <w:color w:val="0000FF"/>
      <w:shd w:val="clear" w:color="auto" w:fill="auto"/>
    </w:rPr>
  </w:style>
  <w:style w:type="character" w:customStyle="1" w:styleId="Marker1">
    <w:name w:val="Marker1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al"/>
    <w:rsid w:val="00224697"/>
    <w:pPr>
      <w:ind w:left="850"/>
      <w:outlineLvl w:val="0"/>
    </w:pPr>
  </w:style>
  <w:style w:type="paragraph" w:customStyle="1" w:styleId="Text2">
    <w:name w:val="Text 2"/>
    <w:basedOn w:val="Normal"/>
    <w:rsid w:val="00224697"/>
    <w:pPr>
      <w:ind w:left="1417"/>
      <w:outlineLvl w:val="1"/>
    </w:pPr>
  </w:style>
  <w:style w:type="paragraph" w:customStyle="1" w:styleId="Text3">
    <w:name w:val="Text 3"/>
    <w:basedOn w:val="Normal"/>
    <w:rsid w:val="00224697"/>
    <w:pPr>
      <w:ind w:left="1984"/>
      <w:outlineLvl w:val="2"/>
    </w:pPr>
  </w:style>
  <w:style w:type="paragraph" w:customStyle="1" w:styleId="Text4">
    <w:name w:val="Text 4"/>
    <w:basedOn w:val="Normal"/>
    <w:rsid w:val="00224697"/>
    <w:pPr>
      <w:ind w:left="2551"/>
      <w:outlineLvl w:val="3"/>
    </w:pPr>
  </w:style>
  <w:style w:type="paragraph" w:customStyle="1" w:styleId="NormalCentered">
    <w:name w:val="Normal Centered"/>
    <w:basedOn w:val="Normal"/>
    <w:rsid w:val="00224697"/>
    <w:pPr>
      <w:jc w:val="center"/>
    </w:pPr>
  </w:style>
  <w:style w:type="paragraph" w:customStyle="1" w:styleId="NormalLeft">
    <w:name w:val="Normal Left"/>
    <w:basedOn w:val="Normal"/>
    <w:rsid w:val="00224697"/>
  </w:style>
  <w:style w:type="paragraph" w:customStyle="1" w:styleId="NormalRight">
    <w:name w:val="Normal Right"/>
    <w:basedOn w:val="Normal"/>
    <w:rsid w:val="00224697"/>
    <w:pPr>
      <w:jc w:val="right"/>
    </w:pPr>
  </w:style>
  <w:style w:type="paragraph" w:customStyle="1" w:styleId="QuotedText">
    <w:name w:val="Quoted Text"/>
    <w:basedOn w:val="Normal"/>
    <w:rsid w:val="00224697"/>
    <w:pPr>
      <w:ind w:left="1417"/>
    </w:pPr>
  </w:style>
  <w:style w:type="paragraph" w:customStyle="1" w:styleId="Point0">
    <w:name w:val="Point 0"/>
    <w:basedOn w:val="Normal"/>
    <w:rsid w:val="00224697"/>
    <w:pPr>
      <w:ind w:left="850" w:hanging="850"/>
    </w:pPr>
  </w:style>
  <w:style w:type="paragraph" w:customStyle="1" w:styleId="Point1">
    <w:name w:val="Point 1"/>
    <w:basedOn w:val="Normal"/>
    <w:rsid w:val="00224697"/>
    <w:pPr>
      <w:ind w:left="1417" w:hanging="567"/>
      <w:outlineLvl w:val="0"/>
    </w:pPr>
  </w:style>
  <w:style w:type="paragraph" w:customStyle="1" w:styleId="Point2">
    <w:name w:val="Point 2"/>
    <w:basedOn w:val="Normal"/>
    <w:rsid w:val="00224697"/>
    <w:pPr>
      <w:ind w:left="1984" w:hanging="567"/>
      <w:outlineLvl w:val="1"/>
    </w:pPr>
  </w:style>
  <w:style w:type="paragraph" w:customStyle="1" w:styleId="Point3">
    <w:name w:val="Point 3"/>
    <w:basedOn w:val="Normal"/>
    <w:rsid w:val="00224697"/>
    <w:pPr>
      <w:ind w:left="2551" w:hanging="567"/>
      <w:outlineLvl w:val="2"/>
    </w:pPr>
  </w:style>
  <w:style w:type="paragraph" w:customStyle="1" w:styleId="Point4">
    <w:name w:val="Point 4"/>
    <w:basedOn w:val="Norma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224697"/>
    <w:pPr>
      <w:numPr>
        <w:numId w:val="25"/>
      </w:numPr>
    </w:pPr>
  </w:style>
  <w:style w:type="paragraph" w:customStyle="1" w:styleId="Tiret1">
    <w:name w:val="Tiret 1"/>
    <w:basedOn w:val="Normal"/>
    <w:rsid w:val="00224697"/>
    <w:pPr>
      <w:numPr>
        <w:numId w:val="26"/>
      </w:numPr>
      <w:outlineLvl w:val="0"/>
    </w:pPr>
  </w:style>
  <w:style w:type="paragraph" w:customStyle="1" w:styleId="Tiret2">
    <w:name w:val="Tiret 2"/>
    <w:basedOn w:val="Normal"/>
    <w:rsid w:val="00224697"/>
    <w:pPr>
      <w:numPr>
        <w:numId w:val="27"/>
      </w:numPr>
      <w:outlineLvl w:val="1"/>
    </w:pPr>
  </w:style>
  <w:style w:type="paragraph" w:customStyle="1" w:styleId="Tiret3">
    <w:name w:val="Tiret 3"/>
    <w:basedOn w:val="Normal"/>
    <w:rsid w:val="00224697"/>
    <w:pPr>
      <w:numPr>
        <w:numId w:val="28"/>
      </w:numPr>
      <w:outlineLvl w:val="2"/>
    </w:pPr>
  </w:style>
  <w:style w:type="paragraph" w:customStyle="1" w:styleId="Tiret4">
    <w:name w:val="Tiret 4"/>
    <w:basedOn w:val="Normal"/>
    <w:rsid w:val="00224697"/>
    <w:pPr>
      <w:numPr>
        <w:numId w:val="29"/>
      </w:numPr>
      <w:outlineLvl w:val="3"/>
    </w:pPr>
  </w:style>
  <w:style w:type="paragraph" w:customStyle="1" w:styleId="NumPar1">
    <w:name w:val="NumPar 1"/>
    <w:basedOn w:val="Normal"/>
    <w:next w:val="Text1"/>
    <w:rsid w:val="00224697"/>
    <w:pPr>
      <w:numPr>
        <w:numId w:val="30"/>
      </w:numPr>
      <w:outlineLvl w:val="0"/>
    </w:pPr>
  </w:style>
  <w:style w:type="paragraph" w:customStyle="1" w:styleId="NumPar2">
    <w:name w:val="NumPar 2"/>
    <w:basedOn w:val="Normal"/>
    <w:next w:val="Text1"/>
    <w:rsid w:val="00224697"/>
    <w:pPr>
      <w:numPr>
        <w:ilvl w:val="1"/>
        <w:numId w:val="30"/>
      </w:numPr>
      <w:outlineLvl w:val="1"/>
    </w:pPr>
  </w:style>
  <w:style w:type="paragraph" w:customStyle="1" w:styleId="NumPar3">
    <w:name w:val="NumPar 3"/>
    <w:basedOn w:val="Normal"/>
    <w:next w:val="Text1"/>
    <w:rsid w:val="00224697"/>
    <w:pPr>
      <w:numPr>
        <w:ilvl w:val="2"/>
        <w:numId w:val="30"/>
      </w:numPr>
      <w:outlineLvl w:val="2"/>
    </w:pPr>
  </w:style>
  <w:style w:type="paragraph" w:customStyle="1" w:styleId="NumPar4">
    <w:name w:val="NumPar 4"/>
    <w:basedOn w:val="Normal"/>
    <w:next w:val="Text1"/>
    <w:rsid w:val="00224697"/>
    <w:pPr>
      <w:numPr>
        <w:ilvl w:val="3"/>
        <w:numId w:val="30"/>
      </w:numPr>
      <w:outlineLvl w:val="3"/>
    </w:pPr>
  </w:style>
  <w:style w:type="paragraph" w:customStyle="1" w:styleId="ManualNumPar1">
    <w:name w:val="Manual NumPar 1"/>
    <w:basedOn w:val="Norma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224697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224697"/>
    <w:pPr>
      <w:jc w:val="center"/>
    </w:pPr>
    <w:rPr>
      <w:b/>
    </w:rPr>
  </w:style>
  <w:style w:type="paragraph" w:styleId="TOCHeading">
    <w:name w:val="TOC Heading"/>
    <w:basedOn w:val="Normal"/>
    <w:next w:val="Norma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224697"/>
    <w:pPr>
      <w:numPr>
        <w:numId w:val="32"/>
      </w:numPr>
    </w:pPr>
  </w:style>
  <w:style w:type="paragraph" w:customStyle="1" w:styleId="Point1number">
    <w:name w:val="Point 1 (number)"/>
    <w:basedOn w:val="Normal"/>
    <w:rsid w:val="00224697"/>
    <w:pPr>
      <w:numPr>
        <w:ilvl w:val="2"/>
        <w:numId w:val="32"/>
      </w:numPr>
      <w:outlineLvl w:val="0"/>
    </w:pPr>
  </w:style>
  <w:style w:type="paragraph" w:customStyle="1" w:styleId="Point2number">
    <w:name w:val="Point 2 (number)"/>
    <w:basedOn w:val="Normal"/>
    <w:rsid w:val="00224697"/>
    <w:pPr>
      <w:numPr>
        <w:ilvl w:val="4"/>
        <w:numId w:val="32"/>
      </w:numPr>
      <w:outlineLvl w:val="1"/>
    </w:pPr>
  </w:style>
  <w:style w:type="paragraph" w:customStyle="1" w:styleId="Point3number">
    <w:name w:val="Point 3 (number)"/>
    <w:basedOn w:val="Normal"/>
    <w:rsid w:val="00224697"/>
    <w:pPr>
      <w:numPr>
        <w:ilvl w:val="6"/>
        <w:numId w:val="32"/>
      </w:numPr>
      <w:outlineLvl w:val="2"/>
    </w:pPr>
  </w:style>
  <w:style w:type="paragraph" w:customStyle="1" w:styleId="Point0letter">
    <w:name w:val="Point 0 (letter)"/>
    <w:basedOn w:val="Normal"/>
    <w:rsid w:val="00224697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rsid w:val="00224697"/>
    <w:pPr>
      <w:numPr>
        <w:ilvl w:val="3"/>
        <w:numId w:val="32"/>
      </w:numPr>
      <w:outlineLvl w:val="0"/>
    </w:pPr>
  </w:style>
  <w:style w:type="paragraph" w:customStyle="1" w:styleId="Point2letter">
    <w:name w:val="Point 2 (letter)"/>
    <w:basedOn w:val="Normal"/>
    <w:rsid w:val="00224697"/>
    <w:pPr>
      <w:numPr>
        <w:ilvl w:val="5"/>
        <w:numId w:val="32"/>
      </w:numPr>
      <w:outlineLvl w:val="1"/>
    </w:pPr>
  </w:style>
  <w:style w:type="paragraph" w:customStyle="1" w:styleId="Point3letter">
    <w:name w:val="Point 3 (letter)"/>
    <w:basedOn w:val="Normal"/>
    <w:rsid w:val="00224697"/>
    <w:pPr>
      <w:numPr>
        <w:ilvl w:val="7"/>
        <w:numId w:val="32"/>
      </w:numPr>
      <w:outlineLvl w:val="2"/>
    </w:pPr>
  </w:style>
  <w:style w:type="paragraph" w:customStyle="1" w:styleId="Point4letter">
    <w:name w:val="Point 4 (letter)"/>
    <w:basedOn w:val="Normal"/>
    <w:rsid w:val="00224697"/>
    <w:pPr>
      <w:numPr>
        <w:ilvl w:val="8"/>
        <w:numId w:val="32"/>
      </w:numPr>
      <w:outlineLvl w:val="3"/>
    </w:pPr>
  </w:style>
  <w:style w:type="paragraph" w:customStyle="1" w:styleId="Bullet0">
    <w:name w:val="Bullet 0"/>
    <w:basedOn w:val="Normal"/>
    <w:rsid w:val="00224697"/>
    <w:pPr>
      <w:numPr>
        <w:numId w:val="33"/>
      </w:numPr>
    </w:pPr>
  </w:style>
  <w:style w:type="paragraph" w:customStyle="1" w:styleId="Bullet1">
    <w:name w:val="Bullet 1"/>
    <w:basedOn w:val="Normal"/>
    <w:rsid w:val="00224697"/>
    <w:pPr>
      <w:numPr>
        <w:numId w:val="34"/>
      </w:numPr>
      <w:outlineLvl w:val="0"/>
    </w:pPr>
  </w:style>
  <w:style w:type="paragraph" w:customStyle="1" w:styleId="Bullet2">
    <w:name w:val="Bullet 2"/>
    <w:basedOn w:val="Normal"/>
    <w:rsid w:val="00224697"/>
    <w:pPr>
      <w:numPr>
        <w:numId w:val="35"/>
      </w:numPr>
      <w:outlineLvl w:val="1"/>
    </w:pPr>
  </w:style>
  <w:style w:type="paragraph" w:customStyle="1" w:styleId="Bullet3">
    <w:name w:val="Bullet 3"/>
    <w:basedOn w:val="Normal"/>
    <w:rsid w:val="00224697"/>
    <w:pPr>
      <w:numPr>
        <w:numId w:val="36"/>
      </w:numPr>
      <w:outlineLvl w:val="2"/>
    </w:pPr>
  </w:style>
  <w:style w:type="paragraph" w:customStyle="1" w:styleId="Bullet4">
    <w:name w:val="Bullet 4"/>
    <w:basedOn w:val="Normal"/>
    <w:rsid w:val="00224697"/>
    <w:pPr>
      <w:numPr>
        <w:numId w:val="37"/>
      </w:numPr>
      <w:outlineLvl w:val="3"/>
    </w:pPr>
  </w:style>
  <w:style w:type="paragraph" w:customStyle="1" w:styleId="Annexetitreacte">
    <w:name w:val="Annexe titre (act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0"/>
    <w:rsid w:val="00224697"/>
    <w:pPr>
      <w:spacing w:before="480"/>
    </w:pPr>
  </w:style>
  <w:style w:type="paragraph" w:customStyle="1" w:styleId="Considrant">
    <w:name w:val="Considérant"/>
    <w:basedOn w:val="Normal"/>
    <w:rsid w:val="00224697"/>
    <w:pPr>
      <w:numPr>
        <w:numId w:val="38"/>
      </w:numPr>
    </w:pPr>
  </w:style>
  <w:style w:type="paragraph" w:customStyle="1" w:styleId="Datedadoption">
    <w:name w:val="Date d'adoption"/>
    <w:basedOn w:val="Norma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0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224697"/>
    <w:pPr>
      <w:keepNext/>
    </w:pPr>
  </w:style>
  <w:style w:type="paragraph" w:customStyle="1" w:styleId="Institutionquiagit">
    <w:name w:val="Institution qui agit"/>
    <w:basedOn w:val="Normal"/>
    <w:next w:val="Normal"/>
    <w:rsid w:val="00224697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224697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a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rsid w:val="00224697"/>
    <w:pPr>
      <w:spacing w:before="40" w:after="0" w:line="240" w:lineRule="auto"/>
    </w:pPr>
  </w:style>
  <w:style w:type="paragraph" w:customStyle="1" w:styleId="EntText">
    <w:name w:val="EntText"/>
    <w:basedOn w:val="Normal"/>
    <w:rsid w:val="00224697"/>
  </w:style>
  <w:style w:type="paragraph" w:customStyle="1" w:styleId="EntEU">
    <w:name w:val="EntEU"/>
    <w:basedOn w:val="Norma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a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a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rsid w:val="00224697"/>
    <w:pPr>
      <w:spacing w:before="360" w:after="0"/>
      <w:jc w:val="center"/>
    </w:pPr>
  </w:style>
  <w:style w:type="paragraph" w:customStyle="1" w:styleId="IntrtEEE1">
    <w:name w:val="Intérêt EEE"/>
    <w:basedOn w:val="Languesfaisantfoi"/>
    <w:next w:val="Normal"/>
    <w:rsid w:val="00224697"/>
    <w:pPr>
      <w:spacing w:after="240"/>
    </w:pPr>
  </w:style>
  <w:style w:type="paragraph" w:customStyle="1" w:styleId="Annexetitre">
    <w:name w:val="Annexe titre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DESignature">
    <w:name w:val="DE Signature"/>
    <w:basedOn w:val="Normal"/>
    <w:qFormat/>
    <w:rsid w:val="00227CEF"/>
    <w:pPr>
      <w:tabs>
        <w:tab w:val="center" w:pos="5954"/>
      </w:tabs>
      <w:spacing w:befor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92CF-7D1A-4A5B-BE26-2713546A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DW_LEGACTS.dotm</Template>
  <TotalTime>8</TotalTime>
  <Pages>26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DIMOVA Mariyana</dc:creator>
  <cp:keywords/>
  <cp:lastModifiedBy>STANCHEVA Gergana</cp:lastModifiedBy>
  <cp:revision>6</cp:revision>
  <cp:lastPrinted>2012-03-05T15:37:00Z</cp:lastPrinted>
  <dcterms:created xsi:type="dcterms:W3CDTF">2015-03-06T07:07:00Z</dcterms:created>
  <dcterms:modified xsi:type="dcterms:W3CDTF">2015-03-06T10:50:00Z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5.8.22.0</vt:lpwstr>
  </property>
  <property fmtid="{D5CDD505-2E9C-101B-9397-08002B2CF9AE}" pid="5" name="Created using">
    <vt:lpwstr>DocuWrite 3.2.5, Build 20141128</vt:lpwstr>
  </property>
  <property fmtid="{D5CDD505-2E9C-101B-9397-08002B2CF9AE}" pid="6" name="Last edited using">
    <vt:lpwstr>DocuWrite 3.4.3, Build 20150129</vt:lpwstr>
  </property>
  <property fmtid="{D5CDD505-2E9C-101B-9397-08002B2CF9AE}" pid="7" name="LWTemplateID">
    <vt:lpwstr>SJ-023</vt:lpwstr>
  </property>
</Properties>
</file>