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BF747B" w:rsidRDefault="00BF747B" w:rsidP="00BF747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e5795d2-bef8-421b-8924-be06465a7e04" style="width:568.5pt;height:385.5pt">
            <v:imagedata r:id="rId9" o:title=""/>
          </v:shape>
        </w:pict>
      </w:r>
      <w:bookmarkEnd w:id="0"/>
    </w:p>
    <w:p w:rsidR="00A60CFD" w:rsidRPr="00385535" w:rsidRDefault="00A60CFD">
      <w:pPr>
        <w:sectPr w:rsidR="00A60CFD" w:rsidRPr="00385535" w:rsidSect="00BF747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AB3ADB" w:rsidRPr="00E53405" w:rsidRDefault="00AB3ADB" w:rsidP="00C57A71">
      <w:pPr>
        <w:pStyle w:val="Typedudocument"/>
      </w:pPr>
      <w:r w:rsidRPr="003C7403">
        <w:lastRenderedPageBreak/>
        <w:t xml:space="preserve">РЕГЛАМЕНТ </w:t>
      </w:r>
      <w:r>
        <w:t>(ЕС</w:t>
      </w:r>
      <w:r w:rsidRPr="0093015D">
        <w:t xml:space="preserve">) </w:t>
      </w:r>
      <w:r w:rsidR="00C57A71" w:rsidRPr="0093015D">
        <w:t>2015</w:t>
      </w:r>
      <w:r w:rsidR="00C57A71">
        <w:t xml:space="preserve"> </w:t>
      </w:r>
      <w:r w:rsidR="00C57A71" w:rsidRPr="0093015D">
        <w:t>/</w:t>
      </w:r>
      <w:r w:rsidRPr="0093015D">
        <w:t>…</w:t>
      </w:r>
      <w:r w:rsidRPr="00AB3ADB">
        <w:br/>
      </w:r>
      <w:r w:rsidRPr="003C7403">
        <w:t>НА ЕВРОПЕЙСКИЯ ПАРЛАМЕНТ И НА СЪВЕТА</w:t>
      </w:r>
    </w:p>
    <w:p w:rsidR="009158F2" w:rsidRPr="009158F2" w:rsidRDefault="00AB3ADB" w:rsidP="009158F2">
      <w:pPr>
        <w:pStyle w:val="Titreobjet"/>
      </w:pPr>
      <w:r w:rsidRPr="003C7403">
        <w:t>относно мониторинга, докладването и проверката</w:t>
      </w:r>
      <w:r w:rsidR="009158F2" w:rsidRPr="009158F2">
        <w:br/>
      </w:r>
      <w:r w:rsidRPr="003C7403">
        <w:t xml:space="preserve"> на емисиите </w:t>
      </w:r>
      <w:r w:rsidRPr="001D3B9B">
        <w:t xml:space="preserve">на въглероден диоксид </w:t>
      </w:r>
      <w:r w:rsidRPr="003C7403">
        <w:t xml:space="preserve">от морския транспорт </w:t>
      </w:r>
      <w:r w:rsidR="009158F2" w:rsidRPr="009158F2">
        <w:br/>
      </w:r>
      <w:r w:rsidRPr="003C7403">
        <w:t xml:space="preserve">и за изменение на </w:t>
      </w:r>
      <w:r w:rsidRPr="001D3B9B">
        <w:t>Директива 2009/16/ЕО</w:t>
      </w:r>
    </w:p>
    <w:p w:rsidR="00AB3ADB" w:rsidRPr="003C7403" w:rsidRDefault="00AB3ADB" w:rsidP="009158F2">
      <w:pPr>
        <w:pStyle w:val="Sous-titreobjet"/>
        <w:rPr>
          <w:noProof/>
        </w:rPr>
      </w:pPr>
      <w:r w:rsidRPr="003C7403">
        <w:t>(текст от значение за ЕИП)</w:t>
      </w:r>
    </w:p>
    <w:p w:rsidR="00AB3ADB" w:rsidRPr="003C7403" w:rsidRDefault="00AB3ADB" w:rsidP="001C6C57">
      <w:pPr>
        <w:pStyle w:val="Institutionquiagit"/>
        <w:rPr>
          <w:noProof/>
        </w:rPr>
      </w:pPr>
      <w:r w:rsidRPr="003C7403">
        <w:t>ЕВРОПЕЙСКИЯТ ПАРЛАМЕНТ И СЪВЕТЪТ НА ЕВРОПЕЙСКИЯ СЪЮЗ,</w:t>
      </w:r>
    </w:p>
    <w:p w:rsidR="00AB3ADB" w:rsidRPr="003C7403" w:rsidRDefault="00AB3ADB" w:rsidP="001C6C57">
      <w:pPr>
        <w:rPr>
          <w:noProof/>
        </w:rPr>
      </w:pPr>
      <w:r w:rsidRPr="003C7403">
        <w:t>като взеха предвид Договора за функционирането на Европейския съюз, и по-специално член 192, параграф 1 от него,</w:t>
      </w:r>
    </w:p>
    <w:p w:rsidR="00AB3ADB" w:rsidRPr="003C7403" w:rsidRDefault="00AB3ADB" w:rsidP="001C6C57">
      <w:pPr>
        <w:rPr>
          <w:noProof/>
        </w:rPr>
      </w:pPr>
      <w:r w:rsidRPr="003C7403">
        <w:t>като взеха предвид предложението на Европейската комисия,</w:t>
      </w:r>
    </w:p>
    <w:p w:rsidR="00AB3ADB" w:rsidRPr="003C7403" w:rsidRDefault="00AB3ADB" w:rsidP="001C6C57">
      <w:pPr>
        <w:rPr>
          <w:noProof/>
        </w:rPr>
      </w:pPr>
      <w:r w:rsidRPr="003C7403">
        <w:t>след предаване на проекта на законодателния акт на националните парламенти,</w:t>
      </w:r>
    </w:p>
    <w:p w:rsidR="00AB3ADB" w:rsidRPr="003C7403" w:rsidRDefault="00AB3ADB" w:rsidP="001C6C57">
      <w:pPr>
        <w:rPr>
          <w:noProof/>
        </w:rPr>
      </w:pPr>
      <w:r w:rsidRPr="003C7403">
        <w:t>като взеха предвид становището на Европейския икономически и социален комитет</w:t>
      </w:r>
      <w:r w:rsidRPr="003C7403">
        <w:rPr>
          <w:rStyle w:val="FootnoteReference"/>
          <w:b w:val="0"/>
          <w:noProof/>
        </w:rPr>
        <w:footnoteReference w:id="1"/>
      </w:r>
      <w:r w:rsidRPr="003C7403">
        <w:t>,</w:t>
      </w:r>
    </w:p>
    <w:p w:rsidR="00AB3ADB" w:rsidRPr="003C7403" w:rsidRDefault="00AB3ADB" w:rsidP="001C6C57">
      <w:pPr>
        <w:rPr>
          <w:noProof/>
        </w:rPr>
      </w:pPr>
      <w:r>
        <w:t>след консултация с</w:t>
      </w:r>
      <w:r w:rsidRPr="003C7403">
        <w:t xml:space="preserve"> Комитета на регионите,</w:t>
      </w:r>
    </w:p>
    <w:p w:rsidR="00AB3ADB" w:rsidRPr="003C7403" w:rsidRDefault="00AB3ADB" w:rsidP="001C6C57">
      <w:pPr>
        <w:rPr>
          <w:noProof/>
        </w:rPr>
      </w:pPr>
      <w:r w:rsidRPr="003C7403">
        <w:t>в съответствие с обикновената законодателна процедура</w:t>
      </w:r>
      <w:r>
        <w:rPr>
          <w:rStyle w:val="FootnoteReference"/>
        </w:rPr>
        <w:footnoteReference w:id="2"/>
      </w:r>
      <w:r w:rsidRPr="003C7403">
        <w:t>,</w:t>
      </w:r>
    </w:p>
    <w:p w:rsidR="00AB3ADB" w:rsidRPr="003C7403" w:rsidRDefault="00AB3ADB" w:rsidP="001C6C57">
      <w:pPr>
        <w:rPr>
          <w:noProof/>
        </w:rPr>
      </w:pPr>
      <w:r w:rsidRPr="003C7403">
        <w:br w:type="page"/>
        <w:t>като имат предвид, че:</w:t>
      </w:r>
    </w:p>
    <w:p w:rsidR="00AB3ADB" w:rsidRPr="003C7403" w:rsidRDefault="00AB3ADB" w:rsidP="00FD0E17">
      <w:pPr>
        <w:pStyle w:val="ManualConsidrant"/>
        <w:rPr>
          <w:noProof/>
        </w:rPr>
      </w:pPr>
      <w:r w:rsidRPr="003C7403">
        <w:t>(1)</w:t>
      </w:r>
      <w:r w:rsidRPr="003C7403">
        <w:tab/>
        <w:t xml:space="preserve">В </w:t>
      </w:r>
      <w:r w:rsidR="00C16045" w:rsidRPr="00C16045">
        <w:t xml:space="preserve">Директива 2009/29/ЕО на Европейския парламент и на Съвета </w:t>
      </w:r>
      <w:r w:rsidRPr="00637A4F">
        <w:rPr>
          <w:rStyle w:val="FootnoteReference"/>
        </w:rPr>
        <w:footnoteReference w:id="3"/>
      </w:r>
      <w:r w:rsidR="00C16045">
        <w:t xml:space="preserve"> и в </w:t>
      </w:r>
      <w:r w:rsidR="00C16045" w:rsidRPr="00C16045">
        <w:t>Решение № 406/2009/ЕО на Европейския парламент и на Съвета</w:t>
      </w:r>
      <w:r w:rsidR="00C16045">
        <w:rPr>
          <w:rStyle w:val="FootnoteReference"/>
        </w:rPr>
        <w:footnoteReference w:id="4"/>
      </w:r>
      <w:r w:rsidRPr="003C7403">
        <w:t>,</w:t>
      </w:r>
      <w:r w:rsidRPr="003C7403">
        <w:rPr>
          <w:rStyle w:val="FootnoteReference"/>
          <w:b w:val="0"/>
          <w:noProof/>
        </w:rPr>
        <w:t xml:space="preserve"> </w:t>
      </w:r>
      <w:r w:rsidRPr="003C7403">
        <w:t>в ко</w:t>
      </w:r>
      <w:r w:rsidR="00C16045">
        <w:t>и</w:t>
      </w:r>
      <w:r w:rsidRPr="003C7403">
        <w:t>то се призовава всички стопански сектори</w:t>
      </w:r>
      <w:r w:rsidR="00FD0E17">
        <w:t>,</w:t>
      </w:r>
      <w:r w:rsidR="00FD0E17" w:rsidRPr="00FD0E17">
        <w:t xml:space="preserve"> </w:t>
      </w:r>
      <w:r w:rsidR="00FD0E17" w:rsidRPr="003C7403">
        <w:t>включително и сектора на международния морски транспорт,</w:t>
      </w:r>
      <w:r w:rsidR="00E452D7">
        <w:t xml:space="preserve"> </w:t>
      </w:r>
      <w:r>
        <w:t>да доприн</w:t>
      </w:r>
      <w:r w:rsidR="00C16045">
        <w:t>е</w:t>
      </w:r>
      <w:r>
        <w:t>с</w:t>
      </w:r>
      <w:r w:rsidR="00C16045">
        <w:t>а</w:t>
      </w:r>
      <w:r>
        <w:t xml:space="preserve">т </w:t>
      </w:r>
      <w:r w:rsidRPr="003C7403">
        <w:t xml:space="preserve">за постигане на намаления на емисиите, е </w:t>
      </w:r>
      <w:r w:rsidR="00C16045">
        <w:t>предвидено, че</w:t>
      </w:r>
      <w:r w:rsidRPr="003C7403">
        <w:t xml:space="preserve">: </w:t>
      </w:r>
      <w:r w:rsidR="00C16045">
        <w:t>ако</w:t>
      </w:r>
      <w:r w:rsidRPr="003C7403">
        <w:t xml:space="preserve"> международно споразумение, което включва емисиите от международното мореплаване в своите цели за намаления в рамките на Международната морска организация</w:t>
      </w:r>
      <w:r w:rsidR="00C16045">
        <w:t xml:space="preserve"> (ИМО)</w:t>
      </w:r>
      <w:r w:rsidRPr="003C7403">
        <w:t xml:space="preserve">, </w:t>
      </w:r>
      <w:r>
        <w:t xml:space="preserve">не </w:t>
      </w:r>
      <w:r w:rsidR="00C16045">
        <w:t>бъде</w:t>
      </w:r>
      <w:r>
        <w:t xml:space="preserve"> одобрено от държавите членки </w:t>
      </w:r>
      <w:r w:rsidRPr="003C7403">
        <w:t xml:space="preserve">или </w:t>
      </w:r>
      <w:r w:rsidR="00C57A71">
        <w:t xml:space="preserve">ако </w:t>
      </w:r>
      <w:r w:rsidRPr="003C7403">
        <w:t xml:space="preserve">подобно споразумение </w:t>
      </w:r>
      <w:r>
        <w:t>чрез</w:t>
      </w:r>
      <w:r w:rsidRPr="003C7403">
        <w:t xml:space="preserve"> </w:t>
      </w:r>
      <w:r>
        <w:t>Рамковата конвенция на Обединените нации по изменение на климата</w:t>
      </w:r>
      <w:r w:rsidRPr="003C7403">
        <w:t xml:space="preserve"> не бъде одобрено от Общността до 31 декември 2011 г., Комисията следва да направи предложение за включване на емисиите от международно мореплаване в ангажимента на Общността за намаляване на емисиите, с </w:t>
      </w:r>
      <w:r>
        <w:t>цел предложението</w:t>
      </w:r>
      <w:r w:rsidRPr="003C7403">
        <w:t xml:space="preserve"> да влезе в сила до 2013 г. </w:t>
      </w:r>
      <w:r>
        <w:t>Т</w:t>
      </w:r>
      <w:r w:rsidRPr="003C7403">
        <w:t xml:space="preserve">акова предложение следва да </w:t>
      </w:r>
      <w:r>
        <w:t>сведе</w:t>
      </w:r>
      <w:r w:rsidRPr="003C7403">
        <w:t xml:space="preserve"> до минимум </w:t>
      </w:r>
      <w:r>
        <w:t xml:space="preserve">възможни </w:t>
      </w:r>
      <w:r w:rsidRPr="003C7403">
        <w:t xml:space="preserve">отрицателни последици </w:t>
      </w:r>
      <w:r>
        <w:t>за</w:t>
      </w:r>
      <w:r w:rsidRPr="003C7403">
        <w:t xml:space="preserve"> конкурентоспособността на Общността, като същевременно </w:t>
      </w:r>
      <w:r>
        <w:t xml:space="preserve">с това </w:t>
      </w:r>
      <w:r w:rsidRPr="003C7403">
        <w:t>се вземат предвид възможните ползи за околната среда.</w:t>
      </w:r>
    </w:p>
    <w:p w:rsidR="00AB3ADB" w:rsidRPr="009158F2" w:rsidRDefault="00AB3ADB" w:rsidP="009C0914">
      <w:pPr>
        <w:pStyle w:val="ManualConsidrant"/>
      </w:pPr>
      <w:r w:rsidRPr="009158F2">
        <w:rPr>
          <w:noProof/>
        </w:rPr>
        <w:t>(</w:t>
      </w:r>
      <w:r w:rsidR="00C16045" w:rsidRPr="009158F2">
        <w:rPr>
          <w:noProof/>
        </w:rPr>
        <w:t>2</w:t>
      </w:r>
      <w:r w:rsidRPr="009158F2">
        <w:rPr>
          <w:noProof/>
        </w:rPr>
        <w:t>)</w:t>
      </w:r>
      <w:r w:rsidRPr="003C7403">
        <w:tab/>
      </w:r>
      <w:r w:rsidRPr="009158F2">
        <w:t xml:space="preserve">Морският транспорт оказва влияние върху световния климат и качеството на въздуха вследствие на </w:t>
      </w:r>
      <w:r w:rsidR="009C0914" w:rsidRPr="009158F2">
        <w:t xml:space="preserve">отделяните </w:t>
      </w:r>
      <w:r w:rsidRPr="009158F2">
        <w:t>емисии на въглероден диоксид (CO</w:t>
      </w:r>
      <w:r w:rsidRPr="00FD0E17">
        <w:rPr>
          <w:vertAlign w:val="subscript"/>
        </w:rPr>
        <w:t>2</w:t>
      </w:r>
      <w:r w:rsidRPr="009158F2">
        <w:t xml:space="preserve">) и други емисии, </w:t>
      </w:r>
      <w:r w:rsidR="00C16045" w:rsidRPr="009158F2">
        <w:t xml:space="preserve">като </w:t>
      </w:r>
      <w:r w:rsidRPr="009158F2">
        <w:t>азотни оксиди (NO</w:t>
      </w:r>
      <w:r w:rsidRPr="000B68D9">
        <w:rPr>
          <w:vertAlign w:val="subscript"/>
        </w:rPr>
        <w:t>x</w:t>
      </w:r>
      <w:r w:rsidRPr="009158F2">
        <w:t>), серни оксиди (SO</w:t>
      </w:r>
      <w:r w:rsidRPr="000B68D9">
        <w:rPr>
          <w:vertAlign w:val="subscript"/>
        </w:rPr>
        <w:t>x</w:t>
      </w:r>
      <w:r w:rsidRPr="009158F2">
        <w:t>), метан (CH</w:t>
      </w:r>
      <w:r w:rsidRPr="000B68D9">
        <w:rPr>
          <w:vertAlign w:val="subscript"/>
        </w:rPr>
        <w:t>4</w:t>
      </w:r>
      <w:r w:rsidRPr="009158F2">
        <w:t>), прахови частици и сажди.</w:t>
      </w:r>
    </w:p>
    <w:p w:rsidR="00AB3ADB" w:rsidRPr="009C5181" w:rsidRDefault="00AB3ADB" w:rsidP="004A052C">
      <w:pPr>
        <w:pStyle w:val="ManualConsidrant"/>
        <w:rPr>
          <w:iCs/>
        </w:rPr>
      </w:pPr>
      <w:r>
        <w:rPr>
          <w:u w:val="single"/>
        </w:rPr>
        <w:br w:type="page"/>
      </w:r>
      <w:r w:rsidRPr="009C5181">
        <w:t>(</w:t>
      </w:r>
      <w:r w:rsidR="00C16045" w:rsidRPr="009C5181">
        <w:t>3</w:t>
      </w:r>
      <w:r w:rsidRPr="009C5181">
        <w:t>)</w:t>
      </w:r>
      <w:r w:rsidRPr="009C5181">
        <w:tab/>
        <w:t xml:space="preserve">Международното морско корабоплаване продължава да бъде единственото средство за транспорт, което не е включено в ангажимента на Съюза за </w:t>
      </w:r>
      <w:r w:rsidR="004A052C" w:rsidRPr="009C5181">
        <w:t xml:space="preserve">намаление </w:t>
      </w:r>
      <w:r w:rsidRPr="009C5181">
        <w:t>на емисиите на парникови газове. Съгласно оценката на въздействието, придружаваща предложението за настоящия регламент, в периода между 1990 г. и 2007 г. емисиите на CO</w:t>
      </w:r>
      <w:r w:rsidRPr="009C5181">
        <w:rPr>
          <w:vertAlign w:val="subscript"/>
        </w:rPr>
        <w:t>2</w:t>
      </w:r>
      <w:r w:rsidRPr="009C5181">
        <w:t xml:space="preserve"> </w:t>
      </w:r>
      <w:r w:rsidR="009C0914" w:rsidRPr="009C5181">
        <w:t>н</w:t>
      </w:r>
      <w:r w:rsidRPr="009C5181">
        <w:t>а Съюза, дължащи се на международното корабоплаване, са нараснали с 48 %.</w:t>
      </w:r>
    </w:p>
    <w:p w:rsidR="00AB3ADB" w:rsidRPr="009C5181" w:rsidRDefault="00AB3ADB" w:rsidP="004A052C">
      <w:pPr>
        <w:pStyle w:val="ManualConsidrant"/>
        <w:rPr>
          <w:iCs/>
        </w:rPr>
      </w:pPr>
      <w:r w:rsidRPr="009C5181">
        <w:t>(</w:t>
      </w:r>
      <w:r w:rsidR="00C16045" w:rsidRPr="009C5181">
        <w:t>4</w:t>
      </w:r>
      <w:r w:rsidRPr="009C5181">
        <w:t>)</w:t>
      </w:r>
      <w:r w:rsidRPr="009C5181">
        <w:tab/>
        <w:t xml:space="preserve">С оглед на бързо развиващото се научно </w:t>
      </w:r>
      <w:r w:rsidR="00C57A71" w:rsidRPr="009C5181">
        <w:t xml:space="preserve">схващане </w:t>
      </w:r>
      <w:r w:rsidRPr="009C5181">
        <w:t xml:space="preserve">за </w:t>
      </w:r>
      <w:r w:rsidR="007A2F9E" w:rsidRPr="009C5181">
        <w:t xml:space="preserve">въздействието на несвързаните </w:t>
      </w:r>
      <w:r w:rsidRPr="009C5181">
        <w:t>с CO</w:t>
      </w:r>
      <w:r w:rsidRPr="009C5181">
        <w:rPr>
          <w:vertAlign w:val="subscript"/>
        </w:rPr>
        <w:t>2</w:t>
      </w:r>
      <w:r w:rsidRPr="009C5181">
        <w:t xml:space="preserve"> </w:t>
      </w:r>
      <w:r w:rsidR="007A2F9E" w:rsidRPr="009C5181">
        <w:t>емисии от</w:t>
      </w:r>
      <w:r w:rsidRPr="009C5181">
        <w:t xml:space="preserve"> морския транспорт върху климата в световен мащаб, в контекста на настоящия регламент следва редовно да се извършва актуална оценка на това въздействие. Въз основа на своите оценки Комисията следва да анализира изводите по отношение на политиките и мерките, </w:t>
      </w:r>
      <w:r w:rsidR="009C0914" w:rsidRPr="009C5181">
        <w:t xml:space="preserve">целящи </w:t>
      </w:r>
      <w:r w:rsidR="004A052C" w:rsidRPr="009C5181">
        <w:t xml:space="preserve">намаление </w:t>
      </w:r>
      <w:r w:rsidR="009C0914" w:rsidRPr="009C5181">
        <w:t>на</w:t>
      </w:r>
      <w:r w:rsidRPr="009C5181">
        <w:t xml:space="preserve"> тези емисии.</w:t>
      </w:r>
    </w:p>
    <w:p w:rsidR="00AB3ADB" w:rsidRPr="009C5181" w:rsidRDefault="00AB3ADB" w:rsidP="00FD0E17">
      <w:pPr>
        <w:pStyle w:val="ManualConsidrant"/>
      </w:pPr>
      <w:r w:rsidRPr="009C5181">
        <w:t>(</w:t>
      </w:r>
      <w:r w:rsidR="00C16045" w:rsidRPr="009C5181">
        <w:t>5</w:t>
      </w:r>
      <w:r w:rsidRPr="009C5181">
        <w:t>)</w:t>
      </w:r>
      <w:r w:rsidRPr="009C5181">
        <w:tab/>
        <w:t xml:space="preserve">В Резолюция на Европейския парламент от 5 февруари 2014 г. относно рамката за политиките в областта на климата и енергетиката за периода до 2030 г. Комисията и държавите членки се призовават да определят обвързваща цел на ЕС за постигане до 2030 г. на намаление на емисиите на парникови газове в </w:t>
      </w:r>
      <w:r w:rsidR="00C57A71" w:rsidRPr="009C5181">
        <w:t xml:space="preserve">Съюза </w:t>
      </w:r>
      <w:r w:rsidRPr="009C5181">
        <w:t xml:space="preserve">с най-малко 40 % спрямо равнищата от 1990 г. Европейският парламент посочва освен това, че всички сектори на икономиката ще трябва да допринесат за </w:t>
      </w:r>
      <w:r w:rsidR="004A052C" w:rsidRPr="009C5181">
        <w:t xml:space="preserve">намалението </w:t>
      </w:r>
      <w:r w:rsidRPr="009C5181">
        <w:t>на емисиите на парникови газове, ако Съюзът иска да участва на справедлива основа в световните усилия.</w:t>
      </w:r>
    </w:p>
    <w:p w:rsidR="00AB3ADB" w:rsidRPr="003C7403" w:rsidRDefault="00AB3ADB" w:rsidP="00FD0E17">
      <w:pPr>
        <w:pStyle w:val="ManualConsidrant"/>
        <w:rPr>
          <w:rFonts w:ascii="TimesNewRoman" w:hAnsi="TimesNewRoman" w:cs="TimesNewRoman"/>
          <w:u w:val="single"/>
        </w:rPr>
      </w:pPr>
      <w:r w:rsidRPr="009C5181">
        <w:t>(</w:t>
      </w:r>
      <w:r w:rsidR="00C16045" w:rsidRPr="009C5181">
        <w:t>6</w:t>
      </w:r>
      <w:r w:rsidRPr="009C5181">
        <w:t>)</w:t>
      </w:r>
      <w:r w:rsidRPr="009C5181">
        <w:tab/>
        <w:t>В заключенията си от 23 и 24 октомври 2014 г. Европейският съвет утвърди като обвързваща цел на ЕС постигането до 2030 г. на намаление на емисиите на парни</w:t>
      </w:r>
      <w:r w:rsidR="00FD0E17">
        <w:t xml:space="preserve">кови газове в </w:t>
      </w:r>
      <w:r w:rsidRPr="009C5181">
        <w:t>С</w:t>
      </w:r>
      <w:r w:rsidR="00FD0E17">
        <w:t>ъюза</w:t>
      </w:r>
      <w:r w:rsidRPr="009C5181">
        <w:t xml:space="preserve"> с най-малко 40 % спрямо равнищата от 1990 г. Европейският съвет освен това посочи колко е важно да се намалят емисиите на парникови газове и рисковете, свързани със зависимостта от изкопаеми горива в сектора на транспорта</w:t>
      </w:r>
      <w:r w:rsidR="00FD0E17">
        <w:t>,</w:t>
      </w:r>
      <w:r w:rsidRPr="009C5181">
        <w:t xml:space="preserve"> и прикани Комисията да проучи допълнително инструменти и мерки за постигане на цялостен и технологично неутрален подход, предназначен, </w:t>
      </w:r>
      <w:r w:rsidR="009C0914" w:rsidRPr="000B68D9">
        <w:rPr>
          <w:i/>
          <w:iCs/>
          <w:lang w:val="en-US"/>
        </w:rPr>
        <w:t>inter</w:t>
      </w:r>
      <w:r w:rsidR="009C0914" w:rsidRPr="000B68D9">
        <w:rPr>
          <w:i/>
          <w:iCs/>
        </w:rPr>
        <w:t xml:space="preserve"> </w:t>
      </w:r>
      <w:r w:rsidR="009C0914" w:rsidRPr="000B68D9">
        <w:rPr>
          <w:i/>
          <w:iCs/>
          <w:lang w:val="en-US"/>
        </w:rPr>
        <w:t>alia</w:t>
      </w:r>
      <w:r w:rsidRPr="009C5181">
        <w:t xml:space="preserve">, за насърчаване на </w:t>
      </w:r>
      <w:r w:rsidR="004A052C" w:rsidRPr="009C5181">
        <w:t xml:space="preserve">намалението </w:t>
      </w:r>
      <w:r w:rsidRPr="009C5181">
        <w:t>на емисиите и енергийната ефективност в транспорта.</w:t>
      </w:r>
    </w:p>
    <w:p w:rsidR="00AB3ADB" w:rsidRPr="00296F02" w:rsidRDefault="00AB3ADB" w:rsidP="004A052C">
      <w:pPr>
        <w:pStyle w:val="ManualConsidrant"/>
      </w:pPr>
      <w:r>
        <w:rPr>
          <w:rFonts w:ascii="TimesNewRoman" w:hAnsi="TimesNewRoman"/>
          <w:u w:val="single"/>
        </w:rPr>
        <w:br w:type="page"/>
      </w:r>
      <w:r w:rsidRPr="009C5181">
        <w:t>(</w:t>
      </w:r>
      <w:r w:rsidR="00C16045" w:rsidRPr="009C5181">
        <w:t>7</w:t>
      </w:r>
      <w:r w:rsidRPr="009C5181">
        <w:t>)</w:t>
      </w:r>
      <w:r w:rsidRPr="003C7403">
        <w:tab/>
      </w:r>
      <w:r w:rsidRPr="00296F02">
        <w:t>В седмата програма за действие в областта на околната среда</w:t>
      </w:r>
      <w:r w:rsidRPr="00296F02">
        <w:rPr>
          <w:rStyle w:val="FootnoteReference"/>
          <w:b w:val="0"/>
        </w:rPr>
        <w:footnoteReference w:id="5"/>
      </w:r>
      <w:r w:rsidRPr="00296F02">
        <w:t xml:space="preserve"> се подчертава, че всички сектори на икономиката ще трябва да допринесат за </w:t>
      </w:r>
      <w:r w:rsidR="004A052C" w:rsidRPr="00296F02">
        <w:t xml:space="preserve">намалението </w:t>
      </w:r>
      <w:r w:rsidRPr="00296F02">
        <w:t>на емисиите на парникови газове, ако Съюзът иска да участва на справедлива основа в световните усилия. Във връзка с това в седмата програма се изтъква, че Бялата книга за транспорта от 2011 г. трябва да бъде подкрепена със силна политическа рамка.</w:t>
      </w:r>
    </w:p>
    <w:p w:rsidR="00AB3ADB" w:rsidRPr="003C7403" w:rsidRDefault="00AB3ADB" w:rsidP="004A052C">
      <w:pPr>
        <w:pStyle w:val="ManualConsidrant"/>
        <w:rPr>
          <w:noProof/>
        </w:rPr>
      </w:pPr>
      <w:r w:rsidRPr="003C7403">
        <w:t>(</w:t>
      </w:r>
      <w:r w:rsidR="00C16045">
        <w:t>8</w:t>
      </w:r>
      <w:r w:rsidRPr="003C7403">
        <w:t>)</w:t>
      </w:r>
      <w:r w:rsidRPr="003C7403">
        <w:tab/>
      </w:r>
      <w:r w:rsidR="00C16045">
        <w:t>П</w:t>
      </w:r>
      <w:r w:rsidR="00C16045" w:rsidRPr="003C7403">
        <w:t xml:space="preserve">рез юли 2011 г. </w:t>
      </w:r>
      <w:r>
        <w:t>И</w:t>
      </w:r>
      <w:r w:rsidRPr="003C7403">
        <w:t xml:space="preserve">МО прие технически и експлоатационни мерки, по-специално въвеждането на конструктивен индекс за енергийна ефективност (EEDI) за новите кораби и корабни планове за управление на енергийната ефективност (SEEMP), които ще внесат подобрение, изразяващо се в снижаване на очакваното нарастване на емисиите на парникови газове, но само тези мерки не могат да доведат до </w:t>
      </w:r>
      <w:r w:rsidR="004A052C" w:rsidRPr="003C7403">
        <w:t>намал</w:t>
      </w:r>
      <w:r w:rsidR="004A052C">
        <w:t>ение</w:t>
      </w:r>
      <w:r w:rsidR="00FD0E17">
        <w:t>то</w:t>
      </w:r>
      <w:r w:rsidR="004A052C" w:rsidRPr="003C7403">
        <w:t xml:space="preserve"> </w:t>
      </w:r>
      <w:r w:rsidRPr="003C7403">
        <w:t>в абсолютно изражение на емисиите на парникови газове от международното корабоплаване, което е необходимо във връзка с усилията за постигане на глобалната цел за ограничаване повишението на световната температура до 2°C.</w:t>
      </w:r>
    </w:p>
    <w:p w:rsidR="00AB3ADB" w:rsidRPr="009C5181" w:rsidRDefault="00AB3ADB" w:rsidP="00446AD3">
      <w:pPr>
        <w:pStyle w:val="ManualConsidrant"/>
        <w:spacing w:before="40" w:after="40"/>
        <w:rPr>
          <w:noProof/>
        </w:rPr>
      </w:pPr>
      <w:r w:rsidRPr="003C7403">
        <w:t>(</w:t>
      </w:r>
      <w:r w:rsidR="00C16045">
        <w:t>9</w:t>
      </w:r>
      <w:r w:rsidRPr="003C7403">
        <w:t>)</w:t>
      </w:r>
      <w:r w:rsidRPr="003C7403">
        <w:tab/>
      </w:r>
      <w:r w:rsidRPr="009C5181">
        <w:t>Съгласно данни на ИМО чрез използване на експлоатационни мерки и прилагане на съществуващи технологии е възможно да се постигне намаление на специфичното енергопотребление и на емисиите на СО</w:t>
      </w:r>
      <w:r w:rsidRPr="009C5181">
        <w:rPr>
          <w:noProof/>
          <w:vertAlign w:val="subscript"/>
        </w:rPr>
        <w:t>2</w:t>
      </w:r>
      <w:r w:rsidRPr="009C5181">
        <w:t xml:space="preserve"> от корабите с до 75 %; значителна част от тези мерки могат да се считат за ефективни</w:t>
      </w:r>
      <w:r w:rsidR="00446AD3">
        <w:t xml:space="preserve"> от гледна точка на разходите</w:t>
      </w:r>
      <w:r w:rsidRPr="009C5181">
        <w:rPr>
          <w:i/>
        </w:rPr>
        <w:t xml:space="preserve"> </w:t>
      </w:r>
      <w:r w:rsidRPr="009C5181">
        <w:t>и като такива те биха могли да доведат до нетни ползи за сектора, тъй като намалението на разходите за гориво осигурява откупуване на съответните експлоатационни или инвестиционни разходи.</w:t>
      </w:r>
    </w:p>
    <w:p w:rsidR="00AB3ADB" w:rsidRPr="009C5181" w:rsidRDefault="00AB3ADB" w:rsidP="00D723B0">
      <w:pPr>
        <w:pStyle w:val="ManualConsidrant"/>
        <w:spacing w:before="40" w:after="40"/>
        <w:rPr>
          <w:noProof/>
        </w:rPr>
      </w:pPr>
      <w:r>
        <w:br w:type="page"/>
      </w:r>
      <w:r w:rsidRPr="003C7403">
        <w:t>(</w:t>
      </w:r>
      <w:r w:rsidR="00C57A71">
        <w:t>10</w:t>
      </w:r>
      <w:r w:rsidRPr="003C7403">
        <w:t>)</w:t>
      </w:r>
      <w:r w:rsidRPr="003C7403">
        <w:tab/>
      </w:r>
      <w:r w:rsidRPr="009C5181">
        <w:t xml:space="preserve">Най-добрият възможен вариант за </w:t>
      </w:r>
      <w:r w:rsidR="004A052C" w:rsidRPr="009C5181">
        <w:t xml:space="preserve">намаление </w:t>
      </w:r>
      <w:r w:rsidRPr="009C5181">
        <w:t>на емисиите на CO</w:t>
      </w:r>
      <w:r w:rsidRPr="009C5181">
        <w:rPr>
          <w:vertAlign w:val="subscript"/>
        </w:rPr>
        <w:t>2</w:t>
      </w:r>
      <w:r w:rsidR="00FD0E17">
        <w:rPr>
          <w:vertAlign w:val="subscript"/>
        </w:rPr>
        <w:t xml:space="preserve"> </w:t>
      </w:r>
      <w:r w:rsidRPr="009C5181">
        <w:t>от корабоплаването на равнището на Съюза остава въвеждането на система за мониторинг, докладване и проверка (</w:t>
      </w:r>
      <w:r w:rsidR="00C16045" w:rsidRPr="009C5181">
        <w:t xml:space="preserve">наричана по-долу </w:t>
      </w:r>
      <w:r w:rsidR="00D723B0">
        <w:t>„</w:t>
      </w:r>
      <w:r w:rsidR="00C16045" w:rsidRPr="009C5181">
        <w:t xml:space="preserve">система за </w:t>
      </w:r>
      <w:r w:rsidRPr="009C5181">
        <w:t>МДП</w:t>
      </w:r>
      <w:r w:rsidR="00D723B0">
        <w:t>“</w:t>
      </w:r>
      <w:r w:rsidRPr="009C5181">
        <w:t>) на емисиите на CO</w:t>
      </w:r>
      <w:r w:rsidRPr="009C5181">
        <w:rPr>
          <w:noProof/>
          <w:vertAlign w:val="subscript"/>
        </w:rPr>
        <w:t>2</w:t>
      </w:r>
      <w:r w:rsidRPr="009C5181">
        <w:t xml:space="preserve"> въз основа на данните за консумацията на гориво на корабите, като първа стъпка от поетапен подход за включването на емисиите от морския транспорт в ангажимента на Съюза за </w:t>
      </w:r>
      <w:r w:rsidR="004A052C" w:rsidRPr="009C5181">
        <w:t xml:space="preserve">намаление </w:t>
      </w:r>
      <w:r w:rsidRPr="009C5181">
        <w:t>на емисиите на парникови газове</w:t>
      </w:r>
      <w:r w:rsidRPr="009C5181">
        <w:rPr>
          <w:noProof/>
        </w:rPr>
        <w:t>,</w:t>
      </w:r>
      <w:r w:rsidR="00FD0E17">
        <w:rPr>
          <w:noProof/>
        </w:rPr>
        <w:t xml:space="preserve"> </w:t>
      </w:r>
      <w:r w:rsidRPr="009C5181">
        <w:rPr>
          <w:noProof/>
        </w:rPr>
        <w:t xml:space="preserve">наред с емисиите от </w:t>
      </w:r>
      <w:r w:rsidR="007A2F9E" w:rsidRPr="009C5181">
        <w:rPr>
          <w:noProof/>
        </w:rPr>
        <w:t>други</w:t>
      </w:r>
      <w:r w:rsidRPr="009C5181">
        <w:rPr>
          <w:noProof/>
        </w:rPr>
        <w:t xml:space="preserve"> сектори, които вече допринасят за този ангажимент. Публичният достъп до данни за емисиите ще допринесе за премахване на пазарните пречки, които препятстват въвеждането на много мерки, чиито ползи надхвърлят свързаните с тях разходи и които биха намалили емисиите на парникови газове от сектора на морския транспорт.</w:t>
      </w:r>
    </w:p>
    <w:p w:rsidR="00AB3ADB" w:rsidRPr="003C7403" w:rsidRDefault="00AB3ADB" w:rsidP="00FD0E17">
      <w:pPr>
        <w:pStyle w:val="ManualConsidrant"/>
        <w:spacing w:before="40" w:after="40"/>
        <w:rPr>
          <w:noProof/>
        </w:rPr>
      </w:pPr>
      <w:r w:rsidRPr="003C7403">
        <w:t>(</w:t>
      </w:r>
      <w:r w:rsidR="00C16045">
        <w:t>11</w:t>
      </w:r>
      <w:r w:rsidRPr="003C7403">
        <w:t>)</w:t>
      </w:r>
      <w:r w:rsidRPr="003C7403">
        <w:tab/>
        <w:t>При</w:t>
      </w:r>
      <w:r>
        <w:t>еманет</w:t>
      </w:r>
      <w:r w:rsidRPr="003C7403">
        <w:t xml:space="preserve">о на мерки за </w:t>
      </w:r>
      <w:r w:rsidR="004A052C" w:rsidRPr="003C7403">
        <w:t>нам</w:t>
      </w:r>
      <w:r w:rsidR="004A052C" w:rsidRPr="00FD0E17">
        <w:t xml:space="preserve">аление </w:t>
      </w:r>
      <w:r w:rsidRPr="00FD0E17">
        <w:t xml:space="preserve">на емисиите на парникови газове и консумацията на гориво се затруднява от наличието на пазарни пречки, например липсата на надеждна информация за ефективността при използване на горивото на корабите или на технологиите, прилагани при реконструкцията на кораби, липсата на достъп до финансиране за подобряване на енергийната ефективност на корабите и разделението на </w:t>
      </w:r>
      <w:r w:rsidR="009C0914" w:rsidRPr="00FD0E17">
        <w:t>стимулите</w:t>
      </w:r>
      <w:r w:rsidRPr="00FD0E17">
        <w:t xml:space="preserve">, изразяващо се във факта, че </w:t>
      </w:r>
      <w:r w:rsidR="00FD0E17">
        <w:t>корабо</w:t>
      </w:r>
      <w:r w:rsidRPr="00FD0E17">
        <w:t>со</w:t>
      </w:r>
      <w:r w:rsidRPr="003C7403">
        <w:t xml:space="preserve">бствениците не биха спечелили от евентуални свои инвестиции в енергийна ефективност, </w:t>
      </w:r>
      <w:r w:rsidR="007A2F9E">
        <w:t>в случаите когато</w:t>
      </w:r>
      <w:r w:rsidRPr="003C7403">
        <w:t xml:space="preserve"> сметките за гориво се плащат от операторите.</w:t>
      </w:r>
    </w:p>
    <w:p w:rsidR="00AB3ADB" w:rsidRPr="003C7403" w:rsidRDefault="00AB3ADB" w:rsidP="00FD0E17">
      <w:pPr>
        <w:pStyle w:val="ManualConsidrant"/>
        <w:spacing w:before="40" w:after="40"/>
        <w:rPr>
          <w:noProof/>
        </w:rPr>
      </w:pPr>
      <w:r w:rsidRPr="003C7403">
        <w:t>(</w:t>
      </w:r>
      <w:r w:rsidR="00C16045">
        <w:t>12</w:t>
      </w:r>
      <w:r w:rsidRPr="003C7403">
        <w:t>)</w:t>
      </w:r>
      <w:r w:rsidRPr="003C7403">
        <w:tab/>
        <w:t>Резултатите от консултацията със заинтересованите страни и обсъжданията с международни партньори показват, че за включването на емисиите от морския транспорт в ангажимента на С</w:t>
      </w:r>
      <w:r>
        <w:t>ъюза</w:t>
      </w:r>
      <w:r w:rsidRPr="003C7403">
        <w:t xml:space="preserve"> за </w:t>
      </w:r>
      <w:r w:rsidR="004A052C" w:rsidRPr="003C7403">
        <w:t>намал</w:t>
      </w:r>
      <w:r w:rsidR="004A052C">
        <w:t>ение</w:t>
      </w:r>
      <w:r w:rsidR="004A052C" w:rsidRPr="003C7403">
        <w:t xml:space="preserve"> </w:t>
      </w:r>
      <w:r w:rsidRPr="003C7403">
        <w:t xml:space="preserve">на емисиите на парникови газове следва да се приложи поетапен подход, </w:t>
      </w:r>
      <w:r w:rsidR="00FD0E17">
        <w:t>при който</w:t>
      </w:r>
      <w:r w:rsidRPr="003C7403">
        <w:t xml:space="preserve"> първа стъпка е въвеждането на надеждна система за МДП на емисиите на CO</w:t>
      </w:r>
      <w:r w:rsidRPr="003C7403">
        <w:rPr>
          <w:noProof/>
          <w:vertAlign w:val="subscript"/>
        </w:rPr>
        <w:t>2</w:t>
      </w:r>
      <w:r w:rsidRPr="003C7403">
        <w:t xml:space="preserve"> от морския транспорт, </w:t>
      </w:r>
      <w:r w:rsidR="00FD0E17">
        <w:t xml:space="preserve">като </w:t>
      </w:r>
      <w:r w:rsidRPr="003C7403">
        <w:t>тези емисии</w:t>
      </w:r>
      <w:r w:rsidR="00FD0E17" w:rsidRPr="00FD0E17">
        <w:t xml:space="preserve"> </w:t>
      </w:r>
      <w:r w:rsidR="00FD0E17">
        <w:t xml:space="preserve">се </w:t>
      </w:r>
      <w:r w:rsidR="00FD0E17" w:rsidRPr="003C7403">
        <w:t>остойностява</w:t>
      </w:r>
      <w:r w:rsidR="00FD0E17">
        <w:t>т</w:t>
      </w:r>
      <w:r w:rsidRPr="003C7403">
        <w:t xml:space="preserve"> на по-късен етап. Такъв подход би улеснил постигането на значителен напредък в международен план за договаряне</w:t>
      </w:r>
      <w:r>
        <w:t>то</w:t>
      </w:r>
      <w:r w:rsidRPr="003C7403">
        <w:t xml:space="preserve"> на цели за </w:t>
      </w:r>
      <w:r w:rsidRPr="00FD0E17">
        <w:t>намаление на емисиите на парникови газове, както и на по-нататъшни мерки за постигане на т</w:t>
      </w:r>
      <w:r w:rsidR="00775EBE" w:rsidRPr="00FD0E17">
        <w:t>ези</w:t>
      </w:r>
      <w:r w:rsidRPr="00FD0E17">
        <w:t xml:space="preserve"> намален</w:t>
      </w:r>
      <w:r w:rsidRPr="003C7403">
        <w:t>ия при минимални разходи.</w:t>
      </w:r>
    </w:p>
    <w:p w:rsidR="00AB3ADB" w:rsidRPr="00FD0E17" w:rsidRDefault="00AB3ADB" w:rsidP="00DA5C39">
      <w:pPr>
        <w:pStyle w:val="ManualConsidrant"/>
        <w:rPr>
          <w:noProof/>
        </w:rPr>
      </w:pPr>
      <w:r>
        <w:br w:type="page"/>
      </w:r>
      <w:r w:rsidRPr="003C7403">
        <w:t>(</w:t>
      </w:r>
      <w:r w:rsidR="00DA5C39">
        <w:t>1</w:t>
      </w:r>
      <w:r w:rsidR="00DA5C39" w:rsidRPr="00DA5C39">
        <w:t>3</w:t>
      </w:r>
      <w:r w:rsidRPr="003C7403">
        <w:t>)</w:t>
      </w:r>
      <w:r w:rsidRPr="003C7403">
        <w:tab/>
        <w:t xml:space="preserve">Очаква се въвеждането на система </w:t>
      </w:r>
      <w:r>
        <w:t xml:space="preserve">на Съюза </w:t>
      </w:r>
      <w:r w:rsidRPr="003C7403">
        <w:t xml:space="preserve">за МДП да доведе до 2030 г. до намаление на емисиите с 2 % в сравнение с </w:t>
      </w:r>
      <w:r>
        <w:t xml:space="preserve">тези, до които би довела </w:t>
      </w:r>
      <w:r w:rsidRPr="003C7403">
        <w:t>обичайната практика, както и до намаление на сумарните нетни разходи с до 1,2 милиарда евро, тъй като тази система може да допринесе за отстраняване на пазарните пре</w:t>
      </w:r>
      <w:r>
        <w:t>чки</w:t>
      </w:r>
      <w:r w:rsidRPr="003C7403">
        <w:t>, по-специално на пре</w:t>
      </w:r>
      <w:r>
        <w:t>чките</w:t>
      </w:r>
      <w:r w:rsidRPr="003C7403">
        <w:t xml:space="preserve">, свързани с липсата на информация за енергийната ефективност на корабите, </w:t>
      </w:r>
      <w:r>
        <w:t xml:space="preserve">като </w:t>
      </w:r>
      <w:r w:rsidRPr="001D3B9B">
        <w:t>осигури сравнима и надеждна информация относно консумацията на гориво и енергийната ефективност на съответните пазари</w:t>
      </w:r>
      <w:r w:rsidRPr="003C7403">
        <w:t xml:space="preserve">. Подобно намаление на транспортните разходи би улеснило международната търговия. Освен това, наличието на надеждна система за МДП </w:t>
      </w:r>
      <w:r>
        <w:t>е</w:t>
      </w:r>
      <w:r w:rsidRPr="003C7403">
        <w:t xml:space="preserve"> </w:t>
      </w:r>
      <w:r>
        <w:t>предпоставка</w:t>
      </w:r>
      <w:r w:rsidRPr="003C7403">
        <w:t xml:space="preserve"> за въвеждането на всяка една пазарна мярка, стандарт за ефективност или </w:t>
      </w:r>
      <w:r w:rsidRPr="001D3B9B">
        <w:t>друга мярка</w:t>
      </w:r>
      <w:r w:rsidRPr="003C7403">
        <w:t>, независимо дали се прилага на равнище</w:t>
      </w:r>
      <w:r>
        <w:t>то на</w:t>
      </w:r>
      <w:r w:rsidRPr="003C7403">
        <w:t xml:space="preserve"> С</w:t>
      </w:r>
      <w:r>
        <w:t>ъюза</w:t>
      </w:r>
      <w:r w:rsidRPr="003C7403">
        <w:t xml:space="preserve"> или на световно равнище. Тази система осигурява също така надеждни данни, необходими за точно задаване на цели за намаление на емисиите, както и за оценка на приноса на морския транспорт за постиганет</w:t>
      </w:r>
      <w:r w:rsidRPr="00FD0E17">
        <w:t xml:space="preserve">о на нисковъглеродна икономика. Предвид международния характер на корабоплаването предпочитаният и най-ефективен метод за </w:t>
      </w:r>
      <w:r w:rsidR="004A052C" w:rsidRPr="00FD0E17">
        <w:t xml:space="preserve">намаление </w:t>
      </w:r>
      <w:r w:rsidRPr="00FD0E17">
        <w:t>на емисиите на парникови газове от международния морски транспорт би бил посредством глобално споразумение.</w:t>
      </w:r>
    </w:p>
    <w:p w:rsidR="00AB3ADB" w:rsidRPr="009C5181" w:rsidRDefault="00AB3ADB" w:rsidP="009C5181">
      <w:pPr>
        <w:pStyle w:val="ManualConsidrant"/>
      </w:pPr>
      <w:r w:rsidRPr="00FD0E17">
        <w:t>(</w:t>
      </w:r>
      <w:r w:rsidR="00C16045" w:rsidRPr="00FD0E17">
        <w:t>14</w:t>
      </w:r>
      <w:r w:rsidRPr="00FD0E17">
        <w:t>)</w:t>
      </w:r>
      <w:r w:rsidRPr="00FD0E17">
        <w:tab/>
        <w:t>От значение за мониторинга сл</w:t>
      </w:r>
      <w:r w:rsidRPr="003C7403">
        <w:t>едва да се считат всички плавания в рамките на С</w:t>
      </w:r>
      <w:r>
        <w:t>ъюза</w:t>
      </w:r>
      <w:r w:rsidRPr="003C7403">
        <w:t>, всички входящи плавания от последното пристанище на акостиране извън С</w:t>
      </w:r>
      <w:r>
        <w:t>ъюза</w:t>
      </w:r>
      <w:r w:rsidRPr="003C7403">
        <w:t xml:space="preserve"> до първото пристанище на акостиране в С</w:t>
      </w:r>
      <w:r>
        <w:t>ъюза</w:t>
      </w:r>
      <w:r w:rsidRPr="003C7403">
        <w:t xml:space="preserve"> и всички изходящи плавания от пристанище в С</w:t>
      </w:r>
      <w:r>
        <w:t>ъюза</w:t>
      </w:r>
      <w:r w:rsidRPr="003C7403">
        <w:t xml:space="preserve"> до следващото пристанище на акостиране извън С</w:t>
      </w:r>
      <w:r>
        <w:t>ъюза</w:t>
      </w:r>
      <w:r w:rsidRPr="003C7403">
        <w:rPr>
          <w:noProof/>
          <w:u w:val="single"/>
        </w:rPr>
        <w:t xml:space="preserve">, </w:t>
      </w:r>
      <w:r w:rsidRPr="009C5181">
        <w:rPr>
          <w:noProof/>
        </w:rPr>
        <w:t>включително плавания под баласт</w:t>
      </w:r>
      <w:r w:rsidRPr="009C5181">
        <w:t>. Емисиите</w:t>
      </w:r>
      <w:r w:rsidRPr="003C7403">
        <w:t xml:space="preserve"> на СО</w:t>
      </w:r>
      <w:r w:rsidRPr="003C7403">
        <w:rPr>
          <w:noProof/>
          <w:vertAlign w:val="subscript"/>
        </w:rPr>
        <w:t>2</w:t>
      </w:r>
      <w:r w:rsidRPr="003C7403">
        <w:t xml:space="preserve"> в пристанищата на С</w:t>
      </w:r>
      <w:r>
        <w:t>ъюза</w:t>
      </w:r>
      <w:r w:rsidRPr="003C7403">
        <w:t xml:space="preserve">, включително </w:t>
      </w:r>
      <w:r>
        <w:t>емисиите, дължащи се на</w:t>
      </w:r>
      <w:r w:rsidRPr="003C7403">
        <w:t xml:space="preserve"> кораби на котвена стоянка или движещи се в рамките на пристанището, също следва да бъдат включени в отчитането, още повече че съществуват специални мерки за тяхното </w:t>
      </w:r>
      <w:r w:rsidR="004A052C" w:rsidRPr="003C7403">
        <w:t>намал</w:t>
      </w:r>
      <w:r w:rsidR="004A052C">
        <w:t>ение</w:t>
      </w:r>
      <w:r w:rsidR="004A052C" w:rsidRPr="003C7403">
        <w:t xml:space="preserve"> </w:t>
      </w:r>
      <w:r w:rsidRPr="003C7403">
        <w:t>или избягване. Тези правила следва да се прилагат по недискриминационен начин за всички кораби, независимо под как</w:t>
      </w:r>
      <w:r>
        <w:t>во знаме</w:t>
      </w:r>
      <w:r w:rsidRPr="003C7403">
        <w:t xml:space="preserve"> плават</w:t>
      </w:r>
      <w:r w:rsidRPr="009C5181">
        <w:t>. Тъй като настоящият регламент обаче е насочен към морския транспорт, той следва да не въвежда изисквания за мониторинг, докладване и проверка на</w:t>
      </w:r>
      <w:r w:rsidRPr="009C5181">
        <w:softHyphen/>
        <w:t xml:space="preserve"> движението и дейностите на кораби, които не се извършват с цел превоз на товари или пътници за търговски цели, </w:t>
      </w:r>
      <w:r w:rsidR="00C16045" w:rsidRPr="009C5181">
        <w:t>като</w:t>
      </w:r>
      <w:r w:rsidRPr="009C5181">
        <w:t xml:space="preserve"> дейности по драгиране, разбиване на лед, полагане на тръби и офшорни съоръжения.</w:t>
      </w:r>
    </w:p>
    <w:p w:rsidR="00AB3ADB" w:rsidRPr="009C5181" w:rsidRDefault="00AB3ADB" w:rsidP="00CA651A">
      <w:pPr>
        <w:pStyle w:val="ManualConsidrant"/>
        <w:spacing w:line="380" w:lineRule="exact"/>
        <w:rPr>
          <w:noProof/>
        </w:rPr>
      </w:pPr>
      <w:r>
        <w:rPr>
          <w:u w:val="single"/>
        </w:rPr>
        <w:br w:type="page"/>
      </w:r>
      <w:r w:rsidRPr="009C5181">
        <w:t>(</w:t>
      </w:r>
      <w:r w:rsidR="00C16045" w:rsidRPr="009C5181">
        <w:t>15</w:t>
      </w:r>
      <w:r w:rsidRPr="009C5181">
        <w:t>)</w:t>
      </w:r>
      <w:r w:rsidRPr="009C5181">
        <w:tab/>
        <w:t>За да се о</w:t>
      </w:r>
      <w:r w:rsidRPr="00FD0E17">
        <w:t>сигури равнопоставеност за корабите, които извършват дейност при по-неблагоприятни климатични условия, следва да е</w:t>
      </w:r>
      <w:r w:rsidRPr="009C5181">
        <w:t xml:space="preserve"> възможно включването в</w:t>
      </w:r>
      <w:r w:rsidR="00CA651A" w:rsidRPr="009C5181">
        <w:t xml:space="preserve"> данните,</w:t>
      </w:r>
      <w:r w:rsidRPr="009C5181">
        <w:t xml:space="preserve"> </w:t>
      </w:r>
      <w:r w:rsidR="00CA651A" w:rsidRPr="009C5181">
        <w:t>обект на</w:t>
      </w:r>
      <w:r w:rsidR="004A052C" w:rsidRPr="009C5181">
        <w:t xml:space="preserve"> монит</w:t>
      </w:r>
      <w:r w:rsidR="00CA651A" w:rsidRPr="009C5181">
        <w:t>о</w:t>
      </w:r>
      <w:r w:rsidR="004A052C" w:rsidRPr="009C5181">
        <w:t>р</w:t>
      </w:r>
      <w:r w:rsidR="00CA651A" w:rsidRPr="009C5181">
        <w:t>и</w:t>
      </w:r>
      <w:r w:rsidR="004A052C" w:rsidRPr="009C5181">
        <w:t xml:space="preserve">нг </w:t>
      </w:r>
      <w:r w:rsidRPr="009C5181">
        <w:t>въз основа на настоящия регламент</w:t>
      </w:r>
      <w:r w:rsidR="00CA651A" w:rsidRPr="009C5181">
        <w:t>,</w:t>
      </w:r>
      <w:r w:rsidRPr="009C5181">
        <w:t xml:space="preserve"> на специална информация</w:t>
      </w:r>
      <w:r w:rsidR="009C0914" w:rsidRPr="009C5181">
        <w:t xml:space="preserve"> относно ледовия клас </w:t>
      </w:r>
      <w:r w:rsidRPr="009C5181">
        <w:t>на кораба</w:t>
      </w:r>
      <w:r w:rsidR="009C0914" w:rsidRPr="009C5181">
        <w:t xml:space="preserve"> и </w:t>
      </w:r>
      <w:r w:rsidRPr="009C5181">
        <w:t>плаване</w:t>
      </w:r>
      <w:r w:rsidR="00CA651A" w:rsidRPr="009C5181">
        <w:t>то</w:t>
      </w:r>
      <w:r w:rsidRPr="009C5181">
        <w:t xml:space="preserve"> </w:t>
      </w:r>
      <w:r w:rsidR="009C0914" w:rsidRPr="009C5181">
        <w:t xml:space="preserve">през </w:t>
      </w:r>
      <w:r w:rsidRPr="009C5181">
        <w:t>заледени води.</w:t>
      </w:r>
    </w:p>
    <w:p w:rsidR="00AB3ADB" w:rsidRPr="003C7403" w:rsidRDefault="00AB3ADB" w:rsidP="00C16045">
      <w:pPr>
        <w:pStyle w:val="ManualConsidrant"/>
        <w:spacing w:line="380" w:lineRule="exact"/>
        <w:rPr>
          <w:noProof/>
        </w:rPr>
      </w:pPr>
      <w:r w:rsidRPr="003C7403">
        <w:t>(</w:t>
      </w:r>
      <w:r w:rsidR="00C16045">
        <w:t>16</w:t>
      </w:r>
      <w:r w:rsidRPr="003C7403">
        <w:t>)</w:t>
      </w:r>
      <w:r w:rsidRPr="003C7403">
        <w:tab/>
        <w:t>Предлаганата система за МДП следва да бъде под формата на регламент поради сложния и силно технически характер на въвежданите разпоредби, необходимостта от ед</w:t>
      </w:r>
      <w:r>
        <w:t>нообразни</w:t>
      </w:r>
      <w:r w:rsidRPr="003C7403">
        <w:t xml:space="preserve"> правила, които да се прилагат в целия С</w:t>
      </w:r>
      <w:r>
        <w:t>ъюз</w:t>
      </w:r>
      <w:r w:rsidRPr="003C7403">
        <w:t xml:space="preserve"> и да отразяват международния характер на морския транспорт, включващ многобройни кораби, посещаващи пристанища в различни държави членки, а също и за да се улесни прилагането в целия С</w:t>
      </w:r>
      <w:r>
        <w:t>ъюз</w:t>
      </w:r>
      <w:r w:rsidRPr="003C7403">
        <w:rPr>
          <w:sz w:val="16"/>
        </w:rPr>
        <w:t>.</w:t>
      </w:r>
    </w:p>
    <w:p w:rsidR="00AB3ADB" w:rsidRPr="003C7403" w:rsidRDefault="00AB3ADB" w:rsidP="00B20774">
      <w:pPr>
        <w:pStyle w:val="ManualConsidrant"/>
        <w:spacing w:line="380" w:lineRule="exact"/>
        <w:rPr>
          <w:noProof/>
        </w:rPr>
      </w:pPr>
      <w:r w:rsidRPr="003C7403">
        <w:t>(</w:t>
      </w:r>
      <w:r w:rsidR="00C16045" w:rsidRPr="003C7403">
        <w:t>1</w:t>
      </w:r>
      <w:r w:rsidR="00C16045">
        <w:t>7</w:t>
      </w:r>
      <w:r w:rsidRPr="003C7403">
        <w:t>)</w:t>
      </w:r>
      <w:r w:rsidRPr="003C7403">
        <w:tab/>
        <w:t>За да бъде система</w:t>
      </w:r>
      <w:r w:rsidR="00B20774">
        <w:t>та на Съюза</w:t>
      </w:r>
      <w:r w:rsidRPr="003C7403">
        <w:t xml:space="preserve"> за МДП надеждна, тя следва да се </w:t>
      </w:r>
      <w:r>
        <w:t>основава</w:t>
      </w:r>
      <w:r w:rsidRPr="003C7403">
        <w:t xml:space="preserve"> на изчисление на емисиите въз основа на данни за консумираното гориво при плавания </w:t>
      </w:r>
      <w:r w:rsidR="00C57A71" w:rsidRPr="003C7403">
        <w:t xml:space="preserve">от </w:t>
      </w:r>
      <w:r w:rsidRPr="003C7403">
        <w:t xml:space="preserve">и </w:t>
      </w:r>
      <w:r w:rsidR="00C57A71" w:rsidRPr="003C7403">
        <w:t>до</w:t>
      </w:r>
      <w:r w:rsidR="00C57A71" w:rsidRPr="003C7403" w:rsidDel="00C57A71">
        <w:t xml:space="preserve"> </w:t>
      </w:r>
      <w:r w:rsidRPr="003C7403">
        <w:t>пристанища в С</w:t>
      </w:r>
      <w:r>
        <w:t>ъюза</w:t>
      </w:r>
      <w:r w:rsidRPr="003C7403">
        <w:t>, тъй като данните за доставките на гориво не биха могли да послужат за достатъчно точни оценки на консумацията на гориво при разглежданите случаи поради големия обем на горивните резервоари на корабите.</w:t>
      </w:r>
    </w:p>
    <w:p w:rsidR="00AB3ADB" w:rsidRPr="009C5181" w:rsidRDefault="00AB3ADB" w:rsidP="008A2E92">
      <w:pPr>
        <w:pStyle w:val="ManualConsidrant"/>
        <w:spacing w:line="380" w:lineRule="exact"/>
        <w:rPr>
          <w:noProof/>
        </w:rPr>
      </w:pPr>
      <w:r w:rsidRPr="003C7403">
        <w:t>(</w:t>
      </w:r>
      <w:r w:rsidR="00C16045" w:rsidRPr="003C7403">
        <w:t>1</w:t>
      </w:r>
      <w:r w:rsidR="00C16045">
        <w:t>8</w:t>
      </w:r>
      <w:r w:rsidRPr="003C7403">
        <w:t>)</w:t>
      </w:r>
      <w:r w:rsidRPr="003C7403">
        <w:tab/>
      </w:r>
      <w:r w:rsidRPr="009C5181">
        <w:t>Системата на Съюза за МДП следва да включва и друга информация от значение, която да дава възможност за определяне на ефективността на корабите или за допълнителн</w:t>
      </w:r>
      <w:r w:rsidR="007A2F9E" w:rsidRPr="009C5181">
        <w:t>ия</w:t>
      </w:r>
      <w:r w:rsidRPr="009C5181">
        <w:t xml:space="preserve"> анализ на факторите за </w:t>
      </w:r>
      <w:r w:rsidR="008A2E92" w:rsidRPr="009C5181">
        <w:t>промените в</w:t>
      </w:r>
      <w:r w:rsidRPr="009C5181">
        <w:t xml:space="preserve"> емисии</w:t>
      </w:r>
      <w:r w:rsidR="008A2E92" w:rsidRPr="009C5181">
        <w:t>те</w:t>
      </w:r>
      <w:r w:rsidRPr="009C5181">
        <w:t>, като същевременно запазва поверителния характер на търговската или промишлената информация. Подобен обхват осигурява също така съгласуваност на системата на Съюза за МДП с международните инициативи за въвеждане на стандарти за ефективност на съществуващите кораби, включващи и експлоатационни мерки, и допринася за отстраняване на пазарните пречки, свързани с липсата на информация.</w:t>
      </w:r>
    </w:p>
    <w:p w:rsidR="00AB3ADB" w:rsidRPr="003C7403" w:rsidRDefault="00AB3ADB" w:rsidP="00FD0E17">
      <w:pPr>
        <w:pStyle w:val="ManualConsidrant"/>
        <w:spacing w:line="380" w:lineRule="exact"/>
        <w:rPr>
          <w:noProof/>
        </w:rPr>
      </w:pPr>
      <w:r>
        <w:br w:type="page"/>
      </w:r>
      <w:r w:rsidRPr="003C7403">
        <w:t>(</w:t>
      </w:r>
      <w:r w:rsidR="008A2E92" w:rsidRPr="003C7403">
        <w:t>1</w:t>
      </w:r>
      <w:r w:rsidR="008A2E92">
        <w:t>9</w:t>
      </w:r>
      <w:r w:rsidRPr="003C7403">
        <w:t>)</w:t>
      </w:r>
      <w:r w:rsidRPr="003C7403">
        <w:tab/>
        <w:t xml:space="preserve">С </w:t>
      </w:r>
      <w:r w:rsidR="00FD0E17">
        <w:t>цел</w:t>
      </w:r>
      <w:r w:rsidRPr="003C7403">
        <w:t xml:space="preserve"> да сведе до минимум административната тежест за корабособствениците и операторите, по-специално за малките и средните предприятия, както и за да се оптимизира съотношението между разходите и ползите </w:t>
      </w:r>
      <w:r>
        <w:t>на</w:t>
      </w:r>
      <w:r w:rsidRPr="003C7403">
        <w:t xml:space="preserve"> системата за МДП, без да се застраши целта да бъде </w:t>
      </w:r>
      <w:r>
        <w:t>обхванат</w:t>
      </w:r>
      <w:r w:rsidRPr="003C7403">
        <w:t xml:space="preserve"> преобладаващ дял от емисиите на парникови газове от морския транспорт, правилата за МДП следва да се </w:t>
      </w:r>
      <w:r>
        <w:t>прилагат</w:t>
      </w:r>
      <w:r w:rsidRPr="003C7403">
        <w:t xml:space="preserve"> само за обектите с големи емисии. След подробен обективен анализ на размерите и емисиите на корабите, </w:t>
      </w:r>
      <w:r>
        <w:t>отплаващи</w:t>
      </w:r>
      <w:r w:rsidRPr="003C7403">
        <w:t xml:space="preserve"> от и пристигащи в пристанища на С</w:t>
      </w:r>
      <w:r>
        <w:t>ъюза</w:t>
      </w:r>
      <w:r w:rsidRPr="003C7403">
        <w:t>, бе избрана прагова стойност от 5000 бруто тона (БТ). Корабите с тонаж над 5000 БТ представляват около 55 % от броя на корабите, посещаващи пристанища в С</w:t>
      </w:r>
      <w:r>
        <w:t>ъюза</w:t>
      </w:r>
      <w:r w:rsidRPr="003C7403">
        <w:t xml:space="preserve">, и генерират около 90 % от съответните емисии. Тази недискриминационна прагова стойност ще осигури </w:t>
      </w:r>
      <w:r>
        <w:t>обхващането</w:t>
      </w:r>
      <w:r w:rsidRPr="003C7403">
        <w:t xml:space="preserve"> на най-значимите </w:t>
      </w:r>
      <w:r w:rsidR="009C0914" w:rsidRPr="003C7403">
        <w:t>емите</w:t>
      </w:r>
      <w:r w:rsidR="009C0914">
        <w:t>ри</w:t>
      </w:r>
      <w:r w:rsidR="009C0914" w:rsidRPr="003C7403">
        <w:t xml:space="preserve"> </w:t>
      </w:r>
      <w:r w:rsidRPr="003C7403">
        <w:t>на парникови газове. Евентуална по-ниска прагова стойност би довела до по-голяма административна тежест, а по-висока стойност би намалила включените в обхвата емисии и по този начин би снижила ефективността на системата</w:t>
      </w:r>
      <w:r>
        <w:t xml:space="preserve"> за МДП</w:t>
      </w:r>
      <w:r w:rsidRPr="003C7403">
        <w:t>.</w:t>
      </w:r>
    </w:p>
    <w:p w:rsidR="00AB3ADB" w:rsidRPr="003C7403" w:rsidRDefault="00AB3ADB" w:rsidP="00F00BFE">
      <w:pPr>
        <w:pStyle w:val="ManualConsidrant"/>
        <w:spacing w:line="380" w:lineRule="exact"/>
        <w:rPr>
          <w:noProof/>
        </w:rPr>
      </w:pPr>
      <w:r w:rsidRPr="003C7403">
        <w:t>(</w:t>
      </w:r>
      <w:r w:rsidR="008A2E92">
        <w:t>20</w:t>
      </w:r>
      <w:r w:rsidRPr="003C7403">
        <w:t>)</w:t>
      </w:r>
      <w:r w:rsidRPr="003C7403">
        <w:tab/>
        <w:t xml:space="preserve">С оглед допълнително </w:t>
      </w:r>
      <w:r>
        <w:t xml:space="preserve">намаляване на </w:t>
      </w:r>
      <w:r w:rsidRPr="003C7403">
        <w:t>административн</w:t>
      </w:r>
      <w:r>
        <w:t>ата тежест</w:t>
      </w:r>
      <w:r w:rsidRPr="003C7403">
        <w:t xml:space="preserve"> за корабособствениците и операторите, правилата за мониторинг следва да бъдат насочени към емисиите на СО</w:t>
      </w:r>
      <w:r w:rsidRPr="003C7403">
        <w:rPr>
          <w:noProof/>
          <w:vertAlign w:val="subscript"/>
        </w:rPr>
        <w:t>2</w:t>
      </w:r>
      <w:r w:rsidRPr="003C7403">
        <w:t xml:space="preserve">, тъй като това е най-значимият парников газ, </w:t>
      </w:r>
      <w:r w:rsidR="00F00BFE">
        <w:t>отделян</w:t>
      </w:r>
      <w:r w:rsidR="00F00BFE" w:rsidRPr="003C7403">
        <w:t xml:space="preserve"> </w:t>
      </w:r>
      <w:r w:rsidRPr="003C7403">
        <w:t>от морския транспорт.</w:t>
      </w:r>
    </w:p>
    <w:p w:rsidR="00AB3ADB" w:rsidRPr="003C7403" w:rsidRDefault="00AB3ADB" w:rsidP="00FD0E17">
      <w:pPr>
        <w:pStyle w:val="ManualConsidrant"/>
        <w:spacing w:line="380" w:lineRule="exact"/>
        <w:rPr>
          <w:noProof/>
        </w:rPr>
      </w:pPr>
      <w:r w:rsidRPr="003C7403">
        <w:t>(</w:t>
      </w:r>
      <w:r w:rsidR="008A2E92">
        <w:t>21</w:t>
      </w:r>
      <w:r w:rsidRPr="003C7403">
        <w:t>)</w:t>
      </w:r>
      <w:r w:rsidRPr="003C7403">
        <w:tab/>
        <w:t xml:space="preserve">Правилата следва да са съобразени със съществуващите изисквания и с вече наличните данни на борда на корабите; по тази причина на </w:t>
      </w:r>
      <w:r w:rsidR="0018304A">
        <w:t>дружествата</w:t>
      </w:r>
      <w:r w:rsidRPr="003C7403">
        <w:t xml:space="preserve"> следва да се даде възможност да изберат един от следните четири метода за мониторинг: използв</w:t>
      </w:r>
      <w:r w:rsidRPr="004A052C">
        <w:t xml:space="preserve">ане на </w:t>
      </w:r>
      <w:r w:rsidRPr="00CA651A">
        <w:t>разписките за доставено гориво</w:t>
      </w:r>
      <w:r w:rsidRPr="00C67294">
        <w:t>, мониторинг</w:t>
      </w:r>
      <w:r w:rsidRPr="003C7403">
        <w:t xml:space="preserve"> на резервоар</w:t>
      </w:r>
      <w:r w:rsidR="00FD0E17">
        <w:t>ите за корабно гориво</w:t>
      </w:r>
      <w:r>
        <w:t xml:space="preserve"> на борда</w:t>
      </w:r>
      <w:r w:rsidRPr="003C7403">
        <w:t xml:space="preserve">, разходомери за </w:t>
      </w:r>
      <w:r w:rsidR="00FD0E17">
        <w:t>съответните горивни процеси</w:t>
      </w:r>
      <w:r w:rsidRPr="003C7403">
        <w:t xml:space="preserve"> или пр</w:t>
      </w:r>
      <w:r w:rsidR="00FD0E17">
        <w:t>еки</w:t>
      </w:r>
      <w:r w:rsidRPr="003C7403">
        <w:t xml:space="preserve"> измерван</w:t>
      </w:r>
      <w:r w:rsidR="00FD0E17">
        <w:t>ия</w:t>
      </w:r>
      <w:r w:rsidRPr="003C7403">
        <w:t xml:space="preserve"> на емисиите. Направеният избор следва да се документира със </w:t>
      </w:r>
      <w:r w:rsidR="0017412A" w:rsidRPr="003C7403">
        <w:t>специ</w:t>
      </w:r>
      <w:r w:rsidR="0017412A">
        <w:t>ален</w:t>
      </w:r>
      <w:r w:rsidR="0017412A" w:rsidRPr="003C7403">
        <w:t xml:space="preserve"> </w:t>
      </w:r>
      <w:r w:rsidRPr="003C7403">
        <w:t xml:space="preserve">за конкретния кораб мониторингов план, в който </w:t>
      </w:r>
      <w:r w:rsidR="00B20774">
        <w:t xml:space="preserve">следва </w:t>
      </w:r>
      <w:r w:rsidRPr="003C7403">
        <w:t xml:space="preserve">да </w:t>
      </w:r>
      <w:r>
        <w:t>се съдържат</w:t>
      </w:r>
      <w:r w:rsidRPr="003C7403">
        <w:t xml:space="preserve"> и допълнителни подробности относно прилагането на избрания метод.</w:t>
      </w:r>
    </w:p>
    <w:p w:rsidR="00AB3ADB" w:rsidRPr="003C7403" w:rsidRDefault="00AB3ADB" w:rsidP="008A2E92">
      <w:pPr>
        <w:pStyle w:val="ManualConsidrant"/>
        <w:spacing w:line="380" w:lineRule="exact"/>
        <w:rPr>
          <w:noProof/>
        </w:rPr>
      </w:pPr>
      <w:r>
        <w:br w:type="page"/>
      </w:r>
      <w:r w:rsidRPr="003C7403">
        <w:t>(</w:t>
      </w:r>
      <w:r w:rsidR="008A2E92">
        <w:t>22</w:t>
      </w:r>
      <w:r w:rsidRPr="003C7403">
        <w:t>)</w:t>
      </w:r>
      <w:r w:rsidRPr="003C7403">
        <w:tab/>
      </w:r>
      <w:r w:rsidRPr="009C5181">
        <w:t xml:space="preserve">Всяко дружество, носещо отговорност за пълен отчетен период на даден кораб, изпълняващ корабоплавателни дейности, следва да се счита за отговорно за спазване на всички </w:t>
      </w:r>
      <w:r w:rsidR="008A2E92" w:rsidRPr="009C5181">
        <w:t xml:space="preserve">задължения </w:t>
      </w:r>
      <w:r w:rsidRPr="009C5181">
        <w:t>за мониторинг и докладване, възникнали във връзка с този отчетен период, включително за представянето на утвърден като удовлетворителен доклад за емисиите. В случай на смяна на дружеството новото дружество следва да отговаря само за задълженията за мониторинг и докладване за отчетния период, през който е настъпила смяната на дружеството. За да се улесни изпълнението на тези задължения, новото дружество следва да получи копие от последния мониторингов план, както и документ за спазени изисквания, ако е приложимо.</w:t>
      </w:r>
    </w:p>
    <w:p w:rsidR="00AB3ADB" w:rsidRPr="003C7403" w:rsidRDefault="00AB3ADB" w:rsidP="008A2E92">
      <w:pPr>
        <w:pStyle w:val="ManualConsidrant"/>
        <w:spacing w:line="380" w:lineRule="exact"/>
        <w:rPr>
          <w:noProof/>
        </w:rPr>
      </w:pPr>
      <w:r w:rsidRPr="003C7403">
        <w:t>(</w:t>
      </w:r>
      <w:r w:rsidR="008A2E92">
        <w:t>23</w:t>
      </w:r>
      <w:r w:rsidRPr="003C7403">
        <w:t>)</w:t>
      </w:r>
      <w:r w:rsidRPr="003C7403">
        <w:tab/>
        <w:t xml:space="preserve">На настоящия етап </w:t>
      </w:r>
      <w:r>
        <w:t>с</w:t>
      </w:r>
      <w:r w:rsidRPr="003C7403">
        <w:t>истема</w:t>
      </w:r>
      <w:r>
        <w:t>та на Съюза</w:t>
      </w:r>
      <w:r w:rsidRPr="003C7403">
        <w:t xml:space="preserve"> за МДП следва да не </w:t>
      </w:r>
      <w:r>
        <w:t>обхваща</w:t>
      </w:r>
      <w:r w:rsidRPr="003C7403">
        <w:t xml:space="preserve"> други парникови газ</w:t>
      </w:r>
      <w:r w:rsidRPr="00FD0E17">
        <w:t xml:space="preserve">ове, причинители на изменение на климата или други замърсители на въздуха, за да се </w:t>
      </w:r>
      <w:r w:rsidR="0017412A" w:rsidRPr="00FD0E17">
        <w:t>избегнат</w:t>
      </w:r>
      <w:r w:rsidRPr="00FD0E17">
        <w:t xml:space="preserve"> изисквания за инсталиране</w:t>
      </w:r>
      <w:r w:rsidRPr="003C7403">
        <w:t xml:space="preserve"> на недостатъчно </w:t>
      </w:r>
      <w:r w:rsidR="0017412A" w:rsidRPr="003C7403">
        <w:t>надеждн</w:t>
      </w:r>
      <w:r w:rsidR="0017412A">
        <w:t>о</w:t>
      </w:r>
      <w:r w:rsidR="0017412A" w:rsidRPr="003C7403">
        <w:t xml:space="preserve"> </w:t>
      </w:r>
      <w:r w:rsidRPr="003C7403">
        <w:t>и</w:t>
      </w:r>
      <w:r w:rsidR="008A2E92">
        <w:t>ли</w:t>
      </w:r>
      <w:r w:rsidRPr="003C7403">
        <w:t xml:space="preserve"> </w:t>
      </w:r>
      <w:r w:rsidR="0017412A" w:rsidRPr="003C7403">
        <w:t>търговск</w:t>
      </w:r>
      <w:r w:rsidR="0017412A">
        <w:t xml:space="preserve">о </w:t>
      </w:r>
      <w:r w:rsidR="008A2E92">
        <w:t>не</w:t>
      </w:r>
      <w:r w:rsidR="0017412A" w:rsidRPr="003C7403">
        <w:t>достъпн</w:t>
      </w:r>
      <w:r w:rsidR="0017412A">
        <w:t>о</w:t>
      </w:r>
      <w:r w:rsidR="0017412A" w:rsidRPr="003C7403">
        <w:t xml:space="preserve"> измервателн</w:t>
      </w:r>
      <w:r w:rsidR="0017412A">
        <w:t>о</w:t>
      </w:r>
      <w:r w:rsidR="0017412A" w:rsidRPr="003C7403">
        <w:t xml:space="preserve"> </w:t>
      </w:r>
      <w:r w:rsidR="0017412A">
        <w:t>оборудване</w:t>
      </w:r>
      <w:r w:rsidRPr="003C7403">
        <w:t>, което би могло да попречи на прилагането на система</w:t>
      </w:r>
      <w:r>
        <w:t>та на Съюза</w:t>
      </w:r>
      <w:r w:rsidRPr="003C7403">
        <w:t xml:space="preserve"> за МДП.</w:t>
      </w:r>
    </w:p>
    <w:p w:rsidR="00AB3ADB" w:rsidRPr="009C5181" w:rsidRDefault="00AB3ADB" w:rsidP="008A2E92">
      <w:pPr>
        <w:pStyle w:val="ManualConsidrant"/>
        <w:spacing w:line="380" w:lineRule="exact"/>
        <w:rPr>
          <w:noProof/>
        </w:rPr>
      </w:pPr>
      <w:r w:rsidRPr="009C5181">
        <w:t>(</w:t>
      </w:r>
      <w:r w:rsidR="008A2E92" w:rsidRPr="009C5181">
        <w:t>24</w:t>
      </w:r>
      <w:r w:rsidRPr="009C5181">
        <w:t>)</w:t>
      </w:r>
      <w:r w:rsidRPr="009C5181">
        <w:tab/>
      </w:r>
      <w:r w:rsidR="008A2E92" w:rsidRPr="009C5181">
        <w:t xml:space="preserve">В </w:t>
      </w:r>
      <w:r w:rsidRPr="009C5181">
        <w:t xml:space="preserve">Международната конвенция на ИМО за предотвратяване на замърсяването от кораби (MARPOL) </w:t>
      </w:r>
      <w:r w:rsidR="008A2E92" w:rsidRPr="009C5181">
        <w:t xml:space="preserve">се предвижда </w:t>
      </w:r>
      <w:r w:rsidRPr="009C5181">
        <w:t xml:space="preserve">задължителното прилагане </w:t>
      </w:r>
      <w:r w:rsidR="00FD0E17">
        <w:t xml:space="preserve">на </w:t>
      </w:r>
      <w:r w:rsidRPr="009C5181">
        <w:t>EEDI за нови кораби, както и използването на SEEMP за цялата световна флота.</w:t>
      </w:r>
    </w:p>
    <w:p w:rsidR="00AB3ADB" w:rsidRPr="003C7403" w:rsidRDefault="00AB3ADB" w:rsidP="00843243">
      <w:pPr>
        <w:pStyle w:val="ManualConsidrant"/>
        <w:rPr>
          <w:noProof/>
        </w:rPr>
      </w:pPr>
      <w:r>
        <w:br w:type="page"/>
      </w:r>
      <w:r w:rsidRPr="003C7403">
        <w:t>(</w:t>
      </w:r>
      <w:r w:rsidR="008A2E92">
        <w:t>25</w:t>
      </w:r>
      <w:r w:rsidRPr="003C7403">
        <w:t>)</w:t>
      </w:r>
      <w:r w:rsidRPr="003C7403">
        <w:tab/>
      </w:r>
      <w:r w:rsidRPr="009C5181">
        <w:t xml:space="preserve">За да се сведе до минимум административната тежест за корабособствениците и операторите, докладването и публикуването на докладваната информация следва да бъде организирано на годишна база. Очакванията са, че с ограничаване на публикуваната информация за емисиите, консумацията на гориво и ефективността до средногодишни и обобщени стойности следва да бъде решен и въпросът с поверителността. </w:t>
      </w:r>
      <w:r w:rsidRPr="009C5181">
        <w:rPr>
          <w:noProof/>
        </w:rPr>
        <w:t>За да се гарантира, че при разкриването на информация не е нарушена защитата на законни икономически интереси, които имат предимство пред обществения интерес, в изключителни случаи по искане на дружеството следва да се приложи различно</w:t>
      </w:r>
      <w:r w:rsidR="00843243">
        <w:rPr>
          <w:noProof/>
        </w:rPr>
        <w:t xml:space="preserve"> ниво </w:t>
      </w:r>
      <w:r w:rsidRPr="009C5181">
        <w:rPr>
          <w:noProof/>
        </w:rPr>
        <w:t>на обобщаване на данни.</w:t>
      </w:r>
      <w:r w:rsidRPr="009C5181">
        <w:t xml:space="preserve"> Докладваните на Комисията данни следва да бъдат включвани в статистическата информация, доколкото тези данни са от значение за разработването, създаването и разпространението на европейска статистика в съответствие с Решение 2012/504/ЕС на Комисията</w:t>
      </w:r>
      <w:r w:rsidRPr="00637A4F">
        <w:rPr>
          <w:rStyle w:val="FootnoteReference"/>
        </w:rPr>
        <w:footnoteReference w:id="6"/>
      </w:r>
      <w:r w:rsidRPr="003C7403">
        <w:t>.</w:t>
      </w:r>
    </w:p>
    <w:p w:rsidR="00AB3ADB" w:rsidRPr="003C7403" w:rsidRDefault="00AB3ADB" w:rsidP="00BC0B43">
      <w:pPr>
        <w:pStyle w:val="ManualConsidrant"/>
        <w:rPr>
          <w:noProof/>
        </w:rPr>
      </w:pPr>
      <w:r w:rsidRPr="003C7403">
        <w:t>(</w:t>
      </w:r>
      <w:r w:rsidR="008A2E92">
        <w:t>26</w:t>
      </w:r>
      <w:r w:rsidRPr="003C7403">
        <w:t>)</w:t>
      </w:r>
      <w:r w:rsidRPr="003C7403">
        <w:tab/>
      </w:r>
      <w:r w:rsidRPr="009C5181">
        <w:t>С проверка, извършвана от акредитирани проверяващи органи, следва да се гарантира, че мониторинговите планове и докладите за емисиите са точни, както и че при тях са спазени изискванията, установени в настоящия регламент. Като важен елемент за опростяване на проверката проверяващите органи следва да проверяват достоверността на данните, като сравняват докладваните данни с оценки, основаващи се на информация и характеристики от проследяване на движението на корабите. Такива оценки могат да бъдат предоставяни от Комисията. За да се осигури безпристрастност, проверяващите органи следва да са независими и компетентни правни субекти, акредитирани от национални органи</w:t>
      </w:r>
      <w:r w:rsidR="00BC0B43" w:rsidRPr="009C5181">
        <w:t xml:space="preserve"> по акредитация</w:t>
      </w:r>
      <w:r w:rsidRPr="009C5181">
        <w:t>,</w:t>
      </w:r>
      <w:r w:rsidR="00BC0B43" w:rsidRPr="009C5181">
        <w:t xml:space="preserve"> </w:t>
      </w:r>
      <w:r w:rsidRPr="009C5181">
        <w:t>създадени съгласно Регламент (ЕО) № 765/2008 на Европейския парламент и на Съвета</w:t>
      </w:r>
      <w:r w:rsidRPr="000B68D9">
        <w:rPr>
          <w:rStyle w:val="FootnoteReference"/>
        </w:rPr>
        <w:footnoteReference w:id="7"/>
      </w:r>
      <w:r w:rsidRPr="003C7403">
        <w:t>.</w:t>
      </w:r>
    </w:p>
    <w:p w:rsidR="00AB3ADB" w:rsidRPr="009C5181" w:rsidRDefault="00AB3ADB" w:rsidP="009C5181">
      <w:pPr>
        <w:pStyle w:val="ManualConsidrant"/>
        <w:rPr>
          <w:noProof/>
        </w:rPr>
      </w:pPr>
      <w:r>
        <w:br w:type="page"/>
      </w:r>
      <w:r w:rsidRPr="003C7403">
        <w:t>(</w:t>
      </w:r>
      <w:r w:rsidR="008A2E92">
        <w:t>27</w:t>
      </w:r>
      <w:r w:rsidRPr="003C7403">
        <w:t>)</w:t>
      </w:r>
      <w:r w:rsidRPr="003C7403">
        <w:tab/>
      </w:r>
      <w:r w:rsidRPr="009C5181">
        <w:t>Издаденият от проверяващия орган документ за спазени изисквания следва да се съхранява на борда на корабите, за да се докаже спазването на изискванията за мониторинг, докладване и проверка. Проверяващите органи следва да информират Комисията за издаването на подобни документи.</w:t>
      </w:r>
    </w:p>
    <w:p w:rsidR="00AB3ADB" w:rsidRPr="009C5181" w:rsidRDefault="00AB3ADB" w:rsidP="009C5181">
      <w:pPr>
        <w:pStyle w:val="ManualConsidrant"/>
        <w:rPr>
          <w:noProof/>
        </w:rPr>
      </w:pPr>
      <w:r w:rsidRPr="009C5181">
        <w:t>(</w:t>
      </w:r>
      <w:r w:rsidR="008A2E92" w:rsidRPr="009C5181">
        <w:t>28</w:t>
      </w:r>
      <w:r w:rsidRPr="009C5181">
        <w:t>)</w:t>
      </w:r>
      <w:r w:rsidRPr="009C5181">
        <w:tab/>
        <w:t xml:space="preserve">Въз основа на опита от изпълнението на сходни задачи във връзка с морската безопасност Европейската агенция за морска безопасност (EMSA), в рамките на своя мандат, следва да съдейства на Комисията чрез изпълнението на </w:t>
      </w:r>
      <w:r w:rsidR="009C0914" w:rsidRPr="009C5181">
        <w:t xml:space="preserve">определени </w:t>
      </w:r>
      <w:r w:rsidRPr="009C5181">
        <w:t>задачи.</w:t>
      </w:r>
    </w:p>
    <w:p w:rsidR="00AB3ADB" w:rsidRPr="009C5181" w:rsidRDefault="00AB3ADB" w:rsidP="009C5181">
      <w:pPr>
        <w:pStyle w:val="ManualConsidrant"/>
        <w:rPr>
          <w:noProof/>
        </w:rPr>
      </w:pPr>
      <w:r w:rsidRPr="009C5181">
        <w:t>(</w:t>
      </w:r>
      <w:r w:rsidR="008A2E92" w:rsidRPr="009C5181">
        <w:t>29</w:t>
      </w:r>
      <w:r w:rsidRPr="009C5181">
        <w:t>)</w:t>
      </w:r>
      <w:r w:rsidRPr="009C5181">
        <w:tab/>
        <w:t>Осигуряването на изпълнението на задълженията, свързани със системата за МДП, следва да се осн</w:t>
      </w:r>
      <w:r w:rsidR="008A2E92" w:rsidRPr="009C5181">
        <w:t>о</w:t>
      </w:r>
      <w:r w:rsidRPr="009C5181">
        <w:t>вава на съществуващи инструменти, а именно на въведени</w:t>
      </w:r>
      <w:r w:rsidR="00B20774" w:rsidRPr="009C5181">
        <w:t>те</w:t>
      </w:r>
      <w:r w:rsidRPr="009C5181">
        <w:t xml:space="preserve"> в </w:t>
      </w:r>
      <w:r w:rsidR="008A2E92" w:rsidRPr="009C5181">
        <w:t>съответствие с</w:t>
      </w:r>
      <w:r w:rsidRPr="009C5181">
        <w:t xml:space="preserve"> Директива 2009/16/ЕО на Европейския парламент и на Съвета </w:t>
      </w:r>
      <w:r w:rsidRPr="00637A4F">
        <w:rPr>
          <w:rStyle w:val="FootnoteReference"/>
        </w:rPr>
        <w:footnoteReference w:id="8"/>
      </w:r>
      <w:r w:rsidRPr="009C5181">
        <w:t xml:space="preserve"> </w:t>
      </w:r>
      <w:r w:rsidR="008A2E92" w:rsidRPr="009C5181">
        <w:t>и Директива 2009/21/ЕО на Европейския парламент и на Съвета</w:t>
      </w:r>
      <w:r w:rsidR="008A2E92" w:rsidRPr="00637A4F">
        <w:rPr>
          <w:rStyle w:val="FootnoteReference"/>
        </w:rPr>
        <w:footnoteReference w:id="9"/>
      </w:r>
      <w:r w:rsidR="008A2E92" w:rsidRPr="009C5181">
        <w:t xml:space="preserve">, </w:t>
      </w:r>
      <w:r w:rsidRPr="009C5181">
        <w:t xml:space="preserve">както и на информацията за издаването на документи за спазени изисквания. Документът, потвърждаващ спазването по отношение на кораба на </w:t>
      </w:r>
      <w:r w:rsidR="0018304A" w:rsidRPr="009C5181">
        <w:t>задълженията</w:t>
      </w:r>
      <w:r w:rsidRPr="009C5181">
        <w:t xml:space="preserve"> за мониторинг и докладване следва да бъде добавен към списъка на свидетелствата и документите, посочен в приложение </w:t>
      </w:r>
      <w:r w:rsidRPr="009C5181">
        <w:rPr>
          <w:lang w:val="en-GB"/>
        </w:rPr>
        <w:t>IV</w:t>
      </w:r>
      <w:r w:rsidRPr="009C5181">
        <w:t xml:space="preserve"> към Директива 2009/16/ЕО.</w:t>
      </w:r>
    </w:p>
    <w:p w:rsidR="00AB3ADB" w:rsidRPr="009C5181" w:rsidRDefault="00AB3ADB" w:rsidP="009C5181">
      <w:pPr>
        <w:pStyle w:val="ManualConsidrant"/>
        <w:rPr>
          <w:noProof/>
        </w:rPr>
      </w:pPr>
      <w:r w:rsidRPr="009C5181">
        <w:rPr>
          <w:noProof/>
        </w:rPr>
        <w:t>(</w:t>
      </w:r>
      <w:r w:rsidR="008A2E92" w:rsidRPr="009C5181">
        <w:rPr>
          <w:noProof/>
        </w:rPr>
        <w:t>30</w:t>
      </w:r>
      <w:r w:rsidRPr="009C5181">
        <w:rPr>
          <w:noProof/>
        </w:rPr>
        <w:t>)</w:t>
      </w:r>
      <w:r w:rsidRPr="009C5181">
        <w:tab/>
      </w:r>
      <w:r w:rsidRPr="009C5181">
        <w:rPr>
          <w:noProof/>
        </w:rPr>
        <w:t xml:space="preserve">Държавите членки следва да се стремят да </w:t>
      </w:r>
      <w:r w:rsidR="004F348B" w:rsidRPr="009C5181">
        <w:rPr>
          <w:noProof/>
        </w:rPr>
        <w:t xml:space="preserve">проверяват </w:t>
      </w:r>
      <w:r w:rsidRPr="009C5181">
        <w:rPr>
          <w:noProof/>
        </w:rPr>
        <w:t>корабите, които влизат в пристанища под тяхна юрисдикц</w:t>
      </w:r>
      <w:r w:rsidRPr="00FD0E17">
        <w:rPr>
          <w:noProof/>
        </w:rPr>
        <w:t>ия и за които н</w:t>
      </w:r>
      <w:r w:rsidR="0017412A" w:rsidRPr="00FD0E17">
        <w:rPr>
          <w:noProof/>
        </w:rPr>
        <w:t xml:space="preserve">е </w:t>
      </w:r>
      <w:r w:rsidR="008A2E92" w:rsidRPr="00FD0E17">
        <w:rPr>
          <w:noProof/>
        </w:rPr>
        <w:t xml:space="preserve">е </w:t>
      </w:r>
      <w:r w:rsidR="0017412A" w:rsidRPr="00FD0E17">
        <w:rPr>
          <w:noProof/>
        </w:rPr>
        <w:t>налична определена изискуема</w:t>
      </w:r>
      <w:r w:rsidRPr="00FD0E17">
        <w:rPr>
          <w:noProof/>
        </w:rPr>
        <w:t xml:space="preserve"> информация относно документа за спазени и</w:t>
      </w:r>
      <w:r w:rsidRPr="009C5181">
        <w:rPr>
          <w:noProof/>
        </w:rPr>
        <w:t>зисквания.</w:t>
      </w:r>
    </w:p>
    <w:p w:rsidR="00AB3ADB" w:rsidRPr="009C5181" w:rsidRDefault="00AB3ADB" w:rsidP="009C5181">
      <w:pPr>
        <w:pStyle w:val="ManualConsidrant"/>
        <w:rPr>
          <w:noProof/>
        </w:rPr>
      </w:pPr>
      <w:r w:rsidRPr="009C5181">
        <w:t>(</w:t>
      </w:r>
      <w:r w:rsidR="008A2E92" w:rsidRPr="009C5181">
        <w:t>31</w:t>
      </w:r>
      <w:r w:rsidRPr="009C5181">
        <w:t>)</w:t>
      </w:r>
      <w:r w:rsidRPr="009C5181">
        <w:tab/>
      </w:r>
      <w:r w:rsidR="00B20774" w:rsidRPr="009C5181">
        <w:t xml:space="preserve">Нарушението </w:t>
      </w:r>
      <w:r w:rsidRPr="009C5181">
        <w:t xml:space="preserve">на разпоредбите на настоящия регламент следва да води до налагането на санкции. Държавите членки следва да установят система от </w:t>
      </w:r>
      <w:r w:rsidR="0017412A" w:rsidRPr="009C5181">
        <w:t xml:space="preserve">такива </w:t>
      </w:r>
      <w:r w:rsidRPr="009C5181">
        <w:t>санкции. Тези санкции следва да бъдат ефективни, съразмерни и възпиращи.</w:t>
      </w:r>
    </w:p>
    <w:p w:rsidR="00AB3ADB" w:rsidRPr="009C5181" w:rsidRDefault="009C5181" w:rsidP="00FD0E17">
      <w:pPr>
        <w:pStyle w:val="ManualConsidrant"/>
      </w:pPr>
      <w:r>
        <w:br w:type="page"/>
      </w:r>
      <w:r w:rsidR="00AB3ADB" w:rsidRPr="009C5181">
        <w:t>(</w:t>
      </w:r>
      <w:r w:rsidR="008A2E92" w:rsidRPr="009C5181">
        <w:t>32</w:t>
      </w:r>
      <w:r w:rsidR="00AB3ADB" w:rsidRPr="009C5181">
        <w:t>)</w:t>
      </w:r>
      <w:r w:rsidR="00AB3ADB" w:rsidRPr="009C5181">
        <w:tab/>
        <w:t>За кораби, за които не са спазени изискванията за мониторинг и докладване през два</w:t>
      </w:r>
      <w:r w:rsidR="00AB3ADB" w:rsidRPr="009C5181">
        <w:rPr>
          <w:color w:val="FF0000"/>
        </w:rPr>
        <w:t xml:space="preserve"> </w:t>
      </w:r>
      <w:r w:rsidR="00AB3ADB" w:rsidRPr="009C5181">
        <w:t xml:space="preserve">или повече последователни отчетни периода, и когато другите мерки за осигуряване на изпълнението не са довели до спазването им, е уместно да се предвиди и възможност за експулсиране. </w:t>
      </w:r>
      <w:r w:rsidR="008A2E92" w:rsidRPr="009C5181">
        <w:t xml:space="preserve">Тази мярка </w:t>
      </w:r>
      <w:r w:rsidR="00AB3ADB" w:rsidRPr="009C5181">
        <w:t xml:space="preserve">следва да се прилага по такъв начин, че да се даде възможност за коригиране на </w:t>
      </w:r>
      <w:r w:rsidR="008A2E92" w:rsidRPr="009C5181">
        <w:t>нару</w:t>
      </w:r>
      <w:r w:rsidR="008A2E92" w:rsidRPr="00D723B0">
        <w:t>ше</w:t>
      </w:r>
      <w:r w:rsidR="008A2E92" w:rsidRPr="009C5181">
        <w:t xml:space="preserve">нието </w:t>
      </w:r>
      <w:r w:rsidR="00AB3ADB" w:rsidRPr="009C5181">
        <w:t>в рамките на разумен срок.</w:t>
      </w:r>
    </w:p>
    <w:p w:rsidR="00AB3ADB" w:rsidRPr="009C5181" w:rsidRDefault="00AB3ADB" w:rsidP="008A2E92">
      <w:pPr>
        <w:pStyle w:val="ManualConsidrant"/>
        <w:rPr>
          <w:noProof/>
        </w:rPr>
      </w:pPr>
      <w:r w:rsidRPr="009C5181">
        <w:t>(</w:t>
      </w:r>
      <w:r w:rsidR="008A2E92" w:rsidRPr="009C5181">
        <w:t>33</w:t>
      </w:r>
      <w:r w:rsidRPr="009C5181">
        <w:t>)</w:t>
      </w:r>
      <w:r w:rsidRPr="009C5181">
        <w:tab/>
        <w:t>Държавите членки, които нямат морски пристанища на своя територия и не разполагат с кораби, плаващи под тяхно знаме и попадащи в приложното поле на настоящия регламент, или които са закрили националните си корабни регистри, следва да могат да се ползват от дерогация от свързаните със санкциите разпоредби на настоящия регламент, докато нямат кораби, плаващи под тяхно знаме.</w:t>
      </w:r>
    </w:p>
    <w:p w:rsidR="00AB3ADB" w:rsidRPr="009C5181" w:rsidRDefault="00AB3ADB" w:rsidP="00FD0E17">
      <w:pPr>
        <w:pStyle w:val="ManualConsidrant"/>
        <w:rPr>
          <w:noProof/>
        </w:rPr>
      </w:pPr>
      <w:r w:rsidRPr="009C5181">
        <w:t>(</w:t>
      </w:r>
      <w:r w:rsidR="008A2E92" w:rsidRPr="009C5181">
        <w:t>34</w:t>
      </w:r>
      <w:r w:rsidRPr="009C5181">
        <w:t>)</w:t>
      </w:r>
      <w:r w:rsidRPr="009C5181">
        <w:tab/>
        <w:t>Системата на Съюза за МД</w:t>
      </w:r>
      <w:r w:rsidR="00FD0E17">
        <w:t>П</w:t>
      </w:r>
      <w:r w:rsidRPr="009C5181">
        <w:t xml:space="preserve"> следва да послужи като модел за въвеждане на световна система за МД</w:t>
      </w:r>
      <w:r w:rsidR="00FD0E17">
        <w:t>П</w:t>
      </w:r>
      <w:r w:rsidRPr="009C5181">
        <w:t>. Въвеждането на световна система за МД</w:t>
      </w:r>
      <w:r w:rsidR="00FD0E17">
        <w:t>П</w:t>
      </w:r>
      <w:r w:rsidRPr="009C5181">
        <w:t xml:space="preserve"> е за предпочитане, тъй като тя би могла да се счита за по-ефективна поради по-големия си обхват. В този контекст и с цел да се улесни разработването на международни правила в рамките на ИМО за мониторинг, докладване и проверка на емисиите на парникови газове от морския транспорт, Комисията следва редовно да споделя информация от значение относно прилагането на настоящия регламент с</w:t>
      </w:r>
      <w:r w:rsidRPr="009C5181">
        <w:rPr>
          <w:noProof/>
          <w:color w:val="FF0000"/>
        </w:rPr>
        <w:t xml:space="preserve"> </w:t>
      </w:r>
      <w:r w:rsidRPr="009C5181">
        <w:t>ИМО и други имащи отношение международни организации и да предава съответните материали в ИМО. Когато бъде постигнато споразумение за световна система за МДП, Комисията следва да преразгледа система</w:t>
      </w:r>
      <w:r w:rsidR="00B20774" w:rsidRPr="009C5181">
        <w:t>та на Съюза</w:t>
      </w:r>
      <w:r w:rsidRPr="009C5181">
        <w:t xml:space="preserve"> за МДП, за да я съгласува със световната система.</w:t>
      </w:r>
    </w:p>
    <w:p w:rsidR="00AB3ADB" w:rsidRPr="009C5181" w:rsidRDefault="00AB3ADB" w:rsidP="008A2E92">
      <w:pPr>
        <w:pStyle w:val="ManualConsidrant"/>
        <w:rPr>
          <w:noProof/>
        </w:rPr>
      </w:pPr>
      <w:r>
        <w:br w:type="page"/>
      </w:r>
      <w:r w:rsidRPr="003C7403">
        <w:t>(</w:t>
      </w:r>
      <w:r w:rsidR="008A2E92">
        <w:t>3</w:t>
      </w:r>
      <w:r w:rsidR="008A2E92" w:rsidRPr="003C7403">
        <w:t>5</w:t>
      </w:r>
      <w:r w:rsidRPr="003C7403">
        <w:t>)</w:t>
      </w:r>
      <w:r w:rsidRPr="003C7403">
        <w:tab/>
      </w:r>
      <w:r w:rsidRPr="009C5181">
        <w:t xml:space="preserve">С цел да </w:t>
      </w:r>
      <w:r w:rsidRPr="009C5181">
        <w:rPr>
          <w:noProof/>
        </w:rPr>
        <w:t>се вземат предвид съответните международни правила и международните и европейските стандарти, както и технологичните и научните постижения</w:t>
      </w:r>
      <w:r w:rsidRPr="009C5181">
        <w:t xml:space="preserve"> на Комисията следва да се делегира правомощието да приема актове в съответствие с член 290 от Договора за функционирането на Европейския съюз за преразглеждане на някои технически аспекти на мониторинга и докладването на емисиите на CO</w:t>
      </w:r>
      <w:r w:rsidRPr="009C5181">
        <w:rPr>
          <w:noProof/>
          <w:vertAlign w:val="subscript"/>
        </w:rPr>
        <w:t>2</w:t>
      </w:r>
      <w:r w:rsidRPr="009C5181">
        <w:t xml:space="preserve"> от корабите, както и за допълнително уточняване на правилата за проверка на дейностите и методите за акредитиране на проверяващите органи.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по подходящ начин на съответните документи на Европейския парламент и на Съвета.</w:t>
      </w:r>
    </w:p>
    <w:p w:rsidR="00AB3ADB" w:rsidRPr="003C7403" w:rsidRDefault="00AB3ADB" w:rsidP="00B53783">
      <w:pPr>
        <w:pStyle w:val="ManualConsidrant"/>
        <w:rPr>
          <w:noProof/>
        </w:rPr>
      </w:pPr>
      <w:r w:rsidRPr="003C7403">
        <w:t>(</w:t>
      </w:r>
      <w:r w:rsidR="008A2E92">
        <w:t>3</w:t>
      </w:r>
      <w:r w:rsidR="008A2E92" w:rsidRPr="003C7403">
        <w:t>6</w:t>
      </w:r>
      <w:r w:rsidRPr="003C7403">
        <w:t>)</w:t>
      </w:r>
      <w:r w:rsidRPr="003C7403">
        <w:tab/>
      </w:r>
      <w:r w:rsidRPr="009C5181">
        <w:t xml:space="preserve">С цел да се осигурят еднакви условия за използването на </w:t>
      </w:r>
      <w:r w:rsidR="0018304A" w:rsidRPr="009C5181">
        <w:t>стандартни образци за мониторинга на емисиите на CO</w:t>
      </w:r>
      <w:r w:rsidR="0018304A" w:rsidRPr="009C5181">
        <w:rPr>
          <w:vertAlign w:val="subscript"/>
        </w:rPr>
        <w:t>2</w:t>
      </w:r>
      <w:r w:rsidR="0018304A" w:rsidRPr="009C5181">
        <w:t xml:space="preserve"> и на друга информация от значение, за използването на </w:t>
      </w:r>
      <w:r w:rsidRPr="009C5181">
        <w:t>автоматични системи и</w:t>
      </w:r>
      <w:r w:rsidR="0018304A" w:rsidRPr="009C5181">
        <w:t xml:space="preserve"> </w:t>
      </w:r>
      <w:r w:rsidRPr="009C5181">
        <w:t xml:space="preserve">стандартни електронни образци за </w:t>
      </w:r>
      <w:r w:rsidR="00B53783" w:rsidRPr="009C5181">
        <w:t>последовател</w:t>
      </w:r>
      <w:r w:rsidR="0018304A" w:rsidRPr="009C5181">
        <w:t>ното</w:t>
      </w:r>
      <w:r w:rsidRPr="009C5181">
        <w:t xml:space="preserve"> докладване на емисиите </w:t>
      </w:r>
      <w:r w:rsidR="0017412A" w:rsidRPr="009C5181">
        <w:t>CO</w:t>
      </w:r>
      <w:r w:rsidR="0017412A" w:rsidRPr="009C5181">
        <w:rPr>
          <w:vertAlign w:val="subscript"/>
        </w:rPr>
        <w:t xml:space="preserve">2 </w:t>
      </w:r>
      <w:r w:rsidRPr="009C5181">
        <w:t xml:space="preserve">и на друга информация от значение до Комисията и органите на съответните държави на знамето, </w:t>
      </w:r>
      <w:r w:rsidRPr="009C5181">
        <w:rPr>
          <w:noProof/>
        </w:rPr>
        <w:t>както и за уточняване на техническите правила, определящи приложимите параметри за категориите кораби, различни от пътнически кораби, ро-ро кораби и контейнеровози</w:t>
      </w:r>
      <w:r w:rsidRPr="009C5181">
        <w:t>, и за преразглеждането на посочените п</w:t>
      </w:r>
      <w:r w:rsidR="0017412A" w:rsidRPr="009C5181">
        <w:t>араметри</w:t>
      </w:r>
      <w:r w:rsidRPr="009C5181">
        <w:t xml:space="preserve">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sidRPr="00637A4F">
        <w:rPr>
          <w:rStyle w:val="FootnoteReference"/>
        </w:rPr>
        <w:footnoteReference w:id="10"/>
      </w:r>
      <w:r w:rsidRPr="003C7403">
        <w:t>.</w:t>
      </w:r>
    </w:p>
    <w:p w:rsidR="00AB3ADB" w:rsidRPr="003C7403" w:rsidRDefault="00AB3ADB" w:rsidP="00D62FB9">
      <w:pPr>
        <w:pStyle w:val="ManualConsidrant"/>
        <w:rPr>
          <w:noProof/>
        </w:rPr>
      </w:pPr>
      <w:r>
        <w:br w:type="page"/>
      </w:r>
      <w:r w:rsidRPr="003C7403">
        <w:t>(</w:t>
      </w:r>
      <w:r w:rsidR="00D27E14">
        <w:t>3</w:t>
      </w:r>
      <w:r w:rsidR="00D27E14" w:rsidRPr="003C7403">
        <w:t>7</w:t>
      </w:r>
      <w:r w:rsidRPr="003C7403">
        <w:t>)</w:t>
      </w:r>
      <w:r w:rsidRPr="003C7403">
        <w:tab/>
      </w:r>
      <w:r>
        <w:t>Тъй като ц</w:t>
      </w:r>
      <w:r w:rsidRPr="003C7403">
        <w:t xml:space="preserve">елта на </w:t>
      </w:r>
      <w:r>
        <w:t>настоящия регламент</w:t>
      </w:r>
      <w:r w:rsidRPr="003C7403">
        <w:t xml:space="preserve">, а именно да се </w:t>
      </w:r>
      <w:r w:rsidR="00D62FB9">
        <w:t xml:space="preserve">осигури </w:t>
      </w:r>
      <w:r w:rsidRPr="003C7403">
        <w:t>мониторинг, докладване и проверка на корабните емисии на CO</w:t>
      </w:r>
      <w:r w:rsidRPr="003C7403">
        <w:rPr>
          <w:noProof/>
          <w:vertAlign w:val="subscript"/>
        </w:rPr>
        <w:t>2</w:t>
      </w:r>
      <w:r w:rsidRPr="003C7403">
        <w:t xml:space="preserve"> като първа стъпка от поетапен подход за </w:t>
      </w:r>
      <w:r w:rsidR="004A052C" w:rsidRPr="003C7403">
        <w:t>намал</w:t>
      </w:r>
      <w:r w:rsidR="004A052C">
        <w:t>ени</w:t>
      </w:r>
      <w:r w:rsidR="004A052C" w:rsidRPr="003C7403">
        <w:t xml:space="preserve">е </w:t>
      </w:r>
      <w:r w:rsidRPr="003C7403">
        <w:t>на емисии</w:t>
      </w:r>
      <w:r>
        <w:t>те</w:t>
      </w:r>
      <w:r w:rsidRPr="00EA4699">
        <w:rPr>
          <w:bCs/>
          <w:noProof/>
        </w:rPr>
        <w:t xml:space="preserve"> </w:t>
      </w:r>
      <w:r w:rsidRPr="00637A4F">
        <w:rPr>
          <w:noProof/>
        </w:rPr>
        <w:t>на парникови газове</w:t>
      </w:r>
      <w:r w:rsidRPr="003C7403">
        <w:t xml:space="preserve">, не може да бъде постигната в достатъчна степен </w:t>
      </w:r>
      <w:r>
        <w:t>от</w:t>
      </w:r>
      <w:r w:rsidRPr="003C7403">
        <w:t xml:space="preserve"> държавите членки поради международния характер на морския транспорт,</w:t>
      </w:r>
      <w:r>
        <w:t xml:space="preserve"> а поради</w:t>
      </w:r>
      <w:r w:rsidRPr="003C7403">
        <w:t xml:space="preserve"> </w:t>
      </w:r>
      <w:r w:rsidR="0017412A">
        <w:t>неговия обхват</w:t>
      </w:r>
      <w:r w:rsidRPr="003C7403">
        <w:t xml:space="preserve"> и </w:t>
      </w:r>
      <w:r w:rsidR="0017412A">
        <w:t>последици</w:t>
      </w:r>
      <w:r>
        <w:t xml:space="preserve"> </w:t>
      </w:r>
      <w:r w:rsidRPr="003C7403">
        <w:t>може да бъде постигната по-добре на равнище</w:t>
      </w:r>
      <w:r>
        <w:t>то на</w:t>
      </w:r>
      <w:r w:rsidRPr="003C7403">
        <w:t xml:space="preserve"> С</w:t>
      </w:r>
      <w:r>
        <w:t xml:space="preserve">ъюза, </w:t>
      </w:r>
      <w:r w:rsidRPr="003C7403">
        <w:t>С</w:t>
      </w:r>
      <w:r>
        <w:t>ъюзът</w:t>
      </w:r>
      <w:r w:rsidRPr="003C7403">
        <w:t xml:space="preserve"> може да приема мерки в съответствие с принципа на субсидиарност, </w:t>
      </w:r>
      <w:r>
        <w:t>уреден</w:t>
      </w:r>
      <w:r w:rsidRPr="003C7403">
        <w:t xml:space="preserve"> в член 5 от Договора</w:t>
      </w:r>
      <w:r>
        <w:t xml:space="preserve"> за Европейския съюз</w:t>
      </w:r>
      <w:r w:rsidRPr="003C7403">
        <w:t>. В съответствие с принципа на пропорционалност, уреден в същия член, настоящият регламент не надхвърля необходимото за постигането на т</w:t>
      </w:r>
      <w:r>
        <w:t>а</w:t>
      </w:r>
      <w:r w:rsidRPr="003C7403">
        <w:t>зи цел.</w:t>
      </w:r>
    </w:p>
    <w:p w:rsidR="00AB3ADB" w:rsidRPr="003C7403" w:rsidRDefault="00AB3ADB" w:rsidP="00D27E14">
      <w:pPr>
        <w:pStyle w:val="ManualConsidrant"/>
        <w:rPr>
          <w:noProof/>
        </w:rPr>
      </w:pPr>
      <w:r w:rsidRPr="003C7403">
        <w:t>(</w:t>
      </w:r>
      <w:r w:rsidR="00D27E14">
        <w:t>3</w:t>
      </w:r>
      <w:r w:rsidR="00D27E14" w:rsidRPr="003C7403">
        <w:t>8</w:t>
      </w:r>
      <w:r w:rsidRPr="003C7403">
        <w:t>)</w:t>
      </w:r>
      <w:r w:rsidRPr="003C7403">
        <w:tab/>
        <w:t xml:space="preserve">Правилата за въвеждане на система за МДП следва да </w:t>
      </w:r>
      <w:r>
        <w:t>са съобразени с</w:t>
      </w:r>
      <w:r w:rsidRPr="003C7403">
        <w:t xml:space="preserve"> Директива 95/46/ЕО на Европейския парламент и на Съвета </w:t>
      </w:r>
      <w:r w:rsidRPr="00637A4F">
        <w:rPr>
          <w:rStyle w:val="FootnoteReference"/>
        </w:rPr>
        <w:footnoteReference w:id="11"/>
      </w:r>
      <w:r w:rsidRPr="003C7403">
        <w:t xml:space="preserve"> и </w:t>
      </w:r>
      <w:r>
        <w:t>на</w:t>
      </w:r>
      <w:r w:rsidRPr="003C7403">
        <w:t xml:space="preserve"> Регламент (ЕО) № 45/2001 на Европейския парламент и на Съвета</w:t>
      </w:r>
      <w:r w:rsidRPr="00637A4F">
        <w:rPr>
          <w:rStyle w:val="FootnoteReference"/>
        </w:rPr>
        <w:footnoteReference w:id="12"/>
      </w:r>
      <w:r w:rsidRPr="003C7403">
        <w:t>.</w:t>
      </w:r>
    </w:p>
    <w:p w:rsidR="009C5181" w:rsidRPr="009C5181" w:rsidRDefault="00AB3ADB" w:rsidP="009C5181">
      <w:pPr>
        <w:pStyle w:val="ManualConsidrant"/>
      </w:pPr>
      <w:r w:rsidRPr="003C7403">
        <w:t>(</w:t>
      </w:r>
      <w:r w:rsidR="00D27E14">
        <w:t>3</w:t>
      </w:r>
      <w:r w:rsidR="00D27E14" w:rsidRPr="003C7403">
        <w:t>9</w:t>
      </w:r>
      <w:r w:rsidRPr="003C7403">
        <w:t>)</w:t>
      </w:r>
      <w:r w:rsidRPr="003C7403">
        <w:tab/>
        <w:t xml:space="preserve">Настоящият регламент следва да влезе в сила на 1 юли 2015 г., за да се осигури достатъчно време на държавите членки и съответните заинтересовани страни да предприемат необходимите мерки за ефективното </w:t>
      </w:r>
      <w:r>
        <w:t xml:space="preserve">му </w:t>
      </w:r>
      <w:r w:rsidRPr="003C7403">
        <w:t xml:space="preserve">прилагане </w:t>
      </w:r>
      <w:r>
        <w:t>преди началото на</w:t>
      </w:r>
      <w:r w:rsidRPr="003C7403">
        <w:t xml:space="preserve"> първия отчетен период на 1 януари 2018 г.</w:t>
      </w:r>
      <w:r>
        <w:t>,</w:t>
      </w:r>
    </w:p>
    <w:p w:rsidR="00AB3ADB" w:rsidRPr="003C7403" w:rsidRDefault="00AB3ADB" w:rsidP="009C5181">
      <w:pPr>
        <w:pStyle w:val="Formuledadoption"/>
        <w:rPr>
          <w:noProof/>
        </w:rPr>
      </w:pPr>
      <w:r w:rsidRPr="003C7403">
        <w:t xml:space="preserve">ПРИЕХА </w:t>
      </w:r>
      <w:r w:rsidRPr="00AB3ADB">
        <w:t>НАСТОЯЩИЯ</w:t>
      </w:r>
      <w:r w:rsidRPr="003C7403">
        <w:t xml:space="preserve"> РЕГЛАМЕНТ:</w:t>
      </w:r>
    </w:p>
    <w:p w:rsidR="00AB3ADB" w:rsidRPr="003C7403" w:rsidRDefault="009C5181" w:rsidP="00AB3ADB">
      <w:pPr>
        <w:pStyle w:val="ChapterTitle"/>
        <w:rPr>
          <w:noProof/>
        </w:rPr>
      </w:pPr>
      <w:r>
        <w:br w:type="page"/>
      </w:r>
      <w:r w:rsidR="00AB3ADB" w:rsidRPr="003C7403">
        <w:t>ГЛАВА I</w:t>
      </w:r>
      <w:r w:rsidR="00AB3ADB" w:rsidRPr="00AB3ADB">
        <w:br/>
      </w:r>
      <w:r w:rsidR="00AB3ADB" w:rsidRPr="003C7403">
        <w:t>ОБЩИ РАЗПОРЕДБИ</w:t>
      </w:r>
    </w:p>
    <w:p w:rsidR="00AB3ADB" w:rsidRPr="003C7403" w:rsidRDefault="00AB3ADB" w:rsidP="00AB3ADB">
      <w:pPr>
        <w:pStyle w:val="Titrearticle"/>
        <w:rPr>
          <w:noProof/>
        </w:rPr>
      </w:pPr>
      <w:r w:rsidRPr="003C7403">
        <w:t>Член 1</w:t>
      </w:r>
      <w:r w:rsidRPr="00AB3ADB">
        <w:br/>
      </w:r>
      <w:r w:rsidRPr="003C7403">
        <w:t>Предмет</w:t>
      </w:r>
    </w:p>
    <w:p w:rsidR="00AB3ADB" w:rsidRPr="003C7403" w:rsidRDefault="00AB3ADB" w:rsidP="00446AD3">
      <w:pPr>
        <w:rPr>
          <w:noProof/>
        </w:rPr>
      </w:pPr>
      <w:r w:rsidRPr="003C7403">
        <w:t xml:space="preserve">В настоящия регламент се </w:t>
      </w:r>
      <w:r>
        <w:t xml:space="preserve">установяват </w:t>
      </w:r>
      <w:r w:rsidRPr="003C7403">
        <w:t>правила за точното извършване на мониторинг, докладване и проверка на емисиите на въглероден диоксид (CO</w:t>
      </w:r>
      <w:r w:rsidRPr="00D723B0">
        <w:rPr>
          <w:vertAlign w:val="subscript"/>
        </w:rPr>
        <w:t>2</w:t>
      </w:r>
      <w:r w:rsidRPr="003C7403">
        <w:t xml:space="preserve">) и на друга информация от значение по отношение на корабите, които пристигат, намират се във или отплават от пристанища под юрисдикцията на държава членка, с оглед да се насърчи </w:t>
      </w:r>
      <w:r w:rsidR="004A052C" w:rsidRPr="003C7403">
        <w:t>намал</w:t>
      </w:r>
      <w:r w:rsidR="004A052C">
        <w:t>ението</w:t>
      </w:r>
      <w:r w:rsidR="004A052C" w:rsidRPr="003C7403">
        <w:t xml:space="preserve"> </w:t>
      </w:r>
      <w:r w:rsidRPr="003C7403">
        <w:t xml:space="preserve">на емисиите на </w:t>
      </w:r>
      <w:r w:rsidR="00E725DD" w:rsidRPr="00E725DD">
        <w:t>СО</w:t>
      </w:r>
      <w:r w:rsidR="00E725DD" w:rsidRPr="00E725DD">
        <w:rPr>
          <w:vertAlign w:val="subscript"/>
        </w:rPr>
        <w:t>2</w:t>
      </w:r>
      <w:r w:rsidRPr="003C7403">
        <w:t xml:space="preserve"> от морския транспорт по </w:t>
      </w:r>
      <w:r>
        <w:t>ефективен</w:t>
      </w:r>
      <w:r w:rsidR="00446AD3">
        <w:t xml:space="preserve"> от гледна точка на разходите</w:t>
      </w:r>
      <w:r w:rsidRPr="003C7403">
        <w:t xml:space="preserve"> начин.</w:t>
      </w:r>
    </w:p>
    <w:p w:rsidR="00AB3ADB" w:rsidRPr="003C7403" w:rsidRDefault="00AB3ADB" w:rsidP="00AB3ADB">
      <w:pPr>
        <w:pStyle w:val="Titrearticle"/>
        <w:rPr>
          <w:noProof/>
        </w:rPr>
      </w:pPr>
      <w:r w:rsidRPr="003C7403">
        <w:t>Член 2</w:t>
      </w:r>
      <w:r w:rsidRPr="0017412A">
        <w:br/>
      </w:r>
      <w:r w:rsidRPr="003C7403">
        <w:t>Обхват</w:t>
      </w:r>
    </w:p>
    <w:p w:rsidR="00AB3ADB" w:rsidRPr="003C7403" w:rsidRDefault="00AB3ADB" w:rsidP="00BD4CD8">
      <w:pPr>
        <w:pStyle w:val="ManualNumPar1"/>
        <w:rPr>
          <w:noProof/>
        </w:rPr>
      </w:pPr>
      <w:r w:rsidRPr="003C7403">
        <w:t>1.</w:t>
      </w:r>
      <w:r w:rsidRPr="003C7403">
        <w:tab/>
        <w:t xml:space="preserve">Настоящият регламент се </w:t>
      </w:r>
      <w:r>
        <w:t>прилага по отношение на</w:t>
      </w:r>
      <w:r w:rsidRPr="003C7403">
        <w:t xml:space="preserve"> корабите с </w:t>
      </w:r>
      <w:r>
        <w:t xml:space="preserve">брутен </w:t>
      </w:r>
      <w:r w:rsidRPr="003C7403">
        <w:t xml:space="preserve">тонаж над 5000 във връзка с техните емисии </w:t>
      </w:r>
      <w:r w:rsidRPr="00D723B0">
        <w:t>на СО</w:t>
      </w:r>
      <w:r w:rsidRPr="00D723B0">
        <w:rPr>
          <w:vertAlign w:val="subscript"/>
        </w:rPr>
        <w:t>2</w:t>
      </w:r>
      <w:r w:rsidRPr="00D723B0">
        <w:t>,</w:t>
      </w:r>
      <w:r w:rsidRPr="003C7403">
        <w:t xml:space="preserve"> отделени при плаванията им от последното </w:t>
      </w:r>
      <w:r>
        <w:t xml:space="preserve">им </w:t>
      </w:r>
      <w:r w:rsidRPr="003C7403">
        <w:t xml:space="preserve">пристанище на акостиране до пристанище </w:t>
      </w:r>
      <w:r>
        <w:t xml:space="preserve">на акостиране </w:t>
      </w:r>
      <w:r w:rsidRPr="003C7403">
        <w:t xml:space="preserve">под юрисдикцията на държава членка, както и от пристанище </w:t>
      </w:r>
      <w:r>
        <w:t xml:space="preserve">на акостиране </w:t>
      </w:r>
      <w:r w:rsidRPr="003C7403">
        <w:t xml:space="preserve">под юрисдикцията на държава членка до следващото пристанище на акостиране, а също и при плаванията </w:t>
      </w:r>
      <w:r w:rsidR="0017412A">
        <w:t xml:space="preserve">в </w:t>
      </w:r>
      <w:r w:rsidRPr="003C7403">
        <w:t xml:space="preserve">пристанища </w:t>
      </w:r>
      <w:r>
        <w:t xml:space="preserve">на акостиране </w:t>
      </w:r>
      <w:r w:rsidRPr="003C7403">
        <w:t>под юрисдикцията на държава членка.</w:t>
      </w:r>
    </w:p>
    <w:p w:rsidR="00AB3ADB" w:rsidRPr="003C7403" w:rsidRDefault="00AB3ADB" w:rsidP="00BD4CD8">
      <w:pPr>
        <w:pStyle w:val="ManualNumPar1"/>
        <w:rPr>
          <w:noProof/>
        </w:rPr>
      </w:pPr>
      <w:r w:rsidRPr="003C7403">
        <w:t>2.</w:t>
      </w:r>
      <w:r w:rsidRPr="003C7403">
        <w:tab/>
        <w:t xml:space="preserve">Настоящият регламент не се </w:t>
      </w:r>
      <w:r>
        <w:t>прилага по отношение на</w:t>
      </w:r>
      <w:r w:rsidRPr="003C7403">
        <w:t xml:space="preserve"> военни кораби, спомагателни военноморски съдове, риболовни или рибопреработващи кораби, дървени кораби с примитивна конструкция, кораби, които не се задвижват с механични средства, и</w:t>
      </w:r>
      <w:r>
        <w:t>ли</w:t>
      </w:r>
      <w:r w:rsidRPr="003C7403">
        <w:t xml:space="preserve"> държавни кораби, използвани с нетърговска цел.</w:t>
      </w:r>
    </w:p>
    <w:p w:rsidR="00AB3ADB" w:rsidRPr="00EC12DC" w:rsidRDefault="009C5181" w:rsidP="00AB3ADB">
      <w:pPr>
        <w:pStyle w:val="Titrearticle"/>
        <w:rPr>
          <w:noProof/>
        </w:rPr>
      </w:pPr>
      <w:r>
        <w:br w:type="page"/>
      </w:r>
      <w:r w:rsidR="00AB3ADB">
        <w:t>Член 3</w:t>
      </w:r>
      <w:r w:rsidR="00AB3ADB" w:rsidRPr="00AB3ADB">
        <w:br/>
      </w:r>
      <w:r w:rsidR="00AB3ADB">
        <w:t>Определения</w:t>
      </w:r>
    </w:p>
    <w:p w:rsidR="001D3B9B" w:rsidRPr="001D3B9B" w:rsidRDefault="00AB3ADB" w:rsidP="00B20774">
      <w:r>
        <w:t>За целите на настоящия регламент се прилагат следните определения:</w:t>
      </w:r>
    </w:p>
    <w:p w:rsidR="00AB3ADB" w:rsidRPr="00EC12DC" w:rsidRDefault="00AB3ADB" w:rsidP="009C5181">
      <w:pPr>
        <w:pStyle w:val="Point0"/>
        <w:rPr>
          <w:noProof/>
        </w:rPr>
      </w:pPr>
      <w:r>
        <w:t>а)</w:t>
      </w:r>
      <w:r w:rsidR="001D3B9B" w:rsidRPr="001D3B9B">
        <w:tab/>
      </w:r>
      <w:r>
        <w:t>„емисии</w:t>
      </w:r>
      <w:r w:rsidR="00D27E14">
        <w:t xml:space="preserve"> на </w:t>
      </w:r>
      <w:r w:rsidR="00D27E14" w:rsidRPr="00D27E14">
        <w:t>СО</w:t>
      </w:r>
      <w:r w:rsidR="00D27E14" w:rsidRPr="00D27E14">
        <w:rPr>
          <w:vertAlign w:val="subscript"/>
        </w:rPr>
        <w:t>2</w:t>
      </w:r>
      <w:r>
        <w:t>“ означава изпускането на СО</w:t>
      </w:r>
      <w:r w:rsidRPr="00B20774">
        <w:rPr>
          <w:vertAlign w:val="subscript"/>
        </w:rPr>
        <w:t>2</w:t>
      </w:r>
      <w:r>
        <w:t xml:space="preserve"> в атмосферата от кораби;</w:t>
      </w:r>
    </w:p>
    <w:p w:rsidR="00AB3ADB" w:rsidRPr="001D3B9B" w:rsidRDefault="00AB3ADB" w:rsidP="00FD0E17">
      <w:pPr>
        <w:pStyle w:val="Point0"/>
      </w:pPr>
      <w:r>
        <w:t>б)</w:t>
      </w:r>
      <w:r>
        <w:tab/>
        <w:t>„пристанище на акостиране“ означава пристанище, в което корабът спира да натовари или разтовари товари, или да качи или да свали пътници</w:t>
      </w:r>
      <w:r w:rsidRPr="001D3B9B">
        <w:t>;</w:t>
      </w:r>
      <w:r>
        <w:t xml:space="preserve"> </w:t>
      </w:r>
      <w:r w:rsidRPr="001D3B9B">
        <w:t>следователно</w:t>
      </w:r>
      <w:r>
        <w:t xml:space="preserve"> </w:t>
      </w:r>
      <w:r w:rsidR="00FD0E17" w:rsidRPr="001D3B9B">
        <w:t>са изключени</w:t>
      </w:r>
      <w:r w:rsidR="00FD0E17">
        <w:t xml:space="preserve"> </w:t>
      </w:r>
      <w:r>
        <w:t>спирането с цел единствено зареждане на гориво, попълване на запасите, смяна на екипаж</w:t>
      </w:r>
      <w:r w:rsidRPr="001D3B9B">
        <w:t xml:space="preserve">, въвеждане в сух док или извършване на ремонт на кораба и/или неговото оборудване, спирането в пристанище, </w:t>
      </w:r>
      <w:r w:rsidR="00B53783">
        <w:t>поради</w:t>
      </w:r>
      <w:r w:rsidRPr="001D3B9B">
        <w:t xml:space="preserve"> нужда от помощ или бедствено положение, прехвърлянето о</w:t>
      </w:r>
      <w:r w:rsidRPr="00FD0E17">
        <w:t xml:space="preserve">т кораб на кораб, извършено извън пристанищата, </w:t>
      </w:r>
      <w:r w:rsidR="00D00453" w:rsidRPr="00FD0E17">
        <w:t xml:space="preserve">както </w:t>
      </w:r>
      <w:r w:rsidRPr="00FD0E17">
        <w:t>и спирането единствено с цел подслон от неблагоп</w:t>
      </w:r>
      <w:r w:rsidRPr="001D3B9B">
        <w:t>риятни метеорологични условия или необходимо поради дейности по издирване и спасяване;</w:t>
      </w:r>
    </w:p>
    <w:p w:rsidR="00AB3ADB" w:rsidRPr="001D3B9B" w:rsidRDefault="00E938BF" w:rsidP="00FD0E17">
      <w:pPr>
        <w:pStyle w:val="Point0"/>
      </w:pPr>
      <w:r>
        <w:t>в</w:t>
      </w:r>
      <w:r w:rsidR="00AB3ADB" w:rsidRPr="001D3B9B">
        <w:t>)</w:t>
      </w:r>
      <w:r w:rsidR="00AB3ADB">
        <w:tab/>
      </w:r>
      <w:r w:rsidR="00AB3ADB" w:rsidRPr="001D3B9B">
        <w:t>„</w:t>
      </w:r>
      <w:r w:rsidR="00113771" w:rsidRPr="001D3B9B">
        <w:t>п</w:t>
      </w:r>
      <w:r w:rsidR="00113771">
        <w:t>лаване</w:t>
      </w:r>
      <w:r w:rsidR="00AB3ADB" w:rsidRPr="001D3B9B">
        <w:t xml:space="preserve">“ означава всяко движение на кораб, което започва или завършва в пристанище на акостиране и което служи за </w:t>
      </w:r>
      <w:r w:rsidR="00FD0E17">
        <w:t>превоз</w:t>
      </w:r>
      <w:r w:rsidR="00AB3ADB" w:rsidRPr="001D3B9B">
        <w:t xml:space="preserve"> на пътници или товари с търговска цел;</w:t>
      </w:r>
    </w:p>
    <w:p w:rsidR="00AB3ADB" w:rsidRPr="00EC12DC" w:rsidRDefault="00E938BF" w:rsidP="009C5181">
      <w:pPr>
        <w:pStyle w:val="Point0"/>
        <w:rPr>
          <w:noProof/>
        </w:rPr>
      </w:pPr>
      <w:r>
        <w:t>г</w:t>
      </w:r>
      <w:r w:rsidR="00AB3ADB" w:rsidRPr="001D3B9B">
        <w:t>)</w:t>
      </w:r>
      <w:r w:rsidR="00AB3ADB">
        <w:tab/>
        <w:t xml:space="preserve">„дружество“ означава корабособственикът или всяка друга </w:t>
      </w:r>
      <w:r w:rsidR="00AB3ADB" w:rsidRPr="001D3B9B">
        <w:t xml:space="preserve">организация или физическо </w:t>
      </w:r>
      <w:r w:rsidR="00AB3ADB">
        <w:t>лице, като например управител или беърбоут ч</w:t>
      </w:r>
      <w:r w:rsidR="00AB3ADB" w:rsidRPr="00FD0E17">
        <w:t>артьор, което</w:t>
      </w:r>
      <w:r w:rsidR="00AB3ADB">
        <w:t xml:space="preserve"> е поело отговорността </w:t>
      </w:r>
      <w:r w:rsidR="00AB3ADB" w:rsidRPr="001D3B9B">
        <w:t>за експлоатацията на кораба</w:t>
      </w:r>
      <w:r w:rsidR="00AB3ADB">
        <w:t xml:space="preserve"> от корабособственика ;</w:t>
      </w:r>
    </w:p>
    <w:p w:rsidR="00AB3ADB" w:rsidRPr="00EC12DC" w:rsidRDefault="00AB3ADB" w:rsidP="009C5181">
      <w:pPr>
        <w:pStyle w:val="Point0"/>
        <w:rPr>
          <w:noProof/>
        </w:rPr>
      </w:pPr>
      <w:r>
        <w:br w:type="page"/>
      </w:r>
      <w:r w:rsidR="00E938BF">
        <w:t>д</w:t>
      </w:r>
      <w:r>
        <w:t>)</w:t>
      </w:r>
      <w:r>
        <w:tab/>
        <w:t>„брутен тонаж“ (БТ) означава брутен тонаж, изчислен в съответствие с правилата за измерване на тонажа, съдържащи се в приложение 1 към Международната конвенция за тонажното измерване на корабите, приета от Международната морска организация (ИМО) в Лондон на 23 юни 1969 г., или във всяка заместваща я конвенция;</w:t>
      </w:r>
    </w:p>
    <w:p w:rsidR="00AB3ADB" w:rsidRPr="00EC12DC" w:rsidRDefault="00E938BF" w:rsidP="009C5181">
      <w:pPr>
        <w:pStyle w:val="Point0"/>
        <w:rPr>
          <w:noProof/>
        </w:rPr>
      </w:pPr>
      <w:r w:rsidRPr="00E725DD">
        <w:t>е</w:t>
      </w:r>
      <w:r w:rsidR="00AB3ADB" w:rsidRPr="00E725DD">
        <w:t>)</w:t>
      </w:r>
      <w:r w:rsidR="00AB3ADB" w:rsidRPr="00E725DD">
        <w:tab/>
        <w:t>„проверяващ орган“ означава правен суб</w:t>
      </w:r>
      <w:r w:rsidR="00AB3ADB">
        <w:t>ект, извършващ дейности по проверка, който е акредитиран от национален орган по акредитация в съответствие с Регламент (ЕО) № 765/2008,</w:t>
      </w:r>
      <w:r w:rsidR="00AB3ADB">
        <w:rPr>
          <w:rStyle w:val="FootnoteReference"/>
          <w:b w:val="0"/>
          <w:noProof/>
        </w:rPr>
        <w:t xml:space="preserve"> </w:t>
      </w:r>
      <w:r w:rsidR="00AB3ADB">
        <w:t>както и в съответствие с настоящия регламент;</w:t>
      </w:r>
    </w:p>
    <w:p w:rsidR="00AB3ADB" w:rsidRPr="00EC12DC" w:rsidRDefault="00E938BF" w:rsidP="009C5181">
      <w:pPr>
        <w:pStyle w:val="Point0"/>
        <w:rPr>
          <w:noProof/>
        </w:rPr>
      </w:pPr>
      <w:r>
        <w:t>ж</w:t>
      </w:r>
      <w:r w:rsidR="00AB3ADB">
        <w:t>)</w:t>
      </w:r>
      <w:r w:rsidR="00AB3ADB">
        <w:tab/>
        <w:t>„проверка“ означава дейности, извършвани от проверяващ орган за оценка на съответствието на предадените от дружеството документи с изискванията по настоящия регламент;</w:t>
      </w:r>
    </w:p>
    <w:p w:rsidR="00AB3ADB" w:rsidRPr="00EC12DC" w:rsidRDefault="00E938BF" w:rsidP="009C5181">
      <w:pPr>
        <w:pStyle w:val="Point0"/>
        <w:rPr>
          <w:noProof/>
        </w:rPr>
      </w:pPr>
      <w:r>
        <w:rPr>
          <w:noProof/>
        </w:rPr>
        <w:t>з</w:t>
      </w:r>
      <w:r w:rsidR="00AB3ADB">
        <w:rPr>
          <w:noProof/>
        </w:rPr>
        <w:t>)</w:t>
      </w:r>
      <w:r w:rsidR="00AB3ADB">
        <w:tab/>
      </w:r>
      <w:r w:rsidR="00AB3ADB">
        <w:rPr>
          <w:noProof/>
        </w:rPr>
        <w:t xml:space="preserve">„документ за спазени изисквания“ означава специален документ за кораба, издаден на дружество от проверяващ орган, с който се потвърждава, че </w:t>
      </w:r>
      <w:r w:rsidR="00211290">
        <w:rPr>
          <w:noProof/>
        </w:rPr>
        <w:t xml:space="preserve">по отношение на </w:t>
      </w:r>
      <w:r w:rsidR="00AB3ADB">
        <w:rPr>
          <w:noProof/>
        </w:rPr>
        <w:t>кораб</w:t>
      </w:r>
      <w:r w:rsidR="00211290">
        <w:rPr>
          <w:noProof/>
        </w:rPr>
        <w:t>а</w:t>
      </w:r>
      <w:r w:rsidR="00AB3ADB">
        <w:rPr>
          <w:noProof/>
        </w:rPr>
        <w:t xml:space="preserve"> </w:t>
      </w:r>
      <w:r w:rsidR="00211290">
        <w:rPr>
          <w:noProof/>
        </w:rPr>
        <w:t>са</w:t>
      </w:r>
      <w:r w:rsidR="00AB3ADB">
        <w:rPr>
          <w:noProof/>
        </w:rPr>
        <w:t xml:space="preserve"> спаз</w:t>
      </w:r>
      <w:r w:rsidR="00211290">
        <w:rPr>
          <w:noProof/>
        </w:rPr>
        <w:t>ени</w:t>
      </w:r>
      <w:r w:rsidR="00AB3ADB">
        <w:rPr>
          <w:noProof/>
        </w:rPr>
        <w:t xml:space="preserve"> изискванията на настоящия регламент през конкретен отчетен период;</w:t>
      </w:r>
    </w:p>
    <w:p w:rsidR="00AB3ADB" w:rsidRPr="00EC12DC" w:rsidRDefault="00E938BF" w:rsidP="009C5181">
      <w:pPr>
        <w:pStyle w:val="Point0"/>
        <w:rPr>
          <w:noProof/>
        </w:rPr>
      </w:pPr>
      <w:r>
        <w:t>и</w:t>
      </w:r>
      <w:r w:rsidR="00AB3ADB">
        <w:t>)</w:t>
      </w:r>
      <w:r w:rsidR="00AB3ADB">
        <w:tab/>
        <w:t xml:space="preserve">„друга информация от значение“ означава информация, свързана с </w:t>
      </w:r>
      <w:r w:rsidR="00AB3ADB" w:rsidRPr="001D3B9B">
        <w:t>емисиите на СО</w:t>
      </w:r>
      <w:r w:rsidR="00AB3ADB" w:rsidRPr="00211290">
        <w:rPr>
          <w:vertAlign w:val="subscript"/>
        </w:rPr>
        <w:t>2</w:t>
      </w:r>
      <w:r w:rsidR="00AB3ADB" w:rsidRPr="001D3B9B">
        <w:t xml:space="preserve"> от</w:t>
      </w:r>
      <w:r w:rsidR="00AB3ADB">
        <w:t xml:space="preserve"> консумацията на горива, транспортната работа и енергийната ефективност на корабите, която дава възможност да се анализират тенденциите при емисиите и да се оценят работните показатели на корабите;</w:t>
      </w:r>
    </w:p>
    <w:p w:rsidR="00AB3ADB" w:rsidRPr="00EC12DC" w:rsidRDefault="00E938BF" w:rsidP="009C5181">
      <w:pPr>
        <w:pStyle w:val="Point0"/>
        <w:rPr>
          <w:noProof/>
        </w:rPr>
      </w:pPr>
      <w:r>
        <w:t>й</w:t>
      </w:r>
      <w:r w:rsidR="00AB3ADB">
        <w:t>)</w:t>
      </w:r>
      <w:r w:rsidR="00AB3ADB">
        <w:tab/>
        <w:t>„емисионен фактор“ означава осредненото количество емисии на парников газ, отнесено към данните за дейността на даден пораждащ емисии поток, като се приема, че има пълно окисляване при горенето и пълно превръщане при всички останали химични реакции;</w:t>
      </w:r>
    </w:p>
    <w:p w:rsidR="00AB3ADB" w:rsidRPr="00EC12DC" w:rsidRDefault="00AB3ADB" w:rsidP="009C5181">
      <w:pPr>
        <w:pStyle w:val="Point0"/>
        <w:rPr>
          <w:noProof/>
        </w:rPr>
      </w:pPr>
      <w:r>
        <w:br w:type="page"/>
      </w:r>
      <w:r w:rsidR="00E938BF">
        <w:t>к</w:t>
      </w:r>
      <w:r>
        <w:t>)</w:t>
      </w:r>
      <w:r>
        <w:tab/>
        <w:t>„неопределеност“ означава параметрична величина, свързана с резултата от определянето на дадено количество, която характеризира дисперсията на стойностите, които е разумно приемливо да бъдат приписани на това количество, като се вземе предвид влиянието и на системните и на случайните фактори, която е изразена в проценти и описва доверителен интервал около средната стойност, обхващащ 95 % от получените стойности, като се взема предвид всяка възможна асиметрия на разпределението на стойностите;</w:t>
      </w:r>
    </w:p>
    <w:p w:rsidR="00AB3ADB" w:rsidRPr="00EC12DC" w:rsidRDefault="00E938BF" w:rsidP="00E725DD">
      <w:pPr>
        <w:pStyle w:val="Point0"/>
        <w:rPr>
          <w:noProof/>
        </w:rPr>
      </w:pPr>
      <w:r>
        <w:t>л</w:t>
      </w:r>
      <w:r w:rsidR="00AB3ADB">
        <w:t>)</w:t>
      </w:r>
      <w:r w:rsidR="00AB3ADB">
        <w:tab/>
        <w:t xml:space="preserve">„консервативен“ означава набор от допускания, който гарантира, че няма да се получи недооценяване на годишните емисии или надценяване на изминатите разстояния или </w:t>
      </w:r>
      <w:r w:rsidR="00E725DD">
        <w:t xml:space="preserve">количеството </w:t>
      </w:r>
      <w:r w:rsidR="00AB3ADB">
        <w:t>пре</w:t>
      </w:r>
      <w:r w:rsidR="00E725DD">
        <w:t>возени</w:t>
      </w:r>
      <w:r w:rsidR="00AB3ADB">
        <w:t xml:space="preserve"> товари;</w:t>
      </w:r>
    </w:p>
    <w:p w:rsidR="00AB3ADB" w:rsidRPr="001D3B9B" w:rsidRDefault="00E938BF" w:rsidP="009C5181">
      <w:pPr>
        <w:pStyle w:val="Point0"/>
      </w:pPr>
      <w:r>
        <w:t>м</w:t>
      </w:r>
      <w:r w:rsidR="00AB3ADB">
        <w:t>)</w:t>
      </w:r>
      <w:r w:rsidR="00AB3ADB">
        <w:tab/>
        <w:t xml:space="preserve">„отчетен период“ означава една календарна година, през която емисиите на </w:t>
      </w:r>
      <w:r w:rsidR="00AB3ADB" w:rsidRPr="001D3B9B">
        <w:t>СО</w:t>
      </w:r>
      <w:r w:rsidR="00AB3ADB" w:rsidRPr="00D723B0">
        <w:rPr>
          <w:vertAlign w:val="subscript"/>
        </w:rPr>
        <w:t>2</w:t>
      </w:r>
      <w:r w:rsidR="00AB3ADB" w:rsidRPr="001D3B9B">
        <w:t xml:space="preserve"> </w:t>
      </w:r>
      <w:r w:rsidR="00AB3ADB">
        <w:t xml:space="preserve">трябва да бъдат подложени на мониторинг и докладвани. </w:t>
      </w:r>
      <w:r w:rsidR="00AB3ADB" w:rsidRPr="001D3B9B">
        <w:t xml:space="preserve">За </w:t>
      </w:r>
      <w:r w:rsidR="00113771" w:rsidRPr="001D3B9B">
        <w:t>п</w:t>
      </w:r>
      <w:r w:rsidR="00113771">
        <w:t>лаван</w:t>
      </w:r>
      <w:r w:rsidR="00113771" w:rsidRPr="001D3B9B">
        <w:t>ия</w:t>
      </w:r>
      <w:r w:rsidR="00AB3ADB" w:rsidRPr="001D3B9B">
        <w:t>, които започват и завършват в две различни календарни години, мониторингът и докладваните данни се отчитат за първата календарна година;</w:t>
      </w:r>
    </w:p>
    <w:p w:rsidR="00AB3ADB" w:rsidRPr="00EC12DC" w:rsidRDefault="00E938BF" w:rsidP="009C5181">
      <w:pPr>
        <w:pStyle w:val="Point0"/>
        <w:rPr>
          <w:noProof/>
        </w:rPr>
      </w:pPr>
      <w:r>
        <w:t>н</w:t>
      </w:r>
      <w:r w:rsidR="00AB3ADB">
        <w:rPr>
          <w:noProof/>
        </w:rPr>
        <w:t>)</w:t>
      </w:r>
      <w:r w:rsidR="00AB3ADB">
        <w:tab/>
      </w:r>
      <w:r w:rsidR="00AB3ADB">
        <w:rPr>
          <w:noProof/>
        </w:rPr>
        <w:t>„кораб</w:t>
      </w:r>
      <w:r w:rsidR="00113771">
        <w:rPr>
          <w:noProof/>
        </w:rPr>
        <w:t xml:space="preserve"> на котвена стоянка</w:t>
      </w:r>
      <w:r w:rsidR="00AB3ADB">
        <w:rPr>
          <w:noProof/>
        </w:rPr>
        <w:t>“ означава кораб, който е стабилно акостирал или закотвен в пристанище, попадащо под юрисдикцията на държава членка, докато товари, разтоварва или нощува, включително времето, прекарано извън товарните операциите;</w:t>
      </w:r>
    </w:p>
    <w:p w:rsidR="00AB3ADB" w:rsidRPr="00EC12DC" w:rsidRDefault="00E938BF" w:rsidP="009C5181">
      <w:pPr>
        <w:pStyle w:val="Point0"/>
        <w:rPr>
          <w:noProof/>
        </w:rPr>
      </w:pPr>
      <w:r>
        <w:rPr>
          <w:noProof/>
        </w:rPr>
        <w:t>о</w:t>
      </w:r>
      <w:r w:rsidR="00AB3ADB">
        <w:rPr>
          <w:noProof/>
        </w:rPr>
        <w:t>)</w:t>
      </w:r>
      <w:r w:rsidR="00AB3ADB">
        <w:tab/>
      </w:r>
      <w:r w:rsidR="00AB3ADB">
        <w:rPr>
          <w:noProof/>
        </w:rPr>
        <w:t>„</w:t>
      </w:r>
      <w:r w:rsidR="00B53783">
        <w:rPr>
          <w:noProof/>
        </w:rPr>
        <w:t xml:space="preserve">ледови </w:t>
      </w:r>
      <w:r w:rsidR="00AB3ADB">
        <w:rPr>
          <w:noProof/>
        </w:rPr>
        <w:t xml:space="preserve">клас“ означава обозначение, дадено на кораб от компетентните национални органи на държавата на знамето или от организация, призната от тази държава, което показва, че корабът е бил проектиран за плаване </w:t>
      </w:r>
      <w:r w:rsidR="00F00BFE">
        <w:rPr>
          <w:noProof/>
        </w:rPr>
        <w:t xml:space="preserve">през </w:t>
      </w:r>
      <w:r w:rsidR="00AB3ADB">
        <w:rPr>
          <w:noProof/>
        </w:rPr>
        <w:t>заледени морски води.</w:t>
      </w:r>
    </w:p>
    <w:p w:rsidR="00AB3ADB" w:rsidRPr="00EC12DC" w:rsidRDefault="00AB3ADB" w:rsidP="00AB3ADB">
      <w:pPr>
        <w:pStyle w:val="ChapterTitle"/>
        <w:rPr>
          <w:noProof/>
        </w:rPr>
      </w:pPr>
      <w:r>
        <w:br w:type="page"/>
        <w:t>ГЛАВА II</w:t>
      </w:r>
      <w:r w:rsidRPr="00AB3ADB">
        <w:br/>
      </w:r>
      <w:r>
        <w:t>МОНИТОРИНГ И ДОКЛАДВАНЕ</w:t>
      </w:r>
    </w:p>
    <w:p w:rsidR="00AB3ADB" w:rsidRPr="00EC12DC" w:rsidRDefault="00AB3ADB" w:rsidP="00AB3ADB">
      <w:pPr>
        <w:pStyle w:val="SectionTitle"/>
        <w:rPr>
          <w:noProof/>
        </w:rPr>
      </w:pPr>
      <w:r w:rsidRPr="00AB3ADB">
        <w:t>Раздел</w:t>
      </w:r>
      <w:r>
        <w:rPr>
          <w:b w:val="0"/>
          <w:noProof/>
        </w:rPr>
        <w:t xml:space="preserve"> 1</w:t>
      </w:r>
      <w:r w:rsidRPr="00AB3ADB">
        <w:rPr>
          <w:b w:val="0"/>
          <w:noProof/>
        </w:rPr>
        <w:br/>
      </w:r>
      <w:r>
        <w:t>Принципи и методи за мониторинг и докладване</w:t>
      </w:r>
    </w:p>
    <w:p w:rsidR="00AB3ADB" w:rsidRPr="00EC12DC" w:rsidRDefault="00AB3ADB" w:rsidP="009C5181">
      <w:pPr>
        <w:pStyle w:val="Titrearticle"/>
        <w:rPr>
          <w:noProof/>
        </w:rPr>
      </w:pPr>
      <w:r>
        <w:t>Член 4</w:t>
      </w:r>
      <w:r w:rsidRPr="00AB3ADB">
        <w:br/>
      </w:r>
      <w:r>
        <w:t>Общи принципи за мониторинг и докладване</w:t>
      </w:r>
    </w:p>
    <w:p w:rsidR="00AB3ADB" w:rsidRPr="009C5181" w:rsidRDefault="00AB3ADB" w:rsidP="00BD4CD8">
      <w:pPr>
        <w:pStyle w:val="ManualNumPar1"/>
        <w:rPr>
          <w:noProof/>
        </w:rPr>
      </w:pPr>
      <w:r>
        <w:t>1.</w:t>
      </w:r>
      <w:r>
        <w:tab/>
      </w:r>
      <w:r w:rsidRPr="009C5181">
        <w:t>В съответствие с членове 8—12 дружествата</w:t>
      </w:r>
      <w:r w:rsidRPr="009C5181">
        <w:rPr>
          <w:noProof/>
          <w:color w:val="000000"/>
        </w:rPr>
        <w:t xml:space="preserve"> </w:t>
      </w:r>
      <w:r w:rsidRPr="009C5181">
        <w:t xml:space="preserve">извършват мониторинг и докладват за всеки от своите кораби </w:t>
      </w:r>
      <w:r w:rsidR="00E938BF" w:rsidRPr="009C5181">
        <w:t xml:space="preserve">във връзка със </w:t>
      </w:r>
      <w:r w:rsidRPr="009C5181">
        <w:rPr>
          <w:noProof/>
        </w:rPr>
        <w:t>съответните параметри</w:t>
      </w:r>
      <w:r w:rsidRPr="009C5181">
        <w:t xml:space="preserve"> по време на даден </w:t>
      </w:r>
      <w:r w:rsidRPr="009C5181">
        <w:rPr>
          <w:noProof/>
        </w:rPr>
        <w:t xml:space="preserve">отчетен </w:t>
      </w:r>
      <w:r w:rsidRPr="009C5181">
        <w:t>период</w:t>
      </w:r>
      <w:r w:rsidR="00E938BF" w:rsidRPr="009C5181">
        <w:rPr>
          <w:noProof/>
        </w:rPr>
        <w:t>. Те извършват мониторинга и докладването</w:t>
      </w:r>
      <w:r w:rsidRPr="009C5181">
        <w:t xml:space="preserve"> </w:t>
      </w:r>
      <w:r w:rsidR="00E938BF" w:rsidRPr="009C5181">
        <w:t xml:space="preserve">по отношение на </w:t>
      </w:r>
      <w:r w:rsidRPr="009C5181">
        <w:rPr>
          <w:noProof/>
        </w:rPr>
        <w:t>всички</w:t>
      </w:r>
      <w:r w:rsidRPr="009C5181">
        <w:t xml:space="preserve"> пристанища под юрисдикцията на държава членка, както и за всички плавания </w:t>
      </w:r>
      <w:r w:rsidRPr="009C5181">
        <w:rPr>
          <w:noProof/>
        </w:rPr>
        <w:t>до или</w:t>
      </w:r>
      <w:r w:rsidRPr="009C5181">
        <w:t xml:space="preserve"> от пристанище под юрисдикцията на държава членка.</w:t>
      </w:r>
    </w:p>
    <w:p w:rsidR="00AB3ADB" w:rsidRPr="009C5181" w:rsidRDefault="00AB3ADB" w:rsidP="00BD4CD8">
      <w:pPr>
        <w:pStyle w:val="ManualNumPar1"/>
        <w:rPr>
          <w:noProof/>
        </w:rPr>
      </w:pPr>
      <w:r w:rsidRPr="009C5181">
        <w:t>2.</w:t>
      </w:r>
      <w:r w:rsidRPr="009C5181">
        <w:tab/>
        <w:t xml:space="preserve">Мониторингът и докладването са цялостни и включват емисиите на </w:t>
      </w:r>
      <w:r w:rsidRPr="009C5181">
        <w:rPr>
          <w:noProof/>
        </w:rPr>
        <w:t>CO</w:t>
      </w:r>
      <w:r w:rsidRPr="009C5181">
        <w:rPr>
          <w:noProof/>
          <w:vertAlign w:val="subscript"/>
        </w:rPr>
        <w:t>2</w:t>
      </w:r>
      <w:r w:rsidRPr="009C5181">
        <w:t xml:space="preserve"> от изгарянето на горива, </w:t>
      </w:r>
      <w:r w:rsidRPr="009C5181">
        <w:rPr>
          <w:noProof/>
        </w:rPr>
        <w:t>докато корабът е в морето, както и на котвена стоянка</w:t>
      </w:r>
      <w:r w:rsidRPr="009C5181">
        <w:t>. Дружествата прилагат подходящи мерки за предотвратяване на всякакви пр</w:t>
      </w:r>
      <w:r w:rsidR="00B53783" w:rsidRPr="009C5181">
        <w:t>опуски</w:t>
      </w:r>
      <w:r w:rsidRPr="009C5181">
        <w:t xml:space="preserve"> в данните за отчетния период.</w:t>
      </w:r>
    </w:p>
    <w:p w:rsidR="00AB3ADB" w:rsidRPr="00EC12DC" w:rsidRDefault="00AB3ADB" w:rsidP="00E452D7">
      <w:pPr>
        <w:pStyle w:val="ManualNumPar1"/>
        <w:rPr>
          <w:noProof/>
        </w:rPr>
      </w:pPr>
      <w:r>
        <w:t>3.</w:t>
      </w:r>
      <w:r>
        <w:tab/>
        <w:t xml:space="preserve">Мониторингът и докладването са последователни и сравними във времето. </w:t>
      </w:r>
      <w:r w:rsidR="00E938BF">
        <w:t xml:space="preserve">За тази цел </w:t>
      </w:r>
      <w:r w:rsidR="00E938BF">
        <w:rPr>
          <w:noProof/>
          <w:color w:val="000000"/>
        </w:rPr>
        <w:t>д</w:t>
      </w:r>
      <w:r>
        <w:rPr>
          <w:noProof/>
          <w:color w:val="000000"/>
        </w:rPr>
        <w:t xml:space="preserve">ружествата </w:t>
      </w:r>
      <w:r>
        <w:t>използват</w:t>
      </w:r>
      <w:r w:rsidR="00D62FB9" w:rsidRPr="00D62FB9">
        <w:t xml:space="preserve"> </w:t>
      </w:r>
      <w:r w:rsidR="00D62FB9">
        <w:t>за мониторинга</w:t>
      </w:r>
      <w:r>
        <w:t xml:space="preserve"> едни и същи методики и масив</w:t>
      </w:r>
      <w:r w:rsidRPr="00E452D7">
        <w:t xml:space="preserve">и </w:t>
      </w:r>
      <w:r w:rsidR="00E452D7" w:rsidRPr="00E452D7">
        <w:t>от</w:t>
      </w:r>
      <w:r w:rsidRPr="00E452D7">
        <w:t xml:space="preserve"> данни, </w:t>
      </w:r>
      <w:r w:rsidR="00E938BF" w:rsidRPr="00E452D7">
        <w:t>като отчитат евентуални изменения, преминали през оценка от страна на</w:t>
      </w:r>
      <w:r w:rsidR="00E938BF">
        <w:t xml:space="preserve"> </w:t>
      </w:r>
      <w:r>
        <w:t>проверяващия орган.</w:t>
      </w:r>
    </w:p>
    <w:p w:rsidR="00AB3ADB" w:rsidRPr="00EC12DC" w:rsidRDefault="00AB3ADB" w:rsidP="00BD4CD8">
      <w:pPr>
        <w:pStyle w:val="ManualNumPar1"/>
        <w:rPr>
          <w:noProof/>
        </w:rPr>
      </w:pPr>
      <w:r>
        <w:br w:type="page"/>
        <w:t>4.</w:t>
      </w:r>
      <w:r>
        <w:tab/>
        <w:t xml:space="preserve">Дружествата получават, записват, компилират, анализират и документират данни от мониторинга, включително допускания, препратки, емисионни фактори и данни за дейността, по прозрачен начин, който дава възможност за възпроизвеждане на определянето на емисиите на </w:t>
      </w:r>
      <w:r w:rsidRPr="00637A4F">
        <w:t>CO</w:t>
      </w:r>
      <w:r w:rsidRPr="00637A4F">
        <w:rPr>
          <w:vertAlign w:val="subscript"/>
        </w:rPr>
        <w:t>2</w:t>
      </w:r>
      <w:r>
        <w:rPr>
          <w:u w:val="single"/>
          <w:vertAlign w:val="subscript"/>
        </w:rPr>
        <w:t xml:space="preserve"> </w:t>
      </w:r>
      <w:r>
        <w:t>от проверяващия орган.</w:t>
      </w:r>
    </w:p>
    <w:p w:rsidR="00AB3ADB" w:rsidRPr="00EC12DC" w:rsidRDefault="00AB3ADB" w:rsidP="00BD4CD8">
      <w:pPr>
        <w:pStyle w:val="ManualNumPar1"/>
        <w:rPr>
          <w:noProof/>
        </w:rPr>
      </w:pPr>
      <w:r>
        <w:t>5.</w:t>
      </w:r>
      <w:r>
        <w:tab/>
        <w:t>Дружествата гарантират, че определянето на емисиите не е нито системно, нито съзнателно неточно. Те установяват и намаляват риска от всеки източник на неточности.</w:t>
      </w:r>
    </w:p>
    <w:p w:rsidR="00AB3ADB" w:rsidRPr="009C5181" w:rsidRDefault="00AB3ADB" w:rsidP="00BD4CD8">
      <w:pPr>
        <w:pStyle w:val="ManualNumPar1"/>
        <w:rPr>
          <w:noProof/>
        </w:rPr>
      </w:pPr>
      <w:r>
        <w:t>6.</w:t>
      </w:r>
      <w:r>
        <w:tab/>
      </w:r>
      <w:r w:rsidRPr="009C5181">
        <w:t>Дружествата осигуряват разумна степен на увереност в достоверността на данните за емисиите</w:t>
      </w:r>
      <w:r w:rsidR="00E938BF" w:rsidRPr="009C5181">
        <w:t xml:space="preserve"> на CO</w:t>
      </w:r>
      <w:r w:rsidR="00E938BF" w:rsidRPr="009C5181">
        <w:rPr>
          <w:vertAlign w:val="subscript"/>
        </w:rPr>
        <w:t>2</w:t>
      </w:r>
      <w:r w:rsidRPr="009C5181">
        <w:t>, подлежащи на мониторинг и докладване.</w:t>
      </w:r>
    </w:p>
    <w:p w:rsidR="00AB3ADB" w:rsidRPr="009C5181" w:rsidRDefault="00E938BF" w:rsidP="00BD4CD8">
      <w:pPr>
        <w:pStyle w:val="ManualNumPar1"/>
      </w:pPr>
      <w:r w:rsidRPr="009C5181">
        <w:t>7</w:t>
      </w:r>
      <w:r w:rsidR="00AB3ADB" w:rsidRPr="009C5181">
        <w:t>.</w:t>
      </w:r>
      <w:r w:rsidR="00AB3ADB" w:rsidRPr="009C5181">
        <w:tab/>
        <w:t xml:space="preserve">Дружествата се стремят да вземат предвид препоръките, включени в докладите от проверката, изготвени в съответствие с член 13, параграф </w:t>
      </w:r>
      <w:r w:rsidRPr="009C5181">
        <w:t>3</w:t>
      </w:r>
      <w:r w:rsidR="00AB3ADB" w:rsidRPr="009C5181">
        <w:t xml:space="preserve"> и</w:t>
      </w:r>
      <w:r w:rsidR="00AE35A6" w:rsidRPr="009C5181">
        <w:t>ли</w:t>
      </w:r>
      <w:r w:rsidR="00AB3ADB" w:rsidRPr="009C5181">
        <w:t xml:space="preserve"> </w:t>
      </w:r>
      <w:r w:rsidRPr="009C5181">
        <w:t>4</w:t>
      </w:r>
      <w:r w:rsidR="00AB3ADB" w:rsidRPr="009C5181">
        <w:t>, при своя последващ мониторинг и докладване.</w:t>
      </w:r>
    </w:p>
    <w:p w:rsidR="00AB3ADB" w:rsidRPr="00EC12DC" w:rsidRDefault="00AB3ADB" w:rsidP="00DE4F77">
      <w:pPr>
        <w:pStyle w:val="Titrearticle"/>
        <w:rPr>
          <w:noProof/>
          <w:highlight w:val="yellow"/>
        </w:rPr>
      </w:pPr>
      <w:r>
        <w:t>Член 5</w:t>
      </w:r>
      <w:r w:rsidRPr="00AB3ADB">
        <w:br/>
      </w:r>
      <w:r>
        <w:t xml:space="preserve">Методи за мониторинг на емисиите </w:t>
      </w:r>
      <w:r w:rsidRPr="001D3B9B">
        <w:t>на CO</w:t>
      </w:r>
      <w:r w:rsidRPr="002E1912">
        <w:rPr>
          <w:vertAlign w:val="subscript"/>
        </w:rPr>
        <w:t>2</w:t>
      </w:r>
      <w:r w:rsidRPr="003F0657">
        <w:t xml:space="preserve"> </w:t>
      </w:r>
      <w:r w:rsidRPr="001D3B9B">
        <w:t>и на друга информация от значение</w:t>
      </w:r>
    </w:p>
    <w:p w:rsidR="00AB3ADB" w:rsidRPr="001D3B9B" w:rsidRDefault="009C5181" w:rsidP="009C5181">
      <w:pPr>
        <w:pStyle w:val="ManualNumPar1"/>
      </w:pPr>
      <w:r w:rsidRPr="009C5181">
        <w:t>1.</w:t>
      </w:r>
      <w:r w:rsidRPr="009C5181">
        <w:tab/>
      </w:r>
      <w:r w:rsidR="00AB3ADB">
        <w:t xml:space="preserve">За целите на член 4, параграфи 1, 2 и 3 дружествата определятза всеки от своите кораби </w:t>
      </w:r>
      <w:r w:rsidR="00AB3ADB" w:rsidRPr="001D3B9B">
        <w:t>емисиите на CO</w:t>
      </w:r>
      <w:r w:rsidR="00AB3ADB" w:rsidRPr="002E1912">
        <w:rPr>
          <w:vertAlign w:val="subscript"/>
        </w:rPr>
        <w:t>2</w:t>
      </w:r>
      <w:r w:rsidR="00AB3ADB">
        <w:t xml:space="preserve"> в съответствие с някой от методите, посочени в приложение I, </w:t>
      </w:r>
      <w:r w:rsidR="00AB3ADB" w:rsidRPr="001D3B9B">
        <w:t>и</w:t>
      </w:r>
      <w:r w:rsidR="00CA651A">
        <w:t>извършват</w:t>
      </w:r>
      <w:r w:rsidR="00D62FB9">
        <w:t xml:space="preserve"> мониторинг </w:t>
      </w:r>
      <w:r w:rsidR="00CA651A">
        <w:t xml:space="preserve">на </w:t>
      </w:r>
      <w:r w:rsidR="00AB3ADB" w:rsidRPr="001D3B9B">
        <w:t>друга информация от значение, в съответствие с правилата, установени в приложение II или приети в съответствие с</w:t>
      </w:r>
      <w:r w:rsidR="00066A7B">
        <w:t xml:space="preserve"> </w:t>
      </w:r>
      <w:r w:rsidR="002E1912">
        <w:t>приложение ІІ</w:t>
      </w:r>
      <w:r w:rsidR="00AB3ADB" w:rsidRPr="001D3B9B">
        <w:t>.</w:t>
      </w:r>
    </w:p>
    <w:p w:rsidR="00AB3ADB" w:rsidRPr="001D3B9B" w:rsidRDefault="00AB3ADB" w:rsidP="009C5181">
      <w:pPr>
        <w:pStyle w:val="ManualNumPar1"/>
      </w:pPr>
      <w:r w:rsidRPr="001D3B9B">
        <w:br w:type="page"/>
      </w:r>
      <w:r w:rsidR="009C5181" w:rsidRPr="009C5181">
        <w:t>2.</w:t>
      </w:r>
      <w:r w:rsidR="009C5181" w:rsidRPr="009C5181">
        <w:tab/>
      </w:r>
      <w:r w:rsidRPr="001D3B9B">
        <w:t>На Комисията се предоставя правомощието да приема делегирани актове в съответствие с член </w:t>
      </w:r>
      <w:r w:rsidR="00DE4F77" w:rsidRPr="001D3B9B">
        <w:t>2</w:t>
      </w:r>
      <w:r w:rsidR="00DE4F77">
        <w:t>3</w:t>
      </w:r>
      <w:r w:rsidR="00DE4F77" w:rsidRPr="001D3B9B">
        <w:t xml:space="preserve"> </w:t>
      </w:r>
      <w:r w:rsidRPr="001D3B9B">
        <w:t>за изменение на методите, определени в приложение I, и правилата, посочени в приложение II, за да се вземат предвид съответните международни правила, както и международните и европейските стандарти</w:t>
      </w:r>
      <w:r w:rsidR="00113771">
        <w:t>.</w:t>
      </w:r>
      <w:r w:rsidR="00C74D9C">
        <w:t xml:space="preserve">На </w:t>
      </w:r>
      <w:r w:rsidRPr="001D3B9B">
        <w:t xml:space="preserve">Комисията </w:t>
      </w:r>
      <w:r w:rsidR="00C74D9C">
        <w:t xml:space="preserve">също така се предоставя правомощието </w:t>
      </w:r>
      <w:r w:rsidRPr="001D3B9B">
        <w:t>да приема делегирани актове в съответствие с член 2</w:t>
      </w:r>
      <w:r w:rsidR="00DE4F77">
        <w:t>3</w:t>
      </w:r>
      <w:r w:rsidRPr="001D3B9B">
        <w:t xml:space="preserve"> за изменение на приложения</w:t>
      </w:r>
      <w:r w:rsidR="00DE4F77">
        <w:t xml:space="preserve"> І и ІІ</w:t>
      </w:r>
      <w:r w:rsidRPr="001D3B9B">
        <w:t xml:space="preserve"> с цел определените в тях елементи от методите за мониторинг да бъдат усъвършенствани съобразно технологичните и научните постижения.</w:t>
      </w:r>
    </w:p>
    <w:p w:rsidR="00AB3ADB" w:rsidRPr="00EC12DC" w:rsidRDefault="009C5181" w:rsidP="00AB3ADB">
      <w:pPr>
        <w:pStyle w:val="SectionTitle"/>
        <w:rPr>
          <w:noProof/>
        </w:rPr>
      </w:pPr>
      <w:r w:rsidRPr="00AB3ADB">
        <w:t>Раздел</w:t>
      </w:r>
      <w:r>
        <w:rPr>
          <w:b w:val="0"/>
          <w:noProof/>
        </w:rPr>
        <w:t xml:space="preserve"> </w:t>
      </w:r>
      <w:r w:rsidR="00AB3ADB">
        <w:rPr>
          <w:b w:val="0"/>
          <w:noProof/>
        </w:rPr>
        <w:t>2</w:t>
      </w:r>
      <w:r w:rsidR="00AB3ADB" w:rsidRPr="00AB3ADB">
        <w:rPr>
          <w:b w:val="0"/>
          <w:noProof/>
        </w:rPr>
        <w:br/>
      </w:r>
      <w:r>
        <w:t>Мониторингов план</w:t>
      </w:r>
    </w:p>
    <w:p w:rsidR="00AB3ADB" w:rsidRPr="00EC12DC" w:rsidRDefault="00AB3ADB" w:rsidP="00AB3ADB">
      <w:pPr>
        <w:pStyle w:val="Titrearticle"/>
        <w:rPr>
          <w:noProof/>
        </w:rPr>
      </w:pPr>
      <w:r>
        <w:t>Член 6</w:t>
      </w:r>
      <w:r w:rsidRPr="00AB3ADB">
        <w:br/>
      </w:r>
      <w:r>
        <w:t>Съдържание и представяне на мониторинговия план</w:t>
      </w:r>
    </w:p>
    <w:p w:rsidR="00AB3ADB" w:rsidRPr="00EC12DC" w:rsidRDefault="00AB3ADB" w:rsidP="00BD4CD8">
      <w:pPr>
        <w:pStyle w:val="ManualNumPar1"/>
        <w:rPr>
          <w:noProof/>
          <w:color w:val="000000"/>
        </w:rPr>
      </w:pPr>
      <w:r>
        <w:t>1.</w:t>
      </w:r>
      <w:r>
        <w:tab/>
        <w:t>До 31 август 2017 г. дружествата представят на съот</w:t>
      </w:r>
      <w:r w:rsidRPr="00C67294">
        <w:t xml:space="preserve">ветните </w:t>
      </w:r>
      <w:r w:rsidRPr="00D723B0">
        <w:t>проверяващи органи</w:t>
      </w:r>
      <w:r w:rsidRPr="00C67294">
        <w:t xml:space="preserve"> за</w:t>
      </w:r>
      <w:r>
        <w:t xml:space="preserve"> всеки от </w:t>
      </w:r>
      <w:r w:rsidRPr="00E725DD">
        <w:t>своите кораби монитор</w:t>
      </w:r>
      <w:r>
        <w:t xml:space="preserve">ингов план, в който е посочен избраният метод за мониторинг и докладване на емисиите </w:t>
      </w:r>
      <w:r w:rsidR="00C74D9C">
        <w:t xml:space="preserve">на </w:t>
      </w:r>
      <w:r w:rsidR="00C74D9C" w:rsidRPr="00C74D9C">
        <w:t>CO</w:t>
      </w:r>
      <w:r w:rsidR="00C74D9C" w:rsidRPr="00C74D9C">
        <w:rPr>
          <w:vertAlign w:val="subscript"/>
        </w:rPr>
        <w:t>2</w:t>
      </w:r>
      <w:r w:rsidR="00C74D9C">
        <w:rPr>
          <w:vertAlign w:val="subscript"/>
        </w:rPr>
        <w:t xml:space="preserve"> </w:t>
      </w:r>
      <w:r>
        <w:t>и на друга</w:t>
      </w:r>
      <w:r w:rsidR="00637A4F">
        <w:t xml:space="preserve"> </w:t>
      </w:r>
      <w:r>
        <w:t>информация от значение.</w:t>
      </w:r>
    </w:p>
    <w:p w:rsidR="00AB3ADB" w:rsidRPr="00EC12DC" w:rsidRDefault="00AB3ADB" w:rsidP="00BD4CD8">
      <w:pPr>
        <w:pStyle w:val="ManualNumPar1"/>
        <w:rPr>
          <w:noProof/>
          <w:color w:val="000000"/>
        </w:rPr>
      </w:pPr>
      <w:r>
        <w:t>2.</w:t>
      </w:r>
      <w:r>
        <w:tab/>
      </w:r>
      <w:r w:rsidRPr="009C5181">
        <w:t xml:space="preserve">Независимо от параграф 1, за корабите, които попадат в обхвата на настоящия регламент за пръв път след </w:t>
      </w:r>
      <w:r w:rsidRPr="009C5181">
        <w:rPr>
          <w:noProof/>
        </w:rPr>
        <w:t>31 август 2017 г.</w:t>
      </w:r>
      <w:r w:rsidRPr="009C5181">
        <w:t xml:space="preserve">, дружеството представя на проверяващия орган мониторингов план без </w:t>
      </w:r>
      <w:r w:rsidR="00DE4F77" w:rsidRPr="009C5181">
        <w:t xml:space="preserve">неоправдано </w:t>
      </w:r>
      <w:r w:rsidRPr="00D723B0">
        <w:t>забавяне</w:t>
      </w:r>
      <w:r w:rsidRPr="009C5181">
        <w:t xml:space="preserve"> и не по-късно от два месеца след първото акостиране на </w:t>
      </w:r>
      <w:r w:rsidR="00DE4F77" w:rsidRPr="009C5181">
        <w:t xml:space="preserve">всеки </w:t>
      </w:r>
      <w:r w:rsidRPr="009C5181">
        <w:t>кораб в пристанище под юрисдикцията на държава членка.</w:t>
      </w:r>
    </w:p>
    <w:p w:rsidR="00AB3ADB" w:rsidRPr="00EC12DC" w:rsidRDefault="00AB3ADB" w:rsidP="00BD4CD8">
      <w:pPr>
        <w:pStyle w:val="ManualNumPar1"/>
        <w:rPr>
          <w:noProof/>
          <w:color w:val="000000"/>
        </w:rPr>
      </w:pPr>
      <w:r>
        <w:br w:type="page"/>
        <w:t>3.</w:t>
      </w:r>
      <w:r>
        <w:tab/>
        <w:t xml:space="preserve">Мониторинговият план се състои от пълна и прозрачно съставена документация </w:t>
      </w:r>
      <w:r w:rsidR="00DE4F77">
        <w:t xml:space="preserve">относно метода </w:t>
      </w:r>
      <w:r>
        <w:t xml:space="preserve">за мониторинг на </w:t>
      </w:r>
      <w:r w:rsidR="00DE4F77">
        <w:t xml:space="preserve">съответния </w:t>
      </w:r>
      <w:r>
        <w:t>кораб и съдържа най-малко следните елементи:</w:t>
      </w:r>
    </w:p>
    <w:p w:rsidR="00AB3ADB" w:rsidRPr="00EC12DC" w:rsidRDefault="00AB3ADB" w:rsidP="00843243">
      <w:pPr>
        <w:pStyle w:val="Point1"/>
        <w:rPr>
          <w:noProof/>
        </w:rPr>
      </w:pPr>
      <w:r>
        <w:t>а)</w:t>
      </w:r>
      <w:r>
        <w:tab/>
        <w:t>идентификаци</w:t>
      </w:r>
      <w:r w:rsidR="00843243">
        <w:t>онни данни</w:t>
      </w:r>
      <w:r>
        <w:t xml:space="preserve"> и тип на кораба, включително името на кораба, неговия </w:t>
      </w:r>
      <w:r w:rsidRPr="001D3B9B">
        <w:t>идентификационен</w:t>
      </w:r>
      <w:r>
        <w:t xml:space="preserve"> номер в ИМО, неговото пристанище на регистрация или пристанище на домуване, както и името на корабособственика;</w:t>
      </w:r>
    </w:p>
    <w:p w:rsidR="00AB3ADB" w:rsidRPr="00EC12DC" w:rsidRDefault="00AB3ADB" w:rsidP="009C5181">
      <w:pPr>
        <w:pStyle w:val="Point1"/>
        <w:rPr>
          <w:noProof/>
        </w:rPr>
      </w:pPr>
      <w:r>
        <w:t>б)</w:t>
      </w:r>
      <w:r>
        <w:tab/>
        <w:t>наименованието на дружеството и данни за адрес, телефон</w:t>
      </w:r>
      <w:r w:rsidR="002E1912">
        <w:t xml:space="preserve"> </w:t>
      </w:r>
      <w:r>
        <w:t xml:space="preserve">и </w:t>
      </w:r>
      <w:r w:rsidR="002E1912">
        <w:t xml:space="preserve">адрес на </w:t>
      </w:r>
      <w:r>
        <w:t>електронна поща на лице за контакт;</w:t>
      </w:r>
    </w:p>
    <w:p w:rsidR="00AB3ADB" w:rsidRPr="00EC12DC" w:rsidRDefault="00AB3ADB" w:rsidP="009C5181">
      <w:pPr>
        <w:pStyle w:val="Point1"/>
        <w:rPr>
          <w:noProof/>
        </w:rPr>
      </w:pPr>
      <w:r>
        <w:t>в)</w:t>
      </w:r>
      <w:r>
        <w:tab/>
        <w:t xml:space="preserve">описание на </w:t>
      </w:r>
      <w:r w:rsidRPr="001D3B9B">
        <w:t>следните</w:t>
      </w:r>
      <w:r>
        <w:t xml:space="preserve"> източници на емисии </w:t>
      </w:r>
      <w:r w:rsidR="00C74D9C">
        <w:t xml:space="preserve">на </w:t>
      </w:r>
      <w:r w:rsidR="00C74D9C" w:rsidRPr="00C74D9C">
        <w:t>CO</w:t>
      </w:r>
      <w:r w:rsidR="00C74D9C" w:rsidRPr="00C74D9C">
        <w:rPr>
          <w:vertAlign w:val="subscript"/>
        </w:rPr>
        <w:t>2</w:t>
      </w:r>
      <w:r w:rsidR="00C74D9C">
        <w:rPr>
          <w:vertAlign w:val="subscript"/>
        </w:rPr>
        <w:t xml:space="preserve"> </w:t>
      </w:r>
      <w:r>
        <w:t xml:space="preserve">на борда на кораба: основни двигатели, спомагателните двигатели, </w:t>
      </w:r>
      <w:r w:rsidRPr="001D3B9B">
        <w:t>газови турбини</w:t>
      </w:r>
      <w:r>
        <w:t>, котли и генератори на инертен газ, както и използваните видове гориво;</w:t>
      </w:r>
    </w:p>
    <w:p w:rsidR="00AB3ADB" w:rsidRPr="00EC12DC" w:rsidRDefault="00AB3ADB" w:rsidP="009C5181">
      <w:pPr>
        <w:pStyle w:val="Point1"/>
        <w:rPr>
          <w:noProof/>
        </w:rPr>
      </w:pPr>
      <w:r>
        <w:t>г)</w:t>
      </w:r>
      <w:r>
        <w:tab/>
        <w:t xml:space="preserve">описание на процедурите, системите и отговорностите, използвани за актуализиране на списъка на източниците на емисии </w:t>
      </w:r>
      <w:r w:rsidR="00C74D9C">
        <w:t xml:space="preserve">на </w:t>
      </w:r>
      <w:r w:rsidR="00C74D9C" w:rsidRPr="00C74D9C">
        <w:t>CO</w:t>
      </w:r>
      <w:r w:rsidR="00C74D9C" w:rsidRPr="00C74D9C">
        <w:rPr>
          <w:vertAlign w:val="subscript"/>
        </w:rPr>
        <w:t>2</w:t>
      </w:r>
      <w:r w:rsidR="00C74D9C">
        <w:rPr>
          <w:vertAlign w:val="subscript"/>
        </w:rPr>
        <w:t xml:space="preserve"> </w:t>
      </w:r>
      <w:r>
        <w:t xml:space="preserve">през </w:t>
      </w:r>
      <w:r w:rsidRPr="001D3B9B">
        <w:t>отчетния период</w:t>
      </w:r>
      <w:r>
        <w:t>;</w:t>
      </w:r>
    </w:p>
    <w:p w:rsidR="00AB3ADB" w:rsidRPr="00EC12DC" w:rsidRDefault="00AB3ADB" w:rsidP="009C5181">
      <w:pPr>
        <w:pStyle w:val="Point1"/>
        <w:rPr>
          <w:noProof/>
        </w:rPr>
      </w:pPr>
      <w:r>
        <w:t>д)</w:t>
      </w:r>
      <w:r>
        <w:tab/>
        <w:t>описание на процедурите, използвани за мониторинг на пълнотата на списъка на плаванията;</w:t>
      </w:r>
    </w:p>
    <w:p w:rsidR="00AB3ADB" w:rsidRPr="00EC12DC" w:rsidRDefault="00AB3ADB" w:rsidP="009C5181">
      <w:pPr>
        <w:pStyle w:val="Point1"/>
        <w:rPr>
          <w:noProof/>
        </w:rPr>
      </w:pPr>
      <w:r>
        <w:br w:type="page"/>
        <w:t>е)</w:t>
      </w:r>
      <w:r>
        <w:tab/>
        <w:t>описание на процедурите за мониторинг на консумацията на гориво на кораба, включително:</w:t>
      </w:r>
    </w:p>
    <w:p w:rsidR="00AB3ADB" w:rsidRPr="009C5181" w:rsidRDefault="00AB3ADB" w:rsidP="00E725DD">
      <w:pPr>
        <w:pStyle w:val="Point2"/>
      </w:pPr>
      <w:r>
        <w:t>i)</w:t>
      </w:r>
      <w:r>
        <w:tab/>
      </w:r>
      <w:r w:rsidRPr="009C5181">
        <w:t xml:space="preserve">избрания </w:t>
      </w:r>
      <w:r w:rsidR="00DE4F77" w:rsidRPr="009C5181">
        <w:t xml:space="preserve">от предвидените в приложение I </w:t>
      </w:r>
      <w:r w:rsidRPr="009C5181">
        <w:t>метод за изчисляване на консумираното количество гориво от всеки източник на емисии</w:t>
      </w:r>
      <w:r w:rsidR="00C74D9C" w:rsidRPr="009C5181">
        <w:t xml:space="preserve"> на </w:t>
      </w:r>
      <w:r w:rsidR="00E725DD" w:rsidRPr="00E725DD">
        <w:t>СО</w:t>
      </w:r>
      <w:r w:rsidR="00E725DD" w:rsidRPr="00E725DD">
        <w:rPr>
          <w:vertAlign w:val="subscript"/>
        </w:rPr>
        <w:t>2</w:t>
      </w:r>
      <w:r w:rsidRPr="009C5181">
        <w:t>, включително</w:t>
      </w:r>
      <w:r w:rsidR="00DE4F77" w:rsidRPr="009C5181">
        <w:t>, когато е приложимо,</w:t>
      </w:r>
      <w:r w:rsidRPr="009C5181">
        <w:t xml:space="preserve"> описание на </w:t>
      </w:r>
      <w:r w:rsidR="00DE4F77" w:rsidRPr="009C5181">
        <w:t xml:space="preserve">използваното </w:t>
      </w:r>
      <w:r w:rsidRPr="009C5181">
        <w:t>измервателн</w:t>
      </w:r>
      <w:r w:rsidR="00DE4F77" w:rsidRPr="009C5181">
        <w:t>о оборудване</w:t>
      </w:r>
      <w:r w:rsidRPr="009C5181">
        <w:t>;</w:t>
      </w:r>
    </w:p>
    <w:p w:rsidR="00AB3ADB" w:rsidRPr="009C5181" w:rsidRDefault="00AB3ADB" w:rsidP="009C5181">
      <w:pPr>
        <w:pStyle w:val="Point2"/>
      </w:pPr>
      <w:r w:rsidRPr="009C5181">
        <w:t>ii)</w:t>
      </w:r>
      <w:r w:rsidRPr="009C5181">
        <w:tab/>
        <w:t xml:space="preserve">процедурите за измерване на количеството заредено гориво и горивото в резервоарите, описание на </w:t>
      </w:r>
      <w:r w:rsidR="00DE4F77" w:rsidRPr="009C5181">
        <w:t xml:space="preserve">използваното измервателно оборудване </w:t>
      </w:r>
      <w:r w:rsidRPr="009C5181">
        <w:t>и на процедурите за записване, извличане, предаване и съхранение на информацията за измерванията, в зависимост от случая;</w:t>
      </w:r>
    </w:p>
    <w:p w:rsidR="00AB3ADB" w:rsidRPr="009C5181" w:rsidRDefault="00AB3ADB" w:rsidP="009C5181">
      <w:pPr>
        <w:pStyle w:val="Point2"/>
      </w:pPr>
      <w:r w:rsidRPr="009C5181">
        <w:t>iii)</w:t>
      </w:r>
      <w:r w:rsidRPr="009C5181">
        <w:tab/>
        <w:t>метод</w:t>
      </w:r>
      <w:r w:rsidR="002E1912" w:rsidRPr="009C5181">
        <w:t>а</w:t>
      </w:r>
      <w:r w:rsidRPr="009C5181">
        <w:t xml:space="preserve"> за определяне на плътността, когато се прилага такъв метод;</w:t>
      </w:r>
    </w:p>
    <w:p w:rsidR="00AB3ADB" w:rsidRPr="00EC12DC" w:rsidRDefault="00AB3ADB" w:rsidP="009C5181">
      <w:pPr>
        <w:pStyle w:val="Point2"/>
        <w:rPr>
          <w:noProof/>
        </w:rPr>
      </w:pPr>
      <w:r w:rsidRPr="009C5181">
        <w:t>iv)</w:t>
      </w:r>
      <w:r w:rsidRPr="009C5181">
        <w:tab/>
        <w:t>процедура, осигуряваща съответствие на общата неопределеност на измерването на горивото</w:t>
      </w:r>
      <w:r>
        <w:t xml:space="preserve"> с изискванията по настоящия регламент, по възмо</w:t>
      </w:r>
      <w:r w:rsidRPr="00E452D7">
        <w:t>жност с препратка към националното право, условията на клиентските дог</w:t>
      </w:r>
      <w:r>
        <w:t>овори или стандартите за точност на доставчиците на гориво;</w:t>
      </w:r>
    </w:p>
    <w:p w:rsidR="00AB3ADB" w:rsidRPr="00EC12DC" w:rsidRDefault="00AB3ADB" w:rsidP="009C5181">
      <w:pPr>
        <w:pStyle w:val="Point1"/>
        <w:rPr>
          <w:noProof/>
        </w:rPr>
      </w:pPr>
      <w:r>
        <w:t>ж)</w:t>
      </w:r>
      <w:r>
        <w:tab/>
        <w:t>отделните емисионни фактори, използвани за всеки вид гориво или, в случаите на използване на алтернативни горива — методиките за определяне на емисионните фактори, включително методиката за вземане на проби, методите за анализ</w:t>
      </w:r>
      <w:r w:rsidR="002E1912">
        <w:t xml:space="preserve">и </w:t>
      </w:r>
      <w:r>
        <w:t>описание на използваните лаборатории</w:t>
      </w:r>
      <w:r w:rsidR="002E1912">
        <w:t>,</w:t>
      </w:r>
      <w:r>
        <w:t xml:space="preserve"> </w:t>
      </w:r>
      <w:r w:rsidR="002E1912">
        <w:t>заедно с</w:t>
      </w:r>
      <w:r>
        <w:t xml:space="preserve"> акредитация</w:t>
      </w:r>
      <w:r w:rsidR="00DE4F77">
        <w:t>та</w:t>
      </w:r>
      <w:r>
        <w:t xml:space="preserve"> по ISO 17025</w:t>
      </w:r>
      <w:r w:rsidR="00DE4F77">
        <w:t xml:space="preserve"> на тези лаборатории</w:t>
      </w:r>
      <w:r>
        <w:t xml:space="preserve">, когато </w:t>
      </w:r>
      <w:r w:rsidR="00DE4F77">
        <w:t>има такава</w:t>
      </w:r>
      <w:r>
        <w:t>;</w:t>
      </w:r>
    </w:p>
    <w:p w:rsidR="00AB3ADB" w:rsidRPr="00EC12DC" w:rsidRDefault="00AB3ADB" w:rsidP="009C5181">
      <w:pPr>
        <w:pStyle w:val="Point1"/>
        <w:rPr>
          <w:noProof/>
        </w:rPr>
      </w:pPr>
      <w:r>
        <w:br w:type="page"/>
        <w:t>з)</w:t>
      </w:r>
      <w:r>
        <w:tab/>
        <w:t>описание на процедурите за определяне на данните за дейността при всяко плаване, включително:</w:t>
      </w:r>
    </w:p>
    <w:p w:rsidR="00AB3ADB" w:rsidRPr="00DA09D1" w:rsidRDefault="00AB3ADB" w:rsidP="00DA09D1">
      <w:pPr>
        <w:pStyle w:val="Point2"/>
      </w:pPr>
      <w:r>
        <w:t>i)</w:t>
      </w:r>
      <w:r>
        <w:tab/>
      </w:r>
      <w:r w:rsidRPr="00DA09D1">
        <w:t>процедурите, отговорностите и източниците на данни за определяне и записване на изминатото разстояние;</w:t>
      </w:r>
    </w:p>
    <w:p w:rsidR="00AB3ADB" w:rsidRPr="00DA09D1" w:rsidRDefault="00AB3ADB" w:rsidP="00DA09D1">
      <w:pPr>
        <w:pStyle w:val="Point2"/>
      </w:pPr>
      <w:r w:rsidRPr="00DA09D1">
        <w:t>ii)</w:t>
      </w:r>
      <w:r w:rsidRPr="00DA09D1">
        <w:tab/>
        <w:t xml:space="preserve">процедурите, отговорностите, формулите и източниците на данни за определяне и записване на носения товар и броя на пътниците, </w:t>
      </w:r>
      <w:r w:rsidR="00DE4F77" w:rsidRPr="00DA09D1">
        <w:t>когато е приложимо</w:t>
      </w:r>
      <w:r w:rsidRPr="00DA09D1">
        <w:t>;</w:t>
      </w:r>
    </w:p>
    <w:p w:rsidR="00AB3ADB" w:rsidRPr="00EC12DC" w:rsidRDefault="00AB3ADB" w:rsidP="00DA09D1">
      <w:pPr>
        <w:pStyle w:val="Point2"/>
        <w:rPr>
          <w:noProof/>
        </w:rPr>
      </w:pPr>
      <w:r w:rsidRPr="00DA09D1">
        <w:t>iii)</w:t>
      </w:r>
      <w:r w:rsidRPr="00DA09D1">
        <w:tab/>
        <w:t>процедурите</w:t>
      </w:r>
      <w:r>
        <w:t>, отговорностите, формулите и източниците на данни за определяне и записване на прекараното време в морето, между пристанището на отплаване и пристанището на пристигане;</w:t>
      </w:r>
    </w:p>
    <w:p w:rsidR="00AB3ADB" w:rsidRPr="00EC12DC" w:rsidRDefault="00AB3ADB" w:rsidP="00DA09D1">
      <w:pPr>
        <w:pStyle w:val="Point1"/>
        <w:rPr>
          <w:noProof/>
        </w:rPr>
      </w:pPr>
      <w:r>
        <w:t>и)</w:t>
      </w:r>
      <w:r>
        <w:tab/>
        <w:t xml:space="preserve">описание на метода, използван за определяне на заместващи данни за попълване на </w:t>
      </w:r>
      <w:r w:rsidR="00B53783">
        <w:t xml:space="preserve">пропуски </w:t>
      </w:r>
      <w:r>
        <w:t>в данните;</w:t>
      </w:r>
    </w:p>
    <w:p w:rsidR="00AB3ADB" w:rsidRPr="001D3B9B" w:rsidRDefault="00AB3ADB" w:rsidP="00DA09D1">
      <w:pPr>
        <w:pStyle w:val="Point1"/>
      </w:pPr>
      <w:r w:rsidRPr="001D3B9B">
        <w:t>й)</w:t>
      </w:r>
      <w:r>
        <w:tab/>
      </w:r>
      <w:r w:rsidRPr="00E452D7">
        <w:t xml:space="preserve">лист за </w:t>
      </w:r>
      <w:r w:rsidR="00B53783" w:rsidRPr="00E452D7">
        <w:t xml:space="preserve">отразяване </w:t>
      </w:r>
      <w:r w:rsidRPr="00E452D7">
        <w:t>н</w:t>
      </w:r>
      <w:r w:rsidRPr="001D3B9B">
        <w:t>а изменения</w:t>
      </w:r>
      <w:r w:rsidR="00B53783">
        <w:t>та</w:t>
      </w:r>
      <w:r w:rsidRPr="001D3B9B">
        <w:t>, в който се отбелязват всички данни за преработване</w:t>
      </w:r>
      <w:r w:rsidR="00CA651A">
        <w:t>то на плана</w:t>
      </w:r>
      <w:r w:rsidRPr="001D3B9B">
        <w:t>.</w:t>
      </w:r>
    </w:p>
    <w:p w:rsidR="00AB3ADB" w:rsidRPr="00DA09D1" w:rsidRDefault="00DE4F77" w:rsidP="00BD4CD8">
      <w:pPr>
        <w:pStyle w:val="ManualNumPar1"/>
      </w:pPr>
      <w:r w:rsidRPr="00DA09D1">
        <w:t>4</w:t>
      </w:r>
      <w:r w:rsidR="00AB3ADB" w:rsidRPr="00DA09D1">
        <w:t>.</w:t>
      </w:r>
      <w:r w:rsidR="00AB3ADB" w:rsidRPr="00DA09D1">
        <w:tab/>
        <w:t xml:space="preserve">В мониторинговия план може да се съдържа и информация за </w:t>
      </w:r>
      <w:r w:rsidR="00B53783" w:rsidRPr="00DA09D1">
        <w:t xml:space="preserve">ледовия </w:t>
      </w:r>
      <w:r w:rsidR="00AB3ADB" w:rsidRPr="00DA09D1">
        <w:t xml:space="preserve">клас на кораба и/или процедурите, отговорностите, формулите и източниците на данни за определяне и записване на изминатото разстояние и продължителността на плаването </w:t>
      </w:r>
      <w:r w:rsidR="00B53783" w:rsidRPr="00DA09D1">
        <w:t xml:space="preserve">през </w:t>
      </w:r>
      <w:r w:rsidR="00AB3ADB" w:rsidRPr="00DA09D1">
        <w:t>заледени води.</w:t>
      </w:r>
    </w:p>
    <w:p w:rsidR="00AB3ADB" w:rsidRPr="00DA09D1" w:rsidRDefault="00DE4F77" w:rsidP="00BD4CD8">
      <w:pPr>
        <w:pStyle w:val="ManualNumPar1"/>
        <w:rPr>
          <w:noProof/>
        </w:rPr>
      </w:pPr>
      <w:r w:rsidRPr="00DA09D1">
        <w:t>5</w:t>
      </w:r>
      <w:r w:rsidR="00AB3ADB" w:rsidRPr="00DA09D1">
        <w:t>.</w:t>
      </w:r>
      <w:r w:rsidR="00AB3ADB" w:rsidRPr="00DA09D1">
        <w:tab/>
        <w:t>Дружествата използват стандартизирани мониторингови планове, основав</w:t>
      </w:r>
      <w:r w:rsidR="00C74D9C" w:rsidRPr="00DA09D1">
        <w:t>а</w:t>
      </w:r>
      <w:r w:rsidR="00AB3ADB" w:rsidRPr="00DA09D1">
        <w:t>щи се на образци. Образците, включително техническите правила за еднаквото им прилагане, се установяват от Комисията чрез актове за изпълнение. Тези актове за изпълнение се приемат в съответствие с процедурата по разглеждане, посочена в член </w:t>
      </w:r>
      <w:r w:rsidRPr="00DA09D1">
        <w:t>24</w:t>
      </w:r>
      <w:r w:rsidR="00AB3ADB" w:rsidRPr="00DA09D1">
        <w:t>, параграф 2.</w:t>
      </w:r>
    </w:p>
    <w:p w:rsidR="00AB3ADB" w:rsidRPr="00EC12DC" w:rsidRDefault="00AB3ADB" w:rsidP="00AB3ADB">
      <w:pPr>
        <w:pStyle w:val="Titrearticle"/>
        <w:rPr>
          <w:noProof/>
        </w:rPr>
      </w:pPr>
      <w:r>
        <w:br w:type="page"/>
        <w:t>Член 7</w:t>
      </w:r>
      <w:r w:rsidRPr="00AB3ADB">
        <w:br/>
      </w:r>
      <w:r>
        <w:t>Изменения на мониторинговия план</w:t>
      </w:r>
    </w:p>
    <w:p w:rsidR="001D3B9B" w:rsidRPr="001D3B9B" w:rsidRDefault="00DA09D1" w:rsidP="00BD4CD8">
      <w:pPr>
        <w:pStyle w:val="ManualNumPar1"/>
        <w:rPr>
          <w:noProof/>
        </w:rPr>
      </w:pPr>
      <w:r>
        <w:t>1.</w:t>
      </w:r>
      <w:r>
        <w:tab/>
        <w:t>Дружествата</w:t>
      </w:r>
      <w:r w:rsidR="00AB3ADB">
        <w:t xml:space="preserve"> проверяват </w:t>
      </w:r>
      <w:r w:rsidR="00AB3ADB" w:rsidRPr="001D3B9B">
        <w:t>редовно, и най-малко веднъж годишно</w:t>
      </w:r>
      <w:r w:rsidR="00AB3ADB">
        <w:t>, дали мониторинговият план на кораба отразява характера и функционирането на кораба и дали методиката за мониторинг може да бъде подобрена.</w:t>
      </w:r>
    </w:p>
    <w:p w:rsidR="001D3B9B" w:rsidRPr="001D3B9B" w:rsidRDefault="00AB3ADB" w:rsidP="00BD4CD8">
      <w:pPr>
        <w:pStyle w:val="ManualNumPar1"/>
        <w:rPr>
          <w:noProof/>
        </w:rPr>
      </w:pPr>
      <w:r>
        <w:rPr>
          <w:noProof/>
          <w:color w:val="000000"/>
        </w:rPr>
        <w:t>2.</w:t>
      </w:r>
      <w:r>
        <w:rPr>
          <w:noProof/>
          <w:color w:val="000000"/>
        </w:rPr>
        <w:tab/>
      </w:r>
      <w:r w:rsidRPr="00BD4CD8">
        <w:t>Дружествата</w:t>
      </w:r>
      <w:r>
        <w:rPr>
          <w:noProof/>
          <w:color w:val="000000"/>
        </w:rPr>
        <w:t xml:space="preserve"> </w:t>
      </w:r>
      <w:r>
        <w:t>изменя</w:t>
      </w:r>
      <w:r w:rsidR="00C74D9C">
        <w:t>т</w:t>
      </w:r>
      <w:r>
        <w:t xml:space="preserve"> мониторинговия план във всеки един от следните случаи</w:t>
      </w:r>
      <w:r w:rsidRPr="001D3B9B">
        <w:t>:</w:t>
      </w:r>
    </w:p>
    <w:p w:rsidR="001D3B9B" w:rsidRPr="001D3B9B" w:rsidRDefault="00AB3ADB" w:rsidP="00DA09D1">
      <w:pPr>
        <w:pStyle w:val="Point1"/>
      </w:pPr>
      <w:r>
        <w:t>а)</w:t>
      </w:r>
      <w:r>
        <w:tab/>
        <w:t xml:space="preserve">когато е настъпила </w:t>
      </w:r>
      <w:r w:rsidR="002E1912">
        <w:t xml:space="preserve">смяна </w:t>
      </w:r>
      <w:r>
        <w:t xml:space="preserve">на </w:t>
      </w:r>
      <w:r w:rsidRPr="001D3B9B">
        <w:t>дружеството</w:t>
      </w:r>
      <w:r>
        <w:t>;</w:t>
      </w:r>
    </w:p>
    <w:p w:rsidR="00AB3ADB" w:rsidRPr="00EC12DC" w:rsidRDefault="00AB3ADB" w:rsidP="00DA09D1">
      <w:pPr>
        <w:pStyle w:val="Point1"/>
        <w:rPr>
          <w:noProof/>
        </w:rPr>
      </w:pPr>
      <w:r>
        <w:t>б)</w:t>
      </w:r>
      <w:r>
        <w:tab/>
        <w:t xml:space="preserve">при </w:t>
      </w:r>
      <w:r w:rsidRPr="001D3B9B">
        <w:t>поява</w:t>
      </w:r>
      <w:r>
        <w:t xml:space="preserve"> на нови емисии</w:t>
      </w:r>
      <w:r w:rsidR="00C74D9C" w:rsidRPr="00C74D9C">
        <w:t xml:space="preserve"> </w:t>
      </w:r>
      <w:r w:rsidR="00C74D9C">
        <w:t xml:space="preserve">на </w:t>
      </w:r>
      <w:r w:rsidR="00C74D9C" w:rsidRPr="00C74D9C">
        <w:t>CO</w:t>
      </w:r>
      <w:r w:rsidR="00C74D9C" w:rsidRPr="00C74D9C">
        <w:rPr>
          <w:vertAlign w:val="subscript"/>
        </w:rPr>
        <w:t>2</w:t>
      </w:r>
      <w:r>
        <w:t>, дължащи се на нови източници на емисии или на използването на нови горива, които още не са включени в мониторинговия план;</w:t>
      </w:r>
    </w:p>
    <w:p w:rsidR="00AB3ADB" w:rsidRPr="00EC12DC" w:rsidRDefault="00AB3ADB" w:rsidP="00E725DD">
      <w:pPr>
        <w:pStyle w:val="Point1"/>
        <w:rPr>
          <w:noProof/>
        </w:rPr>
      </w:pPr>
      <w:r>
        <w:t>в)</w:t>
      </w:r>
      <w:r>
        <w:tab/>
        <w:t>когато промяна в наличните данни</w:t>
      </w:r>
      <w:r w:rsidR="00113771">
        <w:t>,</w:t>
      </w:r>
      <w:r>
        <w:t xml:space="preserve"> дължаща се на използването на нови видове </w:t>
      </w:r>
      <w:r w:rsidR="00DE4F77">
        <w:t>измервателно оборудване</w:t>
      </w:r>
      <w:r>
        <w:t xml:space="preserve">, нови методи за вземане на проби или методи за анализ или други причини, </w:t>
      </w:r>
      <w:r w:rsidRPr="001D3B9B">
        <w:t>може да засегне</w:t>
      </w:r>
      <w:r>
        <w:t xml:space="preserve"> точността </w:t>
      </w:r>
      <w:r w:rsidR="002E1912">
        <w:t xml:space="preserve">на </w:t>
      </w:r>
      <w:r>
        <w:t>определянето на емисиите</w:t>
      </w:r>
      <w:r w:rsidR="00C74D9C" w:rsidRPr="00C74D9C">
        <w:t xml:space="preserve"> </w:t>
      </w:r>
      <w:r w:rsidR="00C74D9C">
        <w:t xml:space="preserve">на </w:t>
      </w:r>
      <w:r w:rsidR="00C74D9C" w:rsidRPr="00C74D9C">
        <w:t>CO</w:t>
      </w:r>
      <w:r w:rsidR="00C74D9C" w:rsidRPr="00C74D9C">
        <w:rPr>
          <w:vertAlign w:val="subscript"/>
        </w:rPr>
        <w:t>2</w:t>
      </w:r>
      <w:r>
        <w:t>;</w:t>
      </w:r>
    </w:p>
    <w:p w:rsidR="00AB3ADB" w:rsidRPr="00EC12DC" w:rsidRDefault="00AB3ADB" w:rsidP="00DA09D1">
      <w:pPr>
        <w:pStyle w:val="Point1"/>
        <w:rPr>
          <w:noProof/>
        </w:rPr>
      </w:pPr>
      <w:r>
        <w:t>г)</w:t>
      </w:r>
      <w:r>
        <w:tab/>
        <w:t>ако бъде установено, че данните</w:t>
      </w:r>
      <w:r w:rsidR="00113771">
        <w:t>, получени</w:t>
      </w:r>
      <w:r>
        <w:t xml:space="preserve"> от </w:t>
      </w:r>
      <w:r w:rsidR="00DE4F77">
        <w:t xml:space="preserve">прилагания </w:t>
      </w:r>
      <w:r>
        <w:t>метод</w:t>
      </w:r>
      <w:r w:rsidR="00DE4F77">
        <w:t xml:space="preserve"> за мониторинг</w:t>
      </w:r>
      <w:r w:rsidR="00113771">
        <w:t>,</w:t>
      </w:r>
      <w:r>
        <w:t xml:space="preserve"> </w:t>
      </w:r>
      <w:r w:rsidR="00113771">
        <w:t xml:space="preserve">са </w:t>
      </w:r>
      <w:r>
        <w:t>неточн</w:t>
      </w:r>
      <w:r w:rsidR="00113771">
        <w:t>и</w:t>
      </w:r>
      <w:r>
        <w:t>;</w:t>
      </w:r>
    </w:p>
    <w:p w:rsidR="00AB3ADB" w:rsidRPr="00EC12DC" w:rsidRDefault="00AB3ADB" w:rsidP="00E725DD">
      <w:pPr>
        <w:pStyle w:val="Point1"/>
        <w:rPr>
          <w:noProof/>
        </w:rPr>
      </w:pPr>
      <w:r>
        <w:t>д)</w:t>
      </w:r>
      <w:r>
        <w:tab/>
        <w:t xml:space="preserve">ако </w:t>
      </w:r>
      <w:r w:rsidRPr="001D3B9B">
        <w:t>бъде установено,</w:t>
      </w:r>
      <w:r>
        <w:t xml:space="preserve"> че </w:t>
      </w:r>
      <w:r w:rsidR="00E725DD">
        <w:t>някоя</w:t>
      </w:r>
      <w:r w:rsidRPr="001D3B9B">
        <w:t xml:space="preserve"> част от</w:t>
      </w:r>
      <w:r>
        <w:t xml:space="preserve"> мониторинговия план не е в съответствие с изискванията по настоящия регламент и </w:t>
      </w:r>
      <w:r w:rsidR="000E4439">
        <w:t xml:space="preserve">от </w:t>
      </w:r>
      <w:r>
        <w:t xml:space="preserve">дружеството </w:t>
      </w:r>
      <w:r w:rsidR="000E4439">
        <w:t>се изисква</w:t>
      </w:r>
      <w:r>
        <w:t xml:space="preserve"> да го преработи </w:t>
      </w:r>
      <w:r w:rsidRPr="001D3B9B">
        <w:t>съгласно член 13, параграф 1.</w:t>
      </w:r>
    </w:p>
    <w:p w:rsidR="00AB3ADB" w:rsidRPr="00EC12DC" w:rsidRDefault="00AB3ADB" w:rsidP="00BD4CD8">
      <w:pPr>
        <w:pStyle w:val="ManualNumPar1"/>
        <w:rPr>
          <w:noProof/>
        </w:rPr>
      </w:pPr>
      <w:r>
        <w:t>3.</w:t>
      </w:r>
      <w:r>
        <w:tab/>
        <w:t xml:space="preserve">Дружествата уведомяват </w:t>
      </w:r>
      <w:r w:rsidRPr="001D3B9B">
        <w:t>проверяващите органи</w:t>
      </w:r>
      <w:r>
        <w:t xml:space="preserve"> без </w:t>
      </w:r>
      <w:r w:rsidR="000E4439">
        <w:t xml:space="preserve">неоправдано </w:t>
      </w:r>
      <w:r w:rsidRPr="002E1912">
        <w:t>за</w:t>
      </w:r>
      <w:r w:rsidRPr="00D723B0">
        <w:t>ба</w:t>
      </w:r>
      <w:r w:rsidRPr="002E1912">
        <w:t>вяне за</w:t>
      </w:r>
      <w:r>
        <w:t xml:space="preserve"> всякакви предложения за </w:t>
      </w:r>
      <w:r w:rsidR="00C74D9C">
        <w:t>изменения</w:t>
      </w:r>
      <w:r>
        <w:t xml:space="preserve"> в мониторинговия план</w:t>
      </w:r>
      <w:r w:rsidR="00D62FB9">
        <w:t>.</w:t>
      </w:r>
    </w:p>
    <w:p w:rsidR="00AB3ADB" w:rsidRPr="00EC12DC" w:rsidRDefault="00AB3ADB" w:rsidP="00BD4CD8">
      <w:pPr>
        <w:pStyle w:val="ManualNumPar1"/>
        <w:rPr>
          <w:noProof/>
        </w:rPr>
      </w:pPr>
      <w:r>
        <w:br w:type="page"/>
        <w:t>4.</w:t>
      </w:r>
      <w:r w:rsidR="00FE2BB6">
        <w:tab/>
      </w:r>
      <w:r>
        <w:t xml:space="preserve">Измененията в мониторинговия план </w:t>
      </w:r>
      <w:r w:rsidRPr="001D3B9B">
        <w:t>по параграф 2, букви б), в) и г) от настоящия член</w:t>
      </w:r>
      <w:r>
        <w:t xml:space="preserve"> подлежат на оценка от проверяващия орган</w:t>
      </w:r>
      <w:r w:rsidRPr="001D3B9B">
        <w:t xml:space="preserve"> </w:t>
      </w:r>
      <w:r w:rsidR="000E4439">
        <w:t>в съответствие с</w:t>
      </w:r>
      <w:r w:rsidR="000E4439" w:rsidRPr="001D3B9B">
        <w:t xml:space="preserve"> </w:t>
      </w:r>
      <w:r w:rsidRPr="001D3B9B">
        <w:t xml:space="preserve">член 13, параграф 1. След проверката проверяващият орган уведомява дружеството дали при </w:t>
      </w:r>
      <w:r w:rsidR="00C74D9C">
        <w:t>измененията</w:t>
      </w:r>
      <w:r w:rsidRPr="001D3B9B">
        <w:t xml:space="preserve"> </w:t>
      </w:r>
      <w:r w:rsidR="000E4439">
        <w:t>е постигнато</w:t>
      </w:r>
      <w:r w:rsidRPr="001D3B9B">
        <w:t xml:space="preserve"> съответствие.</w:t>
      </w:r>
    </w:p>
    <w:p w:rsidR="00AB3ADB" w:rsidRPr="00AB3ADB" w:rsidRDefault="00AB3ADB" w:rsidP="00C74D9C">
      <w:pPr>
        <w:pStyle w:val="SectionTitle"/>
      </w:pPr>
      <w:r w:rsidRPr="00AB3ADB">
        <w:t>Раздел 3</w:t>
      </w:r>
      <w:r w:rsidRPr="00AB3ADB">
        <w:br/>
        <w:t xml:space="preserve">Мониторинг на емисиите </w:t>
      </w:r>
      <w:r w:rsidR="00C74D9C">
        <w:t xml:space="preserve">на </w:t>
      </w:r>
      <w:r w:rsidR="00C74D9C" w:rsidRPr="00C74D9C">
        <w:t>CO</w:t>
      </w:r>
      <w:r w:rsidR="00C74D9C" w:rsidRPr="00C74D9C">
        <w:rPr>
          <w:vertAlign w:val="subscript"/>
        </w:rPr>
        <w:t>2</w:t>
      </w:r>
      <w:r w:rsidR="000E4439">
        <w:rPr>
          <w:vertAlign w:val="subscript"/>
        </w:rPr>
        <w:t xml:space="preserve"> </w:t>
      </w:r>
      <w:r w:rsidR="00DA09D1" w:rsidRPr="00DA09D1">
        <w:rPr>
          <w:vertAlign w:val="subscript"/>
        </w:rPr>
        <w:br/>
      </w:r>
      <w:r w:rsidRPr="00AB3ADB">
        <w:t>и друга информация от значение</w:t>
      </w:r>
    </w:p>
    <w:p w:rsidR="00AB3ADB" w:rsidRPr="00EC12DC" w:rsidRDefault="00AB3ADB" w:rsidP="00AB3ADB">
      <w:pPr>
        <w:pStyle w:val="Titrearticle"/>
        <w:rPr>
          <w:noProof/>
        </w:rPr>
      </w:pPr>
      <w:r>
        <w:t>Член 8</w:t>
      </w:r>
      <w:r w:rsidRPr="00AB3ADB">
        <w:br/>
      </w:r>
      <w:r>
        <w:t>Мониторинг на дейностите през отчетния период</w:t>
      </w:r>
    </w:p>
    <w:p w:rsidR="00AB3ADB" w:rsidRPr="00EC12DC" w:rsidRDefault="00AB3ADB" w:rsidP="00E725DD">
      <w:pPr>
        <w:rPr>
          <w:noProof/>
        </w:rPr>
      </w:pPr>
      <w:r>
        <w:t>От 1 януари 2018 г. въз основа на мониторинговия план,</w:t>
      </w:r>
      <w:r>
        <w:rPr>
          <w:b/>
          <w:noProof/>
        </w:rPr>
        <w:t xml:space="preserve"> </w:t>
      </w:r>
      <w:r w:rsidR="00E725DD">
        <w:t>преминал оценка</w:t>
      </w:r>
      <w:r>
        <w:t xml:space="preserve"> в съответствие с член 13, параграф 1, дружествата извършват мониторинг на емисиите </w:t>
      </w:r>
      <w:r w:rsidR="00C74D9C">
        <w:t xml:space="preserve">на </w:t>
      </w:r>
      <w:r w:rsidR="00C74D9C" w:rsidRPr="00C74D9C">
        <w:t>CO</w:t>
      </w:r>
      <w:r w:rsidR="00C74D9C" w:rsidRPr="00C74D9C">
        <w:rPr>
          <w:vertAlign w:val="subscript"/>
        </w:rPr>
        <w:t>2</w:t>
      </w:r>
      <w:r w:rsidR="000E4439">
        <w:rPr>
          <w:vertAlign w:val="subscript"/>
        </w:rPr>
        <w:t xml:space="preserve"> </w:t>
      </w:r>
      <w:r>
        <w:t>за всеки кораб на база плаване и на годишна база, посредством прилагане на подходящ метод за определяне на емисиите</w:t>
      </w:r>
      <w:r w:rsidR="00C74D9C" w:rsidRPr="00C74D9C">
        <w:t xml:space="preserve"> </w:t>
      </w:r>
      <w:r w:rsidR="00C74D9C">
        <w:t xml:space="preserve">на </w:t>
      </w:r>
      <w:r w:rsidR="00C74D9C" w:rsidRPr="00C74D9C">
        <w:t>CO</w:t>
      </w:r>
      <w:r w:rsidR="00C74D9C" w:rsidRPr="00C74D9C">
        <w:rPr>
          <w:vertAlign w:val="subscript"/>
        </w:rPr>
        <w:t>2</w:t>
      </w:r>
      <w:r>
        <w:t xml:space="preserve"> измежду </w:t>
      </w:r>
      <w:r w:rsidR="00F00BFE">
        <w:t xml:space="preserve">предвидените </w:t>
      </w:r>
      <w:r>
        <w:t xml:space="preserve">в част Б от приложение I и посредством изчисляване на емисиите </w:t>
      </w:r>
      <w:r w:rsidR="00C74D9C">
        <w:t xml:space="preserve">на </w:t>
      </w:r>
      <w:r w:rsidR="00C74D9C" w:rsidRPr="00C74D9C">
        <w:t>CO</w:t>
      </w:r>
      <w:r w:rsidR="00C74D9C" w:rsidRPr="00C74D9C">
        <w:rPr>
          <w:vertAlign w:val="subscript"/>
        </w:rPr>
        <w:t>2</w:t>
      </w:r>
      <w:r w:rsidR="00C74D9C">
        <w:rPr>
          <w:vertAlign w:val="subscript"/>
        </w:rPr>
        <w:t xml:space="preserve"> </w:t>
      </w:r>
      <w:r>
        <w:t>в съответствие с част А от приложение I.</w:t>
      </w:r>
    </w:p>
    <w:p w:rsidR="001D3B9B" w:rsidRPr="00F00BFE" w:rsidRDefault="00AB3ADB" w:rsidP="00F00BFE">
      <w:pPr>
        <w:pStyle w:val="Titrearticle"/>
      </w:pPr>
      <w:r>
        <w:br w:type="page"/>
        <w:t>Член 9</w:t>
      </w:r>
      <w:r w:rsidRPr="00AB3ADB">
        <w:br/>
      </w:r>
      <w:r>
        <w:t>Мониторинг на база плаване</w:t>
      </w:r>
    </w:p>
    <w:p w:rsidR="001D3B9B" w:rsidRPr="00DA09D1" w:rsidRDefault="00AB3ADB" w:rsidP="00E725DD">
      <w:pPr>
        <w:pStyle w:val="ManualNumPar1"/>
        <w:rPr>
          <w:noProof/>
        </w:rPr>
      </w:pPr>
      <w:r w:rsidRPr="00DA09D1">
        <w:rPr>
          <w:noProof/>
          <w:color w:val="000000"/>
        </w:rPr>
        <w:t>1.</w:t>
      </w:r>
      <w:r w:rsidRPr="00DA09D1">
        <w:tab/>
        <w:t xml:space="preserve">Въз основа на мониторинговия план, </w:t>
      </w:r>
      <w:r w:rsidR="00E725DD" w:rsidRPr="00E725DD">
        <w:t>преминал оценка</w:t>
      </w:r>
      <w:r w:rsidR="00113771" w:rsidRPr="00DA09D1">
        <w:t xml:space="preserve"> </w:t>
      </w:r>
      <w:r w:rsidRPr="00DA09D1">
        <w:t>в съответствие с член 13, параграф 1, за всеки кораб</w:t>
      </w:r>
      <w:r w:rsidR="00C74D9C" w:rsidRPr="00DA09D1">
        <w:t xml:space="preserve">, </w:t>
      </w:r>
      <w:r w:rsidRPr="00DA09D1">
        <w:t>пристигащ във и</w:t>
      </w:r>
      <w:r w:rsidR="000E4439" w:rsidRPr="00DA09D1">
        <w:t>ли</w:t>
      </w:r>
      <w:r w:rsidRPr="00DA09D1">
        <w:t xml:space="preserve"> </w:t>
      </w:r>
      <w:r w:rsidR="00C74D9C" w:rsidRPr="00DA09D1">
        <w:t>отплаващ</w:t>
      </w:r>
      <w:r w:rsidR="000E4439" w:rsidRPr="00DA09D1">
        <w:t xml:space="preserve"> от, както и за всяко плаване </w:t>
      </w:r>
      <w:r w:rsidRPr="00DA09D1">
        <w:t xml:space="preserve">от </w:t>
      </w:r>
      <w:r w:rsidR="000E4439" w:rsidRPr="00DA09D1">
        <w:t xml:space="preserve">или към </w:t>
      </w:r>
      <w:r w:rsidRPr="00DA09D1">
        <w:t>пристанище под юрисдикцията на държава членка дружествата извършват мониторинг в съответствие с част А от приложение I и с част А от приложение II на следн</w:t>
      </w:r>
      <w:r w:rsidR="000E4439" w:rsidRPr="00DA09D1">
        <w:t>ите</w:t>
      </w:r>
      <w:r w:rsidRPr="00DA09D1">
        <w:t xml:space="preserve"> </w:t>
      </w:r>
      <w:r w:rsidR="000E4439" w:rsidRPr="00DA09D1">
        <w:t>параметри</w:t>
      </w:r>
      <w:r w:rsidRPr="00DA09D1">
        <w:t>:</w:t>
      </w:r>
    </w:p>
    <w:p w:rsidR="001D3B9B" w:rsidRPr="001D3B9B" w:rsidRDefault="00AB3ADB" w:rsidP="00DA09D1">
      <w:pPr>
        <w:pStyle w:val="Point1"/>
        <w:rPr>
          <w:noProof/>
        </w:rPr>
      </w:pPr>
      <w:r>
        <w:t>а)</w:t>
      </w:r>
      <w:r>
        <w:tab/>
        <w:t>пристанище на отплаване и пристанище на пристигане, включително дата и час на отплаването и пристигането;</w:t>
      </w:r>
    </w:p>
    <w:p w:rsidR="001D3B9B" w:rsidRPr="001D3B9B" w:rsidRDefault="00C74D9C" w:rsidP="00DA09D1">
      <w:pPr>
        <w:pStyle w:val="Point1"/>
        <w:rPr>
          <w:noProof/>
        </w:rPr>
      </w:pPr>
      <w:r>
        <w:t>б</w:t>
      </w:r>
      <w:r w:rsidR="00AB3ADB">
        <w:t>)</w:t>
      </w:r>
      <w:r w:rsidR="00AB3ADB">
        <w:tab/>
        <w:t>количество и емисионен фактор за всеки вид от общо консумираното гориво;</w:t>
      </w:r>
    </w:p>
    <w:p w:rsidR="001D3B9B" w:rsidRPr="001D3B9B" w:rsidRDefault="00C74D9C" w:rsidP="00DA09D1">
      <w:pPr>
        <w:pStyle w:val="Point1"/>
        <w:rPr>
          <w:noProof/>
        </w:rPr>
      </w:pPr>
      <w:r>
        <w:t>в</w:t>
      </w:r>
      <w:r w:rsidR="00AB3ADB">
        <w:t>)</w:t>
      </w:r>
      <w:r w:rsidR="00AB3ADB">
        <w:tab/>
      </w:r>
      <w:r w:rsidR="00F00BFE">
        <w:t xml:space="preserve">отделен </w:t>
      </w:r>
      <w:r w:rsidR="00AB3ADB">
        <w:t>СО</w:t>
      </w:r>
      <w:r w:rsidR="00AB3ADB" w:rsidRPr="00F00BFE">
        <w:rPr>
          <w:vertAlign w:val="subscript"/>
        </w:rPr>
        <w:t>2</w:t>
      </w:r>
      <w:r w:rsidR="00AB3ADB">
        <w:t>;</w:t>
      </w:r>
    </w:p>
    <w:p w:rsidR="001D3B9B" w:rsidRPr="00F00BFE" w:rsidRDefault="00AB3ADB" w:rsidP="00DA09D1">
      <w:pPr>
        <w:pStyle w:val="Point1"/>
      </w:pPr>
      <w:r>
        <w:t>г)</w:t>
      </w:r>
      <w:r>
        <w:tab/>
        <w:t>изминато разстояние;</w:t>
      </w:r>
    </w:p>
    <w:p w:rsidR="001D3B9B" w:rsidRPr="001D3B9B" w:rsidRDefault="00AB3ADB" w:rsidP="00DA09D1">
      <w:pPr>
        <w:pStyle w:val="Point1"/>
        <w:rPr>
          <w:noProof/>
        </w:rPr>
      </w:pPr>
      <w:r>
        <w:t>д)</w:t>
      </w:r>
      <w:r>
        <w:tab/>
        <w:t>време, прекарано в морето;</w:t>
      </w:r>
    </w:p>
    <w:p w:rsidR="001D3B9B" w:rsidRPr="001D3B9B" w:rsidRDefault="00AB3ADB" w:rsidP="00E725DD">
      <w:pPr>
        <w:pStyle w:val="Point1"/>
        <w:rPr>
          <w:noProof/>
        </w:rPr>
      </w:pPr>
      <w:r>
        <w:t>е)</w:t>
      </w:r>
      <w:r>
        <w:tab/>
        <w:t>пре</w:t>
      </w:r>
      <w:r w:rsidR="00E725DD">
        <w:t>возен</w:t>
      </w:r>
      <w:r>
        <w:t xml:space="preserve"> товар;</w:t>
      </w:r>
    </w:p>
    <w:p w:rsidR="001D3B9B" w:rsidRPr="001D3B9B" w:rsidRDefault="00AB3ADB" w:rsidP="00DA09D1">
      <w:pPr>
        <w:pStyle w:val="Point1"/>
        <w:rPr>
          <w:noProof/>
        </w:rPr>
      </w:pPr>
      <w:r>
        <w:t>ж)</w:t>
      </w:r>
      <w:r>
        <w:tab/>
        <w:t>изпълнена транспортна работа.</w:t>
      </w:r>
    </w:p>
    <w:p w:rsidR="00AB3ADB" w:rsidRPr="001D3B9B" w:rsidRDefault="000E4439" w:rsidP="00DA09D1">
      <w:pPr>
        <w:pStyle w:val="Text1"/>
        <w:rPr>
          <w:noProof/>
        </w:rPr>
      </w:pPr>
      <w:r>
        <w:t>К</w:t>
      </w:r>
      <w:r w:rsidRPr="001D3B9B">
        <w:t>огато е приложимо</w:t>
      </w:r>
      <w:r>
        <w:t>,</w:t>
      </w:r>
      <w:r w:rsidRPr="001D3B9B">
        <w:t xml:space="preserve"> </w:t>
      </w:r>
      <w:r>
        <w:t>д</w:t>
      </w:r>
      <w:r w:rsidRPr="001D3B9B">
        <w:t xml:space="preserve">ружествата </w:t>
      </w:r>
      <w:r w:rsidR="00AB3ADB" w:rsidRPr="001D3B9B">
        <w:t xml:space="preserve">могат </w:t>
      </w:r>
      <w:r w:rsidR="00AB3ADB" w:rsidRPr="00C67294">
        <w:t xml:space="preserve">да </w:t>
      </w:r>
      <w:r w:rsidR="00CA651A" w:rsidRPr="00C67294">
        <w:t>извърш</w:t>
      </w:r>
      <w:r w:rsidR="00CA651A">
        <w:t>ват</w:t>
      </w:r>
      <w:r w:rsidR="00D62FB9">
        <w:t xml:space="preserve"> мониторинг</w:t>
      </w:r>
      <w:r w:rsidR="00D62FB9" w:rsidRPr="001D3B9B">
        <w:t xml:space="preserve"> </w:t>
      </w:r>
      <w:r w:rsidR="00AB3ADB" w:rsidRPr="001D3B9B">
        <w:t xml:space="preserve">и </w:t>
      </w:r>
      <w:r w:rsidR="00CA651A">
        <w:t xml:space="preserve">на </w:t>
      </w:r>
      <w:r w:rsidR="00AB3ADB" w:rsidRPr="001D3B9B">
        <w:t xml:space="preserve">информацията, свързана с </w:t>
      </w:r>
      <w:r w:rsidR="00B53783">
        <w:t xml:space="preserve">ледовия </w:t>
      </w:r>
      <w:r w:rsidR="00AB3ADB" w:rsidRPr="001D3B9B">
        <w:t xml:space="preserve">клас на кораба и с плаването </w:t>
      </w:r>
      <w:r w:rsidR="00B53783">
        <w:t>през</w:t>
      </w:r>
      <w:r w:rsidR="00B53783" w:rsidRPr="001D3B9B">
        <w:t xml:space="preserve"> </w:t>
      </w:r>
      <w:r w:rsidR="00AB3ADB" w:rsidRPr="001D3B9B">
        <w:t>заледени води.</w:t>
      </w:r>
    </w:p>
    <w:p w:rsidR="00AB3ADB" w:rsidRPr="001D3B9B" w:rsidRDefault="00AB3ADB" w:rsidP="00DA09D1">
      <w:pPr>
        <w:pStyle w:val="ManualNumPar1"/>
      </w:pPr>
      <w:r w:rsidRPr="001D3B9B">
        <w:br w:type="page"/>
        <w:t>2.</w:t>
      </w:r>
      <w:r>
        <w:tab/>
      </w:r>
      <w:r w:rsidRPr="001D3B9B">
        <w:t xml:space="preserve">Чрез дерогация от параграф 1 от настоящия член и без да се засяга член 10, дружествата са освободени от задължението да </w:t>
      </w:r>
      <w:r w:rsidR="00CA651A">
        <w:t>извършват</w:t>
      </w:r>
      <w:r w:rsidR="00D62FB9">
        <w:t xml:space="preserve"> мониторинг</w:t>
      </w:r>
      <w:r w:rsidRPr="001D3B9B">
        <w:t xml:space="preserve"> </w:t>
      </w:r>
      <w:r w:rsidR="000E4439">
        <w:t xml:space="preserve">по отношение на конкретен </w:t>
      </w:r>
      <w:r w:rsidR="00F00BFE">
        <w:t xml:space="preserve">кораб </w:t>
      </w:r>
      <w:r w:rsidR="00CA651A">
        <w:t xml:space="preserve">на </w:t>
      </w:r>
      <w:r w:rsidRPr="001D3B9B">
        <w:t>посочената в параграф 1</w:t>
      </w:r>
      <w:r w:rsidR="00C74D9C">
        <w:t xml:space="preserve"> от настоящия член </w:t>
      </w:r>
      <w:r w:rsidRPr="001D3B9B">
        <w:t>информация на база плаване, ако:</w:t>
      </w:r>
    </w:p>
    <w:p w:rsidR="00AB3ADB" w:rsidRPr="001D3B9B" w:rsidRDefault="00AB3ADB" w:rsidP="00DA09D1">
      <w:pPr>
        <w:pStyle w:val="Point1"/>
      </w:pPr>
      <w:r w:rsidRPr="001D3B9B">
        <w:t>а)</w:t>
      </w:r>
      <w:r>
        <w:tab/>
      </w:r>
      <w:r w:rsidRPr="001D3B9B">
        <w:t>всички плавания на кораба по време на отчетния период започват или завършват в пристанище под юрисдикцията на държава членка; и</w:t>
      </w:r>
    </w:p>
    <w:p w:rsidR="00AB3ADB" w:rsidRPr="001D3B9B" w:rsidRDefault="00AB3ADB" w:rsidP="00DA09D1">
      <w:pPr>
        <w:pStyle w:val="Point1"/>
      </w:pPr>
      <w:r w:rsidRPr="001D3B9B">
        <w:t>б)</w:t>
      </w:r>
      <w:r>
        <w:tab/>
      </w:r>
      <w:r w:rsidRPr="001D3B9B">
        <w:t>в съответствие със своя график корабът извършва повече от 300 плавания по време на отчетния период.</w:t>
      </w:r>
    </w:p>
    <w:p w:rsidR="00AB3ADB" w:rsidRPr="00EC12DC" w:rsidRDefault="00AB3ADB" w:rsidP="001D3B9B">
      <w:pPr>
        <w:pStyle w:val="Titrearticle"/>
        <w:rPr>
          <w:noProof/>
        </w:rPr>
      </w:pPr>
      <w:r>
        <w:t>Член 10</w:t>
      </w:r>
      <w:r w:rsidRPr="00AB3ADB">
        <w:br/>
      </w:r>
      <w:r>
        <w:t>Мониторинг на годишна база</w:t>
      </w:r>
    </w:p>
    <w:p w:rsidR="00AB3ADB" w:rsidRPr="00EC12DC" w:rsidRDefault="00AB3ADB" w:rsidP="00E725DD">
      <w:pPr>
        <w:rPr>
          <w:noProof/>
        </w:rPr>
      </w:pPr>
      <w:r>
        <w:t xml:space="preserve">Въз основа на мониторинговия </w:t>
      </w:r>
      <w:r w:rsidRPr="00DA09D1">
        <w:t>план</w:t>
      </w:r>
      <w:r>
        <w:t xml:space="preserve">, </w:t>
      </w:r>
      <w:r w:rsidR="00E725DD" w:rsidRPr="00E725DD">
        <w:t>преминал оценка</w:t>
      </w:r>
      <w:r>
        <w:t xml:space="preserve"> в съответствие с член 13, параграф 1, за всеки кораб и за всяка календарна година дружествата извършват, в съответствие с посоченото в част А от приложение I и част Б от приложение II, мониторинг на следните параметри:</w:t>
      </w:r>
    </w:p>
    <w:p w:rsidR="00AB3ADB" w:rsidRPr="00EC12DC" w:rsidRDefault="00AB3ADB" w:rsidP="00DA09D1">
      <w:pPr>
        <w:pStyle w:val="Point0"/>
        <w:rPr>
          <w:noProof/>
        </w:rPr>
      </w:pPr>
      <w:r>
        <w:t>а)</w:t>
      </w:r>
      <w:r>
        <w:tab/>
      </w:r>
      <w:r w:rsidRPr="00350D6A">
        <w:t>количество и емисионен фактор за всеки вид от общо консумираното гориво</w:t>
      </w:r>
      <w:r>
        <w:t>;</w:t>
      </w:r>
    </w:p>
    <w:p w:rsidR="00AB3ADB" w:rsidRPr="001D3B9B" w:rsidRDefault="00AB3ADB" w:rsidP="00DA09D1">
      <w:pPr>
        <w:pStyle w:val="Point0"/>
      </w:pPr>
      <w:r>
        <w:t>б)</w:t>
      </w:r>
      <w:r>
        <w:tab/>
        <w:t xml:space="preserve">общо количество </w:t>
      </w:r>
      <w:r w:rsidR="000E4439">
        <w:t>отделен</w:t>
      </w:r>
      <w:r>
        <w:t xml:space="preserve"> CO</w:t>
      </w:r>
      <w:r w:rsidRPr="00F00BFE">
        <w:rPr>
          <w:vertAlign w:val="subscript"/>
        </w:rPr>
        <w:t>2</w:t>
      </w:r>
      <w:r w:rsidR="000E4439">
        <w:rPr>
          <w:vertAlign w:val="subscript"/>
        </w:rPr>
        <w:t xml:space="preserve"> </w:t>
      </w:r>
      <w:r w:rsidRPr="001D3B9B">
        <w:t>в обхвата на настоящия регламент</w:t>
      </w:r>
      <w:r>
        <w:t>;</w:t>
      </w:r>
    </w:p>
    <w:p w:rsidR="00AB3ADB" w:rsidRPr="001D3B9B" w:rsidRDefault="00AB3ADB" w:rsidP="00DA09D1">
      <w:pPr>
        <w:pStyle w:val="Point0"/>
      </w:pPr>
      <w:r>
        <w:t>в)</w:t>
      </w:r>
      <w:r>
        <w:tab/>
      </w:r>
      <w:r w:rsidR="000533E6">
        <w:t xml:space="preserve">общо количество </w:t>
      </w:r>
      <w:r>
        <w:t>емисии на CO</w:t>
      </w:r>
      <w:r w:rsidRPr="00F00BFE">
        <w:rPr>
          <w:vertAlign w:val="subscript"/>
        </w:rPr>
        <w:t xml:space="preserve">2 </w:t>
      </w:r>
      <w:r>
        <w:t>от всички плавания между пристанища под юрисдикцията на държава членка;</w:t>
      </w:r>
    </w:p>
    <w:p w:rsidR="00AB3ADB" w:rsidRPr="001D3B9B" w:rsidRDefault="00AB3ADB" w:rsidP="00DA09D1">
      <w:pPr>
        <w:pStyle w:val="Point0"/>
      </w:pPr>
      <w:r>
        <w:t>г)</w:t>
      </w:r>
      <w:r>
        <w:tab/>
      </w:r>
      <w:r w:rsidR="000533E6">
        <w:t xml:space="preserve">общо количество </w:t>
      </w:r>
      <w:r>
        <w:t>емисии на CO</w:t>
      </w:r>
      <w:r w:rsidRPr="00F00BFE">
        <w:rPr>
          <w:vertAlign w:val="subscript"/>
        </w:rPr>
        <w:t xml:space="preserve">2 </w:t>
      </w:r>
      <w:r>
        <w:t>от всички плавания, започнали от пристанища под юрисдикцията на държава членка;</w:t>
      </w:r>
    </w:p>
    <w:p w:rsidR="00AB3ADB" w:rsidRPr="001D3B9B" w:rsidRDefault="00AB3ADB" w:rsidP="00DA09D1">
      <w:pPr>
        <w:pStyle w:val="Point0"/>
      </w:pPr>
      <w:r>
        <w:br w:type="page"/>
        <w:t>д)</w:t>
      </w:r>
      <w:r>
        <w:tab/>
      </w:r>
      <w:r w:rsidR="000533E6">
        <w:t xml:space="preserve">общо количество </w:t>
      </w:r>
      <w:r>
        <w:t>емисии на CO</w:t>
      </w:r>
      <w:r w:rsidRPr="00F00BFE">
        <w:rPr>
          <w:vertAlign w:val="subscript"/>
        </w:rPr>
        <w:t>2</w:t>
      </w:r>
      <w:r>
        <w:t xml:space="preserve"> от всички плавания до пристанища под юрисдикцията на държава членка;</w:t>
      </w:r>
    </w:p>
    <w:p w:rsidR="00AB3ADB" w:rsidRPr="001D3B9B" w:rsidRDefault="00AB3ADB" w:rsidP="00DA09D1">
      <w:pPr>
        <w:pStyle w:val="Point0"/>
      </w:pPr>
      <w:r>
        <w:t>е)</w:t>
      </w:r>
      <w:r>
        <w:tab/>
        <w:t>емисии на CO</w:t>
      </w:r>
      <w:r w:rsidRPr="00F00BFE">
        <w:rPr>
          <w:vertAlign w:val="subscript"/>
        </w:rPr>
        <w:t>2</w:t>
      </w:r>
      <w:r>
        <w:t xml:space="preserve">, отделени </w:t>
      </w:r>
      <w:r w:rsidR="000533E6">
        <w:t>при престой</w:t>
      </w:r>
      <w:r>
        <w:t xml:space="preserve"> </w:t>
      </w:r>
      <w:r w:rsidR="00113771">
        <w:t xml:space="preserve">на котвена стоянка </w:t>
      </w:r>
      <w:r>
        <w:t>в пристанища под юрисдикцията на държава членка;</w:t>
      </w:r>
    </w:p>
    <w:p w:rsidR="00AB3ADB" w:rsidRPr="00EC12DC" w:rsidRDefault="00AB3ADB" w:rsidP="00DA09D1">
      <w:pPr>
        <w:pStyle w:val="Point0"/>
        <w:rPr>
          <w:noProof/>
        </w:rPr>
      </w:pPr>
      <w:r>
        <w:t>ж)</w:t>
      </w:r>
      <w:r>
        <w:tab/>
        <w:t>общо изминато разстояние;</w:t>
      </w:r>
    </w:p>
    <w:p w:rsidR="00AB3ADB" w:rsidRPr="00EC12DC" w:rsidRDefault="00AB3ADB" w:rsidP="00DA09D1">
      <w:pPr>
        <w:pStyle w:val="Point0"/>
        <w:rPr>
          <w:noProof/>
        </w:rPr>
      </w:pPr>
      <w:r>
        <w:t>з)</w:t>
      </w:r>
      <w:r>
        <w:tab/>
        <w:t>общо време, прекарано в морето;</w:t>
      </w:r>
    </w:p>
    <w:p w:rsidR="00AB3ADB" w:rsidRPr="00EC12DC" w:rsidRDefault="00AB3ADB" w:rsidP="00DA09D1">
      <w:pPr>
        <w:pStyle w:val="Point0"/>
        <w:rPr>
          <w:noProof/>
        </w:rPr>
      </w:pPr>
      <w:r>
        <w:t>и)</w:t>
      </w:r>
      <w:r>
        <w:tab/>
        <w:t>общо изпълнена транспортна работа;</w:t>
      </w:r>
    </w:p>
    <w:p w:rsidR="00AB3ADB" w:rsidRPr="00EC12DC" w:rsidRDefault="00AB3ADB" w:rsidP="00DA09D1">
      <w:pPr>
        <w:pStyle w:val="Point0"/>
        <w:rPr>
          <w:noProof/>
        </w:rPr>
      </w:pPr>
      <w:r>
        <w:t>й)</w:t>
      </w:r>
      <w:r>
        <w:tab/>
        <w:t>средна енергийна ефективност.</w:t>
      </w:r>
    </w:p>
    <w:p w:rsidR="00AB3ADB" w:rsidRPr="00DA09D1" w:rsidRDefault="00AB3ADB" w:rsidP="00DA09D1">
      <w:r w:rsidRPr="00DA09D1">
        <w:t xml:space="preserve">Дружествата могат да </w:t>
      </w:r>
      <w:r w:rsidR="00CA651A" w:rsidRPr="00DA09D1">
        <w:t>извършват</w:t>
      </w:r>
      <w:r w:rsidR="00D62FB9" w:rsidRPr="00DA09D1">
        <w:t xml:space="preserve"> мониторинг </w:t>
      </w:r>
      <w:r w:rsidR="00CA651A" w:rsidRPr="00DA09D1">
        <w:t xml:space="preserve">на </w:t>
      </w:r>
      <w:r w:rsidRPr="00DA09D1">
        <w:t xml:space="preserve">информацията, свързана с </w:t>
      </w:r>
      <w:r w:rsidR="00B53783" w:rsidRPr="00DA09D1">
        <w:t xml:space="preserve">ледовия </w:t>
      </w:r>
      <w:r w:rsidRPr="00DA09D1">
        <w:t xml:space="preserve">клас на кораба и с плаването </w:t>
      </w:r>
      <w:r w:rsidR="00B53783" w:rsidRPr="00DA09D1">
        <w:t xml:space="preserve">през </w:t>
      </w:r>
      <w:r w:rsidRPr="00DA09D1">
        <w:t>заледени води, когато е приложимо.</w:t>
      </w:r>
    </w:p>
    <w:p w:rsidR="00AB3ADB" w:rsidRPr="00DA09D1" w:rsidRDefault="00C74D9C" w:rsidP="00E725DD">
      <w:r w:rsidRPr="00DA09D1">
        <w:t>Д</w:t>
      </w:r>
      <w:r w:rsidR="00AB3ADB" w:rsidRPr="00DA09D1">
        <w:t xml:space="preserve">ружествата могат </w:t>
      </w:r>
      <w:r w:rsidRPr="00DA09D1">
        <w:t xml:space="preserve">също така </w:t>
      </w:r>
      <w:r w:rsidR="00AB3ADB" w:rsidRPr="00DA09D1">
        <w:t xml:space="preserve">да извършват мониторинг на </w:t>
      </w:r>
      <w:r w:rsidR="006449A4" w:rsidRPr="00DA09D1">
        <w:t xml:space="preserve">консумираното </w:t>
      </w:r>
      <w:r w:rsidR="00BF5EDE" w:rsidRPr="00DA09D1">
        <w:t xml:space="preserve">количество </w:t>
      </w:r>
      <w:r w:rsidR="00AB3ADB" w:rsidRPr="00DA09D1">
        <w:t xml:space="preserve">гориво и на </w:t>
      </w:r>
      <w:r w:rsidR="000E4439" w:rsidRPr="00DA09D1">
        <w:t>отделения</w:t>
      </w:r>
      <w:r w:rsidR="00AB3ADB" w:rsidRPr="00DA09D1">
        <w:t xml:space="preserve"> </w:t>
      </w:r>
      <w:r w:rsidR="00E725DD" w:rsidRPr="00E725DD">
        <w:t>СО</w:t>
      </w:r>
      <w:r w:rsidR="00E725DD" w:rsidRPr="00E725DD">
        <w:rPr>
          <w:vertAlign w:val="subscript"/>
        </w:rPr>
        <w:t>2</w:t>
      </w:r>
      <w:r w:rsidR="00AB3ADB" w:rsidRPr="00DA09D1">
        <w:t>, като правят разбивка въз основа на други критерии, определени в мониторинговия план.</w:t>
      </w:r>
    </w:p>
    <w:p w:rsidR="00AB3ADB" w:rsidRPr="00EC12DC" w:rsidRDefault="00AB3ADB" w:rsidP="00AB3ADB">
      <w:pPr>
        <w:pStyle w:val="SectionTitle"/>
        <w:rPr>
          <w:noProof/>
        </w:rPr>
      </w:pPr>
      <w:r>
        <w:br w:type="page"/>
      </w:r>
      <w:r w:rsidRPr="00AB3ADB">
        <w:t>Раздел</w:t>
      </w:r>
      <w:r>
        <w:rPr>
          <w:noProof/>
        </w:rPr>
        <w:t xml:space="preserve"> 4</w:t>
      </w:r>
      <w:r w:rsidRPr="00DA5C39">
        <w:rPr>
          <w:noProof/>
        </w:rPr>
        <w:br/>
      </w:r>
      <w:r w:rsidR="00DA09D1">
        <w:rPr>
          <w:noProof/>
        </w:rPr>
        <w:t>Докладване</w:t>
      </w:r>
    </w:p>
    <w:p w:rsidR="00AB3ADB" w:rsidRPr="00EC12DC" w:rsidRDefault="00AB3ADB" w:rsidP="00AB3ADB">
      <w:pPr>
        <w:pStyle w:val="Titrearticle"/>
        <w:rPr>
          <w:noProof/>
        </w:rPr>
      </w:pPr>
      <w:r>
        <w:t>Член 11</w:t>
      </w:r>
      <w:r w:rsidRPr="00AB3ADB">
        <w:br/>
      </w:r>
      <w:r>
        <w:t>Съдържание на доклада за емисиите</w:t>
      </w:r>
    </w:p>
    <w:p w:rsidR="00AB3ADB" w:rsidRPr="00EC12DC" w:rsidRDefault="00AB3ADB" w:rsidP="00E725DD">
      <w:pPr>
        <w:pStyle w:val="ManualNumPar1"/>
        <w:rPr>
          <w:noProof/>
          <w:color w:val="000000"/>
        </w:rPr>
      </w:pPr>
      <w:r>
        <w:t>1.</w:t>
      </w:r>
      <w:r>
        <w:tab/>
        <w:t>От 2019 г. нататък, до 30 април всяка година дружествата представят на Комисията и на органите на съответните държави на знамето доклад за емисии</w:t>
      </w:r>
      <w:r w:rsidR="00E725DD">
        <w:t>те относно</w:t>
      </w:r>
      <w:r>
        <w:t xml:space="preserve"> емисиите </w:t>
      </w:r>
      <w:r w:rsidR="006449A4">
        <w:t xml:space="preserve">на </w:t>
      </w:r>
      <w:r w:rsidR="006449A4" w:rsidRPr="006449A4">
        <w:t>CO</w:t>
      </w:r>
      <w:r w:rsidR="006449A4" w:rsidRPr="006449A4">
        <w:rPr>
          <w:vertAlign w:val="subscript"/>
        </w:rPr>
        <w:t>2</w:t>
      </w:r>
      <w:r w:rsidR="00F00BFE">
        <w:rPr>
          <w:vertAlign w:val="subscript"/>
        </w:rPr>
        <w:t xml:space="preserve"> </w:t>
      </w:r>
      <w:r>
        <w:t>и друга информация от значение за целия отчетен период и за всеки кораб, за който отговаря</w:t>
      </w:r>
      <w:r w:rsidR="006449A4">
        <w:t>т</w:t>
      </w:r>
      <w:r>
        <w:t xml:space="preserve">, който е </w:t>
      </w:r>
      <w:r w:rsidR="00E725DD">
        <w:t xml:space="preserve">бил </w:t>
      </w:r>
      <w:r>
        <w:t>утвърден като удовлетворителен от проверяващ орган в съответствие с член </w:t>
      </w:r>
      <w:r w:rsidR="000E4439">
        <w:t>13</w:t>
      </w:r>
      <w:r>
        <w:t>.</w:t>
      </w:r>
    </w:p>
    <w:p w:rsidR="00C23C4F" w:rsidRPr="00C23C4F" w:rsidRDefault="00C23C4F" w:rsidP="00E725DD">
      <w:pPr>
        <w:pStyle w:val="ManualNumPar1"/>
        <w:rPr>
          <w:iCs/>
        </w:rPr>
      </w:pPr>
      <w:r w:rsidRPr="00C23C4F">
        <w:rPr>
          <w:iCs/>
        </w:rPr>
        <w:t>2.</w:t>
      </w:r>
      <w:r w:rsidRPr="00C23C4F">
        <w:rPr>
          <w:iCs/>
        </w:rPr>
        <w:tab/>
      </w:r>
      <w:r w:rsidRPr="00DA09D1">
        <w:rPr>
          <w:iCs/>
        </w:rPr>
        <w:t xml:space="preserve">При </w:t>
      </w:r>
      <w:r w:rsidR="002E1912" w:rsidRPr="00DA09D1">
        <w:rPr>
          <w:iCs/>
        </w:rPr>
        <w:t xml:space="preserve">смяна </w:t>
      </w:r>
      <w:r w:rsidRPr="00DA09D1">
        <w:rPr>
          <w:iCs/>
        </w:rPr>
        <w:t xml:space="preserve">на дружеството новото дружество гарантира, че </w:t>
      </w:r>
      <w:r w:rsidR="00E725DD">
        <w:rPr>
          <w:iCs/>
        </w:rPr>
        <w:t xml:space="preserve">по отношение на </w:t>
      </w:r>
      <w:r w:rsidRPr="00DA09D1">
        <w:rPr>
          <w:iCs/>
        </w:rPr>
        <w:t xml:space="preserve">всеки кораб, за който отговаря, </w:t>
      </w:r>
      <w:r w:rsidR="00E725DD">
        <w:rPr>
          <w:iCs/>
        </w:rPr>
        <w:t xml:space="preserve">са </w:t>
      </w:r>
      <w:r w:rsidRPr="00DA09D1">
        <w:rPr>
          <w:iCs/>
        </w:rPr>
        <w:t>спаз</w:t>
      </w:r>
      <w:r w:rsidR="00E725DD">
        <w:rPr>
          <w:iCs/>
        </w:rPr>
        <w:t>ени</w:t>
      </w:r>
      <w:r w:rsidRPr="00DA09D1">
        <w:rPr>
          <w:iCs/>
        </w:rPr>
        <w:t xml:space="preserve"> изискванията на настоящия регламент </w:t>
      </w:r>
      <w:r w:rsidR="00E725DD">
        <w:rPr>
          <w:iCs/>
        </w:rPr>
        <w:t>през</w:t>
      </w:r>
      <w:r w:rsidRPr="00DA09D1">
        <w:rPr>
          <w:iCs/>
        </w:rPr>
        <w:t xml:space="preserve"> целия отчетен период, по време на който е поело отговорност за съответния кораб</w:t>
      </w:r>
      <w:r w:rsidRPr="00C23C4F">
        <w:rPr>
          <w:iCs/>
        </w:rPr>
        <w:t>.</w:t>
      </w:r>
    </w:p>
    <w:p w:rsidR="00AB3ADB" w:rsidRPr="00EC12DC" w:rsidRDefault="00AB3ADB" w:rsidP="00BD4CD8">
      <w:pPr>
        <w:pStyle w:val="ManualNumPar1"/>
        <w:rPr>
          <w:noProof/>
          <w:color w:val="000000"/>
        </w:rPr>
      </w:pPr>
      <w:r>
        <w:t>3.</w:t>
      </w:r>
      <w:r>
        <w:tab/>
        <w:t>В доклада за емисиите дружествата включват следната информация:</w:t>
      </w:r>
    </w:p>
    <w:p w:rsidR="00AB3ADB" w:rsidRPr="00EC12DC" w:rsidRDefault="00AB3ADB" w:rsidP="00E725DD">
      <w:pPr>
        <w:pStyle w:val="Point1"/>
        <w:rPr>
          <w:noProof/>
        </w:rPr>
      </w:pPr>
      <w:r>
        <w:t>а)</w:t>
      </w:r>
      <w:r>
        <w:tab/>
      </w:r>
      <w:r w:rsidR="00E725DD">
        <w:t xml:space="preserve">идентификационни </w:t>
      </w:r>
      <w:r>
        <w:t>данни на кораба и дружеството, включително:</w:t>
      </w:r>
    </w:p>
    <w:p w:rsidR="00AB3ADB" w:rsidRPr="00DA09D1" w:rsidRDefault="00AB3ADB" w:rsidP="00DA09D1">
      <w:pPr>
        <w:pStyle w:val="Point2"/>
      </w:pPr>
      <w:r>
        <w:t>i)</w:t>
      </w:r>
      <w:r>
        <w:tab/>
      </w:r>
      <w:r w:rsidRPr="00DA09D1">
        <w:t>името на кораба</w:t>
      </w:r>
      <w:r w:rsidR="00F00BFE" w:rsidRPr="00DA09D1">
        <w:t>;</w:t>
      </w:r>
    </w:p>
    <w:p w:rsidR="00AB3ADB" w:rsidRPr="00EC12DC" w:rsidRDefault="00AB3ADB" w:rsidP="00DA09D1">
      <w:pPr>
        <w:pStyle w:val="Point2"/>
        <w:rPr>
          <w:noProof/>
        </w:rPr>
      </w:pPr>
      <w:r w:rsidRPr="00DA09D1">
        <w:t>ii)</w:t>
      </w:r>
      <w:r w:rsidRPr="00DA09D1">
        <w:tab/>
        <w:t>ид</w:t>
      </w:r>
      <w:r>
        <w:t>ентификационния номер в ИМО</w:t>
      </w:r>
      <w:r w:rsidR="00F00BFE">
        <w:t>;</w:t>
      </w:r>
    </w:p>
    <w:p w:rsidR="00AB3ADB" w:rsidRPr="00DA09D1" w:rsidRDefault="00AB3ADB" w:rsidP="00DA09D1">
      <w:pPr>
        <w:pStyle w:val="Point2"/>
      </w:pPr>
      <w:r>
        <w:br w:type="page"/>
        <w:t>iii)</w:t>
      </w:r>
      <w:r>
        <w:tab/>
      </w:r>
      <w:r w:rsidRPr="00DA09D1">
        <w:t>пристанището на регистрация или пристанището на домуване</w:t>
      </w:r>
      <w:r w:rsidR="00F00BFE" w:rsidRPr="00DA09D1">
        <w:t>;</w:t>
      </w:r>
    </w:p>
    <w:p w:rsidR="00AB3ADB" w:rsidRPr="00DA09D1" w:rsidRDefault="00C23C4F" w:rsidP="00DA09D1">
      <w:pPr>
        <w:pStyle w:val="Point2"/>
      </w:pPr>
      <w:r w:rsidRPr="00DA09D1">
        <w:t>iv</w:t>
      </w:r>
      <w:r w:rsidR="00AB3ADB" w:rsidRPr="00DA09D1">
        <w:t>)</w:t>
      </w:r>
      <w:r w:rsidR="00AB3ADB" w:rsidRPr="00DA09D1">
        <w:tab/>
      </w:r>
      <w:r w:rsidR="00B53783" w:rsidRPr="00DA09D1">
        <w:t xml:space="preserve">ледовия </w:t>
      </w:r>
      <w:r w:rsidR="00AB3ADB" w:rsidRPr="00DA09D1">
        <w:t>клас на кораба, ако е включен в мониторинговия план</w:t>
      </w:r>
      <w:r w:rsidR="004F348B" w:rsidRPr="00DA09D1">
        <w:t>;</w:t>
      </w:r>
    </w:p>
    <w:p w:rsidR="00AB3ADB" w:rsidRPr="00DA09D1" w:rsidRDefault="00AB3ADB" w:rsidP="00DA09D1">
      <w:pPr>
        <w:pStyle w:val="Point2"/>
      </w:pPr>
      <w:r w:rsidRPr="00DA09D1">
        <w:t>v)</w:t>
      </w:r>
      <w:r w:rsidRPr="00DA09D1">
        <w:tab/>
        <w:t>техническата ефективност на кораба (конструктивния индекс за енергийна ефективност (EEDI) или оценената индексова стойност (EIV), съгласно Резолюция MEPC.215 (63) на ИМО, когато е приложимо</w:t>
      </w:r>
      <w:r w:rsidR="004F348B" w:rsidRPr="00DA09D1">
        <w:t>);</w:t>
      </w:r>
    </w:p>
    <w:p w:rsidR="00AB3ADB" w:rsidRPr="00DA09D1" w:rsidRDefault="00AB3ADB" w:rsidP="00DA09D1">
      <w:pPr>
        <w:pStyle w:val="Point2"/>
      </w:pPr>
      <w:r w:rsidRPr="00DA09D1">
        <w:t>v</w:t>
      </w:r>
      <w:r w:rsidR="00C23C4F" w:rsidRPr="00DA09D1">
        <w:t>i</w:t>
      </w:r>
      <w:r w:rsidRPr="00DA09D1">
        <w:t>)</w:t>
      </w:r>
      <w:r w:rsidRPr="00DA09D1">
        <w:tab/>
        <w:t>наименованието на корабособственика</w:t>
      </w:r>
      <w:r w:rsidR="004F348B" w:rsidRPr="00DA09D1">
        <w:t>;</w:t>
      </w:r>
    </w:p>
    <w:p w:rsidR="00AB3ADB" w:rsidRPr="00DA09D1" w:rsidRDefault="00AB3ADB" w:rsidP="00DA09D1">
      <w:pPr>
        <w:pStyle w:val="Point2"/>
      </w:pPr>
      <w:r w:rsidRPr="00DA09D1">
        <w:t>vi</w:t>
      </w:r>
      <w:r w:rsidR="00C23C4F" w:rsidRPr="00DA09D1">
        <w:t>i</w:t>
      </w:r>
      <w:r w:rsidRPr="00DA09D1">
        <w:t>)</w:t>
      </w:r>
      <w:r w:rsidRPr="00DA09D1">
        <w:tab/>
        <w:t>адреса на корабособственика и неговото основно място на дейност</w:t>
      </w:r>
      <w:r w:rsidR="004F348B" w:rsidRPr="00DA09D1">
        <w:t>;</w:t>
      </w:r>
    </w:p>
    <w:p w:rsidR="00AB3ADB" w:rsidRPr="00DA09D1" w:rsidRDefault="00AB3ADB" w:rsidP="00DA09D1">
      <w:pPr>
        <w:pStyle w:val="Point2"/>
      </w:pPr>
      <w:r w:rsidRPr="00DA09D1">
        <w:t>vii</w:t>
      </w:r>
      <w:r w:rsidR="00C23C4F" w:rsidRPr="00DA09D1">
        <w:t>i</w:t>
      </w:r>
      <w:r w:rsidRPr="00DA09D1">
        <w:t>)</w:t>
      </w:r>
      <w:r w:rsidRPr="00DA09D1">
        <w:tab/>
        <w:t>наименованието на дружеството (ако дружеството и корабособственикът са различни</w:t>
      </w:r>
      <w:r w:rsidR="004F348B" w:rsidRPr="00DA09D1">
        <w:t>);</w:t>
      </w:r>
    </w:p>
    <w:p w:rsidR="00AB3ADB" w:rsidRPr="00E725DD" w:rsidRDefault="00637A4F" w:rsidP="00DA09D1">
      <w:pPr>
        <w:pStyle w:val="Point2"/>
      </w:pPr>
      <w:r>
        <w:t>ix</w:t>
      </w:r>
      <w:r w:rsidR="00AB3ADB" w:rsidRPr="00DA09D1">
        <w:t>)</w:t>
      </w:r>
      <w:r w:rsidR="00AB3ADB" w:rsidRPr="00DA09D1">
        <w:tab/>
        <w:t xml:space="preserve">адреса на дружеството (ако дружеството и корабособственикът са </w:t>
      </w:r>
      <w:r w:rsidR="00AB3ADB" w:rsidRPr="00E725DD">
        <w:t>различни) и неговото основно място на дейност</w:t>
      </w:r>
      <w:r w:rsidR="004F348B" w:rsidRPr="00E725DD">
        <w:t>;</w:t>
      </w:r>
    </w:p>
    <w:p w:rsidR="00AB3ADB" w:rsidRPr="00E725DD" w:rsidRDefault="00C23C4F" w:rsidP="00DA09D1">
      <w:pPr>
        <w:pStyle w:val="Point2"/>
        <w:rPr>
          <w:noProof/>
        </w:rPr>
      </w:pPr>
      <w:r w:rsidRPr="00E725DD">
        <w:t>x</w:t>
      </w:r>
      <w:r w:rsidR="00AB3ADB" w:rsidRPr="00E725DD">
        <w:t>)</w:t>
      </w:r>
      <w:r w:rsidR="00AB3ADB" w:rsidRPr="00E725DD">
        <w:tab/>
        <w:t>адрес, телефон и адрес на електронна поща на лице за контакт;</w:t>
      </w:r>
    </w:p>
    <w:p w:rsidR="00AB3ADB" w:rsidRPr="001D3B9B" w:rsidRDefault="00C23C4F" w:rsidP="00DA09D1">
      <w:pPr>
        <w:pStyle w:val="Point1"/>
      </w:pPr>
      <w:r w:rsidRPr="00E725DD">
        <w:t>б</w:t>
      </w:r>
      <w:r w:rsidR="00AB3ADB" w:rsidRPr="00E725DD">
        <w:t>)</w:t>
      </w:r>
      <w:r w:rsidR="00AB3ADB" w:rsidRPr="00E725DD">
        <w:tab/>
        <w:t>идентифик</w:t>
      </w:r>
      <w:r w:rsidR="00AB3ADB" w:rsidRPr="001D3B9B">
        <w:t>ационни данни на проверяващия орган, оценил доклада за емисиите;</w:t>
      </w:r>
    </w:p>
    <w:p w:rsidR="00AB3ADB" w:rsidRPr="00EC12DC" w:rsidRDefault="00C23C4F" w:rsidP="00DA09D1">
      <w:pPr>
        <w:pStyle w:val="Point1"/>
        <w:rPr>
          <w:noProof/>
        </w:rPr>
      </w:pPr>
      <w:r>
        <w:t>в</w:t>
      </w:r>
      <w:r w:rsidR="00AB3ADB">
        <w:t>)</w:t>
      </w:r>
      <w:r w:rsidR="00AB3ADB">
        <w:tab/>
        <w:t>информация относно използвания метод за мониторинг и съответното ниво на неопределеност;</w:t>
      </w:r>
    </w:p>
    <w:p w:rsidR="00AB3ADB" w:rsidRPr="00EC12DC" w:rsidRDefault="00C23C4F" w:rsidP="00DA09D1">
      <w:pPr>
        <w:pStyle w:val="Point1"/>
        <w:rPr>
          <w:noProof/>
        </w:rPr>
      </w:pPr>
      <w:r>
        <w:t>г</w:t>
      </w:r>
      <w:r w:rsidR="00AB3ADB">
        <w:t>)</w:t>
      </w:r>
      <w:r w:rsidR="00AB3ADB">
        <w:tab/>
        <w:t>резултатите от годишния мониторинг на параметрите в съответствие с член 10.</w:t>
      </w:r>
    </w:p>
    <w:p w:rsidR="00AB3ADB" w:rsidRPr="00EC12DC" w:rsidRDefault="00AB3ADB" w:rsidP="00AB3ADB">
      <w:pPr>
        <w:pStyle w:val="Titrearticle"/>
        <w:rPr>
          <w:noProof/>
        </w:rPr>
      </w:pPr>
      <w:r>
        <w:br w:type="page"/>
        <w:t>Член 12</w:t>
      </w:r>
      <w:r w:rsidRPr="00AB3ADB">
        <w:br/>
      </w:r>
      <w:r>
        <w:t>Формат на доклада за емисиите</w:t>
      </w:r>
    </w:p>
    <w:p w:rsidR="00AB3ADB" w:rsidRPr="00EC12DC" w:rsidRDefault="00AB3ADB" w:rsidP="00BD4CD8">
      <w:pPr>
        <w:pStyle w:val="ManualNumPar1"/>
        <w:rPr>
          <w:noProof/>
        </w:rPr>
      </w:pPr>
      <w:r>
        <w:t>1.</w:t>
      </w:r>
      <w:r>
        <w:tab/>
        <w:t>Докладът за емисиите се подава посредством автоматични системи и формати за обмен на данни, включително електронни образци.</w:t>
      </w:r>
    </w:p>
    <w:p w:rsidR="00AB3ADB" w:rsidRPr="00AB3ADB" w:rsidRDefault="00AB3ADB" w:rsidP="00E725DD">
      <w:pPr>
        <w:pStyle w:val="ManualNumPar1"/>
      </w:pPr>
      <w:r>
        <w:t>2.</w:t>
      </w:r>
      <w:r>
        <w:tab/>
        <w:t xml:space="preserve">Комисията определя чрез актове за изпълнение техническите правила за </w:t>
      </w:r>
      <w:r w:rsidR="00E725DD">
        <w:t>определяне</w:t>
      </w:r>
      <w:r>
        <w:t xml:space="preserve"> на </w:t>
      </w:r>
      <w:r w:rsidR="00C23C4F">
        <w:t xml:space="preserve">форматите </w:t>
      </w:r>
      <w:r>
        <w:t>за обмен на данни</w:t>
      </w:r>
      <w:r w:rsidR="00C23C4F">
        <w:t xml:space="preserve">, включително на </w:t>
      </w:r>
      <w:r>
        <w:t>електронните образци. Тези актове за изпълнение се приемат в съответствие с процедурата по разглеждане, посочена в член </w:t>
      </w:r>
      <w:r w:rsidR="00C23C4F">
        <w:t>24</w:t>
      </w:r>
      <w:r>
        <w:t>, параграф 2.</w:t>
      </w:r>
    </w:p>
    <w:p w:rsidR="00AB3ADB" w:rsidRPr="009C2483" w:rsidRDefault="00AB3ADB" w:rsidP="00AB3ADB">
      <w:pPr>
        <w:pStyle w:val="ChapterTitle"/>
        <w:rPr>
          <w:noProof/>
        </w:rPr>
      </w:pPr>
      <w:r>
        <w:t>ГЛАВА III</w:t>
      </w:r>
      <w:r w:rsidRPr="00AB3ADB">
        <w:br/>
      </w:r>
      <w:r>
        <w:t>ПРОВЕРКА И АКРЕДИТИРАНЕ</w:t>
      </w:r>
    </w:p>
    <w:p w:rsidR="00AB3ADB" w:rsidRPr="009C2483" w:rsidRDefault="00AB3ADB" w:rsidP="00AB3ADB">
      <w:pPr>
        <w:pStyle w:val="Titrearticle"/>
        <w:rPr>
          <w:noProof/>
        </w:rPr>
      </w:pPr>
      <w:r>
        <w:t>Член 13</w:t>
      </w:r>
      <w:r w:rsidRPr="00AB3ADB">
        <w:br/>
      </w:r>
      <w:r>
        <w:t>Обхват на дейностите по проверката и доклад от проверката</w:t>
      </w:r>
    </w:p>
    <w:p w:rsidR="00AB3ADB" w:rsidRPr="00D723B0" w:rsidRDefault="00AB3ADB" w:rsidP="00BD4CD8">
      <w:pPr>
        <w:pStyle w:val="ManualNumPar1"/>
        <w:rPr>
          <w:noProof/>
        </w:rPr>
      </w:pPr>
      <w:r w:rsidRPr="00DA09D1">
        <w:t>1.</w:t>
      </w:r>
      <w:r w:rsidRPr="00DA09D1">
        <w:tab/>
        <w:t xml:space="preserve">Проверяващият орган оценява съответствието на мониторинговия план с изискванията, установени в членове 6 и 7. Когато при оценката на проверяващия орган се установи несъответствие с посочените изисквания, съответното </w:t>
      </w:r>
      <w:r w:rsidRPr="00843243">
        <w:t>дружество преработва своя мониторингов план по съответен начин и представя преработения план за окончателна оценка от проверяващия орган преди началото на отчетния</w:t>
      </w:r>
      <w:r w:rsidRPr="00DA09D1">
        <w:t xml:space="preserve"> период. Дружеството съгласува с проверяващия орган срока, необходим за въвеждането на преработения план</w:t>
      </w:r>
      <w:r w:rsidR="00C23C4F" w:rsidRPr="00DA09D1">
        <w:t>. Този срок</w:t>
      </w:r>
      <w:r w:rsidRPr="00DA09D1">
        <w:t xml:space="preserve"> във всички случаи не може да приключва след началото на отчетния период.</w:t>
      </w:r>
    </w:p>
    <w:p w:rsidR="00AB3ADB" w:rsidRPr="009C2483" w:rsidRDefault="00AB3ADB" w:rsidP="00BD4CD8">
      <w:pPr>
        <w:pStyle w:val="ManualNumPar1"/>
        <w:rPr>
          <w:noProof/>
        </w:rPr>
      </w:pPr>
      <w:r>
        <w:br w:type="page"/>
      </w:r>
      <w:r w:rsidRPr="001D3B9B">
        <w:t>2.</w:t>
      </w:r>
      <w:r>
        <w:tab/>
        <w:t>Проверяващият орган оценява съответствието на доклада за емисиите</w:t>
      </w:r>
      <w:r w:rsidR="006449A4">
        <w:t xml:space="preserve"> </w:t>
      </w:r>
      <w:r>
        <w:t>с изискванията, установени в членове 8</w:t>
      </w:r>
      <w:r w:rsidR="00EC6D66">
        <w:t xml:space="preserve"> </w:t>
      </w:r>
      <w:r>
        <w:t xml:space="preserve">— </w:t>
      </w:r>
      <w:r w:rsidRPr="001D3B9B">
        <w:t xml:space="preserve">12 </w:t>
      </w:r>
      <w:r>
        <w:t>и в приложени</w:t>
      </w:r>
      <w:r w:rsidRPr="001D3B9B">
        <w:t>я</w:t>
      </w:r>
      <w:r>
        <w:t> I и II.</w:t>
      </w:r>
    </w:p>
    <w:p w:rsidR="00AB3ADB" w:rsidRPr="00BD4CD8" w:rsidRDefault="00AB3ADB" w:rsidP="00BD4CD8">
      <w:pPr>
        <w:pStyle w:val="Text1"/>
        <w:rPr>
          <w:noProof/>
        </w:rPr>
      </w:pPr>
      <w:r w:rsidRPr="00BD4CD8">
        <w:t xml:space="preserve">Проверяващият орган оценява по-специално дали данните за емисиите </w:t>
      </w:r>
      <w:r w:rsidR="006449A4" w:rsidRPr="00BD4CD8">
        <w:t xml:space="preserve">на </w:t>
      </w:r>
      <w:r w:rsidR="006449A4" w:rsidRPr="00BD4CD8">
        <w:rPr>
          <w:lang w:val="en-GB"/>
        </w:rPr>
        <w:t>CO</w:t>
      </w:r>
      <w:r w:rsidR="006449A4" w:rsidRPr="00BD4CD8">
        <w:rPr>
          <w:vertAlign w:val="subscript"/>
        </w:rPr>
        <w:t xml:space="preserve">2 </w:t>
      </w:r>
      <w:r w:rsidRPr="00BD4CD8">
        <w:t>и другата информация от значение, които са включени в доклада за емисиите, са определени в съответствие с посоченото в членове 8, 9 и 10, както и с мониторинговия план.</w:t>
      </w:r>
    </w:p>
    <w:p w:rsidR="00AB3ADB" w:rsidRPr="00DA09D1" w:rsidRDefault="00C23C4F" w:rsidP="00843243">
      <w:pPr>
        <w:pStyle w:val="ManualNumPar1"/>
        <w:rPr>
          <w:noProof/>
        </w:rPr>
      </w:pPr>
      <w:r w:rsidRPr="00DA09D1">
        <w:t>3</w:t>
      </w:r>
      <w:r w:rsidR="00AB3ADB" w:rsidRPr="00DA09D1">
        <w:t>.</w:t>
      </w:r>
      <w:r w:rsidR="00AB3ADB" w:rsidRPr="00DA09D1">
        <w:tab/>
        <w:t xml:space="preserve">Когато при проверката </w:t>
      </w:r>
      <w:r w:rsidR="00F00BFE" w:rsidRPr="00DA09D1">
        <w:t xml:space="preserve">проверяващият орган </w:t>
      </w:r>
      <w:r w:rsidR="00AB3ADB" w:rsidRPr="00DA09D1">
        <w:t xml:space="preserve">е </w:t>
      </w:r>
      <w:r w:rsidR="00F00BFE" w:rsidRPr="00DA09D1">
        <w:t xml:space="preserve">достигнал с разумна степен на увереност до </w:t>
      </w:r>
      <w:r w:rsidR="00AB3ADB" w:rsidRPr="00DA09D1">
        <w:t>заключение</w:t>
      </w:r>
      <w:r w:rsidR="00F00BFE" w:rsidRPr="00DA09D1">
        <w:t>то</w:t>
      </w:r>
      <w:r w:rsidR="00AB3ADB" w:rsidRPr="00DA09D1">
        <w:t xml:space="preserve">, че в доклада за емисиите няма съществени неточности, проверяващият орган изготвя доклад от проверката, в който се посочва, че докладът за емисиите е проверен и </w:t>
      </w:r>
      <w:r w:rsidR="00F00BFE" w:rsidRPr="00DA09D1">
        <w:t>утвърден като</w:t>
      </w:r>
      <w:r w:rsidR="00E452D7">
        <w:t xml:space="preserve"> </w:t>
      </w:r>
      <w:r w:rsidR="00AB3ADB" w:rsidRPr="00DA09D1">
        <w:t>удовлетворителен. В доклада от проверката се посочват всички въпроси, свързани с извършената от проверяващия орган работа.</w:t>
      </w:r>
    </w:p>
    <w:p w:rsidR="00AB3ADB" w:rsidRPr="00DA09D1" w:rsidRDefault="00C23C4F" w:rsidP="00BD4CD8">
      <w:pPr>
        <w:pStyle w:val="ManualNumPar1"/>
      </w:pPr>
      <w:r w:rsidRPr="00DA09D1">
        <w:t>4</w:t>
      </w:r>
      <w:r w:rsidR="00AB3ADB" w:rsidRPr="00DA09D1">
        <w:t>.</w:t>
      </w:r>
      <w:r w:rsidR="00AB3ADB" w:rsidRPr="00DA09D1">
        <w:tab/>
        <w:t>Когато при проверката е направено заключение, че докладът за емисиите съдържа неточности или несъответствия с</w:t>
      </w:r>
      <w:r w:rsidR="00843243">
        <w:t>прямо</w:t>
      </w:r>
      <w:r w:rsidR="00AB3ADB" w:rsidRPr="00DA09D1">
        <w:t xml:space="preserve"> изискванията на настоящия регламент, проверяващият орган информира своевременно дружеството за това. В този случай дружеството </w:t>
      </w:r>
      <w:r w:rsidR="00B758CB" w:rsidRPr="00DA09D1">
        <w:t xml:space="preserve">отстранява </w:t>
      </w:r>
      <w:r w:rsidR="00AB3ADB" w:rsidRPr="00DA09D1">
        <w:t xml:space="preserve">всички неточности </w:t>
      </w:r>
      <w:r w:rsidR="00B758CB" w:rsidRPr="00DA09D1">
        <w:t>или</w:t>
      </w:r>
      <w:r w:rsidR="00AB3ADB" w:rsidRPr="00DA09D1">
        <w:t xml:space="preserve"> несъответствия, за да може процесът на проверка да бъде приключен навреме, и представя на проверяващия орган преработения доклад за емисиите и всяка друга информация, необходима за </w:t>
      </w:r>
      <w:r w:rsidR="006449A4" w:rsidRPr="00DA09D1">
        <w:t xml:space="preserve">отстраняване </w:t>
      </w:r>
      <w:r w:rsidR="00AB3ADB" w:rsidRPr="00DA09D1">
        <w:t xml:space="preserve">на </w:t>
      </w:r>
      <w:r w:rsidR="006449A4" w:rsidRPr="00DA09D1">
        <w:t xml:space="preserve">откритите </w:t>
      </w:r>
      <w:r w:rsidR="00AB3ADB" w:rsidRPr="00DA09D1">
        <w:t>несъответствия. В своя доклад от проверката проверяващият орган посочва дали неточностите или несъответствията, открити при проверката</w:t>
      </w:r>
      <w:r w:rsidR="004F348B" w:rsidRPr="00DA09D1">
        <w:t>,</w:t>
      </w:r>
      <w:r w:rsidR="00AB3ADB" w:rsidRPr="00DA09D1">
        <w:t xml:space="preserve"> са били отстранени от дружеството.</w:t>
      </w:r>
      <w:r w:rsidR="004F348B" w:rsidRPr="00DA09D1">
        <w:t xml:space="preserve"> </w:t>
      </w:r>
      <w:r w:rsidR="00AB3ADB" w:rsidRPr="00DA09D1">
        <w:t xml:space="preserve">Когато неточностите или несъответствията, за които е съобщено, не са били отстранени и, поотделно или в съчетание, водят до съществени неточности, проверяващият орган изготвя доклад от проверката, в който се посочва, че </w:t>
      </w:r>
      <w:r w:rsidR="004F348B" w:rsidRPr="00DA09D1">
        <w:t>във връ</w:t>
      </w:r>
      <w:r w:rsidR="004F348B" w:rsidRPr="00843243">
        <w:t xml:space="preserve">зка с </w:t>
      </w:r>
      <w:r w:rsidR="00AB3ADB" w:rsidRPr="00843243">
        <w:t>доклада за емисиите не е</w:t>
      </w:r>
      <w:r w:rsidR="00AB3ADB" w:rsidRPr="00DA09D1">
        <w:t xml:space="preserve"> спазен настоящият регламент.</w:t>
      </w:r>
    </w:p>
    <w:p w:rsidR="00AB3ADB" w:rsidRPr="009C2483" w:rsidRDefault="00AB3ADB" w:rsidP="00AB3ADB">
      <w:pPr>
        <w:pStyle w:val="Titrearticle"/>
        <w:rPr>
          <w:noProof/>
        </w:rPr>
      </w:pPr>
      <w:r>
        <w:br w:type="page"/>
        <w:t>Член 14</w:t>
      </w:r>
      <w:r w:rsidRPr="00AB3ADB">
        <w:br/>
      </w:r>
      <w:r>
        <w:t>Общи задължения и принципи за проверяващите органи</w:t>
      </w:r>
    </w:p>
    <w:p w:rsidR="00AB3ADB" w:rsidRPr="009C2483" w:rsidRDefault="00AB3ADB" w:rsidP="00843243">
      <w:pPr>
        <w:pStyle w:val="ManualNumPar1"/>
        <w:rPr>
          <w:noProof/>
        </w:rPr>
      </w:pPr>
      <w:r>
        <w:t>1.</w:t>
      </w:r>
      <w:r>
        <w:tab/>
        <w:t xml:space="preserve">Проверяващият орган е независим от дружеството или корабния оператор и изпълнява изискваните по настоящия регламент дейности </w:t>
      </w:r>
      <w:r w:rsidR="00843243">
        <w:t xml:space="preserve">в </w:t>
      </w:r>
      <w:r>
        <w:t>обществен интерес. За тази цел нито проверяващият орган, нито някоя част от същия правен субект, не е дружество, нито ко</w:t>
      </w:r>
      <w:r w:rsidR="00843243">
        <w:t>рабен оператор, нито собственик</w:t>
      </w:r>
      <w:r>
        <w:t xml:space="preserve"> на дружество,</w:t>
      </w:r>
      <w:r w:rsidR="00843243">
        <w:t xml:space="preserve"> нито принадлежи на някой от посочените, като проверяващият орган няма</w:t>
      </w:r>
      <w:r>
        <w:t xml:space="preserve"> отношения със съответното дружество, които биха могли да повлияят на неговата независимост и безпристрастност.</w:t>
      </w:r>
    </w:p>
    <w:p w:rsidR="00AB3ADB" w:rsidRPr="009C2483" w:rsidRDefault="00AB3ADB" w:rsidP="00843243">
      <w:pPr>
        <w:pStyle w:val="ManualNumPar1"/>
        <w:rPr>
          <w:noProof/>
        </w:rPr>
      </w:pPr>
      <w:r>
        <w:t>2.</w:t>
      </w:r>
      <w:r>
        <w:tab/>
        <w:t>При проверката на доклада за емисиите</w:t>
      </w:r>
      <w:r w:rsidR="00B758CB">
        <w:t xml:space="preserve"> </w:t>
      </w:r>
      <w:r>
        <w:t xml:space="preserve">и на процедурите за мониторинг, прилагани от дружеството, проверяващият орган оценява надеждността, достоверността и точността на системите за мониторинг и на докладваните данни и информация </w:t>
      </w:r>
      <w:r w:rsidR="00843243">
        <w:t>относно</w:t>
      </w:r>
      <w:r>
        <w:t xml:space="preserve"> емисиит</w:t>
      </w:r>
      <w:r w:rsidRPr="00BD4CD8">
        <w:t>е</w:t>
      </w:r>
      <w:r w:rsidR="006449A4" w:rsidRPr="00BD4CD8">
        <w:t xml:space="preserve"> </w:t>
      </w:r>
      <w:r w:rsidR="006449A4">
        <w:t xml:space="preserve">на </w:t>
      </w:r>
      <w:r w:rsidR="006449A4" w:rsidRPr="006449A4">
        <w:rPr>
          <w:lang w:val="en-GB"/>
        </w:rPr>
        <w:t>CO</w:t>
      </w:r>
      <w:r w:rsidR="006449A4" w:rsidRPr="00EC6D66">
        <w:rPr>
          <w:vertAlign w:val="subscript"/>
        </w:rPr>
        <w:t>2</w:t>
      </w:r>
      <w:r>
        <w:t>, и по-специално на:</w:t>
      </w:r>
    </w:p>
    <w:p w:rsidR="00AB3ADB" w:rsidRPr="009C2483" w:rsidRDefault="00AB3ADB" w:rsidP="00DA09D1">
      <w:pPr>
        <w:pStyle w:val="Point1"/>
        <w:rPr>
          <w:noProof/>
        </w:rPr>
      </w:pPr>
      <w:r>
        <w:t>а)</w:t>
      </w:r>
      <w:r>
        <w:tab/>
      </w:r>
      <w:r w:rsidR="006449A4">
        <w:t>разпределянето на</w:t>
      </w:r>
      <w:r w:rsidR="004E42B8" w:rsidRPr="004E42B8">
        <w:t xml:space="preserve"> </w:t>
      </w:r>
      <w:r>
        <w:t>консумирани количества гориво по плавания;</w:t>
      </w:r>
    </w:p>
    <w:p w:rsidR="00AB3ADB" w:rsidRPr="009C2483" w:rsidRDefault="00AB3ADB" w:rsidP="00DA09D1">
      <w:pPr>
        <w:pStyle w:val="Point1"/>
        <w:rPr>
          <w:noProof/>
        </w:rPr>
      </w:pPr>
      <w:r>
        <w:t>б)</w:t>
      </w:r>
      <w:r>
        <w:tab/>
        <w:t>докладваните данни за консумираните количества гориво и съответните измервания и изчисления;</w:t>
      </w:r>
    </w:p>
    <w:p w:rsidR="00AB3ADB" w:rsidRPr="009C2483" w:rsidRDefault="00AB3ADB" w:rsidP="00DA09D1">
      <w:pPr>
        <w:pStyle w:val="Point1"/>
        <w:rPr>
          <w:noProof/>
        </w:rPr>
      </w:pPr>
      <w:r>
        <w:t>в)</w:t>
      </w:r>
      <w:r>
        <w:tab/>
        <w:t>избора и използването на емисионни фактори;</w:t>
      </w:r>
    </w:p>
    <w:p w:rsidR="00AB3ADB" w:rsidRPr="009C2483" w:rsidRDefault="00AB3ADB" w:rsidP="00DA09D1">
      <w:pPr>
        <w:pStyle w:val="Point1"/>
        <w:rPr>
          <w:noProof/>
        </w:rPr>
      </w:pPr>
      <w:r>
        <w:t>г)</w:t>
      </w:r>
      <w:r>
        <w:tab/>
        <w:t>изчисленията, водещи до определянето на общите емисии</w:t>
      </w:r>
      <w:r w:rsidR="006449A4" w:rsidRPr="006449A4">
        <w:t xml:space="preserve"> на </w:t>
      </w:r>
      <w:r w:rsidR="006449A4" w:rsidRPr="006449A4">
        <w:rPr>
          <w:lang w:val="en-GB"/>
        </w:rPr>
        <w:t>CO</w:t>
      </w:r>
      <w:r w:rsidR="006449A4" w:rsidRPr="006449A4">
        <w:rPr>
          <w:vertAlign w:val="subscript"/>
        </w:rPr>
        <w:t>2</w:t>
      </w:r>
      <w:r>
        <w:t>;</w:t>
      </w:r>
    </w:p>
    <w:p w:rsidR="00AB3ADB" w:rsidRPr="009C2483" w:rsidRDefault="00AB3ADB" w:rsidP="00DA09D1">
      <w:pPr>
        <w:pStyle w:val="Point1"/>
        <w:rPr>
          <w:noProof/>
        </w:rPr>
      </w:pPr>
      <w:r>
        <w:t>д)</w:t>
      </w:r>
      <w:r>
        <w:tab/>
        <w:t>изчисленията, водещи до определянето на енергийната ефективност.</w:t>
      </w:r>
    </w:p>
    <w:p w:rsidR="00AB3ADB" w:rsidRPr="00BD4CD8" w:rsidRDefault="00AB3ADB" w:rsidP="00BD4CD8">
      <w:pPr>
        <w:pStyle w:val="ManualNumPar1"/>
        <w:rPr>
          <w:noProof/>
        </w:rPr>
      </w:pPr>
      <w:r>
        <w:br w:type="page"/>
        <w:t>3.</w:t>
      </w:r>
      <w:r>
        <w:tab/>
      </w:r>
      <w:r w:rsidRPr="00BD4CD8">
        <w:t xml:space="preserve">Проверяващият орган разглежда докладите за емисиите, представени в съответствие с член </w:t>
      </w:r>
      <w:r w:rsidRPr="00BD4CD8">
        <w:rPr>
          <w:noProof/>
        </w:rPr>
        <w:t>12</w:t>
      </w:r>
      <w:r w:rsidRPr="00BD4CD8">
        <w:t xml:space="preserve">, </w:t>
      </w:r>
      <w:r w:rsidR="00B758CB" w:rsidRPr="00BD4CD8">
        <w:t>при условие че</w:t>
      </w:r>
      <w:r w:rsidRPr="00BD4CD8">
        <w:t xml:space="preserve"> наличието на надеждни и достоверни данни и информация дава възможност за определяне на емисиите </w:t>
      </w:r>
      <w:r w:rsidR="006449A4" w:rsidRPr="00BD4CD8">
        <w:t xml:space="preserve">на </w:t>
      </w:r>
      <w:r w:rsidR="006449A4" w:rsidRPr="00BD4CD8">
        <w:rPr>
          <w:lang w:val="en-GB"/>
        </w:rPr>
        <w:t>CO</w:t>
      </w:r>
      <w:r w:rsidR="006449A4" w:rsidRPr="00BD4CD8">
        <w:rPr>
          <w:vertAlign w:val="subscript"/>
        </w:rPr>
        <w:t>2</w:t>
      </w:r>
      <w:r w:rsidR="00EC6D66" w:rsidRPr="00BD4CD8">
        <w:rPr>
          <w:vertAlign w:val="subscript"/>
        </w:rPr>
        <w:t xml:space="preserve"> </w:t>
      </w:r>
      <w:r w:rsidRPr="00BD4CD8">
        <w:t xml:space="preserve">с </w:t>
      </w:r>
      <w:r w:rsidRPr="00BD4CD8">
        <w:rPr>
          <w:noProof/>
        </w:rPr>
        <w:t>разумна</w:t>
      </w:r>
      <w:r w:rsidRPr="00BD4CD8">
        <w:t xml:space="preserve"> степен на сигурност, както и ако са изпълнени следните условия:</w:t>
      </w:r>
    </w:p>
    <w:p w:rsidR="00AB3ADB" w:rsidRPr="009C2483" w:rsidRDefault="00AB3ADB" w:rsidP="00DA09D1">
      <w:pPr>
        <w:pStyle w:val="Point1"/>
        <w:rPr>
          <w:noProof/>
        </w:rPr>
      </w:pPr>
      <w:r>
        <w:t>а)</w:t>
      </w:r>
      <w:r>
        <w:tab/>
        <w:t>докладваните данни съответстват на прогнозни данни, основани на данни от проследяване на корабите и характеристики, като например инсталираната мощност на двигателите;</w:t>
      </w:r>
    </w:p>
    <w:p w:rsidR="00AB3ADB" w:rsidRPr="009C2483" w:rsidRDefault="00AB3ADB" w:rsidP="00DA09D1">
      <w:pPr>
        <w:pStyle w:val="Point1"/>
        <w:rPr>
          <w:noProof/>
        </w:rPr>
      </w:pPr>
      <w:r>
        <w:t>б)</w:t>
      </w:r>
      <w:r>
        <w:tab/>
        <w:t xml:space="preserve">в докладваните данни няма несъответствия, по-специално при сравняване на </w:t>
      </w:r>
      <w:r>
        <w:rPr>
          <w:color w:val="000000"/>
        </w:rPr>
        <w:t>общото</w:t>
      </w:r>
      <w:r>
        <w:t xml:space="preserve"> </w:t>
      </w:r>
      <w:r>
        <w:rPr>
          <w:color w:val="222222"/>
        </w:rPr>
        <w:t>годишно количество</w:t>
      </w:r>
      <w:r>
        <w:t xml:space="preserve"> </w:t>
      </w:r>
      <w:r>
        <w:rPr>
          <w:color w:val="000000"/>
        </w:rPr>
        <w:t>закупено гориво</w:t>
      </w:r>
      <w:r>
        <w:t xml:space="preserve"> от всеки кораб и обобщените количества консумирано гориво по време на плаванията;</w:t>
      </w:r>
    </w:p>
    <w:p w:rsidR="00AB3ADB" w:rsidRPr="009C2483" w:rsidRDefault="00AB3ADB" w:rsidP="00DA09D1">
      <w:pPr>
        <w:pStyle w:val="Point1"/>
        <w:rPr>
          <w:noProof/>
        </w:rPr>
      </w:pPr>
      <w:r>
        <w:t>в)</w:t>
      </w:r>
      <w:r>
        <w:tab/>
        <w:t>събирането на данните е извършено съгласно приложимите правила; и</w:t>
      </w:r>
    </w:p>
    <w:p w:rsidR="00AB3ADB" w:rsidRPr="009C2483" w:rsidRDefault="00AB3ADB" w:rsidP="00DA09D1">
      <w:pPr>
        <w:pStyle w:val="Point1"/>
        <w:rPr>
          <w:noProof/>
        </w:rPr>
      </w:pPr>
      <w:r>
        <w:t>г)</w:t>
      </w:r>
      <w:r>
        <w:tab/>
        <w:t>съответните корабни записи са пълни и последователни.</w:t>
      </w:r>
    </w:p>
    <w:p w:rsidR="00AB3ADB" w:rsidRPr="009C2483" w:rsidRDefault="00AB3ADB" w:rsidP="00AB3ADB">
      <w:pPr>
        <w:pStyle w:val="Titrearticle"/>
        <w:rPr>
          <w:noProof/>
        </w:rPr>
      </w:pPr>
      <w:r>
        <w:t>Член 15</w:t>
      </w:r>
      <w:r w:rsidRPr="00EC6D66">
        <w:br/>
      </w:r>
      <w:r>
        <w:t>Процедури на проверка</w:t>
      </w:r>
    </w:p>
    <w:p w:rsidR="00AB3ADB" w:rsidRPr="009C2483" w:rsidRDefault="00AB3ADB" w:rsidP="00BD4CD8">
      <w:pPr>
        <w:pStyle w:val="ManualNumPar1"/>
        <w:rPr>
          <w:noProof/>
        </w:rPr>
      </w:pPr>
      <w:r>
        <w:t>1.</w:t>
      </w:r>
      <w:r>
        <w:tab/>
        <w:t xml:space="preserve">Проверяващият орган установява потенциални рискове във връзка с процеса на мониторинг и докладване, като сравнява докладваните емисии </w:t>
      </w:r>
      <w:r w:rsidR="006449A4" w:rsidRPr="006449A4">
        <w:t xml:space="preserve">на </w:t>
      </w:r>
      <w:r w:rsidR="006449A4" w:rsidRPr="006449A4">
        <w:rPr>
          <w:lang w:val="en-GB"/>
        </w:rPr>
        <w:t>CO</w:t>
      </w:r>
      <w:r w:rsidR="006449A4" w:rsidRPr="006449A4">
        <w:rPr>
          <w:vertAlign w:val="subscript"/>
        </w:rPr>
        <w:t>2</w:t>
      </w:r>
      <w:r w:rsidR="00BF5EDE">
        <w:rPr>
          <w:vertAlign w:val="subscript"/>
        </w:rPr>
        <w:t xml:space="preserve"> </w:t>
      </w:r>
      <w:r>
        <w:t>с прогнозни данни, основаващи се на проследяване на корабите и характеристики, като например инсталираната мощност на двигателите. Ако бъдат установени значителни отклонения, проверяващият орган провежда допълнителни анализи.</w:t>
      </w:r>
    </w:p>
    <w:p w:rsidR="00AB3ADB" w:rsidRPr="009C2483" w:rsidRDefault="00AB3ADB" w:rsidP="00BD4CD8">
      <w:pPr>
        <w:pStyle w:val="ManualNumPar1"/>
        <w:rPr>
          <w:noProof/>
        </w:rPr>
      </w:pPr>
      <w:r>
        <w:t>2.</w:t>
      </w:r>
      <w:r>
        <w:tab/>
        <w:t>Проверяващият орган установява потенциални рискове във връзка с различните изчислителни стъпки, като преглежда вси</w:t>
      </w:r>
      <w:r w:rsidRPr="00843243">
        <w:t xml:space="preserve">чки </w:t>
      </w:r>
      <w:r w:rsidR="00EC6D66" w:rsidRPr="00843243">
        <w:t xml:space="preserve">използвани </w:t>
      </w:r>
      <w:r w:rsidRPr="00843243">
        <w:t>източници на да</w:t>
      </w:r>
      <w:r>
        <w:t>нни и методики.</w:t>
      </w:r>
    </w:p>
    <w:p w:rsidR="00AB3ADB" w:rsidRPr="009C2483" w:rsidRDefault="00AB3ADB" w:rsidP="00BD4CD8">
      <w:pPr>
        <w:pStyle w:val="ManualNumPar1"/>
        <w:rPr>
          <w:noProof/>
        </w:rPr>
      </w:pPr>
      <w:r>
        <w:br w:type="page"/>
        <w:t>3.</w:t>
      </w:r>
      <w:r>
        <w:tab/>
      </w:r>
      <w:r w:rsidR="00BF5EDE">
        <w:t>Проверяващият орган</w:t>
      </w:r>
      <w:r>
        <w:t xml:space="preserve"> взема предвид евентуа</w:t>
      </w:r>
      <w:r w:rsidRPr="00843243">
        <w:t xml:space="preserve">лните </w:t>
      </w:r>
      <w:r w:rsidR="007405C4" w:rsidRPr="00843243">
        <w:t xml:space="preserve">ефективни </w:t>
      </w:r>
      <w:r w:rsidRPr="00843243">
        <w:t>методи за контрол на риск</w:t>
      </w:r>
      <w:r w:rsidR="007405C4" w:rsidRPr="00843243">
        <w:t>а</w:t>
      </w:r>
      <w:r w:rsidRPr="00843243">
        <w:t xml:space="preserve">, </w:t>
      </w:r>
      <w:r w:rsidR="00BF5EDE" w:rsidRPr="00843243">
        <w:t xml:space="preserve">прилагани </w:t>
      </w:r>
      <w:r w:rsidRPr="00843243">
        <w:t>от дружеството за намаляване на степента на неопределеност</w:t>
      </w:r>
      <w:r w:rsidR="00BF5EDE" w:rsidRPr="00843243">
        <w:t>, свързана с използваните методи за мониторинг</w:t>
      </w:r>
      <w:r w:rsidRPr="00843243">
        <w:t>.</w:t>
      </w:r>
    </w:p>
    <w:p w:rsidR="00AB3ADB" w:rsidRPr="009C2483" w:rsidRDefault="00AB3ADB" w:rsidP="00BD4CD8">
      <w:pPr>
        <w:pStyle w:val="ManualNumPar1"/>
        <w:rPr>
          <w:noProof/>
        </w:rPr>
      </w:pPr>
      <w:r>
        <w:t>4.</w:t>
      </w:r>
      <w:r>
        <w:tab/>
        <w:t xml:space="preserve">Дружеството предоставя на проверяващия орган всякаква допълнителна информация, която му дава възможност да извършва процедурите по проверка. По време на процеса на проверка проверяващият орган може да извършва </w:t>
      </w:r>
      <w:r w:rsidRPr="00C67294">
        <w:t>проверки на място</w:t>
      </w:r>
      <w:r w:rsidR="00E452D7">
        <w:t>,</w:t>
      </w:r>
      <w:r>
        <w:t xml:space="preserve"> за да определи надеждността на докладваните данни и информация.</w:t>
      </w:r>
    </w:p>
    <w:p w:rsidR="00AB3ADB" w:rsidRPr="009C2483" w:rsidRDefault="00AB3ADB" w:rsidP="00BD4CD8">
      <w:pPr>
        <w:pStyle w:val="ManualNumPar1"/>
      </w:pPr>
      <w:r>
        <w:t>5.</w:t>
      </w:r>
      <w:r>
        <w:tab/>
        <w:t>На Комисията се предоставя правомощието да приема делегирани актове в съответствие с член </w:t>
      </w:r>
      <w:r w:rsidR="00BF5EDE">
        <w:t>23</w:t>
      </w:r>
      <w:r>
        <w:t xml:space="preserve"> с цел допълнително уточняване на правилата за дейностите по проверка, посочени в настоящия регламент.</w:t>
      </w:r>
      <w:r w:rsidR="00BC0B43">
        <w:t xml:space="preserve"> </w:t>
      </w:r>
      <w:r w:rsidRPr="001D3B9B">
        <w:t>При приемането на тези актове Комисията взема под внимание елементите, посочени в част А от приложение III.</w:t>
      </w:r>
      <w:r>
        <w:t xml:space="preserve"> Посочените в тези делегирани актове правила се основават на принципите за проверка, посочени в член 14, както и на съответните международно възприети стандарти.</w:t>
      </w:r>
    </w:p>
    <w:p w:rsidR="00AB3ADB" w:rsidRPr="009C2483" w:rsidRDefault="00AB3ADB" w:rsidP="00AB3ADB">
      <w:pPr>
        <w:pStyle w:val="Titrearticle"/>
        <w:rPr>
          <w:noProof/>
        </w:rPr>
      </w:pPr>
      <w:r>
        <w:t>Член 16</w:t>
      </w:r>
      <w:r w:rsidRPr="00AB3ADB">
        <w:br/>
      </w:r>
      <w:r>
        <w:t>Акредитиране на проверяващите органи</w:t>
      </w:r>
    </w:p>
    <w:p w:rsidR="00AB3ADB" w:rsidRPr="009C2483" w:rsidRDefault="00AB3ADB" w:rsidP="00BD4CD8">
      <w:pPr>
        <w:pStyle w:val="ManualNumPar1"/>
        <w:rPr>
          <w:noProof/>
        </w:rPr>
      </w:pPr>
      <w:r>
        <w:t>1.</w:t>
      </w:r>
      <w:r>
        <w:tab/>
        <w:t>Проверяващите органи, които извършват оценка на мониторингови</w:t>
      </w:r>
      <w:r w:rsidR="006449A4">
        <w:t>те</w:t>
      </w:r>
      <w:r>
        <w:t xml:space="preserve"> планове и доклади</w:t>
      </w:r>
      <w:r w:rsidR="006449A4">
        <w:t>те</w:t>
      </w:r>
      <w:r>
        <w:t xml:space="preserve"> за емисиите и </w:t>
      </w:r>
      <w:r w:rsidR="00BF5EDE">
        <w:t xml:space="preserve">които </w:t>
      </w:r>
      <w:r>
        <w:t xml:space="preserve">издават доклади от проверки и документи за спазени изисквания по </w:t>
      </w:r>
      <w:r w:rsidR="006449A4">
        <w:t>настоящия регламент</w:t>
      </w:r>
      <w:r>
        <w:t>, трябва да са акредитирани за дейностите, попадащи в обхвата на настоящия регламент, от национален орган</w:t>
      </w:r>
      <w:r w:rsidR="00BC0B43">
        <w:t xml:space="preserve"> по акредитация</w:t>
      </w:r>
      <w:r>
        <w:t xml:space="preserve"> по реда на Регламент (ЕО) № 765/2008.</w:t>
      </w:r>
    </w:p>
    <w:p w:rsidR="00AB3ADB" w:rsidRPr="009C2483" w:rsidRDefault="00AB3ADB" w:rsidP="00BD4CD8">
      <w:pPr>
        <w:pStyle w:val="ManualNumPar1"/>
        <w:rPr>
          <w:noProof/>
        </w:rPr>
      </w:pPr>
      <w:r>
        <w:br w:type="page"/>
        <w:t>2.</w:t>
      </w:r>
      <w:r>
        <w:tab/>
        <w:t>В случаите, за които в настоящия регламент няма конкретни разпоредби за акредитирането на проверяващите органи, се прилагат съответните разпоредби от Регламент (ЕО) № 765/2008.</w:t>
      </w:r>
    </w:p>
    <w:p w:rsidR="00AB3ADB" w:rsidRPr="009C2483" w:rsidRDefault="00AB3ADB" w:rsidP="00BD4CD8">
      <w:pPr>
        <w:pStyle w:val="ManualNumPar1"/>
      </w:pPr>
      <w:r>
        <w:t>3.</w:t>
      </w:r>
      <w:r>
        <w:tab/>
        <w:t>На Комисията се предоставя правомощието да приема делегирани актове в съответствие с член </w:t>
      </w:r>
      <w:r w:rsidR="00BF5EDE">
        <w:t>23</w:t>
      </w:r>
      <w:r>
        <w:t xml:space="preserve"> с цел допълнително уточняване на методите за акредитиране на проверяващи органи. </w:t>
      </w:r>
      <w:r w:rsidRPr="001D3B9B">
        <w:t>При приемането на тези актове, Комисията взема предвид елементите, посочени в част Б от приложение III. Посочените в тези делегирани актове методи се основават на принципите за проверка, посочени в член 14, както и на съответните международно възприети стандарти.</w:t>
      </w:r>
    </w:p>
    <w:p w:rsidR="00AB3ADB" w:rsidRPr="009C2483" w:rsidRDefault="00AB3ADB" w:rsidP="00AB3ADB">
      <w:pPr>
        <w:pStyle w:val="ChapterTitle"/>
        <w:rPr>
          <w:noProof/>
        </w:rPr>
      </w:pPr>
      <w:r>
        <w:rPr>
          <w:noProof/>
        </w:rPr>
        <w:t>ГЛАВА IV</w:t>
      </w:r>
      <w:r w:rsidRPr="00AB3ADB">
        <w:rPr>
          <w:noProof/>
        </w:rPr>
        <w:br/>
      </w:r>
      <w:r>
        <w:t xml:space="preserve">СПАЗВАНЕ НА ИЗИСКВАНИЯТА </w:t>
      </w:r>
      <w:r w:rsidRPr="00AB3ADB">
        <w:br/>
      </w:r>
      <w:r>
        <w:t>И ПУБЛИКУВАНЕ НА ИНФОРМАЦИЯ</w:t>
      </w:r>
    </w:p>
    <w:p w:rsidR="00AB3ADB" w:rsidRPr="009C2483" w:rsidRDefault="00AB3ADB" w:rsidP="00AB3ADB">
      <w:pPr>
        <w:pStyle w:val="Titrearticle"/>
        <w:rPr>
          <w:noProof/>
        </w:rPr>
      </w:pPr>
      <w:r>
        <w:t>Член 17</w:t>
      </w:r>
      <w:r w:rsidRPr="00AB3ADB">
        <w:br/>
      </w:r>
      <w:r>
        <w:t>Документ за спазени изисквания</w:t>
      </w:r>
    </w:p>
    <w:p w:rsidR="00AB3ADB" w:rsidRPr="009C2483" w:rsidRDefault="00AB3ADB" w:rsidP="00BD4CD8">
      <w:pPr>
        <w:pStyle w:val="ManualNumPar1"/>
        <w:rPr>
          <w:noProof/>
        </w:rPr>
      </w:pPr>
      <w:r>
        <w:t>1.</w:t>
      </w:r>
      <w:r>
        <w:tab/>
        <w:t xml:space="preserve">Ако докладът за емисиите отговаря на изискванията, установени в членове 11—15, както и на изискванията в приложения I и II, проверяващият орган </w:t>
      </w:r>
      <w:r w:rsidRPr="00637A4F">
        <w:rPr>
          <w:noProof/>
        </w:rPr>
        <w:t>издава,</w:t>
      </w:r>
      <w:r>
        <w:t xml:space="preserve"> въз основа на доклад от проверката, документ за спазени изисквания за съответния кораб.</w:t>
      </w:r>
    </w:p>
    <w:p w:rsidR="00AB3ADB" w:rsidRPr="009C2483" w:rsidRDefault="00AB3ADB" w:rsidP="00BD4CD8">
      <w:pPr>
        <w:pStyle w:val="ManualNumPar1"/>
        <w:rPr>
          <w:noProof/>
        </w:rPr>
      </w:pPr>
      <w:r>
        <w:br w:type="page"/>
        <w:t>2.</w:t>
      </w:r>
      <w:r>
        <w:tab/>
        <w:t>Документът за спазени изисквания съдържа следната информация:</w:t>
      </w:r>
    </w:p>
    <w:p w:rsidR="00AB3ADB" w:rsidRPr="009C2483" w:rsidRDefault="00AB3ADB" w:rsidP="00843243">
      <w:pPr>
        <w:pStyle w:val="Point1"/>
        <w:rPr>
          <w:noProof/>
        </w:rPr>
      </w:pPr>
      <w:r>
        <w:t>а)</w:t>
      </w:r>
      <w:r>
        <w:tab/>
        <w:t>идентификаци</w:t>
      </w:r>
      <w:r w:rsidR="00843243">
        <w:t>онни данни</w:t>
      </w:r>
      <w:r>
        <w:t xml:space="preserve"> на кораба (име, </w:t>
      </w:r>
      <w:r w:rsidRPr="001D3B9B">
        <w:t>идентификационен</w:t>
      </w:r>
      <w:r>
        <w:t xml:space="preserve"> номер в ИМО и пристанище на регистрация или пристанище на домуване);</w:t>
      </w:r>
    </w:p>
    <w:p w:rsidR="00AB3ADB" w:rsidRPr="009C2483" w:rsidRDefault="00AB3ADB" w:rsidP="00DA09D1">
      <w:pPr>
        <w:pStyle w:val="Point1"/>
        <w:rPr>
          <w:noProof/>
        </w:rPr>
      </w:pPr>
      <w:r>
        <w:t>б)</w:t>
      </w:r>
      <w:r>
        <w:tab/>
        <w:t>наименование, адрес и основно място на дейност на корабособственика;</w:t>
      </w:r>
    </w:p>
    <w:p w:rsidR="00AB3ADB" w:rsidRPr="009C2483" w:rsidRDefault="00AB3ADB" w:rsidP="00DA09D1">
      <w:pPr>
        <w:pStyle w:val="Point1"/>
        <w:rPr>
          <w:noProof/>
        </w:rPr>
      </w:pPr>
      <w:r>
        <w:t>в)</w:t>
      </w:r>
      <w:r>
        <w:tab/>
      </w:r>
      <w:r w:rsidR="00D914F5">
        <w:t xml:space="preserve">идентификационни данни </w:t>
      </w:r>
      <w:r>
        <w:t>на проверяващия</w:t>
      </w:r>
      <w:r w:rsidR="00D914F5">
        <w:t xml:space="preserve"> орган</w:t>
      </w:r>
      <w:r>
        <w:t>;</w:t>
      </w:r>
    </w:p>
    <w:p w:rsidR="00AB3ADB" w:rsidRPr="009C2483" w:rsidRDefault="00AB3ADB" w:rsidP="00DA09D1">
      <w:pPr>
        <w:pStyle w:val="Point1"/>
        <w:rPr>
          <w:noProof/>
        </w:rPr>
      </w:pPr>
      <w:r>
        <w:t>г)</w:t>
      </w:r>
      <w:r>
        <w:tab/>
        <w:t>дата на издаване на документа за спазени изисквания (срок на валидност на документа и отчетен период, за който се отнася).</w:t>
      </w:r>
    </w:p>
    <w:p w:rsidR="00AB3ADB" w:rsidRPr="009C2483" w:rsidRDefault="00AB3ADB" w:rsidP="00BD4CD8">
      <w:pPr>
        <w:pStyle w:val="ManualNumPar1"/>
        <w:rPr>
          <w:noProof/>
        </w:rPr>
      </w:pPr>
      <w:r>
        <w:t>3.</w:t>
      </w:r>
      <w:r>
        <w:tab/>
        <w:t>Документите за спазени изисквания се считат за валидни за срок от 18 месеца след края на отчетния период.</w:t>
      </w:r>
    </w:p>
    <w:p w:rsidR="00AB3ADB" w:rsidRPr="009C2483" w:rsidRDefault="00AB3ADB" w:rsidP="00BD4CD8">
      <w:pPr>
        <w:pStyle w:val="ManualNumPar1"/>
        <w:rPr>
          <w:noProof/>
        </w:rPr>
      </w:pPr>
      <w:r>
        <w:t>4.</w:t>
      </w:r>
      <w:r>
        <w:tab/>
      </w:r>
      <w:r>
        <w:rPr>
          <w:noProof/>
          <w:color w:val="000000"/>
        </w:rPr>
        <w:t>Проверяващият орган</w:t>
      </w:r>
      <w:r>
        <w:t xml:space="preserve"> незабавно информира Комисията и органа на държавата на знамето за издаването на всеки документ за спазени изисквания.</w:t>
      </w:r>
      <w:r w:rsidRPr="00493F3D">
        <w:rPr>
          <w:noProof/>
          <w:color w:val="000000"/>
        </w:rPr>
        <w:t xml:space="preserve"> </w:t>
      </w:r>
      <w:r w:rsidRPr="00493F3D">
        <w:t>Проверяващият орган</w:t>
      </w:r>
      <w:r>
        <w:t xml:space="preserve"> предава информацията, посочена в параграф 2, посредством автоматични системи и формати за обмен на данни, включително електронни образци.</w:t>
      </w:r>
    </w:p>
    <w:p w:rsidR="00AB3ADB" w:rsidRPr="009C2483" w:rsidRDefault="00AB3ADB" w:rsidP="00BD4CD8">
      <w:pPr>
        <w:pStyle w:val="ManualNumPar1"/>
        <w:rPr>
          <w:noProof/>
        </w:rPr>
      </w:pPr>
      <w:r>
        <w:t>5.</w:t>
      </w:r>
      <w:r>
        <w:tab/>
        <w:t xml:space="preserve">Комисията установява чрез актове за изпълнение техническите правила за </w:t>
      </w:r>
      <w:r w:rsidR="00BF5EDE">
        <w:t xml:space="preserve">форматите </w:t>
      </w:r>
      <w:r>
        <w:t>за обмен на данни, включително електронните образци. Тези актове за изпълнение се приемат в съответствие с процедурата</w:t>
      </w:r>
      <w:r w:rsidR="006449A4">
        <w:t xml:space="preserve"> по разглеждане</w:t>
      </w:r>
      <w:r>
        <w:t>, посочена в член </w:t>
      </w:r>
      <w:r w:rsidR="00BF5EDE">
        <w:t>24</w:t>
      </w:r>
      <w:r>
        <w:t>, параграф 2.</w:t>
      </w:r>
    </w:p>
    <w:p w:rsidR="00AB3ADB" w:rsidRPr="009C2483" w:rsidRDefault="00AB3ADB" w:rsidP="00AB3ADB">
      <w:pPr>
        <w:pStyle w:val="Titrearticle"/>
        <w:rPr>
          <w:noProof/>
        </w:rPr>
      </w:pPr>
      <w:r>
        <w:br w:type="page"/>
        <w:t>Член 18</w:t>
      </w:r>
      <w:r w:rsidRPr="00AB3ADB">
        <w:br/>
      </w:r>
      <w:r>
        <w:t>Задължение за наличие на борда на валиден документ за спазени изисквания</w:t>
      </w:r>
    </w:p>
    <w:p w:rsidR="00AB3ADB" w:rsidRPr="009C2483" w:rsidRDefault="00AB3ADB" w:rsidP="004F348B">
      <w:pPr>
        <w:rPr>
          <w:noProof/>
        </w:rPr>
      </w:pPr>
      <w:r w:rsidRPr="001D3B9B">
        <w:t>До</w:t>
      </w:r>
      <w:r>
        <w:t xml:space="preserve"> 30 юни </w:t>
      </w:r>
      <w:r w:rsidRPr="001D3B9B">
        <w:t xml:space="preserve">на годината след края на даден отчетен период </w:t>
      </w:r>
      <w:r>
        <w:t xml:space="preserve">корабите, които пристигат, намират се във или отплават от пристанище под юрисдикцията на държава членка </w:t>
      </w:r>
      <w:r w:rsidRPr="001D3B9B">
        <w:t xml:space="preserve">и които са извършили плавания през този отчетен период, трябва да </w:t>
      </w:r>
      <w:r>
        <w:t>разполагат на борда с валиден документ за спазени изисквания.</w:t>
      </w:r>
    </w:p>
    <w:p w:rsidR="00AB3ADB" w:rsidRPr="00843243" w:rsidRDefault="00AB3ADB" w:rsidP="004F348B">
      <w:pPr>
        <w:pStyle w:val="Titrearticle"/>
        <w:rPr>
          <w:noProof/>
        </w:rPr>
      </w:pPr>
      <w:r>
        <w:t>Член 19</w:t>
      </w:r>
      <w:r w:rsidRPr="00AB3ADB">
        <w:br/>
      </w:r>
      <w:r>
        <w:t>Спазване на изискванията за мониторинг и док</w:t>
      </w:r>
      <w:r w:rsidRPr="00843243">
        <w:t xml:space="preserve">ладване и </w:t>
      </w:r>
      <w:r w:rsidR="004F348B" w:rsidRPr="00843243">
        <w:t>проверки</w:t>
      </w:r>
    </w:p>
    <w:p w:rsidR="00AB3ADB" w:rsidRPr="00BD4CD8" w:rsidRDefault="00AB3ADB" w:rsidP="00843243">
      <w:pPr>
        <w:pStyle w:val="ManualNumPar1"/>
        <w:rPr>
          <w:noProof/>
        </w:rPr>
      </w:pPr>
      <w:r w:rsidRPr="00843243">
        <w:t>1.</w:t>
      </w:r>
      <w:r w:rsidRPr="00843243">
        <w:tab/>
        <w:t>Въз основа на информацията, публикувана съгласно член 21, парагра</w:t>
      </w:r>
      <w:r w:rsidRPr="00BD4CD8">
        <w:t xml:space="preserve">ф 1, всяка държава членка </w:t>
      </w:r>
      <w:r w:rsidRPr="00BD4CD8">
        <w:rPr>
          <w:noProof/>
        </w:rPr>
        <w:t>предприема всички необходими мерки, за да</w:t>
      </w:r>
      <w:r w:rsidRPr="00BD4CD8">
        <w:t xml:space="preserve"> се гарантира спазването на изискванията за мониторинг и докладване, установени в членове 8—12, от плаващите под нейното знаме кораби</w:t>
      </w:r>
      <w:r w:rsidRPr="00BD4CD8">
        <w:rPr>
          <w:noProof/>
        </w:rPr>
        <w:t>. Държавите членки приемат обстоятелството, че за съответния кораб е издаден документ за спазени изисквания съгласно член 17, параграф 4, като доказателство за това спазване.</w:t>
      </w:r>
    </w:p>
    <w:p w:rsidR="00AB3ADB" w:rsidRPr="00BD4CD8" w:rsidRDefault="00AB3ADB" w:rsidP="00BD4CD8">
      <w:pPr>
        <w:pStyle w:val="ManualNumPar1"/>
        <w:rPr>
          <w:noProof/>
        </w:rPr>
      </w:pPr>
      <w:r w:rsidRPr="00BD4CD8">
        <w:t>2.</w:t>
      </w:r>
      <w:r w:rsidRPr="00BD4CD8">
        <w:tab/>
        <w:t xml:space="preserve">Всяка държава членка гарантира, че всяка </w:t>
      </w:r>
      <w:r w:rsidR="004F348B" w:rsidRPr="00BD4CD8">
        <w:t xml:space="preserve">проверка </w:t>
      </w:r>
      <w:r w:rsidRPr="00BD4CD8">
        <w:t xml:space="preserve">на кораб в пристанище под нейна юрисдикция, </w:t>
      </w:r>
      <w:r w:rsidRPr="00BD4CD8">
        <w:rPr>
          <w:noProof/>
        </w:rPr>
        <w:t>извършена в съответствие с Директива 2009/16/ЕО</w:t>
      </w:r>
      <w:r w:rsidR="00D914F5" w:rsidRPr="00BD4CD8">
        <w:rPr>
          <w:noProof/>
        </w:rPr>
        <w:t>,</w:t>
      </w:r>
      <w:r w:rsidRPr="00BD4CD8">
        <w:t xml:space="preserve"> включва </w:t>
      </w:r>
      <w:r w:rsidRPr="00BD4CD8">
        <w:rPr>
          <w:noProof/>
        </w:rPr>
        <w:t>проверка</w:t>
      </w:r>
      <w:r w:rsidRPr="00BD4CD8">
        <w:t xml:space="preserve"> дали на борда </w:t>
      </w:r>
      <w:r w:rsidR="00D914F5" w:rsidRPr="00BD4CD8">
        <w:t>има</w:t>
      </w:r>
      <w:r w:rsidRPr="00BD4CD8">
        <w:t xml:space="preserve"> </w:t>
      </w:r>
      <w:r w:rsidRPr="00BD4CD8">
        <w:rPr>
          <w:noProof/>
        </w:rPr>
        <w:t>валиден</w:t>
      </w:r>
      <w:r w:rsidRPr="00BD4CD8">
        <w:t xml:space="preserve"> документ за спазени изисквания.</w:t>
      </w:r>
    </w:p>
    <w:p w:rsidR="00AB3ADB" w:rsidRPr="00BD4CD8" w:rsidRDefault="00AB3ADB" w:rsidP="00BD4CD8">
      <w:pPr>
        <w:pStyle w:val="ManualNumPar1"/>
        <w:rPr>
          <w:noProof/>
        </w:rPr>
      </w:pPr>
      <w:r w:rsidRPr="00BD4CD8">
        <w:t>3.</w:t>
      </w:r>
      <w:r w:rsidRPr="00BD4CD8">
        <w:tab/>
        <w:t>За всеки кораб, по</w:t>
      </w:r>
      <w:r w:rsidR="004F348B" w:rsidRPr="00BD4CD8">
        <w:t xml:space="preserve"> </w:t>
      </w:r>
      <w:r w:rsidRPr="00BD4CD8">
        <w:rPr>
          <w:noProof/>
        </w:rPr>
        <w:t>отношение на който не е налична информацията, посочена в</w:t>
      </w:r>
      <w:r w:rsidRPr="00BD4CD8">
        <w:t xml:space="preserve"> член 21, параграф 2, букви </w:t>
      </w:r>
      <w:r w:rsidR="003D1328" w:rsidRPr="00BD4CD8">
        <w:t>и</w:t>
      </w:r>
      <w:r w:rsidRPr="00BD4CD8">
        <w:t xml:space="preserve">) и </w:t>
      </w:r>
      <w:r w:rsidR="003D1328" w:rsidRPr="00BD4CD8">
        <w:t>й</w:t>
      </w:r>
      <w:r w:rsidRPr="00BD4CD8">
        <w:t>)</w:t>
      </w:r>
      <w:r w:rsidRPr="00BD4CD8">
        <w:rPr>
          <w:noProof/>
        </w:rPr>
        <w:t xml:space="preserve"> и</w:t>
      </w:r>
      <w:r w:rsidRPr="00BD4CD8">
        <w:t xml:space="preserve"> който е влязъл в пристанище под юрисдикцията на държава членка, съответната държава членка </w:t>
      </w:r>
      <w:r w:rsidRPr="00BD4CD8">
        <w:rPr>
          <w:noProof/>
        </w:rPr>
        <w:t xml:space="preserve">може да </w:t>
      </w:r>
      <w:r w:rsidR="004F348B" w:rsidRPr="00BD4CD8">
        <w:rPr>
          <w:noProof/>
        </w:rPr>
        <w:t>провери</w:t>
      </w:r>
      <w:r w:rsidRPr="00BD4CD8">
        <w:rPr>
          <w:noProof/>
        </w:rPr>
        <w:t xml:space="preserve"> дали</w:t>
      </w:r>
      <w:r w:rsidRPr="00BD4CD8">
        <w:t xml:space="preserve"> на борда </w:t>
      </w:r>
      <w:r w:rsidR="00D914F5" w:rsidRPr="00BD4CD8">
        <w:t>има</w:t>
      </w:r>
      <w:r w:rsidRPr="00BD4CD8">
        <w:t xml:space="preserve"> </w:t>
      </w:r>
      <w:r w:rsidRPr="00BD4CD8">
        <w:rPr>
          <w:noProof/>
        </w:rPr>
        <w:t>валиден</w:t>
      </w:r>
      <w:r w:rsidRPr="00BD4CD8">
        <w:t xml:space="preserve"> документ за спазени изисквания.</w:t>
      </w:r>
    </w:p>
    <w:p w:rsidR="00AB3ADB" w:rsidRPr="009C2483" w:rsidRDefault="00AB3ADB" w:rsidP="00AB3ADB">
      <w:pPr>
        <w:pStyle w:val="Titrearticle"/>
        <w:rPr>
          <w:noProof/>
        </w:rPr>
      </w:pPr>
      <w:r>
        <w:br w:type="page"/>
        <w:t>Член 20</w:t>
      </w:r>
      <w:r w:rsidRPr="00AB3ADB">
        <w:br/>
      </w:r>
      <w:r>
        <w:t>Санкции, обмен на информация и заповед за експулсиране</w:t>
      </w:r>
    </w:p>
    <w:p w:rsidR="00AB3ADB" w:rsidRPr="009C2483" w:rsidRDefault="00AB3ADB" w:rsidP="00BD4CD8">
      <w:pPr>
        <w:pStyle w:val="ManualNumPar1"/>
        <w:rPr>
          <w:noProof/>
        </w:rPr>
      </w:pPr>
      <w:r>
        <w:t>1.</w:t>
      </w:r>
      <w:r>
        <w:tab/>
        <w:t xml:space="preserve">Държавите членки </w:t>
      </w:r>
      <w:r w:rsidR="00D914F5">
        <w:t xml:space="preserve">установяват </w:t>
      </w:r>
      <w:r>
        <w:t xml:space="preserve">система от санкции за </w:t>
      </w:r>
      <w:r w:rsidR="003D1328">
        <w:t xml:space="preserve">нарушение </w:t>
      </w:r>
      <w:r>
        <w:t xml:space="preserve">на </w:t>
      </w:r>
      <w:r w:rsidR="003D1328">
        <w:t xml:space="preserve">задълженията </w:t>
      </w:r>
      <w:r>
        <w:t xml:space="preserve">за мониторинг и докладване, </w:t>
      </w:r>
      <w:r w:rsidR="00D914F5">
        <w:t xml:space="preserve">установени </w:t>
      </w:r>
      <w:r>
        <w:t xml:space="preserve">в членове 8—12, и вземат всички необходими мерки за осигуряване на </w:t>
      </w:r>
      <w:r w:rsidR="003D1328">
        <w:t xml:space="preserve">налагането </w:t>
      </w:r>
      <w:r>
        <w:t xml:space="preserve">на тези санкции. Предвидените санкции </w:t>
      </w:r>
      <w:r w:rsidR="00D914F5">
        <w:t xml:space="preserve">трябва да </w:t>
      </w:r>
      <w:r>
        <w:t>са ефективни, съразмерни и възпиращи. Държавите членки уведомяват Комисията за тези разпоредби до 1 юли 2017 г. и уведомяват незабавно Комисията за всякакви последващи изменения.</w:t>
      </w:r>
    </w:p>
    <w:p w:rsidR="00AB3ADB" w:rsidRPr="009C2483" w:rsidRDefault="00AB3ADB" w:rsidP="00BD4CD8">
      <w:pPr>
        <w:pStyle w:val="ManualNumPar1"/>
        <w:rPr>
          <w:noProof/>
        </w:rPr>
      </w:pPr>
      <w:r>
        <w:t>2.</w:t>
      </w:r>
      <w:r>
        <w:tab/>
      </w:r>
      <w:r w:rsidRPr="00DA09D1">
        <w:t xml:space="preserve">Държавите членки въвеждат ефективен обмен на информация и ефективно сътрудничество между своите национални органи, отговарящи за осигуряване на спазването на </w:t>
      </w:r>
      <w:r w:rsidR="003D1328" w:rsidRPr="00DA09D1">
        <w:t xml:space="preserve">задълженията </w:t>
      </w:r>
      <w:r w:rsidRPr="00DA09D1">
        <w:t xml:space="preserve">за мониторинг и докладване и, когато е приложимо — между своите </w:t>
      </w:r>
      <w:r w:rsidRPr="00DA09D1">
        <w:rPr>
          <w:noProof/>
        </w:rPr>
        <w:t>органи</w:t>
      </w:r>
      <w:r w:rsidRPr="00DA09D1">
        <w:t xml:space="preserve">, на които </w:t>
      </w:r>
      <w:r w:rsidR="00D914F5" w:rsidRPr="00DA09D1">
        <w:t xml:space="preserve">е възложено провеждането на </w:t>
      </w:r>
      <w:r w:rsidRPr="00DA09D1">
        <w:t xml:space="preserve">процедурите за налагане на санкции. Националните процедури за налагане на санкции </w:t>
      </w:r>
      <w:r w:rsidR="004F348B" w:rsidRPr="00DA09D1">
        <w:rPr>
          <w:noProof/>
        </w:rPr>
        <w:t xml:space="preserve">на </w:t>
      </w:r>
      <w:r w:rsidRPr="00DA09D1">
        <w:rPr>
          <w:noProof/>
        </w:rPr>
        <w:t>конкретен кораб</w:t>
      </w:r>
      <w:r w:rsidRPr="00DA09D1">
        <w:t xml:space="preserve">, започнати от която и да е държава членка, се съобщават на Комисията, </w:t>
      </w:r>
      <w:r w:rsidRPr="000B68D9">
        <w:t>EMSA</w:t>
      </w:r>
      <w:r w:rsidRPr="00DA09D1">
        <w:t>, другите държави членки и съответната държава на знамето</w:t>
      </w:r>
      <w:r>
        <w:t>.</w:t>
      </w:r>
    </w:p>
    <w:p w:rsidR="00AB3ADB" w:rsidRPr="001D3B9B" w:rsidRDefault="00AB3ADB" w:rsidP="00BD4CD8">
      <w:pPr>
        <w:pStyle w:val="ManualNumPar1"/>
      </w:pPr>
      <w:r>
        <w:br w:type="page"/>
        <w:t>3.</w:t>
      </w:r>
      <w:r>
        <w:tab/>
        <w:t xml:space="preserve">При кораби, които не спазват изискванията за мониторинг и докладване </w:t>
      </w:r>
      <w:r w:rsidR="00D914F5">
        <w:t>пре</w:t>
      </w:r>
      <w:r>
        <w:t xml:space="preserve">з </w:t>
      </w:r>
      <w:r w:rsidRPr="001D3B9B">
        <w:t xml:space="preserve">два или </w:t>
      </w:r>
      <w:r>
        <w:t xml:space="preserve">повече </w:t>
      </w:r>
      <w:r w:rsidRPr="001D3B9B">
        <w:t>последователни</w:t>
      </w:r>
      <w:r>
        <w:t xml:space="preserve"> отчетни периода, </w:t>
      </w:r>
      <w:r w:rsidRPr="001D3B9B">
        <w:t xml:space="preserve">и когато другите мерки за </w:t>
      </w:r>
      <w:r w:rsidR="00D914F5">
        <w:t>осигуряване на изпълнението</w:t>
      </w:r>
      <w:r w:rsidR="00D914F5" w:rsidRPr="001D3B9B">
        <w:t xml:space="preserve"> </w:t>
      </w:r>
      <w:r w:rsidRPr="001D3B9B">
        <w:t>не са успели да осигурят спазването им</w:t>
      </w:r>
      <w:r>
        <w:t>,</w:t>
      </w:r>
      <w:r w:rsidRPr="001D3B9B">
        <w:t>компетентният орган на държавата членка на пристанището на влизане</w:t>
      </w:r>
      <w:r>
        <w:t xml:space="preserve"> може да издаде заповед за експулсиране, която се съобщава на Комисията, EMSA, другите държави членки и съответната държава на знамето. В</w:t>
      </w:r>
      <w:r w:rsidR="004F348B">
        <w:t>следствие</w:t>
      </w:r>
      <w:r>
        <w:t xml:space="preserve"> </w:t>
      </w:r>
      <w:r w:rsidR="004F348B">
        <w:t>на</w:t>
      </w:r>
      <w:r>
        <w:t xml:space="preserve"> издаването на такава заповед за експулсиране всяка държава членка отказва достъп на съответния кораб до всяко от нейните пристанища, докато дружеството не изпълни своите задължения за мониторинг и докладване в съответствие с членове </w:t>
      </w:r>
      <w:r w:rsidRPr="001D3B9B">
        <w:t>11 и 18</w:t>
      </w:r>
      <w:r w:rsidR="00C62DA3">
        <w:t>. Спазването на тези задължения трябва да</w:t>
      </w:r>
      <w:r w:rsidR="00D914F5">
        <w:t xml:space="preserve"> е </w:t>
      </w:r>
      <w:r>
        <w:t xml:space="preserve">потвърдено чрез валиден документ за спазени изисквания до </w:t>
      </w:r>
      <w:r w:rsidRPr="001D3B9B">
        <w:t>компетентния</w:t>
      </w:r>
      <w:r>
        <w:t xml:space="preserve"> национален орган, който е издал заповедта за експулсиране. </w:t>
      </w:r>
      <w:r w:rsidRPr="001D3B9B">
        <w:t>Настоящият параграф не засяга действието на международните морски правила, приложими в случай на кораби в бедствено положение.</w:t>
      </w:r>
    </w:p>
    <w:p w:rsidR="00AB3ADB" w:rsidRPr="00DA09D1" w:rsidRDefault="003D1328" w:rsidP="00843243">
      <w:pPr>
        <w:pStyle w:val="ManualNumPar1"/>
      </w:pPr>
      <w:r w:rsidRPr="00DA09D1">
        <w:t>4</w:t>
      </w:r>
      <w:r w:rsidR="00AB3ADB" w:rsidRPr="00DA09D1">
        <w:t>.</w:t>
      </w:r>
      <w:r w:rsidR="00AB3ADB" w:rsidRPr="00DA09D1">
        <w:tab/>
      </w:r>
      <w:r w:rsidR="00AB3ADB" w:rsidRPr="00DA09D1">
        <w:rPr>
          <w:noProof/>
        </w:rPr>
        <w:t xml:space="preserve">Корабособственикът или операторът на кораб или неговият представител в държавата членка има право на ефективни правни средства за защита пред съд или друг </w:t>
      </w:r>
      <w:r w:rsidR="00AB3ADB" w:rsidRPr="00DA09D1">
        <w:t>правораздавателен</w:t>
      </w:r>
      <w:r w:rsidR="00AB3ADB" w:rsidRPr="00DA09D1">
        <w:rPr>
          <w:noProof/>
        </w:rPr>
        <w:t xml:space="preserve"> орган срещу заповедта за експулсиране, </w:t>
      </w:r>
      <w:r w:rsidR="00843243">
        <w:rPr>
          <w:noProof/>
        </w:rPr>
        <w:t>като</w:t>
      </w:r>
      <w:r w:rsidR="00AB3ADB" w:rsidRPr="00DA09D1">
        <w:rPr>
          <w:noProof/>
        </w:rPr>
        <w:t xml:space="preserve"> надлежно се информира за това от компетентния орган на държавата членка на пристанището на влизане. Държавите членки установяват и поддържат подходящи процедури за тази цел.</w:t>
      </w:r>
    </w:p>
    <w:p w:rsidR="00AB3ADB" w:rsidRPr="00DA09D1" w:rsidRDefault="003D1328" w:rsidP="00DA09D1">
      <w:pPr>
        <w:pStyle w:val="ManualNumPar1"/>
      </w:pPr>
      <w:r w:rsidRPr="00DA09D1">
        <w:rPr>
          <w:color w:val="000000"/>
        </w:rPr>
        <w:t>5</w:t>
      </w:r>
      <w:r w:rsidR="00AB3ADB" w:rsidRPr="00DA09D1">
        <w:rPr>
          <w:color w:val="000000"/>
        </w:rPr>
        <w:t>.</w:t>
      </w:r>
      <w:r w:rsidR="00AB3ADB" w:rsidRPr="00DA09D1">
        <w:tab/>
      </w:r>
      <w:r w:rsidR="00D914F5" w:rsidRPr="00DA09D1">
        <w:rPr>
          <w:color w:val="000000"/>
        </w:rPr>
        <w:t>Д</w:t>
      </w:r>
      <w:r w:rsidR="00AB3ADB" w:rsidRPr="00DA09D1">
        <w:rPr>
          <w:color w:val="000000"/>
        </w:rPr>
        <w:t xml:space="preserve">ържава </w:t>
      </w:r>
      <w:r w:rsidR="00AB3ADB" w:rsidRPr="00BD4CD8">
        <w:t>членка</w:t>
      </w:r>
      <w:r w:rsidR="00D914F5" w:rsidRPr="00DA09D1">
        <w:rPr>
          <w:color w:val="000000"/>
        </w:rPr>
        <w:t>, която</w:t>
      </w:r>
      <w:r w:rsidR="00AB3ADB" w:rsidRPr="00DA09D1">
        <w:rPr>
          <w:color w:val="000000"/>
        </w:rPr>
        <w:t xml:space="preserve"> няма морски пристанища на своя територия и е закрила своя национален регистър на корабите или няма кораби, плаващи под нейно знаме, които попадат в обхвата на настоящия регламент, може да се ползва с дерогация от разпоредбите на настоящия член</w:t>
      </w:r>
      <w:r w:rsidR="004F348B" w:rsidRPr="00DA09D1">
        <w:rPr>
          <w:color w:val="000000"/>
        </w:rPr>
        <w:t>, докато няма кораби,които</w:t>
      </w:r>
      <w:r w:rsidR="004F348B" w:rsidRPr="00DA09D1">
        <w:t xml:space="preserve"> </w:t>
      </w:r>
      <w:r w:rsidR="004F348B" w:rsidRPr="00DA09D1">
        <w:rPr>
          <w:color w:val="000000"/>
        </w:rPr>
        <w:t>плават под нейно знаме</w:t>
      </w:r>
      <w:r w:rsidR="00AB3ADB" w:rsidRPr="00DA09D1">
        <w:rPr>
          <w:color w:val="000000"/>
        </w:rPr>
        <w:t xml:space="preserve">. </w:t>
      </w:r>
      <w:r w:rsidR="00D914F5" w:rsidRPr="00DA09D1">
        <w:rPr>
          <w:color w:val="000000"/>
        </w:rPr>
        <w:t xml:space="preserve">Всяка </w:t>
      </w:r>
      <w:r w:rsidR="00AB3ADB" w:rsidRPr="00DA09D1">
        <w:rPr>
          <w:color w:val="000000"/>
        </w:rPr>
        <w:t>държава членка</w:t>
      </w:r>
      <w:r w:rsidR="00D914F5" w:rsidRPr="00DA09D1">
        <w:rPr>
          <w:color w:val="000000"/>
        </w:rPr>
        <w:t xml:space="preserve">, която </w:t>
      </w:r>
      <w:r w:rsidR="00AB3ADB" w:rsidRPr="00DA09D1">
        <w:rPr>
          <w:color w:val="000000"/>
        </w:rPr>
        <w:t xml:space="preserve">възнамерява да </w:t>
      </w:r>
      <w:r w:rsidR="00C62DA3" w:rsidRPr="00DA09D1">
        <w:rPr>
          <w:color w:val="000000"/>
        </w:rPr>
        <w:t>и</w:t>
      </w:r>
      <w:r w:rsidR="00AB3ADB" w:rsidRPr="00DA09D1">
        <w:rPr>
          <w:color w:val="000000"/>
        </w:rPr>
        <w:t xml:space="preserve">зползва тази дерогация, уведомява Комисията най-късно </w:t>
      </w:r>
      <w:r w:rsidR="000533E6" w:rsidRPr="00DA09D1">
        <w:rPr>
          <w:color w:val="000000"/>
        </w:rPr>
        <w:t>до</w:t>
      </w:r>
      <w:r w:rsidRPr="00DA09D1">
        <w:rPr>
          <w:color w:val="000000"/>
        </w:rPr>
        <w:t>1 юли 2015 г</w:t>
      </w:r>
      <w:r w:rsidR="00AB3ADB" w:rsidRPr="00DA09D1">
        <w:rPr>
          <w:color w:val="000000"/>
        </w:rPr>
        <w:t>. Всички последващи промени също се съобщават на Комисията.</w:t>
      </w:r>
    </w:p>
    <w:p w:rsidR="00AB3ADB" w:rsidRPr="009C2483" w:rsidRDefault="00AB3ADB" w:rsidP="00AB3ADB">
      <w:pPr>
        <w:pStyle w:val="Titrearticle"/>
        <w:rPr>
          <w:noProof/>
        </w:rPr>
      </w:pPr>
      <w:r>
        <w:br w:type="page"/>
        <w:t>Член 21</w:t>
      </w:r>
      <w:r w:rsidRPr="00811F83">
        <w:br/>
      </w:r>
      <w:r>
        <w:t>Публикуване на информация</w:t>
      </w:r>
      <w:r w:rsidR="00464286">
        <w:t xml:space="preserve"> и доклад на Комисията</w:t>
      </w:r>
    </w:p>
    <w:p w:rsidR="00AB3ADB" w:rsidRPr="00DA09D1" w:rsidRDefault="00AB3ADB" w:rsidP="00BD4CD8">
      <w:pPr>
        <w:pStyle w:val="ManualNumPar1"/>
        <w:rPr>
          <w:noProof/>
        </w:rPr>
      </w:pPr>
      <w:r>
        <w:t>1.</w:t>
      </w:r>
      <w:r>
        <w:tab/>
      </w:r>
      <w:r w:rsidRPr="00DA09D1">
        <w:t xml:space="preserve">До 30 юни всяка година Комисията осигурява публичен достъп до </w:t>
      </w:r>
      <w:r w:rsidR="00C62DA3" w:rsidRPr="00DA09D1">
        <w:t xml:space="preserve">информацията </w:t>
      </w:r>
      <w:r w:rsidRPr="00DA09D1">
        <w:t xml:space="preserve">за емисиите на </w:t>
      </w:r>
      <w:r w:rsidRPr="00DA09D1">
        <w:rPr>
          <w:noProof/>
        </w:rPr>
        <w:t>СО</w:t>
      </w:r>
      <w:r w:rsidRPr="00DA09D1">
        <w:rPr>
          <w:noProof/>
          <w:vertAlign w:val="subscript"/>
        </w:rPr>
        <w:t>2</w:t>
      </w:r>
      <w:r w:rsidRPr="00DA09D1">
        <w:t xml:space="preserve">, докладвани в съответствие с член 11, </w:t>
      </w:r>
      <w:r w:rsidRPr="00DA09D1">
        <w:rPr>
          <w:noProof/>
        </w:rPr>
        <w:t>както и до информацията, посочена в параграф 2 от наст</w:t>
      </w:r>
      <w:r w:rsidR="00811F83" w:rsidRPr="00DA09D1">
        <w:rPr>
          <w:noProof/>
        </w:rPr>
        <w:t>о</w:t>
      </w:r>
      <w:r w:rsidRPr="00DA09D1">
        <w:rPr>
          <w:noProof/>
        </w:rPr>
        <w:t>ящия член.</w:t>
      </w:r>
    </w:p>
    <w:p w:rsidR="00AB3ADB" w:rsidRPr="009C2483" w:rsidRDefault="00AB3ADB" w:rsidP="00BD4CD8">
      <w:pPr>
        <w:pStyle w:val="ManualNumPar1"/>
        <w:rPr>
          <w:noProof/>
        </w:rPr>
      </w:pPr>
      <w:r>
        <w:t>2.</w:t>
      </w:r>
      <w:r>
        <w:tab/>
        <w:t xml:space="preserve">Комисията включва в информацията, до която </w:t>
      </w:r>
      <w:r w:rsidR="003D1328">
        <w:t>се</w:t>
      </w:r>
      <w:r>
        <w:t xml:space="preserve"> осигур</w:t>
      </w:r>
      <w:r w:rsidR="003D1328">
        <w:t>ява</w:t>
      </w:r>
      <w:r>
        <w:t xml:space="preserve"> публичен достъп, следните данни:</w:t>
      </w:r>
    </w:p>
    <w:p w:rsidR="00843243" w:rsidRDefault="00AB3ADB" w:rsidP="00843243">
      <w:pPr>
        <w:pStyle w:val="Point1"/>
      </w:pPr>
      <w:r>
        <w:t>а)</w:t>
      </w:r>
      <w:r>
        <w:tab/>
        <w:t>идентификаци</w:t>
      </w:r>
      <w:r w:rsidR="00843243">
        <w:t>онни данни</w:t>
      </w:r>
      <w:r>
        <w:t xml:space="preserve"> на кораба (име, </w:t>
      </w:r>
      <w:r w:rsidRPr="001D3B9B">
        <w:t>идентификационен</w:t>
      </w:r>
      <w:r>
        <w:t xml:space="preserve"> номер в ИМО и пристанище на регистрация или пристанище на домуване);</w:t>
      </w:r>
    </w:p>
    <w:p w:rsidR="00AB3ADB" w:rsidRPr="009C2483" w:rsidRDefault="003D1328" w:rsidP="00843243">
      <w:pPr>
        <w:pStyle w:val="Point1"/>
        <w:rPr>
          <w:noProof/>
        </w:rPr>
      </w:pPr>
      <w:r>
        <w:t>б</w:t>
      </w:r>
      <w:r w:rsidR="00AB3ADB">
        <w:t>)</w:t>
      </w:r>
      <w:r w:rsidR="00AB3ADB">
        <w:tab/>
        <w:t>техническата ефективност на кораба (EEDI или EIV</w:t>
      </w:r>
      <w:r w:rsidR="00843243">
        <w:t>,</w:t>
      </w:r>
      <w:r w:rsidR="00AB3ADB">
        <w:t xml:space="preserve"> когато е приложимо);</w:t>
      </w:r>
    </w:p>
    <w:p w:rsidR="00AB3ADB" w:rsidRPr="009C2483" w:rsidRDefault="003D1328" w:rsidP="00DA09D1">
      <w:pPr>
        <w:pStyle w:val="Point1"/>
        <w:rPr>
          <w:noProof/>
        </w:rPr>
      </w:pPr>
      <w:r>
        <w:t>в</w:t>
      </w:r>
      <w:r w:rsidR="00AB3ADB">
        <w:t>)</w:t>
      </w:r>
      <w:r w:rsidR="00AB3ADB">
        <w:tab/>
        <w:t>годишните емисии на СО</w:t>
      </w:r>
      <w:r w:rsidR="00AB3ADB">
        <w:rPr>
          <w:noProof/>
          <w:vertAlign w:val="subscript"/>
        </w:rPr>
        <w:t>2</w:t>
      </w:r>
      <w:r w:rsidR="00AB3ADB">
        <w:t>;</w:t>
      </w:r>
    </w:p>
    <w:p w:rsidR="00AB3ADB" w:rsidRPr="009C2483" w:rsidRDefault="003D1328" w:rsidP="00DA09D1">
      <w:pPr>
        <w:pStyle w:val="Point1"/>
        <w:rPr>
          <w:noProof/>
        </w:rPr>
      </w:pPr>
      <w:r>
        <w:t>г</w:t>
      </w:r>
      <w:r w:rsidR="00AB3ADB">
        <w:t>)</w:t>
      </w:r>
      <w:r w:rsidR="00AB3ADB">
        <w:tab/>
        <w:t>общото годишно консумирано количество гориво за плаванията;</w:t>
      </w:r>
    </w:p>
    <w:p w:rsidR="00AB3ADB" w:rsidRPr="009C2483" w:rsidRDefault="003D1328" w:rsidP="00E725DD">
      <w:pPr>
        <w:pStyle w:val="Point1"/>
        <w:rPr>
          <w:noProof/>
        </w:rPr>
      </w:pPr>
      <w:r>
        <w:t>д</w:t>
      </w:r>
      <w:r w:rsidR="00AB3ADB">
        <w:t>)</w:t>
      </w:r>
      <w:r w:rsidR="00AB3ADB">
        <w:tab/>
        <w:t xml:space="preserve">средногодишната консумация на гориво и емисиите на </w:t>
      </w:r>
      <w:r w:rsidR="00E725DD" w:rsidRPr="00E725DD">
        <w:t>СО</w:t>
      </w:r>
      <w:r w:rsidR="00E725DD" w:rsidRPr="00E725DD">
        <w:rPr>
          <w:vertAlign w:val="subscript"/>
        </w:rPr>
        <w:t>2</w:t>
      </w:r>
      <w:r w:rsidR="00AB3ADB">
        <w:t xml:space="preserve"> за единица изминато разстояние при плаванията;</w:t>
      </w:r>
    </w:p>
    <w:p w:rsidR="00AB3ADB" w:rsidRPr="009C2483" w:rsidRDefault="003D1328" w:rsidP="00E725DD">
      <w:pPr>
        <w:pStyle w:val="Point1"/>
        <w:rPr>
          <w:noProof/>
        </w:rPr>
      </w:pPr>
      <w:r>
        <w:t>е</w:t>
      </w:r>
      <w:r w:rsidR="00AB3ADB">
        <w:t>)</w:t>
      </w:r>
      <w:r w:rsidR="00AB3ADB">
        <w:tab/>
        <w:t xml:space="preserve">средногодишната консумация на гориво и емисиите на </w:t>
      </w:r>
      <w:r w:rsidR="00E725DD" w:rsidRPr="00E725DD">
        <w:t>СО</w:t>
      </w:r>
      <w:r w:rsidR="00E725DD" w:rsidRPr="00E725DD">
        <w:rPr>
          <w:vertAlign w:val="subscript"/>
        </w:rPr>
        <w:t>2</w:t>
      </w:r>
      <w:r w:rsidR="00E725DD">
        <w:rPr>
          <w:vertAlign w:val="subscript"/>
        </w:rPr>
        <w:t xml:space="preserve"> </w:t>
      </w:r>
      <w:r w:rsidR="00AB3ADB">
        <w:t>за единица изминато разстояние и пре</w:t>
      </w:r>
      <w:r w:rsidR="00E725DD">
        <w:t>возен</w:t>
      </w:r>
      <w:r w:rsidR="00AB3ADB">
        <w:t xml:space="preserve"> товар при плаванията;</w:t>
      </w:r>
    </w:p>
    <w:p w:rsidR="00AB3ADB" w:rsidRPr="009C2483" w:rsidRDefault="003D1328" w:rsidP="00DA09D1">
      <w:pPr>
        <w:pStyle w:val="Point1"/>
        <w:rPr>
          <w:noProof/>
        </w:rPr>
      </w:pPr>
      <w:r>
        <w:t>ж</w:t>
      </w:r>
      <w:r w:rsidR="00AB3ADB">
        <w:t>)</w:t>
      </w:r>
      <w:r w:rsidR="00AB3ADB">
        <w:tab/>
        <w:t>общото време</w:t>
      </w:r>
      <w:r w:rsidR="00464286">
        <w:t xml:space="preserve"> през годината</w:t>
      </w:r>
      <w:r w:rsidR="00AB3ADB">
        <w:t>, прекарано в морето при плаванията;</w:t>
      </w:r>
    </w:p>
    <w:p w:rsidR="00AB3ADB" w:rsidRPr="009C2483" w:rsidRDefault="00AB3ADB" w:rsidP="00DA09D1">
      <w:pPr>
        <w:pStyle w:val="Point1"/>
        <w:rPr>
          <w:noProof/>
        </w:rPr>
      </w:pPr>
      <w:r>
        <w:br w:type="page"/>
      </w:r>
      <w:r w:rsidR="003D1328">
        <w:t>з</w:t>
      </w:r>
      <w:r>
        <w:t>)</w:t>
      </w:r>
      <w:r>
        <w:tab/>
      </w:r>
      <w:r w:rsidR="003D1328">
        <w:t xml:space="preserve">прилагания </w:t>
      </w:r>
      <w:r>
        <w:t>метод</w:t>
      </w:r>
      <w:r w:rsidR="003D1328">
        <w:t xml:space="preserve"> </w:t>
      </w:r>
      <w:r>
        <w:t>за мониторинг;</w:t>
      </w:r>
    </w:p>
    <w:p w:rsidR="00AB3ADB" w:rsidRPr="009C2483" w:rsidRDefault="003D1328" w:rsidP="00DA09D1">
      <w:pPr>
        <w:pStyle w:val="Point1"/>
        <w:rPr>
          <w:noProof/>
        </w:rPr>
      </w:pPr>
      <w:r>
        <w:t>и</w:t>
      </w:r>
      <w:r w:rsidR="00AB3ADB">
        <w:t>)</w:t>
      </w:r>
      <w:r w:rsidR="00AB3ADB">
        <w:tab/>
        <w:t xml:space="preserve">датата на издаване и датата на изтичане на </w:t>
      </w:r>
      <w:r w:rsidR="00811F83">
        <w:t xml:space="preserve">срока на </w:t>
      </w:r>
      <w:r w:rsidR="00AB3ADB">
        <w:t>валидност на документа за спазени изисквания;</w:t>
      </w:r>
    </w:p>
    <w:p w:rsidR="00AB3ADB" w:rsidRPr="009C2483" w:rsidRDefault="003D1328" w:rsidP="00843243">
      <w:pPr>
        <w:pStyle w:val="Point1"/>
        <w:rPr>
          <w:noProof/>
        </w:rPr>
      </w:pPr>
      <w:r>
        <w:t>и</w:t>
      </w:r>
      <w:r w:rsidR="00AB3ADB">
        <w:t>)</w:t>
      </w:r>
      <w:r w:rsidR="00AB3ADB">
        <w:tab/>
      </w:r>
      <w:r w:rsidR="00811F83">
        <w:t xml:space="preserve">идентификационни данни </w:t>
      </w:r>
      <w:r w:rsidR="00AB3ADB">
        <w:t>на проверяващия</w:t>
      </w:r>
      <w:r w:rsidR="00811F83">
        <w:t xml:space="preserve"> орган</w:t>
      </w:r>
      <w:r w:rsidR="00AB3ADB">
        <w:t xml:space="preserve">, </w:t>
      </w:r>
      <w:r w:rsidR="00843243">
        <w:t>извършил оценката на</w:t>
      </w:r>
      <w:r w:rsidR="00AB3ADB">
        <w:t xml:space="preserve"> доклада за емисиите</w:t>
      </w:r>
      <w:r w:rsidR="00811F83">
        <w:t>;</w:t>
      </w:r>
    </w:p>
    <w:p w:rsidR="00AB3ADB" w:rsidRPr="001D3B9B" w:rsidRDefault="00AB3ADB" w:rsidP="00DA09D1">
      <w:pPr>
        <w:pStyle w:val="Point1"/>
      </w:pPr>
      <w:r w:rsidRPr="00BD4CD8">
        <w:rPr>
          <w:noProof/>
        </w:rPr>
        <w:t>к</w:t>
      </w:r>
      <w:r w:rsidRPr="00BD4CD8">
        <w:t>)</w:t>
      </w:r>
      <w:r w:rsidRPr="00BD4CD8">
        <w:tab/>
        <w:t xml:space="preserve">всякаква друга информация, </w:t>
      </w:r>
      <w:r w:rsidR="00CA651A" w:rsidRPr="00BD4CD8">
        <w:t>която е обект</w:t>
      </w:r>
      <w:r w:rsidR="00D62FB9" w:rsidRPr="00BD4CD8">
        <w:t xml:space="preserve"> </w:t>
      </w:r>
      <w:r w:rsidR="00CA651A" w:rsidRPr="00BD4CD8">
        <w:t xml:space="preserve">на </w:t>
      </w:r>
      <w:r w:rsidR="00D62FB9" w:rsidRPr="00BD4CD8">
        <w:t xml:space="preserve">мониторинг </w:t>
      </w:r>
      <w:r w:rsidRPr="00BD4CD8">
        <w:t>и</w:t>
      </w:r>
      <w:r w:rsidRPr="001D3B9B">
        <w:t xml:space="preserve"> </w:t>
      </w:r>
      <w:r w:rsidR="00CA651A">
        <w:t>се докладва</w:t>
      </w:r>
      <w:r w:rsidR="00CA651A" w:rsidRPr="001D3B9B">
        <w:t xml:space="preserve"> </w:t>
      </w:r>
      <w:r w:rsidRPr="001D3B9B">
        <w:t xml:space="preserve">на </w:t>
      </w:r>
      <w:r w:rsidR="00811F83" w:rsidRPr="001D3B9B">
        <w:t>доброволн</w:t>
      </w:r>
      <w:r w:rsidR="00811F83">
        <w:t>а</w:t>
      </w:r>
      <w:r w:rsidR="00811F83" w:rsidRPr="001D3B9B">
        <w:t xml:space="preserve"> </w:t>
      </w:r>
      <w:r w:rsidR="00811F83">
        <w:t xml:space="preserve">основа </w:t>
      </w:r>
      <w:r w:rsidRPr="001D3B9B">
        <w:t>в съответствие с член 10.</w:t>
      </w:r>
    </w:p>
    <w:p w:rsidR="00AB3ADB" w:rsidRPr="001D3B9B" w:rsidRDefault="003D1328" w:rsidP="00BD4CD8">
      <w:pPr>
        <w:pStyle w:val="ManualNumPar1"/>
      </w:pPr>
      <w:r>
        <w:t>3</w:t>
      </w:r>
      <w:r w:rsidR="00AB3ADB" w:rsidRPr="001D3B9B">
        <w:t>.</w:t>
      </w:r>
      <w:r w:rsidR="00AB3ADB">
        <w:tab/>
      </w:r>
      <w:r w:rsidR="00AB3ADB" w:rsidRPr="001D3B9B">
        <w:t xml:space="preserve">Когато поради конкретни обстоятелства разкриването на категория обобщени данни по параграф 2, които не се отнасят до емисии </w:t>
      </w:r>
      <w:r w:rsidR="00464286" w:rsidRPr="00464286">
        <w:t xml:space="preserve">на </w:t>
      </w:r>
      <w:r w:rsidR="00464286" w:rsidRPr="00464286">
        <w:rPr>
          <w:lang w:val="en-GB"/>
        </w:rPr>
        <w:t>CO</w:t>
      </w:r>
      <w:r w:rsidR="00464286" w:rsidRPr="00464286">
        <w:rPr>
          <w:vertAlign w:val="subscript"/>
        </w:rPr>
        <w:t>2</w:t>
      </w:r>
      <w:r w:rsidR="00AB3ADB" w:rsidRPr="001D3B9B">
        <w:t>, по изключение би засегнало защитата на търговски интерес</w:t>
      </w:r>
      <w:r w:rsidR="00811F83">
        <w:t>и</w:t>
      </w:r>
      <w:r w:rsidR="00AB3ADB" w:rsidRPr="001D3B9B">
        <w:t>, заслужаващ</w:t>
      </w:r>
      <w:r w:rsidR="00811F83">
        <w:t>и</w:t>
      </w:r>
      <w:r w:rsidR="00AB3ADB" w:rsidRPr="001D3B9B">
        <w:t xml:space="preserve"> защита като законен икономически интерес, </w:t>
      </w:r>
      <w:r w:rsidR="00811F83">
        <w:t>който има предимство пред</w:t>
      </w:r>
      <w:r w:rsidR="00AB3ADB" w:rsidRPr="001D3B9B">
        <w:t xml:space="preserve"> обществения интерес </w:t>
      </w:r>
      <w:r w:rsidR="00811F83">
        <w:t xml:space="preserve">от </w:t>
      </w:r>
      <w:r w:rsidR="00AB3ADB" w:rsidRPr="001D3B9B">
        <w:t>разкриване съгласно Регламент № 1367/2006 на Европейския парламент и на Съвета</w:t>
      </w:r>
      <w:r w:rsidR="00AB3ADB" w:rsidRPr="00637A4F">
        <w:rPr>
          <w:rStyle w:val="FootnoteReference"/>
        </w:rPr>
        <w:footnoteReference w:id="13"/>
      </w:r>
      <w:r w:rsidR="00AB3ADB" w:rsidRPr="001D3B9B">
        <w:t xml:space="preserve">, по искане на дружеството се прилага различно ниво на обобщаване на тези конкретни данни, така че да се </w:t>
      </w:r>
      <w:r w:rsidR="00811F83" w:rsidRPr="001D3B9B">
        <w:t>защит</w:t>
      </w:r>
      <w:r w:rsidR="00811F83">
        <w:t>ят</w:t>
      </w:r>
      <w:r w:rsidR="00811F83" w:rsidRPr="001D3B9B">
        <w:t xml:space="preserve"> </w:t>
      </w:r>
      <w:r w:rsidR="00AB3ADB" w:rsidRPr="001D3B9B">
        <w:t>т</w:t>
      </w:r>
      <w:r w:rsidR="00811F83">
        <w:t>е</w:t>
      </w:r>
      <w:r w:rsidR="00AB3ADB" w:rsidRPr="001D3B9B">
        <w:t>зи интереси. Когато прилагането на различно ниво на обобщаване</w:t>
      </w:r>
      <w:r w:rsidR="00AB3ADB" w:rsidRPr="001D3B9B" w:rsidDel="001D06AD">
        <w:t xml:space="preserve"> </w:t>
      </w:r>
      <w:r w:rsidR="00AB3ADB" w:rsidRPr="001D3B9B">
        <w:t xml:space="preserve">е невъзможно, Комисията не осигурява публичен достъп до </w:t>
      </w:r>
      <w:r>
        <w:t xml:space="preserve">тези </w:t>
      </w:r>
      <w:r w:rsidR="00AB3ADB" w:rsidRPr="001D3B9B">
        <w:t>данни.</w:t>
      </w:r>
    </w:p>
    <w:p w:rsidR="00AB3ADB" w:rsidRPr="00DA09D1" w:rsidRDefault="003D1328" w:rsidP="00BD4CD8">
      <w:pPr>
        <w:pStyle w:val="ManualNumPar1"/>
        <w:rPr>
          <w:noProof/>
        </w:rPr>
      </w:pPr>
      <w:r>
        <w:t>4</w:t>
      </w:r>
      <w:r w:rsidR="00AB3ADB">
        <w:t>.</w:t>
      </w:r>
      <w:r w:rsidR="00AB3ADB">
        <w:tab/>
      </w:r>
      <w:r w:rsidR="00AB3ADB" w:rsidRPr="00DA09D1">
        <w:t>Комисията публикува годишен доклад за емисиите</w:t>
      </w:r>
      <w:r w:rsidR="00464286" w:rsidRPr="00DA09D1">
        <w:t xml:space="preserve"> на </w:t>
      </w:r>
      <w:r w:rsidR="00464286" w:rsidRPr="00DA09D1">
        <w:rPr>
          <w:lang w:val="en-GB"/>
        </w:rPr>
        <w:t>CO</w:t>
      </w:r>
      <w:r w:rsidR="00464286" w:rsidRPr="00DA09D1">
        <w:rPr>
          <w:vertAlign w:val="subscript"/>
        </w:rPr>
        <w:t>2</w:t>
      </w:r>
      <w:r w:rsidR="00AB3ADB" w:rsidRPr="00DA09D1">
        <w:t xml:space="preserve"> </w:t>
      </w:r>
      <w:r w:rsidR="00AB3ADB" w:rsidRPr="00DA09D1">
        <w:rPr>
          <w:noProof/>
          <w:color w:val="000000"/>
        </w:rPr>
        <w:t>и другата информация от значение</w:t>
      </w:r>
      <w:r w:rsidR="00AB3ADB" w:rsidRPr="00DA09D1">
        <w:t xml:space="preserve"> в областта на морския транспорт, </w:t>
      </w:r>
      <w:r w:rsidR="00AB3ADB" w:rsidRPr="00DA09D1">
        <w:rPr>
          <w:noProof/>
        </w:rPr>
        <w:t xml:space="preserve">включително обобщените и обяснени </w:t>
      </w:r>
      <w:r w:rsidR="00AB3ADB" w:rsidRPr="00DA09D1">
        <w:t>резултати</w:t>
      </w:r>
      <w:r w:rsidR="00AB3ADB" w:rsidRPr="00DA09D1">
        <w:rPr>
          <w:noProof/>
        </w:rPr>
        <w:t>, с цел да се информира обществеността и да се даде възможност за оценка на емисиите</w:t>
      </w:r>
      <w:r w:rsidR="00464286" w:rsidRPr="00DA09D1">
        <w:t xml:space="preserve"> </w:t>
      </w:r>
      <w:r w:rsidR="00464286" w:rsidRPr="00DA09D1">
        <w:rPr>
          <w:noProof/>
        </w:rPr>
        <w:t xml:space="preserve">на </w:t>
      </w:r>
      <w:r w:rsidR="00464286" w:rsidRPr="00DA09D1">
        <w:rPr>
          <w:noProof/>
          <w:lang w:val="en-GB"/>
        </w:rPr>
        <w:t>CO</w:t>
      </w:r>
      <w:r w:rsidR="00464286" w:rsidRPr="00DA09D1">
        <w:rPr>
          <w:noProof/>
          <w:vertAlign w:val="subscript"/>
        </w:rPr>
        <w:t>2</w:t>
      </w:r>
      <w:r w:rsidR="00AB3ADB" w:rsidRPr="00DA09D1">
        <w:rPr>
          <w:noProof/>
        </w:rPr>
        <w:t xml:space="preserve"> и на енергийната ефективност на морския транспорт според размера, вида на корабите, дейността или всяка друга категория, която се счита за важна.</w:t>
      </w:r>
    </w:p>
    <w:p w:rsidR="00AB3ADB" w:rsidRPr="00DA09D1" w:rsidRDefault="00AB3ADB" w:rsidP="00BD4CD8">
      <w:pPr>
        <w:pStyle w:val="ManualNumPar1"/>
        <w:rPr>
          <w:iCs/>
        </w:rPr>
      </w:pPr>
      <w:r w:rsidRPr="00DA09D1">
        <w:rPr>
          <w:noProof/>
        </w:rPr>
        <w:br w:type="page"/>
      </w:r>
      <w:r w:rsidR="003D1328" w:rsidRPr="00DA09D1">
        <w:rPr>
          <w:noProof/>
        </w:rPr>
        <w:t>5</w:t>
      </w:r>
      <w:r w:rsidRPr="00DA09D1">
        <w:rPr>
          <w:noProof/>
        </w:rPr>
        <w:t>.</w:t>
      </w:r>
      <w:r w:rsidRPr="00DA09D1">
        <w:tab/>
      </w:r>
      <w:r w:rsidRPr="00DA09D1">
        <w:rPr>
          <w:noProof/>
        </w:rPr>
        <w:t>На всеки две години Комисията оценява общото въздействие на сектора на морския транспорт върху климата в световен мащаб, включително чрез емисии или въздействие, които не са свързани с CO</w:t>
      </w:r>
      <w:r w:rsidRPr="00DA09D1">
        <w:rPr>
          <w:vertAlign w:val="subscript"/>
        </w:rPr>
        <w:t>2</w:t>
      </w:r>
      <w:r w:rsidRPr="00DA09D1">
        <w:rPr>
          <w:noProof/>
        </w:rPr>
        <w:t>.</w:t>
      </w:r>
    </w:p>
    <w:p w:rsidR="00AB3ADB" w:rsidRPr="009C2483" w:rsidRDefault="003D1328" w:rsidP="00BD4CD8">
      <w:pPr>
        <w:pStyle w:val="ManualNumPar1"/>
        <w:rPr>
          <w:noProof/>
        </w:rPr>
      </w:pPr>
      <w:r w:rsidRPr="00DA09D1">
        <w:t>6</w:t>
      </w:r>
      <w:r w:rsidR="00AB3ADB" w:rsidRPr="00DA09D1">
        <w:t>.</w:t>
      </w:r>
      <w:r w:rsidR="00AB3ADB" w:rsidRPr="00DA09D1">
        <w:tab/>
      </w:r>
      <w:r w:rsidR="00AB3ADB" w:rsidRPr="00DA09D1">
        <w:rPr>
          <w:noProof/>
        </w:rPr>
        <w:t xml:space="preserve">В </w:t>
      </w:r>
      <w:r w:rsidR="00AB3ADB" w:rsidRPr="00DA09D1">
        <w:t>рамките</w:t>
      </w:r>
      <w:r w:rsidR="00AB3ADB" w:rsidRPr="00DA09D1">
        <w:rPr>
          <w:noProof/>
        </w:rPr>
        <w:t xml:space="preserve"> на своя мандат </w:t>
      </w:r>
      <w:r w:rsidR="00AB3ADB" w:rsidRPr="00DA09D1">
        <w:t xml:space="preserve">EMSA съдейства на Комисията в работата ѝ по изпълнение на посоченото в </w:t>
      </w:r>
      <w:r w:rsidRPr="00DA09D1">
        <w:t xml:space="preserve">настоящия член и </w:t>
      </w:r>
      <w:r w:rsidR="00AB3ADB" w:rsidRPr="00DA09D1">
        <w:t>членове 12</w:t>
      </w:r>
      <w:r w:rsidRPr="00DA09D1">
        <w:t xml:space="preserve"> и</w:t>
      </w:r>
      <w:r w:rsidR="00AB3ADB" w:rsidRPr="00DA09D1">
        <w:t xml:space="preserve"> 17 от настоящия регламент, в съответствие с Регламент (ЕО) № 1406/2002 на Европейския парламент и на Съвета</w:t>
      </w:r>
      <w:r w:rsidR="00AB3ADB" w:rsidRPr="00637A4F">
        <w:rPr>
          <w:rStyle w:val="FootnoteReference"/>
        </w:rPr>
        <w:footnoteReference w:id="14"/>
      </w:r>
      <w:r w:rsidR="00AB3ADB">
        <w:t>.</w:t>
      </w:r>
    </w:p>
    <w:p w:rsidR="00AB3ADB" w:rsidRPr="009C2483" w:rsidRDefault="00AB3ADB" w:rsidP="00AB3ADB">
      <w:pPr>
        <w:pStyle w:val="ChapterTitle"/>
        <w:rPr>
          <w:noProof/>
        </w:rPr>
      </w:pPr>
      <w:r w:rsidRPr="00AB3ADB">
        <w:t>ГЛАВА V</w:t>
      </w:r>
      <w:r w:rsidRPr="00AB3ADB">
        <w:br/>
      </w:r>
      <w:r>
        <w:t>МЕЖДУНАРОДНО СЪТРУДНИЧЕСТВО</w:t>
      </w:r>
    </w:p>
    <w:p w:rsidR="00AB3ADB" w:rsidRPr="009C2483" w:rsidRDefault="00AB3ADB" w:rsidP="00AB3ADB">
      <w:pPr>
        <w:pStyle w:val="Titrearticle"/>
        <w:rPr>
          <w:noProof/>
        </w:rPr>
      </w:pPr>
      <w:r>
        <w:t>Член 22</w:t>
      </w:r>
      <w:r w:rsidRPr="00AB3ADB">
        <w:br/>
      </w:r>
      <w:r>
        <w:t>Международно сътрудничество</w:t>
      </w:r>
    </w:p>
    <w:p w:rsidR="00AB3ADB" w:rsidRPr="00DA09D1" w:rsidRDefault="00AB3ADB" w:rsidP="00843243">
      <w:pPr>
        <w:pStyle w:val="ManualNumPar1"/>
        <w:rPr>
          <w:noProof/>
        </w:rPr>
      </w:pPr>
      <w:r>
        <w:t>1.</w:t>
      </w:r>
      <w:r>
        <w:tab/>
      </w:r>
      <w:r w:rsidRPr="00DA09D1">
        <w:t>Комисията</w:t>
      </w:r>
      <w:r w:rsidRPr="00DA09D1">
        <w:rPr>
          <w:noProof/>
          <w:color w:val="FF0000"/>
        </w:rPr>
        <w:t xml:space="preserve"> </w:t>
      </w:r>
      <w:r w:rsidRPr="00DA09D1">
        <w:t xml:space="preserve">редовно информира ИМО и другите съответни международни организации относно прилагането на настоящия регламент, </w:t>
      </w:r>
      <w:r w:rsidRPr="00DA09D1">
        <w:rPr>
          <w:noProof/>
        </w:rPr>
        <w:t>без да се засягат разпределението по областите на компетентност или процедурите за вземане на решения, предвидени в Договорите</w:t>
      </w:r>
      <w:r w:rsidRPr="00DA09D1">
        <w:t>.</w:t>
      </w:r>
    </w:p>
    <w:p w:rsidR="00AB3ADB" w:rsidRPr="00DA09D1" w:rsidRDefault="00AB3ADB" w:rsidP="00BD4CD8">
      <w:pPr>
        <w:pStyle w:val="ManualNumPar1"/>
        <w:rPr>
          <w:noProof/>
        </w:rPr>
      </w:pPr>
      <w:r w:rsidRPr="00DA09D1">
        <w:t>2.</w:t>
      </w:r>
      <w:r w:rsidRPr="00DA09D1">
        <w:tab/>
        <w:t xml:space="preserve">Комисията </w:t>
      </w:r>
      <w:r w:rsidRPr="00DA09D1">
        <w:rPr>
          <w:noProof/>
        </w:rPr>
        <w:t>и когато е целесъобразно — държавите членки</w:t>
      </w:r>
      <w:r w:rsidRPr="00DA09D1">
        <w:t>, поддържат технически обмен с трети държави, по-специално по въпроси</w:t>
      </w:r>
      <w:r w:rsidR="00CA651A" w:rsidRPr="00DA09D1">
        <w:t>,</w:t>
      </w:r>
      <w:r w:rsidRPr="00DA09D1">
        <w:t xml:space="preserve"> свързани с допълнителното разработване на методи за мониторинг, организацията на докладването и проверката на докладите за емисиите.</w:t>
      </w:r>
    </w:p>
    <w:p w:rsidR="00AB3ADB" w:rsidRPr="00DA09D1" w:rsidRDefault="00AB3ADB" w:rsidP="00843243">
      <w:pPr>
        <w:pStyle w:val="ManualNumPar1"/>
        <w:rPr>
          <w:noProof/>
        </w:rPr>
      </w:pPr>
      <w:r w:rsidRPr="00DA09D1">
        <w:br w:type="page"/>
        <w:t>3.</w:t>
      </w:r>
      <w:r w:rsidRPr="00DA09D1">
        <w:tab/>
        <w:t xml:space="preserve">В случай че бъде постигнато международно споразумение относно </w:t>
      </w:r>
      <w:r w:rsidRPr="00DA09D1">
        <w:rPr>
          <w:noProof/>
        </w:rPr>
        <w:t>световна система за мониторинг, докладване и проверка на емисиите на парникови газове или относно</w:t>
      </w:r>
      <w:r w:rsidRPr="00DA09D1">
        <w:t xml:space="preserve"> глобални мерки за </w:t>
      </w:r>
      <w:r w:rsidR="004A052C" w:rsidRPr="00DA09D1">
        <w:t xml:space="preserve">намаление </w:t>
      </w:r>
      <w:r w:rsidRPr="00DA09D1">
        <w:t>на емисиите на парникови газове от морския транспорт, Комисията прави преглед настоящия регламент и</w:t>
      </w:r>
      <w:r w:rsidR="00843243">
        <w:t>,</w:t>
      </w:r>
      <w:r w:rsidRPr="00DA09D1">
        <w:t xml:space="preserve"> ако е целесъобразно, </w:t>
      </w:r>
      <w:r w:rsidRPr="00DA09D1">
        <w:rPr>
          <w:noProof/>
        </w:rPr>
        <w:t>предлага</w:t>
      </w:r>
      <w:r w:rsidRPr="00DA09D1">
        <w:t xml:space="preserve"> изменения на настоящия регламент, за да се осигури съответствие с това международно споразумение.</w:t>
      </w:r>
    </w:p>
    <w:p w:rsidR="00AB3ADB" w:rsidRPr="009C2483" w:rsidRDefault="00AB3ADB" w:rsidP="00AB3ADB">
      <w:pPr>
        <w:pStyle w:val="ChapterTitle"/>
        <w:rPr>
          <w:noProof/>
        </w:rPr>
      </w:pPr>
      <w:r w:rsidRPr="00AB3ADB">
        <w:t>ГЛАВА VI</w:t>
      </w:r>
      <w:r w:rsidRPr="00AB3ADB">
        <w:br/>
      </w:r>
      <w:r>
        <w:t>ДЕЛЕГИРАНИ И ИЗПЪЛНИТЕЛНИ ПРАВОМОЩИЯ И ЗАКЛЮЧИТЕЛНИ РАЗПОРЕДБИ</w:t>
      </w:r>
    </w:p>
    <w:p w:rsidR="00AB3ADB" w:rsidRPr="009C2483" w:rsidRDefault="00AB3ADB" w:rsidP="003D1328">
      <w:pPr>
        <w:pStyle w:val="Titrearticle"/>
        <w:rPr>
          <w:noProof/>
        </w:rPr>
      </w:pPr>
      <w:r>
        <w:t xml:space="preserve">Член </w:t>
      </w:r>
      <w:r w:rsidR="003D1328">
        <w:t>23</w:t>
      </w:r>
      <w:r w:rsidRPr="00DA5C39">
        <w:br/>
      </w:r>
      <w:r>
        <w:t>Упражняване на делегирането</w:t>
      </w:r>
    </w:p>
    <w:p w:rsidR="00AB3ADB" w:rsidRPr="00DA09D1" w:rsidRDefault="00AB3ADB" w:rsidP="00BD4CD8">
      <w:pPr>
        <w:pStyle w:val="ManualNumPar1"/>
        <w:rPr>
          <w:noProof/>
        </w:rPr>
      </w:pPr>
      <w:r>
        <w:t>1.</w:t>
      </w:r>
      <w:r>
        <w:tab/>
      </w:r>
      <w:r w:rsidRPr="00DA09D1">
        <w:t xml:space="preserve">Правомощието да приема делегирани актове </w:t>
      </w:r>
      <w:r w:rsidRPr="00DA09D1">
        <w:rPr>
          <w:noProof/>
        </w:rPr>
        <w:t>се предоставя на Комисията при спазване на предвидените в настоящия член условия.</w:t>
      </w:r>
      <w:r w:rsidRPr="00DA09D1">
        <w:rPr>
          <w:i/>
        </w:rPr>
        <w:t xml:space="preserve"> </w:t>
      </w:r>
      <w:r w:rsidRPr="00DA09D1">
        <w:rPr>
          <w:noProof/>
        </w:rPr>
        <w:t>Особено важно е преди приемането на тези делегирани актове, Комисията да следва обичайната си практика и да провежда консултации на експертно равнище, включително с експерти от държавите членки.</w:t>
      </w:r>
    </w:p>
    <w:p w:rsidR="00AB3ADB" w:rsidRPr="00DA09D1" w:rsidRDefault="00AB3ADB" w:rsidP="00BD4CD8">
      <w:pPr>
        <w:pStyle w:val="ManualNumPar1"/>
      </w:pPr>
      <w:r>
        <w:rPr>
          <w:u w:val="single"/>
        </w:rPr>
        <w:br w:type="page"/>
      </w:r>
      <w:r w:rsidR="003D1328" w:rsidRPr="00DA09D1">
        <w:t>2</w:t>
      </w:r>
      <w:r w:rsidRPr="00DA09D1">
        <w:t>.</w:t>
      </w:r>
      <w:r>
        <w:tab/>
      </w:r>
      <w:r w:rsidRPr="00DA09D1">
        <w:t>Правомощието да приема делегирани актове,</w:t>
      </w:r>
      <w:r>
        <w:t xml:space="preserve"> посочено в член </w:t>
      </w:r>
      <w:r w:rsidRPr="00DA09D1">
        <w:t>5</w:t>
      </w:r>
      <w:r>
        <w:t xml:space="preserve">, параграф 2, член 15, параграф 5 </w:t>
      </w:r>
      <w:r w:rsidRPr="00DA09D1">
        <w:t>и член</w:t>
      </w:r>
      <w:r>
        <w:t xml:space="preserve"> 16, параграф 3, се предоставя на Комисията за срок от пет години, считано от 1 юли 2015 г. </w:t>
      </w:r>
      <w:r w:rsidRPr="00DA09D1">
        <w:t>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rsidR="00AB3ADB" w:rsidRPr="00DA09D1" w:rsidRDefault="003D1328" w:rsidP="00843243">
      <w:pPr>
        <w:pStyle w:val="ManualNumPar1"/>
        <w:rPr>
          <w:noProof/>
        </w:rPr>
      </w:pPr>
      <w:r>
        <w:t>3</w:t>
      </w:r>
      <w:r w:rsidR="00AB3ADB">
        <w:t>.</w:t>
      </w:r>
      <w:r w:rsidR="00AB3ADB">
        <w:tab/>
      </w:r>
      <w:r w:rsidR="00AB3ADB" w:rsidRPr="00DA09D1">
        <w:t>Делегирането на правомощия, посочено в член</w:t>
      </w:r>
      <w:r w:rsidR="00AB3ADB" w:rsidRPr="00DA09D1">
        <w:rPr>
          <w:noProof/>
        </w:rPr>
        <w:t> 5</w:t>
      </w:r>
      <w:r w:rsidR="00AB3ADB" w:rsidRPr="00DA09D1">
        <w:t>, параграф 2, член 15</w:t>
      </w:r>
      <w:r w:rsidR="00843243">
        <w:t>,</w:t>
      </w:r>
      <w:r w:rsidR="00AB3ADB" w:rsidRPr="00DA09D1">
        <w:t xml:space="preserve"> параграф 5 </w:t>
      </w:r>
      <w:r w:rsidR="00AB3ADB" w:rsidRPr="00DA09D1">
        <w:rPr>
          <w:noProof/>
        </w:rPr>
        <w:t>и</w:t>
      </w:r>
      <w:r w:rsidR="00AB3ADB" w:rsidRPr="00DA09D1">
        <w:t xml:space="preserve"> член 16, параграф 3, може да бъде оттеглено по всяко време от Европейския парламент или от Съвета. С решението </w:t>
      </w:r>
      <w:r w:rsidR="00AB3ADB" w:rsidRPr="00DA09D1">
        <w:rPr>
          <w:noProof/>
        </w:rPr>
        <w:t>за оттегляне</w:t>
      </w:r>
      <w:r w:rsidR="00AB3ADB" w:rsidRPr="00DA09D1">
        <w:t xml:space="preserve"> се прекратява посоченото в него делегиране на правомощия. То поражда действие в деня след публикуването на решението в </w:t>
      </w:r>
      <w:r w:rsidR="00AB3ADB" w:rsidRPr="00DA09D1">
        <w:rPr>
          <w:i/>
          <w:noProof/>
        </w:rPr>
        <w:t>Официален вестник на Европейския съюз</w:t>
      </w:r>
      <w:r w:rsidR="00AB3ADB" w:rsidRPr="00DA09D1">
        <w:t xml:space="preserve"> или на по-късна, посочена в решението дата. Решението не засяга действителността на делегираните актове, които вече са в сила.</w:t>
      </w:r>
    </w:p>
    <w:p w:rsidR="00AB3ADB" w:rsidRPr="00DA09D1" w:rsidRDefault="003D1328" w:rsidP="00BD4CD8">
      <w:pPr>
        <w:pStyle w:val="ManualNumPar1"/>
        <w:rPr>
          <w:noProof/>
        </w:rPr>
      </w:pPr>
      <w:r w:rsidRPr="00DA09D1">
        <w:t>4</w:t>
      </w:r>
      <w:r w:rsidR="00AB3ADB" w:rsidRPr="00DA09D1">
        <w:t>.</w:t>
      </w:r>
      <w:r w:rsidR="00AB3ADB" w:rsidRPr="00DA09D1">
        <w:tab/>
        <w:t>Веднага след като приеме делегиран акт, Комисията нотифицира акта едновременно на Европейския парламент и Съвета.</w:t>
      </w:r>
    </w:p>
    <w:p w:rsidR="00AB3ADB" w:rsidRPr="00DA09D1" w:rsidRDefault="003D1328" w:rsidP="00BD4CD8">
      <w:pPr>
        <w:pStyle w:val="ManualNumPar1"/>
        <w:rPr>
          <w:noProof/>
        </w:rPr>
      </w:pPr>
      <w:r w:rsidRPr="00DA09D1">
        <w:t>5</w:t>
      </w:r>
      <w:r w:rsidR="00AB3ADB" w:rsidRPr="00DA09D1">
        <w:t>.</w:t>
      </w:r>
      <w:r w:rsidR="00AB3ADB" w:rsidRPr="00DA09D1">
        <w:tab/>
        <w:t>Делегиран акт, приет съгласно член </w:t>
      </w:r>
      <w:r w:rsidR="00AB3ADB" w:rsidRPr="00DA09D1">
        <w:rPr>
          <w:noProof/>
        </w:rPr>
        <w:t>5</w:t>
      </w:r>
      <w:r w:rsidR="00AB3ADB" w:rsidRPr="00DA09D1">
        <w:t xml:space="preserve">, параграф 2, член 15, параграф 5 </w:t>
      </w:r>
      <w:r w:rsidR="00AB3ADB" w:rsidRPr="00DA09D1">
        <w:rPr>
          <w:noProof/>
        </w:rPr>
        <w:t>и</w:t>
      </w:r>
      <w:r w:rsidR="00AB3ADB" w:rsidRPr="00DA09D1">
        <w:t> член 16,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rsidR="00AB3ADB" w:rsidRPr="009C2483" w:rsidRDefault="00AB3ADB" w:rsidP="003D1328">
      <w:pPr>
        <w:pStyle w:val="Titrearticle"/>
        <w:rPr>
          <w:noProof/>
        </w:rPr>
      </w:pPr>
      <w:r>
        <w:br w:type="page"/>
        <w:t xml:space="preserve">Член </w:t>
      </w:r>
      <w:r w:rsidR="003D1328">
        <w:t>24</w:t>
      </w:r>
      <w:r w:rsidRPr="00C62DA3">
        <w:br/>
      </w:r>
      <w:r>
        <w:t>Процедура на комитет</w:t>
      </w:r>
    </w:p>
    <w:p w:rsidR="00AB3ADB" w:rsidRPr="009C2483" w:rsidRDefault="00AB3ADB" w:rsidP="00BD4CD8">
      <w:pPr>
        <w:pStyle w:val="ManualNumPar1"/>
        <w:rPr>
          <w:noProof/>
        </w:rPr>
      </w:pPr>
      <w:r>
        <w:t>1.</w:t>
      </w:r>
      <w:r>
        <w:tab/>
        <w:t>Комисията се подпомага от Комитета, създаден съгласно член </w:t>
      </w:r>
      <w:r w:rsidR="003D1328">
        <w:t xml:space="preserve">26 </w:t>
      </w:r>
      <w:r>
        <w:t>от</w:t>
      </w:r>
      <w:r w:rsidR="00012B25">
        <w:t xml:space="preserve"> </w:t>
      </w:r>
      <w:r>
        <w:t>Ре</w:t>
      </w:r>
      <w:r w:rsidR="003D1328">
        <w:t>гламент(ЕС)№525</w:t>
      </w:r>
      <w:r>
        <w:t>/</w:t>
      </w:r>
      <w:r w:rsidR="003D1328">
        <w:t>2013</w:t>
      </w:r>
      <w:r w:rsidRPr="007E68D5">
        <w:t xml:space="preserve"> на</w:t>
      </w:r>
      <w:r>
        <w:t xml:space="preserve"> </w:t>
      </w:r>
      <w:r w:rsidR="003D1328">
        <w:t xml:space="preserve">Европейския парламент и на </w:t>
      </w:r>
      <w:r>
        <w:t>Съвета</w:t>
      </w:r>
      <w:r w:rsidRPr="00637A4F">
        <w:rPr>
          <w:rStyle w:val="FootnoteReference"/>
        </w:rPr>
        <w:footnoteReference w:id="15"/>
      </w:r>
      <w:r>
        <w:t>. Този Комитет е комитет по смисъла на Регламент (ЕС) № 182/2011.</w:t>
      </w:r>
    </w:p>
    <w:p w:rsidR="00AB3ADB" w:rsidRPr="009C2483" w:rsidRDefault="00AB3ADB" w:rsidP="00BD4CD8">
      <w:pPr>
        <w:pStyle w:val="ManualNumPar1"/>
      </w:pPr>
      <w:r>
        <w:t>2.</w:t>
      </w:r>
      <w:r>
        <w:tab/>
        <w:t xml:space="preserve">При позоваване на настоящия параграф се прилага член 5 от Регламент (ЕС) № 182/2011. </w:t>
      </w:r>
      <w:r w:rsidRPr="001D3B9B">
        <w:t>Когато комитетът не представи становище, Комисията не приема проекта на акт за изпълнение и се прилага член 5, параграф 4, трета алинея от Регламент (ЕС) № 182/2011.</w:t>
      </w:r>
    </w:p>
    <w:p w:rsidR="00AB3ADB" w:rsidRPr="001D3B9B" w:rsidRDefault="00AB3ADB" w:rsidP="003B6449">
      <w:pPr>
        <w:pStyle w:val="Titrearticle"/>
      </w:pPr>
      <w:r>
        <w:br w:type="page"/>
        <w:t>Член </w:t>
      </w:r>
      <w:r w:rsidR="003D1328">
        <w:t>25</w:t>
      </w:r>
      <w:r w:rsidRPr="00AB3ADB">
        <w:br/>
      </w:r>
      <w:r w:rsidRPr="001D3B9B">
        <w:t>Изменения на Директива 2009/16/ЕО</w:t>
      </w:r>
    </w:p>
    <w:p w:rsidR="00AB3ADB" w:rsidRPr="004D5662" w:rsidRDefault="00AB3ADB" w:rsidP="00BD4CD8">
      <w:pPr>
        <w:rPr>
          <w:noProof/>
        </w:rPr>
      </w:pPr>
      <w:r>
        <w:t xml:space="preserve">Следната точка се добавя в </w:t>
      </w:r>
      <w:r w:rsidRPr="00BD4CD8">
        <w:t>списъка</w:t>
      </w:r>
      <w:r>
        <w:t>, включен в приложение IV към Директива 2009/16/ЕО:</w:t>
      </w:r>
    </w:p>
    <w:p w:rsidR="00AB3ADB" w:rsidRPr="00C62DA3" w:rsidRDefault="00AB3ADB" w:rsidP="00637A4F">
      <w:pPr>
        <w:pStyle w:val="Point0"/>
      </w:pPr>
      <w:r w:rsidRPr="001D3B9B">
        <w:t>„</w:t>
      </w:r>
      <w:r w:rsidR="00C62DA3">
        <w:t>50</w:t>
      </w:r>
      <w:r w:rsidRPr="001D3B9B">
        <w:t>.</w:t>
      </w:r>
      <w:r w:rsidR="00637A4F">
        <w:tab/>
      </w:r>
      <w:r w:rsidRPr="001D3B9B">
        <w:t xml:space="preserve">Документ за спазени изисквания, издаден съгласно Регламент (ЕС) </w:t>
      </w:r>
      <w:r w:rsidR="003D1328">
        <w:t>2015</w:t>
      </w:r>
      <w:r w:rsidRPr="001D3B9B">
        <w:t>/</w:t>
      </w:r>
      <w:r w:rsidR="003D1328">
        <w:t>…</w:t>
      </w:r>
      <w:r w:rsidRPr="00BD4CD8">
        <w:rPr>
          <w:vertAlign w:val="superscript"/>
        </w:rPr>
        <w:t>+</w:t>
      </w:r>
      <w:r w:rsidRPr="00637A4F">
        <w:rPr>
          <w:rStyle w:val="FootnoteReference"/>
        </w:rPr>
        <w:footnoteReference w:customMarkFollows="1" w:id="16"/>
        <w:t>*</w:t>
      </w:r>
      <w:r w:rsidR="00637A4F">
        <w:rPr>
          <w:b/>
          <w:bCs/>
        </w:rPr>
        <w:t xml:space="preserve"> </w:t>
      </w:r>
      <w:r w:rsidR="00637A4F" w:rsidRPr="00637A4F">
        <w:t>н</w:t>
      </w:r>
      <w:r w:rsidRPr="001D3B9B">
        <w:t>а Европейския парламент и на Съвета от … относно мониторинга, докладването и проверката на емисиите на въглероден диоксид от морския транспорт и за изменение на Директива 2009/16/ЕО</w:t>
      </w:r>
      <w:r w:rsidR="00E452D7">
        <w:t>.</w:t>
      </w:r>
    </w:p>
    <w:p w:rsidR="00AB3ADB" w:rsidRPr="00AB3ADB" w:rsidRDefault="00AB3ADB" w:rsidP="00C62DA3">
      <w:pPr>
        <w:spacing w:before="0" w:after="0"/>
        <w:rPr>
          <w:u w:val="single"/>
        </w:rPr>
      </w:pPr>
      <w:r w:rsidRPr="00AB3ADB">
        <w:rPr>
          <w:u w:val="single"/>
        </w:rPr>
        <w:t>_____________________</w:t>
      </w:r>
    </w:p>
    <w:p w:rsidR="00AB3ADB" w:rsidRPr="00DE6779" w:rsidRDefault="00AB3ADB" w:rsidP="00BD4CD8">
      <w:pPr>
        <w:pStyle w:val="Point0"/>
        <w:rPr>
          <w:noProof/>
        </w:rPr>
      </w:pPr>
      <w:r w:rsidRPr="00BD4CD8">
        <w:rPr>
          <w:vertAlign w:val="superscript"/>
        </w:rPr>
        <w:t>+</w:t>
      </w:r>
      <w:r w:rsidRPr="00AB3ADB">
        <w:tab/>
      </w:r>
      <w:r>
        <w:t>ОВ …“.</w:t>
      </w:r>
    </w:p>
    <w:p w:rsidR="00AB3ADB" w:rsidRPr="001D3B9B" w:rsidRDefault="00AB3ADB" w:rsidP="003D1328">
      <w:pPr>
        <w:pStyle w:val="Titrearticle"/>
      </w:pPr>
      <w:r>
        <w:br w:type="page"/>
        <w:t xml:space="preserve">Член </w:t>
      </w:r>
      <w:r w:rsidR="003D1328">
        <w:t>26</w:t>
      </w:r>
      <w:r w:rsidRPr="00AB3ADB">
        <w:br/>
      </w:r>
      <w:r w:rsidRPr="001D3B9B">
        <w:t>Влизане в сила</w:t>
      </w:r>
    </w:p>
    <w:p w:rsidR="00AB3ADB" w:rsidRPr="004D5662" w:rsidRDefault="00AB3ADB" w:rsidP="001C6C57">
      <w:pPr>
        <w:autoSpaceDE w:val="0"/>
        <w:autoSpaceDN w:val="0"/>
        <w:adjustRightInd w:val="0"/>
        <w:rPr>
          <w:noProof/>
          <w:color w:val="000000"/>
        </w:rPr>
      </w:pPr>
      <w:r>
        <w:rPr>
          <w:noProof/>
          <w:color w:val="000000"/>
        </w:rPr>
        <w:t>Настоящият регламент влиза в сила на 1 юли 2015 г.</w:t>
      </w:r>
    </w:p>
    <w:p w:rsidR="00AB3ADB" w:rsidRPr="004D5662" w:rsidRDefault="00AB3ADB" w:rsidP="001C6C57">
      <w:pPr>
        <w:pStyle w:val="Applicationdirecte"/>
        <w:rPr>
          <w:noProof/>
        </w:rPr>
      </w:pPr>
      <w:r>
        <w:t>Настоящият регламент е задължителен в своята цялост и се прилага пряко във всички държави членки.</w:t>
      </w:r>
    </w:p>
    <w:p w:rsidR="00AB3ADB" w:rsidRPr="004D5662" w:rsidRDefault="00AB3ADB" w:rsidP="001C6C57">
      <w:pPr>
        <w:pStyle w:val="Fait"/>
        <w:rPr>
          <w:noProof/>
        </w:rPr>
      </w:pPr>
      <w:r>
        <w:t>Съставено в Брюксел на</w:t>
      </w:r>
    </w:p>
    <w:p w:rsidR="00AB3ADB" w:rsidRPr="004D5662" w:rsidRDefault="00AB3ADB" w:rsidP="001C6C57">
      <w:pPr>
        <w:pStyle w:val="Institutionquisigne"/>
        <w:rPr>
          <w:noProof/>
        </w:rPr>
      </w:pPr>
      <w:r>
        <w:t>За Европейския парламент</w:t>
      </w:r>
      <w:r>
        <w:tab/>
        <w:t>За Съвета</w:t>
      </w:r>
    </w:p>
    <w:p w:rsidR="00AB3ADB" w:rsidRPr="004D5662" w:rsidRDefault="00AB3ADB" w:rsidP="001C6C57">
      <w:pPr>
        <w:pStyle w:val="Personnequisigne"/>
        <w:rPr>
          <w:noProof/>
        </w:rPr>
      </w:pPr>
      <w:r>
        <w:t>Председател</w:t>
      </w:r>
      <w:r>
        <w:tab/>
        <w:t>Председател</w:t>
      </w:r>
    </w:p>
    <w:p w:rsidR="00AB3ADB" w:rsidRPr="004D5662" w:rsidRDefault="00AB3ADB" w:rsidP="00AB3ADB">
      <w:pPr>
        <w:pStyle w:val="Lignefinal"/>
      </w:pPr>
    </w:p>
    <w:p w:rsidR="00AB3ADB" w:rsidRPr="00DA5C39" w:rsidRDefault="00AB3ADB" w:rsidP="00DA5C39">
      <w:pPr>
        <w:pStyle w:val="Lignefinal"/>
        <w:sectPr w:rsidR="00AB3ADB" w:rsidRPr="00DA5C39" w:rsidSect="00BF747B">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pPr>
    </w:p>
    <w:p w:rsidR="00AB3ADB" w:rsidRPr="004A6052" w:rsidRDefault="00AB3ADB" w:rsidP="004A6052">
      <w:pPr>
        <w:pStyle w:val="Annexetitre"/>
      </w:pPr>
      <w:r w:rsidRPr="004A6052">
        <w:t>ПРИЛОЖЕНИЕ I</w:t>
      </w:r>
    </w:p>
    <w:p w:rsidR="00AB3ADB" w:rsidRPr="00BD4CD8" w:rsidRDefault="00AB3ADB" w:rsidP="00263033">
      <w:pPr>
        <w:pStyle w:val="NormalCentered"/>
        <w:rPr>
          <w:noProof/>
        </w:rPr>
      </w:pPr>
      <w:r w:rsidRPr="00BD4CD8">
        <w:t>Методи за мониторинг емисиите на СО</w:t>
      </w:r>
      <w:r w:rsidRPr="00BD4CD8">
        <w:rPr>
          <w:vertAlign w:val="subscript"/>
        </w:rPr>
        <w:t>2</w:t>
      </w:r>
    </w:p>
    <w:p w:rsidR="00AB3ADB" w:rsidRPr="004D5662" w:rsidRDefault="00AB3ADB" w:rsidP="00BD4CD8">
      <w:pPr>
        <w:pStyle w:val="Point0"/>
        <w:rPr>
          <w:noProof/>
        </w:rPr>
      </w:pPr>
      <w:r>
        <w:t>А.</w:t>
      </w:r>
      <w:r>
        <w:tab/>
        <w:t>ИЗЧИСЛЯВАНЕ</w:t>
      </w:r>
      <w:r>
        <w:rPr>
          <w:caps/>
          <w:noProof/>
        </w:rPr>
        <w:t xml:space="preserve"> на</w:t>
      </w:r>
      <w:r w:rsidRPr="001D3B9B">
        <w:t>ЕМИСИИТЕ НА CO</w:t>
      </w:r>
      <w:r w:rsidR="008D71ED" w:rsidRPr="00843243">
        <w:rPr>
          <w:vertAlign w:val="subscript"/>
        </w:rPr>
        <w:t>2</w:t>
      </w:r>
      <w:r>
        <w:t xml:space="preserve"> (член 9)</w:t>
      </w:r>
    </w:p>
    <w:p w:rsidR="00AB3ADB" w:rsidRPr="00BD4CD8" w:rsidRDefault="00AB3ADB" w:rsidP="00E725DD">
      <w:r w:rsidRPr="00BD4CD8">
        <w:t xml:space="preserve">За целите на изчисляването на емисиите на </w:t>
      </w:r>
      <w:r w:rsidR="00E725DD" w:rsidRPr="00E725DD">
        <w:t>СО</w:t>
      </w:r>
      <w:r w:rsidR="00E725DD" w:rsidRPr="00E725DD">
        <w:rPr>
          <w:vertAlign w:val="subscript"/>
        </w:rPr>
        <w:t>2</w:t>
      </w:r>
      <w:r w:rsidR="00E725DD">
        <w:rPr>
          <w:vertAlign w:val="subscript"/>
        </w:rPr>
        <w:t xml:space="preserve"> </w:t>
      </w:r>
      <w:r w:rsidRPr="00BD4CD8">
        <w:t xml:space="preserve">дружествата </w:t>
      </w:r>
      <w:r w:rsidR="00811F83" w:rsidRPr="00BD4CD8">
        <w:t>прилагат</w:t>
      </w:r>
      <w:r w:rsidRPr="00BD4CD8">
        <w:t xml:space="preserve"> следната формула:</w:t>
      </w:r>
    </w:p>
    <w:p w:rsidR="00AB3ADB" w:rsidRPr="00BD4CD8" w:rsidRDefault="000533E6" w:rsidP="00BD4CD8">
      <w:r w:rsidRPr="00BD4CD8">
        <w:t xml:space="preserve">Количество </w:t>
      </w:r>
      <w:r w:rsidR="00AB3ADB" w:rsidRPr="00BD4CD8">
        <w:t>консумирано гориво x емисионен фактор</w:t>
      </w:r>
    </w:p>
    <w:p w:rsidR="00AB3ADB" w:rsidRPr="00BD4CD8" w:rsidRDefault="00AB3ADB" w:rsidP="00BD4CD8">
      <w:r w:rsidRPr="00BD4CD8">
        <w:t>Количеството консумирано гориво включва горивото, консумирано от основните двигатели, спомагателните двигатели, газовите турбини, котлите и генераторите на инертен газ.</w:t>
      </w:r>
    </w:p>
    <w:p w:rsidR="00AB3ADB" w:rsidRPr="00BD4CD8" w:rsidRDefault="00AB3ADB" w:rsidP="00BD4CD8">
      <w:r w:rsidRPr="00BD4CD8">
        <w:t>Количеството консумирано гориво на котвена стоянка в пристанищата се изчислява отделно.</w:t>
      </w:r>
    </w:p>
    <w:p w:rsidR="00AB3ADB" w:rsidRPr="00BD4CD8" w:rsidRDefault="00AB3ADB" w:rsidP="00BD4CD8">
      <w:r w:rsidRPr="00BD4CD8">
        <w:t>По принцип се използват в</w:t>
      </w:r>
      <w:r w:rsidRPr="00E725DD">
        <w:t>ъзприетите стойности за емиси</w:t>
      </w:r>
      <w:r w:rsidRPr="00BD4CD8">
        <w:t>онните фактори на горивата, освен ако дружеството не реши да използва данни за качествените характеристики на горивата, посочени в разписките за доставено гориво, които се използват за доказване на съответствие с приложимите нормативни разпоредби за емисиите на серни оксиди.</w:t>
      </w:r>
    </w:p>
    <w:p w:rsidR="00AB3ADB" w:rsidRPr="00BD4CD8" w:rsidRDefault="00AB3ADB" w:rsidP="004A6052">
      <w:r w:rsidRPr="00BD4CD8">
        <w:t>Възприетите стойности за емисионните фактори се основават на последните публикувани стойности от Междуправителствения комитет по изменение на климата (IPCC). Тези стойности могат да се получат от приложение VI към Регламент (ЕС) № 601/2012 на Комисията</w:t>
      </w:r>
      <w:r w:rsidRPr="00637A4F">
        <w:rPr>
          <w:rStyle w:val="FootnoteReference"/>
        </w:rPr>
        <w:footnoteReference w:id="17"/>
      </w:r>
      <w:r w:rsidRPr="00BD4CD8">
        <w:t>.</w:t>
      </w:r>
    </w:p>
    <w:p w:rsidR="00AB3ADB" w:rsidRPr="00BD4CD8" w:rsidRDefault="00AB3ADB" w:rsidP="00BD4CD8">
      <w:r w:rsidRPr="00BD4CD8">
        <w:t>Подходящи емисионни фактори се използват и за биогоривата и алтернативните неизкопаеми горива.</w:t>
      </w:r>
    </w:p>
    <w:p w:rsidR="00AB3ADB" w:rsidRPr="004D5662" w:rsidRDefault="00AB3ADB" w:rsidP="00BD4CD8">
      <w:pPr>
        <w:pStyle w:val="Point0"/>
        <w:rPr>
          <w:noProof/>
        </w:rPr>
      </w:pPr>
      <w:r>
        <w:br w:type="page"/>
        <w:t>Б.</w:t>
      </w:r>
      <w:r>
        <w:tab/>
        <w:t>МЕТОДИ ЗА ОПРЕДЕЛЯНЕ НА ЕМИСИИТЕ</w:t>
      </w:r>
      <w:r w:rsidR="00464286" w:rsidRPr="00464286">
        <w:t xml:space="preserve"> </w:t>
      </w:r>
      <w:r w:rsidR="00263033" w:rsidRPr="00464286">
        <w:t>НА</w:t>
      </w:r>
      <w:r w:rsidR="00464286" w:rsidRPr="00464286">
        <w:t xml:space="preserve"> </w:t>
      </w:r>
      <w:r w:rsidR="00464286" w:rsidRPr="00464286">
        <w:rPr>
          <w:lang w:val="en-GB"/>
        </w:rPr>
        <w:t>CO</w:t>
      </w:r>
      <w:r w:rsidR="00464286" w:rsidRPr="00464286">
        <w:rPr>
          <w:vertAlign w:val="subscript"/>
        </w:rPr>
        <w:t>2</w:t>
      </w:r>
    </w:p>
    <w:p w:rsidR="00AB3ADB" w:rsidRPr="00BD4CD8" w:rsidRDefault="00AB3ADB" w:rsidP="00BD4CD8">
      <w:r>
        <w:t xml:space="preserve">В </w:t>
      </w:r>
      <w:r w:rsidRPr="00BD4CD8">
        <w:t xml:space="preserve">мониторинговия план дружеството посочва </w:t>
      </w:r>
      <w:r w:rsidR="008D71ED" w:rsidRPr="00BD4CD8">
        <w:t xml:space="preserve">кой </w:t>
      </w:r>
      <w:r w:rsidRPr="00BD4CD8">
        <w:t xml:space="preserve">метод за мониторинг се използва за изчисляване на количеството консумирано гориво за всеки кораб, за който отговаря, </w:t>
      </w:r>
      <w:r w:rsidR="00811F83" w:rsidRPr="00BD4CD8">
        <w:t>като гарантира</w:t>
      </w:r>
      <w:r w:rsidRPr="00BD4CD8">
        <w:t xml:space="preserve"> последователно прилагане на </w:t>
      </w:r>
      <w:r w:rsidR="008D71ED" w:rsidRPr="00BD4CD8">
        <w:t xml:space="preserve">съответния </w:t>
      </w:r>
      <w:r w:rsidRPr="00BD4CD8">
        <w:t xml:space="preserve">метод, след като </w:t>
      </w:r>
      <w:r w:rsidR="008D71ED" w:rsidRPr="00BD4CD8">
        <w:t xml:space="preserve">той </w:t>
      </w:r>
      <w:r w:rsidRPr="00BD4CD8">
        <w:t>вече е избран.</w:t>
      </w:r>
    </w:p>
    <w:p w:rsidR="00AB3ADB" w:rsidRPr="00AB3ADB" w:rsidRDefault="00AB3ADB" w:rsidP="00BD4CD8">
      <w:r w:rsidRPr="00BD4CD8">
        <w:t>Използва се реалното количество консумирано гориво при всяко плаване, което се изчислява</w:t>
      </w:r>
      <w:r>
        <w:t xml:space="preserve"> по един от следните методи:</w:t>
      </w:r>
    </w:p>
    <w:p w:rsidR="00AB3ADB" w:rsidRPr="00AB3ADB" w:rsidRDefault="00AB3ADB" w:rsidP="00BD4CD8">
      <w:pPr>
        <w:pStyle w:val="Point0"/>
      </w:pPr>
      <w:r>
        <w:t>а)</w:t>
      </w:r>
      <w:r>
        <w:tab/>
        <w:t>въз основа на разписките за дост</w:t>
      </w:r>
      <w:r w:rsidRPr="00843243">
        <w:t>авено гориво и периоди</w:t>
      </w:r>
      <w:r>
        <w:t>чни проверки на запасите в резервоарите;</w:t>
      </w:r>
    </w:p>
    <w:p w:rsidR="00AB3ADB" w:rsidRPr="00AB3ADB" w:rsidRDefault="00AB3ADB" w:rsidP="00BD4CD8">
      <w:pPr>
        <w:pStyle w:val="Point0"/>
      </w:pPr>
      <w:r>
        <w:t>б)</w:t>
      </w:r>
      <w:r>
        <w:tab/>
        <w:t>въз основа на мониторинг на резервоарите за корабно гориво на борда;</w:t>
      </w:r>
    </w:p>
    <w:p w:rsidR="00AB3ADB" w:rsidRPr="00AB3ADB" w:rsidRDefault="00AB3ADB" w:rsidP="00BD4CD8">
      <w:pPr>
        <w:pStyle w:val="Point0"/>
      </w:pPr>
      <w:r>
        <w:t>в)</w:t>
      </w:r>
      <w:r>
        <w:tab/>
        <w:t>чрез разходомери за съответните горивни процеси;</w:t>
      </w:r>
    </w:p>
    <w:p w:rsidR="00AB3ADB" w:rsidRPr="00263033" w:rsidRDefault="00AB3ADB" w:rsidP="00BD4CD8">
      <w:pPr>
        <w:pStyle w:val="Point0"/>
      </w:pPr>
      <w:r>
        <w:t>г)</w:t>
      </w:r>
      <w:r>
        <w:tab/>
        <w:t>чрез преки измервания на емисиите</w:t>
      </w:r>
      <w:r w:rsidR="00464286" w:rsidRPr="00464286">
        <w:t xml:space="preserve"> на </w:t>
      </w:r>
      <w:r w:rsidR="00464286" w:rsidRPr="00464286">
        <w:rPr>
          <w:lang w:val="en-GB"/>
        </w:rPr>
        <w:t>CO</w:t>
      </w:r>
      <w:r w:rsidR="00464286" w:rsidRPr="00464286">
        <w:rPr>
          <w:vertAlign w:val="subscript"/>
        </w:rPr>
        <w:t>2</w:t>
      </w:r>
      <w:r>
        <w:t>.</w:t>
      </w:r>
    </w:p>
    <w:p w:rsidR="00AB3ADB" w:rsidRPr="004D5662" w:rsidRDefault="00AB3ADB" w:rsidP="00BD4CD8">
      <w:pPr>
        <w:rPr>
          <w:iCs/>
        </w:rPr>
      </w:pPr>
      <w:r>
        <w:t xml:space="preserve">Може да се използва всяка </w:t>
      </w:r>
      <w:r w:rsidR="008D71ED">
        <w:t xml:space="preserve">преминала оценката на </w:t>
      </w:r>
      <w:r>
        <w:t xml:space="preserve">проверяващия орган комбинация от </w:t>
      </w:r>
      <w:r w:rsidR="00811F83">
        <w:t xml:space="preserve">тези </w:t>
      </w:r>
      <w:r>
        <w:t>методи, ако подобрява точността на измерването като цяло.</w:t>
      </w:r>
    </w:p>
    <w:p w:rsidR="00AB3ADB" w:rsidRPr="004D5662" w:rsidRDefault="00AB3ADB" w:rsidP="00BD4CD8">
      <w:pPr>
        <w:pStyle w:val="Point0"/>
        <w:rPr>
          <w:noProof/>
        </w:rPr>
      </w:pPr>
      <w:r>
        <w:br w:type="page"/>
        <w:t>1.</w:t>
      </w:r>
      <w:r>
        <w:tab/>
      </w:r>
      <w:r w:rsidR="00811F83">
        <w:t xml:space="preserve">Метод А: </w:t>
      </w:r>
      <w:r>
        <w:t>Въз основа на разписките за доставено гориво и периодични проверки на запасите в резервоарите</w:t>
      </w:r>
    </w:p>
    <w:p w:rsidR="00AB3ADB" w:rsidRPr="00BD4CD8" w:rsidRDefault="00AB3ADB" w:rsidP="00BD4CD8">
      <w:pPr>
        <w:pStyle w:val="Text1"/>
      </w:pPr>
      <w:r w:rsidRPr="00BD4CD8">
        <w:t xml:space="preserve">Този метод се </w:t>
      </w:r>
      <w:r w:rsidR="00811F83" w:rsidRPr="00BD4CD8">
        <w:t xml:space="preserve">основава </w:t>
      </w:r>
      <w:r w:rsidRPr="00BD4CD8">
        <w:t>на количеството и вида на горивото, посочени в разписките за доставено гориво, в съчетание с периодични проверки на запасите от гориво в резервоарите въз основа на данни за запълването на резервоарите. Горивото в началото на периода плюс доставките минус горивото в края на периода и разтоварените от резервоарите количества гориво между началото и края на периода дават като резултат колко е количеството консумирано гориво през съответния период.</w:t>
      </w:r>
    </w:p>
    <w:p w:rsidR="00AB3ADB" w:rsidRPr="00BD4CD8" w:rsidRDefault="00AB3ADB" w:rsidP="00BD4CD8">
      <w:pPr>
        <w:pStyle w:val="Text1"/>
      </w:pPr>
      <w:r w:rsidRPr="00BD4CD8">
        <w:t xml:space="preserve">Периодът </w:t>
      </w:r>
      <w:r w:rsidR="00263033" w:rsidRPr="00BD4CD8">
        <w:t xml:space="preserve">представлява </w:t>
      </w:r>
      <w:r w:rsidRPr="00BD4CD8">
        <w:t>времето между две посещения в пристанища или времето, прекарано в дадено пристанище. В данните за количеството консумирано гориво за даден период трябва да са посочени видът на горивото и съдържанието на сяра.</w:t>
      </w:r>
    </w:p>
    <w:p w:rsidR="00AB3ADB" w:rsidRPr="00BD4CD8" w:rsidRDefault="00AB3ADB" w:rsidP="00843243">
      <w:pPr>
        <w:pStyle w:val="Text1"/>
      </w:pPr>
      <w:r w:rsidRPr="00BD4CD8">
        <w:t xml:space="preserve">Този </w:t>
      </w:r>
      <w:r w:rsidR="00811F83" w:rsidRPr="00BD4CD8">
        <w:t xml:space="preserve">метод </w:t>
      </w:r>
      <w:r w:rsidRPr="00BD4CD8">
        <w:t>не се използва, ако на борда няма разписки за доставено гориво, особено в случаите когато товарът се използва като гориво, например при използване на вторично изпаряващи се количества втечнен природен газ (LNG).</w:t>
      </w:r>
    </w:p>
    <w:p w:rsidR="00AB3ADB" w:rsidRPr="004D5662" w:rsidRDefault="008D71ED" w:rsidP="00843243">
      <w:pPr>
        <w:pStyle w:val="Text1"/>
        <w:rPr>
          <w:noProof/>
        </w:rPr>
      </w:pPr>
      <w:r w:rsidRPr="00BD4CD8">
        <w:t xml:space="preserve">Съгласно </w:t>
      </w:r>
      <w:r w:rsidR="00AB3ADB" w:rsidRPr="00BD4CD8">
        <w:t xml:space="preserve">действащите правила от </w:t>
      </w:r>
      <w:r w:rsidR="002F2A2F" w:rsidRPr="00BD4CD8">
        <w:t>приложение </w:t>
      </w:r>
      <w:r w:rsidR="00AB3ADB" w:rsidRPr="00BD4CD8">
        <w:t xml:space="preserve">VI към MARPOL </w:t>
      </w:r>
      <w:r w:rsidRPr="00BD4CD8">
        <w:t>разписките за доставено гориво задължително</w:t>
      </w:r>
      <w:r w:rsidR="00464286" w:rsidRPr="00BD4CD8">
        <w:t xml:space="preserve"> </w:t>
      </w:r>
      <w:r w:rsidR="00AB3ADB" w:rsidRPr="00BD4CD8">
        <w:t xml:space="preserve">се съхраняват на борда в продължение на три години след доставката на гориво и </w:t>
      </w:r>
      <w:r w:rsidR="00464286" w:rsidRPr="00BD4CD8">
        <w:t xml:space="preserve">трябва да </w:t>
      </w:r>
      <w:r w:rsidR="00843243">
        <w:t>са винаги на разположение</w:t>
      </w:r>
      <w:r w:rsidR="00AB3ADB" w:rsidRPr="00BD4CD8">
        <w:t xml:space="preserve">. Периодичните проверки на запасите гориво в резервоарите се </w:t>
      </w:r>
      <w:r w:rsidR="002F2A2F" w:rsidRPr="00BD4CD8">
        <w:t xml:space="preserve">основават </w:t>
      </w:r>
      <w:r w:rsidR="00AB3ADB" w:rsidRPr="00BD4CD8">
        <w:t>на показания на уреди, измерващи</w:t>
      </w:r>
      <w:r w:rsidR="00AB3ADB">
        <w:t xml:space="preserve"> количеството гориво в резервоарите. За целта се използват таблици за всеки отделен резервоар, в които се нанасят показанията за количеството гориво в момента на проверката. В мониторинговия план се отбелязва неопределеността във връзка с използваните разписки за доставено гориво. Отчитането на показанията за количеството гориво в резервоарите се извършва с подходящи методи, например автоматични системи, измерване със сонди и нивомерни ролетки с потопяема лента. Методът за измерване на дълбочината със сонда и съответната неопределеност се </w:t>
      </w:r>
      <w:r w:rsidR="002F2A2F">
        <w:t xml:space="preserve">посочват </w:t>
      </w:r>
      <w:r w:rsidR="00AB3ADB">
        <w:t>в мониторинговия план.</w:t>
      </w:r>
    </w:p>
    <w:p w:rsidR="00AB3ADB" w:rsidRPr="004D5662" w:rsidRDefault="00AB3ADB" w:rsidP="00BD4CD8">
      <w:pPr>
        <w:pStyle w:val="Text1"/>
        <w:rPr>
          <w:noProof/>
        </w:rPr>
      </w:pPr>
      <w:r>
        <w:br w:type="page"/>
        <w:t>Ако количеството на зареденото гориво или количеството на горивото, което остава в резервоарите, се определя в обемни единици, изразени като литри, дружеството преизчислява това количество от обем в маса, като използва действителните стойности за плътността. Дружеството определя действителната плътност, като използва някое от следните:</w:t>
      </w:r>
    </w:p>
    <w:p w:rsidR="00AB3ADB" w:rsidRPr="000167B6" w:rsidRDefault="00AB3ADB" w:rsidP="00BD4CD8">
      <w:pPr>
        <w:pStyle w:val="Point1"/>
        <w:rPr>
          <w:noProof/>
        </w:rPr>
      </w:pPr>
      <w:r>
        <w:t>а)</w:t>
      </w:r>
      <w:r>
        <w:tab/>
      </w:r>
      <w:r w:rsidRPr="000167B6">
        <w:t>бордови измервателни системи;</w:t>
      </w:r>
    </w:p>
    <w:p w:rsidR="00AB3ADB" w:rsidRPr="000167B6" w:rsidRDefault="00AB3ADB" w:rsidP="00BD4CD8">
      <w:pPr>
        <w:pStyle w:val="Point1"/>
        <w:rPr>
          <w:noProof/>
        </w:rPr>
      </w:pPr>
      <w:r>
        <w:t>б)</w:t>
      </w:r>
      <w:r>
        <w:tab/>
      </w:r>
      <w:r w:rsidRPr="000167B6">
        <w:t>измерената от доставчика на горивото плътност при зареждането му и отбелязана във фактурата или разписката за доставено гориво.</w:t>
      </w:r>
    </w:p>
    <w:p w:rsidR="00AB3ADB" w:rsidRPr="004D5662" w:rsidRDefault="00AB3ADB" w:rsidP="00BD4CD8">
      <w:pPr>
        <w:pStyle w:val="Text1"/>
        <w:rPr>
          <w:noProof/>
        </w:rPr>
      </w:pPr>
      <w:r>
        <w:t xml:space="preserve">Действителната плътност се изразява в </w:t>
      </w:r>
      <w:r w:rsidR="008D71ED" w:rsidRPr="008D71ED">
        <w:rPr>
          <w:lang w:val="en-GB"/>
        </w:rPr>
        <w:t>kg</w:t>
      </w:r>
      <w:r w:rsidR="008D71ED" w:rsidRPr="00263033">
        <w:t>/</w:t>
      </w:r>
      <w:r w:rsidR="008D71ED" w:rsidRPr="008D71ED">
        <w:rPr>
          <w:lang w:val="en-GB"/>
        </w:rPr>
        <w:t>l</w:t>
      </w:r>
      <w:r w:rsidR="008D71ED" w:rsidRPr="00263033">
        <w:t xml:space="preserve"> </w:t>
      </w:r>
      <w:r>
        <w:t xml:space="preserve">и се определя за приложимата температура по време на конкретното измерване. В случаите, за които липсват данни за действителната стойност на плътността, след </w:t>
      </w:r>
      <w:r w:rsidR="008D71ED">
        <w:t xml:space="preserve">оценка </w:t>
      </w:r>
      <w:r>
        <w:t>от страна на проверяващия орган се използва стандартен коефициент за плътност за съответния вид гориво.</w:t>
      </w:r>
    </w:p>
    <w:p w:rsidR="00AB3ADB" w:rsidRPr="004D5662" w:rsidRDefault="00AB3ADB" w:rsidP="00BD4CD8">
      <w:pPr>
        <w:pStyle w:val="Point0"/>
        <w:rPr>
          <w:noProof/>
        </w:rPr>
      </w:pPr>
      <w:r>
        <w:br w:type="page"/>
        <w:t>2.</w:t>
      </w:r>
      <w:r>
        <w:tab/>
        <w:t>Метод Б: Мониторинг на резервоарите за корабно гориво на борда</w:t>
      </w:r>
    </w:p>
    <w:p w:rsidR="00AB3ADB" w:rsidRPr="00BD4CD8" w:rsidRDefault="00AB3ADB" w:rsidP="00BD4CD8">
      <w:pPr>
        <w:pStyle w:val="Text1"/>
      </w:pPr>
      <w:r>
        <w:t xml:space="preserve">Този метод се </w:t>
      </w:r>
      <w:r w:rsidR="002F2A2F">
        <w:t xml:space="preserve">основава </w:t>
      </w:r>
      <w:r>
        <w:t xml:space="preserve">на показания на уредите, измерващи количеството гориво във </w:t>
      </w:r>
      <w:r w:rsidRPr="00BD4CD8">
        <w:t>всички резервоари за корабно гориво на борда. Отчитането на показанията за количеството гориво става ежедневно, когато корабът е в морето, и всеки път, когато корабът зарежда или разтоварва гориво.</w:t>
      </w:r>
    </w:p>
    <w:p w:rsidR="00AB3ADB" w:rsidRPr="00BD4CD8" w:rsidRDefault="00AB3ADB" w:rsidP="00BD4CD8">
      <w:pPr>
        <w:pStyle w:val="Text1"/>
      </w:pPr>
      <w:r w:rsidRPr="00BD4CD8">
        <w:t>Акумулираните изменения на количеството гориво в резервоарите между всеки две отчитания представлява количеството консумирано гориво през съответния период.</w:t>
      </w:r>
    </w:p>
    <w:p w:rsidR="00AB3ADB" w:rsidRPr="00BD4CD8" w:rsidRDefault="00AB3ADB" w:rsidP="00E452D7">
      <w:pPr>
        <w:pStyle w:val="Text1"/>
      </w:pPr>
      <w:r w:rsidRPr="00BD4CD8">
        <w:t xml:space="preserve">Периодът представлява времето между две </w:t>
      </w:r>
      <w:r w:rsidR="00E452D7">
        <w:t>посещения</w:t>
      </w:r>
      <w:r w:rsidRPr="00BD4CD8">
        <w:t xml:space="preserve"> в пристанища или времето, прекарано в дадено пристанище. В данните за консумираното гориво за даден период трябва да са посочени видът на горивото и съдържанието на сяра.</w:t>
      </w:r>
    </w:p>
    <w:p w:rsidR="00AB3ADB" w:rsidRPr="00BD4CD8" w:rsidRDefault="00AB3ADB" w:rsidP="00BD4CD8">
      <w:pPr>
        <w:pStyle w:val="Text1"/>
      </w:pPr>
      <w:r w:rsidRPr="00BD4CD8">
        <w:t xml:space="preserve">Отчитането на показанията за количеството гориво в резервоарите се извършва с подходящи методи, като използване на автоматични системи, измерване със сонди и нивомерни ролетки с потопяема лента. Методът за измерване на дълбочината със сонда и съответната неопределеност </w:t>
      </w:r>
      <w:r w:rsidR="002F2A2F" w:rsidRPr="00BD4CD8">
        <w:t>се посочват</w:t>
      </w:r>
      <w:r w:rsidRPr="00BD4CD8">
        <w:t xml:space="preserve"> в мониторинговия план.</w:t>
      </w:r>
    </w:p>
    <w:p w:rsidR="00AB3ADB" w:rsidRPr="004D5662" w:rsidRDefault="00AB3ADB" w:rsidP="00E452D7">
      <w:pPr>
        <w:pStyle w:val="Text1"/>
        <w:rPr>
          <w:noProof/>
        </w:rPr>
      </w:pPr>
      <w:r w:rsidRPr="00BD4CD8">
        <w:br w:type="page"/>
        <w:t>Ако количеството на зареденото гориво или количеството на горивото, което остава в резервоарите, се определя</w:t>
      </w:r>
      <w:r>
        <w:t xml:space="preserve"> в обемни единици, изразени като литри, дружеството преизчислява това количество от обем в маса, като използва действителните стойности на плътността. </w:t>
      </w:r>
      <w:r w:rsidR="00E452D7" w:rsidRPr="00E452D7">
        <w:t>Дружеството определя действителната плътност, като използва някое от следните</w:t>
      </w:r>
      <w:r>
        <w:t>:</w:t>
      </w:r>
    </w:p>
    <w:p w:rsidR="00AB3ADB" w:rsidRPr="004D5662" w:rsidRDefault="00AB3ADB" w:rsidP="00684DB6">
      <w:pPr>
        <w:pStyle w:val="Point1"/>
        <w:rPr>
          <w:noProof/>
        </w:rPr>
      </w:pPr>
      <w:r>
        <w:t>а)</w:t>
      </w:r>
      <w:r>
        <w:tab/>
        <w:t>бордови измервателни системи;</w:t>
      </w:r>
    </w:p>
    <w:p w:rsidR="00AB3ADB" w:rsidRPr="001D3B9B" w:rsidRDefault="00AB3ADB" w:rsidP="00684DB6">
      <w:pPr>
        <w:pStyle w:val="Point1"/>
      </w:pPr>
      <w:r>
        <w:t>б)</w:t>
      </w:r>
      <w:r>
        <w:tab/>
        <w:t>измерената от доставчика на горивото плътност при зареждането му и отбелязана във фактурата или разписката за доставено гориво</w:t>
      </w:r>
      <w:r w:rsidR="002F2A2F">
        <w:t>,</w:t>
      </w:r>
    </w:p>
    <w:p w:rsidR="00AB3ADB" w:rsidRPr="004D5662" w:rsidRDefault="008D71ED" w:rsidP="00684DB6">
      <w:pPr>
        <w:pStyle w:val="Point1"/>
        <w:rPr>
          <w:iCs/>
          <w:noProof/>
          <w:u w:val="single"/>
        </w:rPr>
      </w:pPr>
      <w:r>
        <w:t>в</w:t>
      </w:r>
      <w:r w:rsidR="00AB3ADB" w:rsidRPr="001D3B9B">
        <w:t>)</w:t>
      </w:r>
      <w:r w:rsidR="00AB3ADB">
        <w:tab/>
      </w:r>
      <w:r w:rsidR="00AB3ADB" w:rsidRPr="001D3B9B">
        <w:t>плътността, измерена при изпитване, проведено в акредитирана лаборатория за изпитване на горива, когато такива данни са налични.</w:t>
      </w:r>
    </w:p>
    <w:p w:rsidR="00AB3ADB" w:rsidRPr="004D5662" w:rsidRDefault="00AB3ADB" w:rsidP="00684DB6">
      <w:pPr>
        <w:pStyle w:val="Text1"/>
        <w:rPr>
          <w:noProof/>
        </w:rPr>
      </w:pPr>
      <w:r>
        <w:t xml:space="preserve">Действителната плътност се изразява в </w:t>
      </w:r>
      <w:r w:rsidR="008D71ED" w:rsidRPr="008D71ED">
        <w:rPr>
          <w:lang w:val="en-GB"/>
        </w:rPr>
        <w:t>kg</w:t>
      </w:r>
      <w:r w:rsidR="008D71ED" w:rsidRPr="00263033">
        <w:t>/</w:t>
      </w:r>
      <w:r w:rsidR="008D71ED" w:rsidRPr="008D71ED">
        <w:rPr>
          <w:lang w:val="en-GB"/>
        </w:rPr>
        <w:t>l</w:t>
      </w:r>
      <w:r w:rsidR="008D71ED" w:rsidRPr="00263033">
        <w:t xml:space="preserve"> </w:t>
      </w:r>
      <w:r>
        <w:t xml:space="preserve">и се определя за приложимата температура по </w:t>
      </w:r>
      <w:r w:rsidRPr="00684DB6">
        <w:t>време</w:t>
      </w:r>
      <w:r>
        <w:t xml:space="preserve"> на конкретното измерване. В случаите, за които липсват данни за действителната стойност на плътността, след </w:t>
      </w:r>
      <w:r w:rsidR="008D71ED">
        <w:t xml:space="preserve">оценка </w:t>
      </w:r>
      <w:r>
        <w:t>от страна на проверяващия орган се използва стандартен коефициент за плътност за съответния вид гориво.</w:t>
      </w:r>
    </w:p>
    <w:p w:rsidR="00AB3ADB" w:rsidRPr="004D5662" w:rsidRDefault="00AB3ADB" w:rsidP="00C12728">
      <w:pPr>
        <w:pStyle w:val="ManualNumPar1"/>
        <w:rPr>
          <w:noProof/>
        </w:rPr>
      </w:pPr>
      <w:r>
        <w:br w:type="page"/>
        <w:t>3.</w:t>
      </w:r>
      <w:r>
        <w:tab/>
        <w:t xml:space="preserve">Метод В: Чрез разходомери за </w:t>
      </w:r>
      <w:r w:rsidRPr="00C12728">
        <w:t>съответните</w:t>
      </w:r>
      <w:r>
        <w:t xml:space="preserve"> горивни процеси</w:t>
      </w:r>
    </w:p>
    <w:p w:rsidR="00AB3ADB" w:rsidRPr="00684DB6" w:rsidRDefault="00AB3ADB" w:rsidP="00E725DD">
      <w:pPr>
        <w:pStyle w:val="Text1"/>
      </w:pPr>
      <w:r>
        <w:t xml:space="preserve">Този метод се </w:t>
      </w:r>
      <w:r w:rsidRPr="00684DB6">
        <w:t xml:space="preserve">основава на измерване на дебитите на горивото на борда. За да се определи количеството консумирано гориво за конкретен период, се комбинират данните от всички разходомери, свързани </w:t>
      </w:r>
      <w:r w:rsidR="00A0102E" w:rsidRPr="00684DB6">
        <w:t>със</w:t>
      </w:r>
      <w:r w:rsidRPr="00684DB6">
        <w:t xml:space="preserve"> съответните източници на емисии</w:t>
      </w:r>
      <w:r w:rsidR="00464286" w:rsidRPr="00684DB6">
        <w:t xml:space="preserve"> на </w:t>
      </w:r>
      <w:r w:rsidR="00E725DD" w:rsidRPr="00E725DD">
        <w:t>СО</w:t>
      </w:r>
      <w:r w:rsidR="00E725DD" w:rsidRPr="00E725DD">
        <w:rPr>
          <w:vertAlign w:val="subscript"/>
        </w:rPr>
        <w:t>2</w:t>
      </w:r>
      <w:r w:rsidRPr="00684DB6">
        <w:t>.</w:t>
      </w:r>
    </w:p>
    <w:p w:rsidR="00AB3ADB" w:rsidRPr="00684DB6" w:rsidRDefault="00AB3ADB" w:rsidP="00E452D7">
      <w:pPr>
        <w:pStyle w:val="Text1"/>
      </w:pPr>
      <w:r w:rsidRPr="00684DB6">
        <w:t xml:space="preserve">Периодът </w:t>
      </w:r>
      <w:r w:rsidR="00E452D7">
        <w:t>представлява времето между две посещения</w:t>
      </w:r>
      <w:r w:rsidRPr="00684DB6">
        <w:t xml:space="preserve"> в пристанища или времето, прекарано в дадено пристанище. За използваното гориво през периода трябва да се </w:t>
      </w:r>
      <w:r w:rsidR="00CA651A" w:rsidRPr="00684DB6">
        <w:t xml:space="preserve">извършва </w:t>
      </w:r>
      <w:r w:rsidRPr="00684DB6">
        <w:t>мониторинг на вида на горивото и съдържанието на сяра.</w:t>
      </w:r>
    </w:p>
    <w:p w:rsidR="00AB3ADB" w:rsidRPr="00684DB6" w:rsidRDefault="00AB3ADB" w:rsidP="00684DB6">
      <w:pPr>
        <w:pStyle w:val="Text1"/>
      </w:pPr>
      <w:r w:rsidRPr="00684DB6">
        <w:t xml:space="preserve">Използваните методи за калибриране и съответната неопределеност на разходомерите </w:t>
      </w:r>
      <w:r w:rsidR="002F2A2F" w:rsidRPr="00684DB6">
        <w:t>се посочват</w:t>
      </w:r>
      <w:r w:rsidRPr="00684DB6">
        <w:t xml:space="preserve"> в мониторинговия план.</w:t>
      </w:r>
    </w:p>
    <w:p w:rsidR="00AB3ADB" w:rsidRPr="004D5662" w:rsidRDefault="00AB3ADB" w:rsidP="00E452D7">
      <w:pPr>
        <w:pStyle w:val="Text1"/>
        <w:rPr>
          <w:noProof/>
        </w:rPr>
      </w:pPr>
      <w:r w:rsidRPr="00684DB6">
        <w:t>Ако количеството консумирано гориво се определя в обемни единици, изразени като литри, дружеството преизчислява</w:t>
      </w:r>
      <w:r>
        <w:t xml:space="preserve"> това количество от обем в маса, като използва действителните стойности на плътността. </w:t>
      </w:r>
      <w:r w:rsidR="00E452D7" w:rsidRPr="00E452D7">
        <w:t>Дружеството определя действителната плътност, като използва някое от следните</w:t>
      </w:r>
      <w:r>
        <w:t>:</w:t>
      </w:r>
    </w:p>
    <w:p w:rsidR="00AB3ADB" w:rsidRPr="004D5662" w:rsidRDefault="00AB3ADB" w:rsidP="00684DB6">
      <w:pPr>
        <w:pStyle w:val="Point1"/>
        <w:rPr>
          <w:noProof/>
        </w:rPr>
      </w:pPr>
      <w:r>
        <w:t>а)</w:t>
      </w:r>
      <w:r>
        <w:tab/>
        <w:t>бордови измервателни системи;</w:t>
      </w:r>
    </w:p>
    <w:p w:rsidR="00AB3ADB" w:rsidRPr="004D5662" w:rsidRDefault="00AB3ADB" w:rsidP="00684DB6">
      <w:pPr>
        <w:pStyle w:val="Point1"/>
        <w:rPr>
          <w:noProof/>
        </w:rPr>
      </w:pPr>
      <w:r>
        <w:t>б)</w:t>
      </w:r>
      <w:r>
        <w:tab/>
        <w:t>измерената от доставчика на горивото плътност при зареждането му и отбелязана във фактурата или разписката за доставено гориво.</w:t>
      </w:r>
    </w:p>
    <w:p w:rsidR="00AB3ADB" w:rsidRPr="004D5662" w:rsidRDefault="00AB3ADB" w:rsidP="00684DB6">
      <w:pPr>
        <w:pStyle w:val="Text1"/>
        <w:rPr>
          <w:noProof/>
        </w:rPr>
      </w:pPr>
      <w:r>
        <w:t xml:space="preserve">Действителната </w:t>
      </w:r>
      <w:r w:rsidRPr="00684DB6">
        <w:t>плътност</w:t>
      </w:r>
      <w:r>
        <w:t xml:space="preserve"> се изразява в </w:t>
      </w:r>
      <w:r w:rsidR="008D71ED" w:rsidRPr="008D71ED">
        <w:rPr>
          <w:lang w:val="en-GB"/>
        </w:rPr>
        <w:t>kg</w:t>
      </w:r>
      <w:r w:rsidR="008D71ED" w:rsidRPr="00263033">
        <w:t>/</w:t>
      </w:r>
      <w:r w:rsidR="008D71ED" w:rsidRPr="008D71ED">
        <w:rPr>
          <w:lang w:val="en-GB"/>
        </w:rPr>
        <w:t>l</w:t>
      </w:r>
      <w:r w:rsidR="008D71ED" w:rsidRPr="00263033">
        <w:t xml:space="preserve"> </w:t>
      </w:r>
      <w:r>
        <w:t xml:space="preserve">и се определя за приложимата температура по време на конкретното измерване. В случаите, за които липсват данни за действителната стойност на плътността, след </w:t>
      </w:r>
      <w:r w:rsidR="008D71ED">
        <w:t xml:space="preserve">оценка </w:t>
      </w:r>
      <w:r>
        <w:t>от страна на проверяващия орган се използва стандартен коефициент за плътност за съответния вид гориво.</w:t>
      </w:r>
    </w:p>
    <w:p w:rsidR="00AB3ADB" w:rsidRPr="004D5662" w:rsidRDefault="00AB3ADB" w:rsidP="00684DB6">
      <w:pPr>
        <w:pStyle w:val="Point0"/>
        <w:rPr>
          <w:noProof/>
        </w:rPr>
      </w:pPr>
      <w:r>
        <w:br w:type="page"/>
        <w:t>4.</w:t>
      </w:r>
      <w:r>
        <w:tab/>
        <w:t>Метод Г: Преки измервания на емисиите</w:t>
      </w:r>
      <w:r w:rsidR="00464286" w:rsidRPr="00464286">
        <w:t xml:space="preserve"> на </w:t>
      </w:r>
      <w:r w:rsidR="00464286" w:rsidRPr="00464286">
        <w:rPr>
          <w:lang w:val="en-GB"/>
        </w:rPr>
        <w:t>CO</w:t>
      </w:r>
      <w:r w:rsidR="00464286" w:rsidRPr="00464286">
        <w:rPr>
          <w:vertAlign w:val="subscript"/>
        </w:rPr>
        <w:t>2</w:t>
      </w:r>
    </w:p>
    <w:p w:rsidR="00AB3ADB" w:rsidRPr="00684DB6" w:rsidRDefault="00AB3ADB" w:rsidP="00E725DD">
      <w:pPr>
        <w:pStyle w:val="Text1"/>
      </w:pPr>
      <w:r>
        <w:t xml:space="preserve">Преките </w:t>
      </w:r>
      <w:r w:rsidRPr="00684DB6">
        <w:t>измервания на емисиите</w:t>
      </w:r>
      <w:r w:rsidR="00464286" w:rsidRPr="00684DB6">
        <w:t xml:space="preserve"> на </w:t>
      </w:r>
      <w:r w:rsidR="00E725DD" w:rsidRPr="00E725DD">
        <w:t>СО</w:t>
      </w:r>
      <w:r w:rsidR="00E725DD" w:rsidRPr="00E725DD">
        <w:rPr>
          <w:vertAlign w:val="subscript"/>
        </w:rPr>
        <w:t>2</w:t>
      </w:r>
      <w:r w:rsidRPr="00684DB6">
        <w:t xml:space="preserve"> могат да се използват </w:t>
      </w:r>
      <w:r w:rsidR="008D71ED" w:rsidRPr="00684DB6">
        <w:t xml:space="preserve">за </w:t>
      </w:r>
      <w:r w:rsidRPr="00684DB6">
        <w:t xml:space="preserve">плаванията, както и за емисиите </w:t>
      </w:r>
      <w:r w:rsidR="00464286" w:rsidRPr="00684DB6">
        <w:t xml:space="preserve">на </w:t>
      </w:r>
      <w:r w:rsidR="00E725DD" w:rsidRPr="00E725DD">
        <w:t>СО</w:t>
      </w:r>
      <w:r w:rsidR="00E725DD" w:rsidRPr="00E725DD">
        <w:rPr>
          <w:vertAlign w:val="subscript"/>
        </w:rPr>
        <w:t>2</w:t>
      </w:r>
      <w:r w:rsidR="00464286" w:rsidRPr="00684DB6">
        <w:t xml:space="preserve"> </w:t>
      </w:r>
      <w:r w:rsidRPr="00684DB6">
        <w:t xml:space="preserve">при престоите в пристанища под юрисдикцията на държава членка. Емисиите на </w:t>
      </w:r>
      <w:r w:rsidR="00E725DD" w:rsidRPr="00E725DD">
        <w:t>СО</w:t>
      </w:r>
      <w:r w:rsidR="00E725DD" w:rsidRPr="00E725DD">
        <w:rPr>
          <w:vertAlign w:val="subscript"/>
        </w:rPr>
        <w:t>2</w:t>
      </w:r>
      <w:r w:rsidRPr="00684DB6">
        <w:t xml:space="preserve"> включват отделения </w:t>
      </w:r>
      <w:r w:rsidR="00E725DD" w:rsidRPr="00E725DD">
        <w:t>СО</w:t>
      </w:r>
      <w:r w:rsidR="00E725DD" w:rsidRPr="00E725DD">
        <w:rPr>
          <w:vertAlign w:val="subscript"/>
        </w:rPr>
        <w:t>2</w:t>
      </w:r>
      <w:r w:rsidRPr="00684DB6">
        <w:t xml:space="preserve"> от основните двигатели, спомагателните двигатели, газовите турбини, котлите и генераторите на инертен газ. За корабите, при които докладването се </w:t>
      </w:r>
      <w:r w:rsidR="002F2A2F" w:rsidRPr="00684DB6">
        <w:t xml:space="preserve">основава </w:t>
      </w:r>
      <w:r w:rsidRPr="00684DB6">
        <w:t xml:space="preserve">на този метод, количеството консумирано гориво се изчислява, като се използват измерените емисии на </w:t>
      </w:r>
      <w:r w:rsidR="00E725DD" w:rsidRPr="00E725DD">
        <w:t>СО</w:t>
      </w:r>
      <w:r w:rsidR="00E725DD" w:rsidRPr="00E725DD">
        <w:rPr>
          <w:vertAlign w:val="subscript"/>
        </w:rPr>
        <w:t>2</w:t>
      </w:r>
      <w:r w:rsidRPr="00684DB6">
        <w:t xml:space="preserve"> и приложимият емисионен фактор за съответните горива.</w:t>
      </w:r>
    </w:p>
    <w:p w:rsidR="00AB3ADB" w:rsidRPr="00684DB6" w:rsidRDefault="00AB3ADB" w:rsidP="00E725DD">
      <w:pPr>
        <w:pStyle w:val="Text1"/>
      </w:pPr>
      <w:r w:rsidRPr="00684DB6">
        <w:t xml:space="preserve">Този метод се </w:t>
      </w:r>
      <w:r w:rsidR="002F2A2F" w:rsidRPr="00684DB6">
        <w:t xml:space="preserve">основава </w:t>
      </w:r>
      <w:r w:rsidRPr="00684DB6">
        <w:t xml:space="preserve">на определяне на дебита на </w:t>
      </w:r>
      <w:r w:rsidR="00E725DD" w:rsidRPr="00E725DD">
        <w:t>СО</w:t>
      </w:r>
      <w:r w:rsidR="00E725DD" w:rsidRPr="00E725DD">
        <w:rPr>
          <w:vertAlign w:val="subscript"/>
        </w:rPr>
        <w:t>2</w:t>
      </w:r>
      <w:r w:rsidRPr="00684DB6">
        <w:t xml:space="preserve"> в комините (димоходите) чрез умножаване на концентрацията на </w:t>
      </w:r>
      <w:r w:rsidR="00E725DD" w:rsidRPr="00E725DD">
        <w:t>СО</w:t>
      </w:r>
      <w:r w:rsidR="00E725DD" w:rsidRPr="00E725DD">
        <w:rPr>
          <w:vertAlign w:val="subscript"/>
        </w:rPr>
        <w:t>2</w:t>
      </w:r>
      <w:r w:rsidRPr="00684DB6">
        <w:t xml:space="preserve"> в димните газове по дебита на димните газове.</w:t>
      </w:r>
    </w:p>
    <w:p w:rsidR="00AB3ADB" w:rsidRPr="004D5662" w:rsidRDefault="00AB3ADB" w:rsidP="00684DB6">
      <w:pPr>
        <w:pStyle w:val="Text1"/>
        <w:rPr>
          <w:noProof/>
        </w:rPr>
      </w:pPr>
      <w:r w:rsidRPr="00684DB6">
        <w:t>Използваните методи</w:t>
      </w:r>
      <w:r>
        <w:t xml:space="preserve"> за калибриране и съответната неопределеност на измервателните уреди се </w:t>
      </w:r>
      <w:r w:rsidR="002F2A2F">
        <w:t xml:space="preserve">посочват </w:t>
      </w:r>
      <w:r>
        <w:t>в мониторинговия план.</w:t>
      </w:r>
    </w:p>
    <w:p w:rsidR="00DA5C39" w:rsidRDefault="00DA5C39" w:rsidP="00DA5C39">
      <w:pPr>
        <w:pStyle w:val="Lignefinal"/>
      </w:pPr>
    </w:p>
    <w:p w:rsidR="00DA5C39" w:rsidRDefault="00DA5C39" w:rsidP="00684DB6">
      <w:pPr>
        <w:pStyle w:val="Annexetitre"/>
        <w:sectPr w:rsidR="00DA5C39" w:rsidSect="00BF747B">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7" w:h="16840" w:code="9"/>
          <w:pgMar w:top="1134" w:right="1134" w:bottom="1134" w:left="1134" w:header="567" w:footer="567" w:gutter="0"/>
          <w:pgNumType w:start="1"/>
          <w:cols w:space="708"/>
          <w:docGrid w:linePitch="360"/>
        </w:sectPr>
      </w:pPr>
    </w:p>
    <w:p w:rsidR="00AB3ADB" w:rsidRPr="00600C62" w:rsidRDefault="00AB3ADB" w:rsidP="00684DB6">
      <w:pPr>
        <w:pStyle w:val="Annexetitre"/>
        <w:rPr>
          <w:bCs/>
          <w:noProof/>
        </w:rPr>
      </w:pPr>
      <w:r w:rsidRPr="00684DB6">
        <w:t>ПРИЛОЖЕНИЕ</w:t>
      </w:r>
      <w:r w:rsidRPr="00263033">
        <w:t xml:space="preserve"> </w:t>
      </w:r>
      <w:r>
        <w:t>ІІ</w:t>
      </w:r>
    </w:p>
    <w:p w:rsidR="00AB3ADB" w:rsidRPr="004D5662" w:rsidRDefault="00AB3ADB" w:rsidP="00263033">
      <w:pPr>
        <w:pStyle w:val="NormalCentered"/>
        <w:rPr>
          <w:noProof/>
        </w:rPr>
      </w:pPr>
      <w:r>
        <w:t>Монит</w:t>
      </w:r>
      <w:r w:rsidRPr="00C67294">
        <w:t xml:space="preserve">оринг на друга </w:t>
      </w:r>
      <w:r w:rsidRPr="009158F2">
        <w:t>инф</w:t>
      </w:r>
      <w:r>
        <w:t>ормация от значение</w:t>
      </w:r>
    </w:p>
    <w:p w:rsidR="00AB3ADB" w:rsidRPr="004D5662" w:rsidRDefault="00AB3ADB" w:rsidP="00684DB6">
      <w:pPr>
        <w:pStyle w:val="Point0"/>
        <w:rPr>
          <w:noProof/>
        </w:rPr>
      </w:pPr>
      <w:r>
        <w:t>А.</w:t>
      </w:r>
      <w:r>
        <w:tab/>
        <w:t>Мониторинг на база единично плаване (член 9)</w:t>
      </w:r>
    </w:p>
    <w:p w:rsidR="00AB3ADB" w:rsidRPr="004D5662" w:rsidRDefault="00AB3ADB" w:rsidP="00684DB6">
      <w:pPr>
        <w:pStyle w:val="Point0"/>
        <w:rPr>
          <w:noProof/>
        </w:rPr>
      </w:pPr>
      <w:r w:rsidRPr="001D3B9B">
        <w:t>1.</w:t>
      </w:r>
      <w:r>
        <w:tab/>
        <w:t xml:space="preserve">За целите на мониторинга на друга информация от значение на база единично плаване (член 9, </w:t>
      </w:r>
      <w:r w:rsidRPr="001D3B9B">
        <w:t>параграф 1</w:t>
      </w:r>
      <w:r>
        <w:t>) дружествата спазват следните правила:</w:t>
      </w:r>
    </w:p>
    <w:p w:rsidR="00AB3ADB" w:rsidRPr="004D5662" w:rsidRDefault="00AB3ADB" w:rsidP="00684DB6">
      <w:pPr>
        <w:pStyle w:val="Point1"/>
        <w:rPr>
          <w:noProof/>
        </w:rPr>
      </w:pPr>
      <w:r w:rsidRPr="001D3B9B">
        <w:t>а)</w:t>
      </w:r>
      <w:r>
        <w:tab/>
        <w:t xml:space="preserve">датата и часът на отплаване и пристигане се отчитат по средно гринуичко време (GMT). Прекараното в морето време се изчислява въз основа на данните за отплаването от дадено пристанище и пристигането в друго, като се изключва </w:t>
      </w:r>
      <w:r w:rsidR="000533E6">
        <w:t>престоят на котва</w:t>
      </w:r>
      <w:r>
        <w:t>;</w:t>
      </w:r>
    </w:p>
    <w:p w:rsidR="00AB3ADB" w:rsidRPr="004D5662" w:rsidRDefault="00AB3ADB" w:rsidP="00E452D7">
      <w:pPr>
        <w:pStyle w:val="Point1"/>
        <w:rPr>
          <w:noProof/>
        </w:rPr>
      </w:pPr>
      <w:r w:rsidRPr="001D3B9B">
        <w:t>б)</w:t>
      </w:r>
      <w:r>
        <w:tab/>
        <w:t>изминатото разстояние може да бъде разстоянието, изминато по най-прекия път между пристанището на отплаване и пристанището на пристигане, или реалното изминато разстояние. В случай че се използва разстоянието, изминато по най-прекия път между пристанището на отплаване и пристанището на пристигане, то трябва да се коригира с консервативен корекционен коефициент, така че да се гарантира, че изминатото разстояние няма да бъде значително недооценено. В мониторинговия план се уточнява кой метод за изчисляване на разстоянието е използван и, ако е необходимо, използваният корекционен коефициент.</w:t>
      </w:r>
      <w:r w:rsidR="00E452D7">
        <w:t xml:space="preserve"> </w:t>
      </w:r>
      <w:r>
        <w:t>Изминатото разстояние се изразява в морски мили;</w:t>
      </w:r>
    </w:p>
    <w:p w:rsidR="00AB3ADB" w:rsidRPr="004D5662" w:rsidRDefault="00AB3ADB" w:rsidP="00684DB6">
      <w:pPr>
        <w:pStyle w:val="Point1"/>
        <w:rPr>
          <w:noProof/>
        </w:rPr>
      </w:pPr>
      <w:r w:rsidRPr="001D3B9B">
        <w:t>в)</w:t>
      </w:r>
      <w:r>
        <w:tab/>
        <w:t xml:space="preserve">транспортната работа се определя чрез умножаване на изминатото разстояние по количеството на </w:t>
      </w:r>
      <w:r w:rsidR="0031074E">
        <w:t xml:space="preserve">превозвания </w:t>
      </w:r>
      <w:r>
        <w:t>товар;</w:t>
      </w:r>
    </w:p>
    <w:p w:rsidR="00AB3ADB" w:rsidRPr="004D5662" w:rsidRDefault="00AB3ADB" w:rsidP="00E452D7">
      <w:pPr>
        <w:pStyle w:val="Point1"/>
        <w:rPr>
          <w:noProof/>
        </w:rPr>
      </w:pPr>
      <w:r w:rsidRPr="001D3B9B">
        <w:br w:type="page"/>
        <w:t>г)</w:t>
      </w:r>
      <w:r>
        <w:tab/>
        <w:t xml:space="preserve">при пътническите кораби </w:t>
      </w:r>
      <w:r w:rsidR="0031074E">
        <w:t xml:space="preserve">превозваният </w:t>
      </w:r>
      <w:r>
        <w:t>товар се изразява чрез броя на пътниците. За всички категории кораби количеството на п</w:t>
      </w:r>
      <w:r w:rsidRPr="00E452D7">
        <w:t>ревозвания тов</w:t>
      </w:r>
      <w:r>
        <w:t xml:space="preserve">ар се изразява в метрични тонове </w:t>
      </w:r>
      <w:r w:rsidRPr="001D3B9B">
        <w:t>или в стандартни</w:t>
      </w:r>
      <w:r>
        <w:t xml:space="preserve"> кубични метри товар, </w:t>
      </w:r>
      <w:r w:rsidR="0031074E">
        <w:t xml:space="preserve">в зависимост от </w:t>
      </w:r>
      <w:r>
        <w:t>случая;</w:t>
      </w:r>
    </w:p>
    <w:p w:rsidR="00AB3ADB" w:rsidRPr="001D3B9B" w:rsidRDefault="00AB3ADB" w:rsidP="00E452D7">
      <w:pPr>
        <w:pStyle w:val="Point1"/>
      </w:pPr>
      <w:r w:rsidRPr="001D3B9B">
        <w:t>д)</w:t>
      </w:r>
      <w:r>
        <w:tab/>
      </w:r>
      <w:r w:rsidRPr="001D3B9B">
        <w:t xml:space="preserve">за ро-ро кораби превозваният товар се определя като брой на товарните единици (камиони, автомобили и др.) или като линейни метри, умножени по възприети стойности за </w:t>
      </w:r>
      <w:r w:rsidR="0031074E">
        <w:t>масата</w:t>
      </w:r>
      <w:r w:rsidR="0031074E" w:rsidRPr="001D3B9B">
        <w:t xml:space="preserve"> </w:t>
      </w:r>
      <w:r w:rsidRPr="001D3B9B">
        <w:t>им. Когато товар, превозван на ро-ро кораби, е определен въз основа на приложение Б към Станда</w:t>
      </w:r>
      <w:r w:rsidRPr="00E452D7">
        <w:t>рт CEN 16258 (201</w:t>
      </w:r>
      <w:r w:rsidRPr="001D3B9B">
        <w:t>2), който се отнася до „Методика за изчисляване и деклариране на потреблението на енергия и емисиите на парникови газове от транспортни услуги (товарни и пътнически)“, т</w:t>
      </w:r>
      <w:r w:rsidR="00E452D7">
        <w:t>ака направеното</w:t>
      </w:r>
      <w:r w:rsidRPr="001D3B9B">
        <w:t xml:space="preserve"> определение се счита за съответстващо на настоящия регламент.</w:t>
      </w:r>
    </w:p>
    <w:p w:rsidR="00AB3ADB" w:rsidRPr="001D3B9B" w:rsidRDefault="0031074E" w:rsidP="00DA5C39">
      <w:pPr>
        <w:pStyle w:val="Text2"/>
      </w:pPr>
      <w:r>
        <w:t>З</w:t>
      </w:r>
      <w:r w:rsidR="00AB3ADB" w:rsidRPr="001D3B9B">
        <w:t>а целите на настоящия регламент „ро-ро кораб“ означава кораб, предназначен за превоз на ро-ро товарни транспортни единици или с ро-ро товарни помещения</w:t>
      </w:r>
      <w:r>
        <w:t>;</w:t>
      </w:r>
    </w:p>
    <w:p w:rsidR="00DA5C39" w:rsidRDefault="008D71ED" w:rsidP="00E452D7">
      <w:pPr>
        <w:pStyle w:val="Point1"/>
      </w:pPr>
      <w:r>
        <w:t>е</w:t>
      </w:r>
      <w:r w:rsidR="00AB3ADB" w:rsidRPr="001D3B9B">
        <w:t>)</w:t>
      </w:r>
      <w:r w:rsidR="00AB3ADB">
        <w:tab/>
      </w:r>
      <w:r w:rsidR="00AB3ADB" w:rsidRPr="001D3B9B">
        <w:t xml:space="preserve">за </w:t>
      </w:r>
      <w:r w:rsidR="000533E6" w:rsidRPr="001D3B9B">
        <w:t>контейнер</w:t>
      </w:r>
      <w:r w:rsidR="000533E6">
        <w:t>овози</w:t>
      </w:r>
      <w:r w:rsidR="00AB3ADB" w:rsidRPr="001D3B9B">
        <w:t xml:space="preserve">, </w:t>
      </w:r>
      <w:r w:rsidR="0031074E" w:rsidRPr="001D3B9B">
        <w:t>превоз</w:t>
      </w:r>
      <w:r w:rsidR="0031074E">
        <w:t>ваният</w:t>
      </w:r>
      <w:r w:rsidR="0031074E" w:rsidRPr="001D3B9B">
        <w:t xml:space="preserve"> </w:t>
      </w:r>
      <w:r w:rsidR="00AB3ADB" w:rsidRPr="001D3B9B">
        <w:t xml:space="preserve">товар се определя като </w:t>
      </w:r>
      <w:r w:rsidR="008B5DC6">
        <w:t>общата маса</w:t>
      </w:r>
      <w:r w:rsidR="00AB3ADB" w:rsidRPr="001D3B9B">
        <w:t xml:space="preserve"> в </w:t>
      </w:r>
      <w:r w:rsidR="00C67294">
        <w:t xml:space="preserve">метрични </w:t>
      </w:r>
      <w:r w:rsidR="00AB3ADB" w:rsidRPr="001D3B9B">
        <w:t xml:space="preserve">тонове на товара или, ако това е невъзможно, като броя 20-футови еквивалентни единици (TEU), умножен по възприети стойности за </w:t>
      </w:r>
      <w:r w:rsidR="0031074E">
        <w:t xml:space="preserve">масата </w:t>
      </w:r>
      <w:r w:rsidR="00AB3ADB" w:rsidRPr="001D3B9B">
        <w:t xml:space="preserve">им. Когато товарът, превозван от контейнеровоз, се определя в съответствие с приложимите насоки на ИМО или инструменти съгласно Конвенцията за безопасност на човешкия живот на море (SOLAS), </w:t>
      </w:r>
      <w:r w:rsidR="00C67294" w:rsidRPr="001D3B9B">
        <w:t>т</w:t>
      </w:r>
      <w:r w:rsidR="00C67294">
        <w:t>ака направеното</w:t>
      </w:r>
      <w:r w:rsidR="00C67294" w:rsidRPr="001D3B9B">
        <w:t xml:space="preserve"> </w:t>
      </w:r>
      <w:r w:rsidR="0031074E" w:rsidRPr="001D3B9B">
        <w:t>оп</w:t>
      </w:r>
      <w:r w:rsidR="0031074E" w:rsidRPr="00C67294">
        <w:t>ределяне</w:t>
      </w:r>
      <w:r w:rsidR="0031074E" w:rsidRPr="001D3B9B">
        <w:t xml:space="preserve"> </w:t>
      </w:r>
      <w:r w:rsidR="00AB3ADB" w:rsidRPr="001D3B9B">
        <w:t>се счита за съответстващо на настоящия регламент.</w:t>
      </w:r>
    </w:p>
    <w:p w:rsidR="00263033" w:rsidRDefault="00AB3ADB" w:rsidP="00DA5C39">
      <w:pPr>
        <w:pStyle w:val="Text2"/>
      </w:pPr>
      <w:r w:rsidRPr="001D3B9B">
        <w:br w:type="page"/>
        <w:t>За целите на настоящия регламент „контейнеровоз“ означава кораб, предназначен изключително за превоз на контейнери в трюмовете и на палубата</w:t>
      </w:r>
      <w:r w:rsidR="00464286">
        <w:t>;</w:t>
      </w:r>
    </w:p>
    <w:p w:rsidR="00AB3ADB" w:rsidRPr="001D3B9B" w:rsidRDefault="008D71ED" w:rsidP="00E452D7">
      <w:pPr>
        <w:pStyle w:val="Point1"/>
      </w:pPr>
      <w:r>
        <w:t>ж</w:t>
      </w:r>
      <w:r w:rsidR="00AB3ADB" w:rsidRPr="001D3B9B">
        <w:t>)</w:t>
      </w:r>
      <w:r w:rsidR="00AB3ADB">
        <w:tab/>
      </w:r>
      <w:r w:rsidR="00AB3ADB" w:rsidRPr="001D3B9B">
        <w:t xml:space="preserve">определянето на </w:t>
      </w:r>
      <w:r w:rsidR="0031074E" w:rsidRPr="001D3B9B">
        <w:t>превоз</w:t>
      </w:r>
      <w:r w:rsidR="0031074E">
        <w:t>вания</w:t>
      </w:r>
      <w:r w:rsidR="0031074E" w:rsidRPr="001D3B9B">
        <w:t xml:space="preserve"> </w:t>
      </w:r>
      <w:r w:rsidR="00AB3ADB" w:rsidRPr="001D3B9B">
        <w:t xml:space="preserve">товар за категориите кораби, различни от пътнически кораби, ро-ро кораби и контейнеровози, позволява да се взема предвид, </w:t>
      </w:r>
      <w:r w:rsidR="0031074E" w:rsidRPr="001D3B9B">
        <w:t>к</w:t>
      </w:r>
      <w:r w:rsidR="0031074E">
        <w:t>огато</w:t>
      </w:r>
      <w:r w:rsidR="0031074E" w:rsidRPr="001D3B9B">
        <w:t xml:space="preserve"> </w:t>
      </w:r>
      <w:r w:rsidR="00AB3ADB" w:rsidRPr="001D3B9B">
        <w:t xml:space="preserve">е приложимо, </w:t>
      </w:r>
      <w:r w:rsidR="0031074E">
        <w:t>масата</w:t>
      </w:r>
      <w:r w:rsidR="0031074E" w:rsidRPr="001D3B9B">
        <w:t xml:space="preserve"> </w:t>
      </w:r>
      <w:r w:rsidR="00AB3ADB" w:rsidRPr="001D3B9B">
        <w:t xml:space="preserve">и обемът на </w:t>
      </w:r>
      <w:r w:rsidR="0031074E" w:rsidRPr="001D3B9B">
        <w:t>превоз</w:t>
      </w:r>
      <w:r w:rsidR="0031074E">
        <w:t>вания</w:t>
      </w:r>
      <w:r w:rsidR="0031074E" w:rsidRPr="001D3B9B">
        <w:t xml:space="preserve"> </w:t>
      </w:r>
      <w:r w:rsidR="00AB3ADB" w:rsidRPr="001D3B9B">
        <w:t>товар и броя</w:t>
      </w:r>
      <w:r w:rsidR="00E452D7">
        <w:t>т</w:t>
      </w:r>
      <w:r w:rsidR="00AB3ADB" w:rsidRPr="001D3B9B">
        <w:t xml:space="preserve"> на </w:t>
      </w:r>
      <w:r w:rsidR="0031074E" w:rsidRPr="001D3B9B">
        <w:t>превоз</w:t>
      </w:r>
      <w:r w:rsidR="0031074E">
        <w:t xml:space="preserve">ваните </w:t>
      </w:r>
      <w:r w:rsidR="00AB3ADB" w:rsidRPr="001D3B9B">
        <w:t>пътници. Тези категории следва да включват, наред с другото, танкери, кораби за насипни товари, кораби за превоз на общи товари, кораби за хладилен товар, автомобилни превозвачи и кораби за комбинирани превози.</w:t>
      </w:r>
    </w:p>
    <w:p w:rsidR="00AB3ADB" w:rsidRPr="001D3B9B" w:rsidRDefault="00AB3ADB" w:rsidP="00684DB6">
      <w:pPr>
        <w:pStyle w:val="Point0"/>
      </w:pPr>
      <w:r w:rsidRPr="001D3B9B">
        <w:t>2.</w:t>
      </w:r>
      <w:r>
        <w:tab/>
      </w:r>
      <w:r w:rsidRPr="001D3B9B">
        <w:t>За да се осигурят еднакви условия за прилагане на параграф 1, буква </w:t>
      </w:r>
      <w:r w:rsidR="008D71ED">
        <w:t>ж</w:t>
      </w:r>
      <w:r w:rsidRPr="001D3B9B">
        <w:t>), Комисията приема чрез актове за изпълнение технически разпоредби за уточняване на параметрите, прилагани за всяка от останалите категории кораби, посочени в същата буква.</w:t>
      </w:r>
    </w:p>
    <w:p w:rsidR="00AB3ADB" w:rsidRPr="001D3B9B" w:rsidRDefault="00AB3ADB" w:rsidP="00684DB6">
      <w:pPr>
        <w:pStyle w:val="Text1"/>
      </w:pPr>
      <w:r w:rsidRPr="001D3B9B">
        <w:t>Тези актове за изпълнение се приемат не по-късно от 31 декември 2016 г. в съответствие с процедурата по разглеждане, посочена в член </w:t>
      </w:r>
      <w:r w:rsidR="008D71ED" w:rsidRPr="001D3B9B">
        <w:t>2</w:t>
      </w:r>
      <w:r w:rsidR="008D71ED">
        <w:t>4</w:t>
      </w:r>
      <w:r w:rsidRPr="001D3B9B">
        <w:t>, параграф 2.</w:t>
      </w:r>
    </w:p>
    <w:p w:rsidR="00AB3ADB" w:rsidRPr="001D3B9B" w:rsidRDefault="00AB3ADB" w:rsidP="00E452D7">
      <w:pPr>
        <w:pStyle w:val="Text1"/>
      </w:pPr>
      <w:r w:rsidRPr="001D3B9B">
        <w:t>Комисията може чрез актове за изпълнение да преразглежда</w:t>
      </w:r>
      <w:r w:rsidR="00E452D7">
        <w:t>,</w:t>
      </w:r>
      <w:r w:rsidRPr="001D3B9B">
        <w:t xml:space="preserve"> </w:t>
      </w:r>
      <w:r w:rsidR="00E452D7">
        <w:t>когато е целесъобразно,</w:t>
      </w:r>
      <w:r w:rsidRPr="001D3B9B">
        <w:t xml:space="preserve"> приложимите параметри, посочени в параграф 1, буква </w:t>
      </w:r>
      <w:r w:rsidR="008D71ED">
        <w:t>ж</w:t>
      </w:r>
      <w:r w:rsidRPr="001D3B9B">
        <w:t>). Когато е приложимо, Комисията преразглежда тези параметри и за да се вземат предвид измененията на настоящото приложение съгласно член 5, параграф 2. Тези актове за изпълнение се приемат в съответствие с процедурата по разглеждане, посочена в член 2</w:t>
      </w:r>
      <w:r w:rsidR="008D71ED">
        <w:t>4</w:t>
      </w:r>
      <w:r w:rsidRPr="001D3B9B">
        <w:t>, параграф 2.</w:t>
      </w:r>
    </w:p>
    <w:p w:rsidR="00AB3ADB" w:rsidRPr="004D5662" w:rsidRDefault="008D71ED" w:rsidP="00E452D7">
      <w:pPr>
        <w:pStyle w:val="Point0"/>
        <w:rPr>
          <w:iCs/>
          <w:u w:val="single"/>
        </w:rPr>
      </w:pPr>
      <w:r>
        <w:t>3</w:t>
      </w:r>
      <w:r w:rsidR="00AB3ADB" w:rsidRPr="001D3B9B">
        <w:t>.</w:t>
      </w:r>
      <w:r w:rsidR="00AB3ADB">
        <w:tab/>
      </w:r>
      <w:r w:rsidR="00AB3ADB" w:rsidRPr="001D3B9B">
        <w:t>При спазването на правила</w:t>
      </w:r>
      <w:r w:rsidR="00464286">
        <w:t xml:space="preserve">та по </w:t>
      </w:r>
      <w:r>
        <w:t>параграфи</w:t>
      </w:r>
      <w:r w:rsidR="00464286">
        <w:t xml:space="preserve"> 1 и 2 </w:t>
      </w:r>
      <w:r w:rsidR="00AB3ADB" w:rsidRPr="001D3B9B">
        <w:t xml:space="preserve">дружествата могат да решат да включат и конкретна информация, отнасяща се до </w:t>
      </w:r>
      <w:r w:rsidR="00B53783">
        <w:t xml:space="preserve">ледовия </w:t>
      </w:r>
      <w:r w:rsidR="00AB3ADB" w:rsidRPr="001D3B9B">
        <w:t>клас на кораба</w:t>
      </w:r>
      <w:r w:rsidR="00E452D7">
        <w:t xml:space="preserve"> и</w:t>
      </w:r>
      <w:r w:rsidR="00AB3ADB" w:rsidRPr="001D3B9B">
        <w:t xml:space="preserve"> плаването </w:t>
      </w:r>
      <w:r w:rsidR="00B53783">
        <w:t>през</w:t>
      </w:r>
      <w:r w:rsidR="00B53783" w:rsidRPr="001D3B9B">
        <w:t xml:space="preserve"> </w:t>
      </w:r>
      <w:r w:rsidR="00AB3ADB" w:rsidRPr="001D3B9B">
        <w:t>заледени води.</w:t>
      </w:r>
    </w:p>
    <w:p w:rsidR="00AB3ADB" w:rsidRPr="004D5662" w:rsidRDefault="00AB3ADB" w:rsidP="00684DB6">
      <w:pPr>
        <w:pStyle w:val="Point0"/>
        <w:rPr>
          <w:noProof/>
        </w:rPr>
      </w:pPr>
      <w:r>
        <w:br w:type="page"/>
        <w:t>Б.</w:t>
      </w:r>
      <w:r>
        <w:tab/>
        <w:t>Мониторинг на годишна база (член 10)</w:t>
      </w:r>
    </w:p>
    <w:p w:rsidR="00AB3ADB" w:rsidRPr="00684DB6" w:rsidRDefault="00AB3ADB" w:rsidP="00684DB6">
      <w:r w:rsidRPr="00684DB6">
        <w:t>За целите на мониторинга на друга информация от значение на годишна база дружествата спазват следните правила:</w:t>
      </w:r>
    </w:p>
    <w:p w:rsidR="00AB3ADB" w:rsidRPr="00684DB6" w:rsidRDefault="00AB3ADB" w:rsidP="00684DB6">
      <w:r w:rsidRPr="00684DB6">
        <w:t xml:space="preserve">Подлежащите на мониторинг стойности съгласно член 10 </w:t>
      </w:r>
      <w:r w:rsidR="00464286" w:rsidRPr="00684DB6">
        <w:t>се определят</w:t>
      </w:r>
      <w:r w:rsidRPr="00684DB6">
        <w:t xml:space="preserve"> чрез обобщаване на съответните данни за всяко плаване.</w:t>
      </w:r>
    </w:p>
    <w:p w:rsidR="00AB3ADB" w:rsidRPr="00684DB6" w:rsidRDefault="00AB3ADB" w:rsidP="00E725DD">
      <w:r w:rsidRPr="00684DB6">
        <w:t xml:space="preserve">Мониторингът на средната енергийна ефективност се извършва, като се използват поне четири показателя — количеството консумирано гориво за единица изминато разстояние, количеството консумирано гориво за единица транспортна работа, емисиите на </w:t>
      </w:r>
      <w:r w:rsidR="00E725DD" w:rsidRPr="00E725DD">
        <w:t>СО</w:t>
      </w:r>
      <w:r w:rsidR="00E725DD" w:rsidRPr="00E725DD">
        <w:rPr>
          <w:vertAlign w:val="subscript"/>
        </w:rPr>
        <w:t>2</w:t>
      </w:r>
      <w:r w:rsidRPr="00684DB6">
        <w:t xml:space="preserve"> за единица изминато разстояние и емисиите на </w:t>
      </w:r>
      <w:r w:rsidR="00E725DD" w:rsidRPr="00E725DD">
        <w:t>СО</w:t>
      </w:r>
      <w:r w:rsidR="00E725DD" w:rsidRPr="00E725DD">
        <w:rPr>
          <w:vertAlign w:val="subscript"/>
        </w:rPr>
        <w:t>2</w:t>
      </w:r>
      <w:r w:rsidRPr="00684DB6">
        <w:t xml:space="preserve"> за единица транспортна работа, които се изчисляват</w:t>
      </w:r>
      <w:r w:rsidR="00E452D7">
        <w:t>,</w:t>
      </w:r>
      <w:r w:rsidRPr="00684DB6">
        <w:t xml:space="preserve"> както следва:</w:t>
      </w:r>
    </w:p>
    <w:p w:rsidR="00AB3ADB" w:rsidRPr="00684DB6" w:rsidRDefault="00AB3ADB" w:rsidP="00684DB6">
      <w:r w:rsidRPr="00684DB6">
        <w:t>Количеството консумирано гориво за единица изминато разстояние = общото годишно количество консумирано гориво / общото изминато разстояние</w:t>
      </w:r>
    </w:p>
    <w:p w:rsidR="00AB3ADB" w:rsidRPr="00684DB6" w:rsidRDefault="00AB3ADB" w:rsidP="00684DB6">
      <w:r w:rsidRPr="00684DB6">
        <w:t>Количеството консумирано гориво за единица транспортна работа = общото годишно количество консумирано гориво / общата транспортна работа</w:t>
      </w:r>
    </w:p>
    <w:p w:rsidR="00AB3ADB" w:rsidRPr="00684DB6" w:rsidRDefault="00AB3ADB" w:rsidP="00E725DD">
      <w:r w:rsidRPr="00684DB6">
        <w:t xml:space="preserve">Емисиите на </w:t>
      </w:r>
      <w:r w:rsidR="00E725DD" w:rsidRPr="00E725DD">
        <w:t>СО</w:t>
      </w:r>
      <w:r w:rsidR="00E725DD" w:rsidRPr="00E725DD">
        <w:rPr>
          <w:vertAlign w:val="subscript"/>
        </w:rPr>
        <w:t>2</w:t>
      </w:r>
      <w:r w:rsidRPr="00684DB6">
        <w:t xml:space="preserve"> за единица изминато разстояние = общите годишни емисии на </w:t>
      </w:r>
      <w:r w:rsidR="00E725DD" w:rsidRPr="00E725DD">
        <w:t>СО</w:t>
      </w:r>
      <w:r w:rsidR="00E725DD" w:rsidRPr="00E725DD">
        <w:rPr>
          <w:vertAlign w:val="subscript"/>
        </w:rPr>
        <w:t>2</w:t>
      </w:r>
      <w:r w:rsidRPr="00684DB6">
        <w:t xml:space="preserve"> / общото изминато разстояние</w:t>
      </w:r>
    </w:p>
    <w:p w:rsidR="00AB3ADB" w:rsidRPr="00684DB6" w:rsidRDefault="00AB3ADB" w:rsidP="00E725DD">
      <w:r w:rsidRPr="00684DB6">
        <w:t xml:space="preserve">Емисиите на </w:t>
      </w:r>
      <w:r w:rsidR="00E725DD" w:rsidRPr="00E725DD">
        <w:t>СО</w:t>
      </w:r>
      <w:r w:rsidR="00E725DD" w:rsidRPr="00E725DD">
        <w:rPr>
          <w:vertAlign w:val="subscript"/>
        </w:rPr>
        <w:t>2</w:t>
      </w:r>
      <w:r w:rsidRPr="00684DB6">
        <w:t xml:space="preserve"> за единица транспортна работа = общите годишни емисии на </w:t>
      </w:r>
      <w:r w:rsidR="00E725DD" w:rsidRPr="00E725DD">
        <w:t>СО</w:t>
      </w:r>
      <w:r w:rsidR="00E725DD" w:rsidRPr="00E725DD">
        <w:rPr>
          <w:vertAlign w:val="subscript"/>
        </w:rPr>
        <w:t>2</w:t>
      </w:r>
      <w:r w:rsidRPr="00684DB6">
        <w:t xml:space="preserve"> / общата транспортна работа.</w:t>
      </w:r>
    </w:p>
    <w:p w:rsidR="00AB3ADB" w:rsidRPr="001D3B9B" w:rsidRDefault="00AB3ADB" w:rsidP="00E452D7">
      <w:r w:rsidRPr="00684DB6">
        <w:t xml:space="preserve">При спазването на тези правила дружествата могат да решат да включат и </w:t>
      </w:r>
      <w:r w:rsidR="0031074E" w:rsidRPr="00684DB6">
        <w:t xml:space="preserve">конкретна </w:t>
      </w:r>
      <w:r w:rsidRPr="00684DB6">
        <w:t xml:space="preserve">информация, отнасяща се до </w:t>
      </w:r>
      <w:r w:rsidR="00B53783" w:rsidRPr="00684DB6">
        <w:t xml:space="preserve">ледовия </w:t>
      </w:r>
      <w:r w:rsidR="00E452D7">
        <w:t>клас на кораба и</w:t>
      </w:r>
      <w:r w:rsidRPr="00684DB6">
        <w:t xml:space="preserve"> плаването </w:t>
      </w:r>
      <w:r w:rsidR="00B53783" w:rsidRPr="00684DB6">
        <w:t xml:space="preserve">през </w:t>
      </w:r>
      <w:r w:rsidRPr="00684DB6">
        <w:t xml:space="preserve">заледени води, както и друга информация, свързана с консумацията на гориво и емисиите на </w:t>
      </w:r>
      <w:r w:rsidR="00E725DD" w:rsidRPr="00E725DD">
        <w:t>СО</w:t>
      </w:r>
      <w:r w:rsidR="00E725DD" w:rsidRPr="00E725DD">
        <w:rPr>
          <w:vertAlign w:val="subscript"/>
        </w:rPr>
        <w:t>2</w:t>
      </w:r>
      <w:r w:rsidRPr="00684DB6">
        <w:t xml:space="preserve">, </w:t>
      </w:r>
      <w:r w:rsidR="0031074E" w:rsidRPr="00684DB6">
        <w:t xml:space="preserve">разбити </w:t>
      </w:r>
      <w:r w:rsidRPr="00684DB6">
        <w:t>въз основа на други</w:t>
      </w:r>
      <w:r w:rsidRPr="001D3B9B">
        <w:t xml:space="preserve"> критерии, определени в </w:t>
      </w:r>
      <w:r w:rsidR="00CA651A">
        <w:t xml:space="preserve">мониторинговия </w:t>
      </w:r>
      <w:r w:rsidRPr="001D3B9B">
        <w:t>план.</w:t>
      </w:r>
    </w:p>
    <w:p w:rsidR="00AB3ADB" w:rsidRPr="00AB3ADB" w:rsidRDefault="00AB3ADB" w:rsidP="00AB3ADB">
      <w:pPr>
        <w:pStyle w:val="Lignefinal"/>
      </w:pPr>
    </w:p>
    <w:p w:rsidR="00AB3ADB" w:rsidRPr="00AB3ADB" w:rsidRDefault="00AB3ADB" w:rsidP="00AB3ADB">
      <w:pPr>
        <w:sectPr w:rsidR="00AB3ADB" w:rsidRPr="00AB3ADB" w:rsidSect="00BF747B">
          <w:headerReference w:type="default" r:id="rId27"/>
          <w:footerReference w:type="default" r:id="rId28"/>
          <w:footnotePr>
            <w:numRestart w:val="eachPage"/>
          </w:footnotePr>
          <w:pgSz w:w="11907" w:h="16840" w:code="9"/>
          <w:pgMar w:top="1134" w:right="1134" w:bottom="1134" w:left="1134" w:header="567" w:footer="567" w:gutter="0"/>
          <w:pgNumType w:start="1"/>
          <w:cols w:space="708"/>
          <w:docGrid w:linePitch="360"/>
        </w:sectPr>
      </w:pPr>
    </w:p>
    <w:p w:rsidR="00AB3ADB" w:rsidRPr="004D5662" w:rsidRDefault="00AB3ADB" w:rsidP="00AB3ADB">
      <w:pPr>
        <w:pStyle w:val="Annexetitre"/>
        <w:rPr>
          <w:bCs/>
          <w:noProof/>
        </w:rPr>
      </w:pPr>
      <w:r w:rsidRPr="00AB3ADB">
        <w:t>ПРИЛОЖЕНИЕ</w:t>
      </w:r>
      <w:r>
        <w:t xml:space="preserve"> ІІІ</w:t>
      </w:r>
    </w:p>
    <w:p w:rsidR="00AB3ADB" w:rsidRPr="00684DB6" w:rsidRDefault="00AB3ADB" w:rsidP="001C6C57">
      <w:pPr>
        <w:pStyle w:val="NormalCentered"/>
        <w:rPr>
          <w:noProof/>
        </w:rPr>
      </w:pPr>
      <w:r w:rsidRPr="00684DB6">
        <w:t xml:space="preserve">Елементи, които се вземат предвид при делегираните актове, </w:t>
      </w:r>
      <w:r w:rsidR="00684DB6" w:rsidRPr="00684DB6">
        <w:br/>
      </w:r>
      <w:r w:rsidRPr="00684DB6">
        <w:t>предвидени в членове 15 и 16</w:t>
      </w:r>
    </w:p>
    <w:p w:rsidR="00AB3ADB" w:rsidRPr="001D3B9B" w:rsidRDefault="00AB3ADB" w:rsidP="00684DB6">
      <w:pPr>
        <w:pStyle w:val="Point0"/>
      </w:pPr>
      <w:r w:rsidRPr="001D3B9B">
        <w:t>А.</w:t>
      </w:r>
      <w:r>
        <w:tab/>
      </w:r>
      <w:r w:rsidRPr="001D3B9B">
        <w:t>Процедури на проверка</w:t>
      </w:r>
    </w:p>
    <w:p w:rsidR="00AB3ADB" w:rsidRPr="001D3B9B" w:rsidRDefault="00AB3ADB" w:rsidP="00FE2BB6">
      <w:pPr>
        <w:pStyle w:val="Tiret1"/>
        <w:numPr>
          <w:ilvl w:val="0"/>
          <w:numId w:val="32"/>
        </w:numPr>
      </w:pPr>
      <w:r w:rsidRPr="001D3B9B">
        <w:t>компетентност на проверяващите органи;</w:t>
      </w:r>
    </w:p>
    <w:p w:rsidR="00AB3ADB" w:rsidRPr="001D3B9B" w:rsidRDefault="00AB3ADB" w:rsidP="00684DB6">
      <w:pPr>
        <w:pStyle w:val="Tiret1"/>
      </w:pPr>
      <w:r w:rsidRPr="001D3B9B">
        <w:t>документи, които трябва да бъдат предоставени на проверяващите органи от дружествата;</w:t>
      </w:r>
    </w:p>
    <w:p w:rsidR="00AB3ADB" w:rsidRPr="001D3B9B" w:rsidRDefault="00AB3ADB" w:rsidP="00684DB6">
      <w:pPr>
        <w:pStyle w:val="Tiret1"/>
      </w:pPr>
      <w:r w:rsidRPr="001D3B9B">
        <w:t>оценка на риска, която трябва да бъде извършена от проверяващите органи;</w:t>
      </w:r>
    </w:p>
    <w:p w:rsidR="00AB3ADB" w:rsidRPr="001D3B9B" w:rsidRDefault="00AB3ADB" w:rsidP="00684DB6">
      <w:pPr>
        <w:pStyle w:val="Tiret1"/>
      </w:pPr>
      <w:r w:rsidRPr="001D3B9B">
        <w:t>оценка на съответствието на мониторинговия план;</w:t>
      </w:r>
    </w:p>
    <w:p w:rsidR="00AB3ADB" w:rsidRPr="001D3B9B" w:rsidRDefault="00AB3ADB" w:rsidP="00684DB6">
      <w:pPr>
        <w:pStyle w:val="Tiret1"/>
      </w:pPr>
      <w:r w:rsidRPr="001D3B9B">
        <w:t>проверка на доклада за емисиите;</w:t>
      </w:r>
    </w:p>
    <w:p w:rsidR="00AB3ADB" w:rsidRPr="00263033" w:rsidRDefault="00AB3ADB" w:rsidP="00684DB6">
      <w:pPr>
        <w:pStyle w:val="Tiret1"/>
      </w:pPr>
      <w:r w:rsidRPr="001D3B9B">
        <w:t xml:space="preserve">праг </w:t>
      </w:r>
      <w:r w:rsidRPr="00263033">
        <w:t>на същественост;</w:t>
      </w:r>
    </w:p>
    <w:p w:rsidR="00AB3ADB" w:rsidRPr="004F348B" w:rsidRDefault="00AB3ADB" w:rsidP="00684DB6">
      <w:pPr>
        <w:pStyle w:val="Tiret1"/>
      </w:pPr>
      <w:r w:rsidRPr="00D723B0">
        <w:t>разумна степен на увереност</w:t>
      </w:r>
      <w:r w:rsidRPr="00263033">
        <w:t xml:space="preserve"> на проверяващите органи</w:t>
      </w:r>
      <w:r w:rsidRPr="004F348B">
        <w:t>;</w:t>
      </w:r>
    </w:p>
    <w:p w:rsidR="00AB3ADB" w:rsidRPr="001D3B9B" w:rsidRDefault="0031074E" w:rsidP="00684DB6">
      <w:pPr>
        <w:pStyle w:val="Tiret1"/>
      </w:pPr>
      <w:r w:rsidRPr="004F348B">
        <w:t>неточности</w:t>
      </w:r>
      <w:r w:rsidR="00AB3ADB" w:rsidRPr="004F348B">
        <w:t xml:space="preserve"> и несъответствия;</w:t>
      </w:r>
    </w:p>
    <w:p w:rsidR="00AB3ADB" w:rsidRPr="001D3B9B" w:rsidRDefault="00AB3ADB" w:rsidP="00684DB6">
      <w:pPr>
        <w:pStyle w:val="Tiret1"/>
      </w:pPr>
      <w:r w:rsidRPr="001D3B9B">
        <w:t>съдържание на доклада от проверката;</w:t>
      </w:r>
    </w:p>
    <w:p w:rsidR="00AB3ADB" w:rsidRPr="001D3B9B" w:rsidRDefault="00AB3ADB" w:rsidP="00684DB6">
      <w:pPr>
        <w:pStyle w:val="Tiret1"/>
      </w:pPr>
      <w:r w:rsidRPr="001D3B9B">
        <w:t>препоръки за подобрения;</w:t>
      </w:r>
    </w:p>
    <w:p w:rsidR="00AB3ADB" w:rsidRPr="001D3B9B" w:rsidRDefault="00AB3ADB" w:rsidP="00684DB6">
      <w:pPr>
        <w:pStyle w:val="Tiret1"/>
      </w:pPr>
      <w:r w:rsidRPr="001D3B9B">
        <w:t>комуникация между дружествата,</w:t>
      </w:r>
      <w:r w:rsidR="00263033">
        <w:t xml:space="preserve"> </w:t>
      </w:r>
      <w:r w:rsidRPr="001D3B9B">
        <w:t>проверяващите органи и Комисията.</w:t>
      </w:r>
    </w:p>
    <w:p w:rsidR="00AB3ADB" w:rsidRPr="004D5662" w:rsidRDefault="00AB3ADB" w:rsidP="00684DB6">
      <w:pPr>
        <w:pStyle w:val="Point0"/>
      </w:pPr>
      <w:r>
        <w:br w:type="page"/>
        <w:t>Б.</w:t>
      </w:r>
      <w:r>
        <w:tab/>
        <w:t>АКРЕДИТИРАНЕ НА ПРОВЕРЯВАЩИТЕ ОРГАНИ</w:t>
      </w:r>
    </w:p>
    <w:p w:rsidR="00AB3ADB" w:rsidRPr="001D3B9B" w:rsidRDefault="00AB3ADB" w:rsidP="00684DB6">
      <w:pPr>
        <w:pStyle w:val="Tiret1"/>
      </w:pPr>
      <w:r w:rsidRPr="001D3B9B">
        <w:t>как може да бъде поискана акредитация за корабоплавателни дейности;</w:t>
      </w:r>
    </w:p>
    <w:p w:rsidR="00AB3ADB" w:rsidRPr="001D3B9B" w:rsidRDefault="00AB3ADB" w:rsidP="00684DB6">
      <w:pPr>
        <w:pStyle w:val="Tiret1"/>
      </w:pPr>
      <w:r w:rsidRPr="001D3B9B">
        <w:t>как проверяващите органи ще бъдат оценени от националните органи по акредитация с цел издаване на сертификат за акредитация;</w:t>
      </w:r>
    </w:p>
    <w:p w:rsidR="00AB3ADB" w:rsidRPr="001D3B9B" w:rsidRDefault="00AB3ADB" w:rsidP="00684DB6">
      <w:pPr>
        <w:pStyle w:val="Tiret1"/>
      </w:pPr>
      <w:r w:rsidRPr="001D3B9B">
        <w:t xml:space="preserve">как националните </w:t>
      </w:r>
      <w:r w:rsidRPr="00263033">
        <w:t xml:space="preserve">органи по акредитация ще </w:t>
      </w:r>
      <w:r w:rsidR="00263033" w:rsidRPr="00263033">
        <w:t>упражняват надзора</w:t>
      </w:r>
      <w:r w:rsidRPr="00263033">
        <w:t xml:space="preserve">, </w:t>
      </w:r>
      <w:r w:rsidR="0031074E" w:rsidRPr="00263033">
        <w:t>н</w:t>
      </w:r>
      <w:r w:rsidR="0031074E">
        <w:t xml:space="preserve">еобходим </w:t>
      </w:r>
      <w:r w:rsidRPr="001D3B9B">
        <w:t xml:space="preserve">за </w:t>
      </w:r>
      <w:r w:rsidR="0031074E">
        <w:t xml:space="preserve">потвърждаване на </w:t>
      </w:r>
      <w:r w:rsidRPr="001D3B9B">
        <w:t>продължаването на акредитацията;</w:t>
      </w:r>
    </w:p>
    <w:p w:rsidR="00AB3ADB" w:rsidRPr="004D5662" w:rsidRDefault="00AB3ADB" w:rsidP="00684DB6">
      <w:pPr>
        <w:pStyle w:val="Tiret1"/>
        <w:rPr>
          <w:b/>
          <w:u w:val="single"/>
        </w:rPr>
      </w:pPr>
      <w:r w:rsidRPr="001D3B9B">
        <w:t xml:space="preserve">изисквания към националните органи по акредитация с оглед на тяхната компетентност да акредитират проверяващи органи за корабоплавателни дейности, включително </w:t>
      </w:r>
      <w:r w:rsidR="0031074E">
        <w:t>препратка към</w:t>
      </w:r>
      <w:r w:rsidRPr="001D3B9B">
        <w:t xml:space="preserve"> хармонизирани стандарти.</w:t>
      </w:r>
    </w:p>
    <w:p w:rsidR="00AB3ADB" w:rsidRPr="00F17B74" w:rsidRDefault="00AB3ADB" w:rsidP="00684DB6">
      <w:pPr>
        <w:pStyle w:val="Lignefinal"/>
      </w:pPr>
    </w:p>
    <w:sectPr w:rsidR="00AB3ADB" w:rsidRPr="00F17B74" w:rsidSect="00BF747B">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17" w:rsidRDefault="00FD0E17" w:rsidP="00A60CFD">
      <w:pPr>
        <w:spacing w:before="0" w:after="0" w:line="240" w:lineRule="auto"/>
      </w:pPr>
      <w:r>
        <w:separator/>
      </w:r>
    </w:p>
  </w:endnote>
  <w:endnote w:type="continuationSeparator" w:id="0">
    <w:p w:rsidR="00FD0E17" w:rsidRDefault="00FD0E17" w:rsidP="00A60C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1A" w:rsidRPr="00BF747B" w:rsidRDefault="00FC051A" w:rsidP="00BF747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F747B" w:rsidRPr="0035025C" w:rsidTr="00BF747B">
      <w:trPr>
        <w:jc w:val="center"/>
      </w:trPr>
      <w:tc>
        <w:tcPr>
          <w:tcW w:w="5000" w:type="pct"/>
          <w:gridSpan w:val="7"/>
          <w:shd w:val="clear" w:color="auto" w:fill="auto"/>
          <w:tcMar>
            <w:top w:w="57" w:type="dxa"/>
          </w:tcMar>
        </w:tcPr>
        <w:p w:rsidR="00BF747B" w:rsidRPr="0035025C" w:rsidRDefault="00BF747B" w:rsidP="0035025C">
          <w:pPr>
            <w:pStyle w:val="FooterText"/>
            <w:pBdr>
              <w:top w:val="single" w:sz="4" w:space="1" w:color="auto"/>
            </w:pBdr>
            <w:spacing w:before="200"/>
            <w:rPr>
              <w:sz w:val="2"/>
              <w:szCs w:val="2"/>
            </w:rPr>
          </w:pPr>
        </w:p>
      </w:tc>
    </w:tr>
    <w:tr w:rsidR="00BF747B" w:rsidRPr="00B310DC" w:rsidTr="00BF747B">
      <w:trPr>
        <w:jc w:val="center"/>
      </w:trPr>
      <w:tc>
        <w:tcPr>
          <w:tcW w:w="2500" w:type="pct"/>
          <w:gridSpan w:val="2"/>
          <w:shd w:val="clear" w:color="auto" w:fill="auto"/>
          <w:tcMar>
            <w:top w:w="0" w:type="dxa"/>
          </w:tcMar>
        </w:tcPr>
        <w:p w:rsidR="00BF747B" w:rsidRPr="00AD7BF2" w:rsidRDefault="00BF747B" w:rsidP="0035025C">
          <w:pPr>
            <w:pStyle w:val="FooterText"/>
          </w:pPr>
          <w:r>
            <w:t xml:space="preserve">17086/1/14 REV 1 </w:t>
          </w:r>
        </w:p>
      </w:tc>
      <w:tc>
        <w:tcPr>
          <w:tcW w:w="625" w:type="pct"/>
          <w:shd w:val="clear" w:color="auto" w:fill="auto"/>
          <w:tcMar>
            <w:top w:w="0" w:type="dxa"/>
          </w:tcMar>
        </w:tcPr>
        <w:p w:rsidR="00BF747B" w:rsidRPr="00AD7BF2" w:rsidRDefault="00BF747B" w:rsidP="0035025C">
          <w:pPr>
            <w:pStyle w:val="FooterText"/>
            <w:jc w:val="center"/>
          </w:pPr>
        </w:p>
      </w:tc>
      <w:tc>
        <w:tcPr>
          <w:tcW w:w="1287" w:type="pct"/>
          <w:gridSpan w:val="3"/>
          <w:shd w:val="clear" w:color="auto" w:fill="auto"/>
          <w:tcMar>
            <w:top w:w="0" w:type="dxa"/>
          </w:tcMar>
        </w:tcPr>
        <w:p w:rsidR="00BF747B" w:rsidRPr="002511D8" w:rsidRDefault="00BF747B" w:rsidP="0035025C">
          <w:pPr>
            <w:pStyle w:val="FooterText"/>
            <w:jc w:val="center"/>
          </w:pPr>
          <w:r>
            <w:t>DG/gs</w:t>
          </w:r>
        </w:p>
      </w:tc>
      <w:tc>
        <w:tcPr>
          <w:tcW w:w="588" w:type="pct"/>
          <w:shd w:val="clear" w:color="auto" w:fill="auto"/>
          <w:tcMar>
            <w:top w:w="0" w:type="dxa"/>
          </w:tcMar>
        </w:tcPr>
        <w:p w:rsidR="00BF747B" w:rsidRPr="00B310DC" w:rsidRDefault="00BF747B"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BF747B" w:rsidRPr="0035025C" w:rsidTr="00BF747B">
      <w:trPr>
        <w:jc w:val="center"/>
      </w:trPr>
      <w:tc>
        <w:tcPr>
          <w:tcW w:w="1774" w:type="pct"/>
          <w:shd w:val="clear" w:color="auto" w:fill="auto"/>
        </w:tcPr>
        <w:p w:rsidR="00BF747B" w:rsidRPr="00AD7BF2" w:rsidRDefault="00BF747B" w:rsidP="0035025C">
          <w:pPr>
            <w:pStyle w:val="FooterText"/>
            <w:spacing w:before="40"/>
          </w:pPr>
          <w:r>
            <w:t>ПРИЛОЖЕНИЕ ІІІ</w:t>
          </w:r>
        </w:p>
      </w:tc>
      <w:tc>
        <w:tcPr>
          <w:tcW w:w="1494" w:type="pct"/>
          <w:gridSpan w:val="3"/>
          <w:shd w:val="clear" w:color="auto" w:fill="auto"/>
        </w:tcPr>
        <w:p w:rsidR="00BF747B" w:rsidRPr="00AD7BF2" w:rsidRDefault="00BF747B" w:rsidP="0035025C">
          <w:pPr>
            <w:pStyle w:val="FooterText"/>
            <w:spacing w:before="40"/>
            <w:jc w:val="center"/>
          </w:pPr>
          <w:r>
            <w:t>DGE 1</w:t>
          </w:r>
        </w:p>
      </w:tc>
      <w:tc>
        <w:tcPr>
          <w:tcW w:w="1107" w:type="pct"/>
          <w:shd w:val="clear" w:color="auto" w:fill="auto"/>
        </w:tcPr>
        <w:p w:rsidR="00BF747B" w:rsidRPr="0035025C" w:rsidRDefault="00BF747B" w:rsidP="0035025C">
          <w:pPr>
            <w:pStyle w:val="FooterText"/>
            <w:jc w:val="right"/>
            <w:rPr>
              <w:b/>
              <w:position w:val="-4"/>
              <w:sz w:val="36"/>
            </w:rPr>
          </w:pPr>
        </w:p>
      </w:tc>
      <w:tc>
        <w:tcPr>
          <w:tcW w:w="625" w:type="pct"/>
          <w:gridSpan w:val="2"/>
          <w:shd w:val="clear" w:color="auto" w:fill="auto"/>
        </w:tcPr>
        <w:p w:rsidR="00BF747B" w:rsidRPr="0035025C" w:rsidRDefault="00BF747B" w:rsidP="0035025C">
          <w:pPr>
            <w:pStyle w:val="FooterText"/>
            <w:jc w:val="right"/>
            <w:rPr>
              <w:sz w:val="16"/>
            </w:rPr>
          </w:pPr>
          <w:r>
            <w:rPr>
              <w:b/>
              <w:position w:val="-4"/>
              <w:sz w:val="36"/>
            </w:rPr>
            <w:t>BG</w:t>
          </w:r>
        </w:p>
      </w:tc>
    </w:tr>
  </w:tbl>
  <w:p w:rsidR="00FD0E17" w:rsidRPr="00BF747B" w:rsidRDefault="00FD0E17" w:rsidP="00BF747B">
    <w:pPr>
      <w:pStyle w:val="FooterCounci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F747B" w:rsidRPr="0035025C" w:rsidTr="00BF747B">
      <w:trPr>
        <w:jc w:val="center"/>
      </w:trPr>
      <w:tc>
        <w:tcPr>
          <w:tcW w:w="5000" w:type="pct"/>
          <w:gridSpan w:val="7"/>
          <w:shd w:val="clear" w:color="auto" w:fill="auto"/>
          <w:tcMar>
            <w:top w:w="57" w:type="dxa"/>
          </w:tcMar>
        </w:tcPr>
        <w:p w:rsidR="00BF747B" w:rsidRPr="0035025C" w:rsidRDefault="00BF747B" w:rsidP="0035025C">
          <w:pPr>
            <w:pStyle w:val="FooterText"/>
            <w:pBdr>
              <w:top w:val="single" w:sz="4" w:space="1" w:color="auto"/>
            </w:pBdr>
            <w:spacing w:before="200"/>
            <w:rPr>
              <w:sz w:val="2"/>
              <w:szCs w:val="2"/>
            </w:rPr>
          </w:pPr>
          <w:bookmarkStart w:id="2" w:name="FOOTER_LEGACTS"/>
        </w:p>
      </w:tc>
    </w:tr>
    <w:tr w:rsidR="00BF747B" w:rsidRPr="00B310DC" w:rsidTr="00BF747B">
      <w:trPr>
        <w:jc w:val="center"/>
      </w:trPr>
      <w:tc>
        <w:tcPr>
          <w:tcW w:w="2500" w:type="pct"/>
          <w:gridSpan w:val="2"/>
          <w:shd w:val="clear" w:color="auto" w:fill="auto"/>
          <w:tcMar>
            <w:top w:w="0" w:type="dxa"/>
          </w:tcMar>
        </w:tcPr>
        <w:p w:rsidR="00BF747B" w:rsidRPr="00AD7BF2" w:rsidRDefault="00BF747B" w:rsidP="0035025C">
          <w:pPr>
            <w:pStyle w:val="FooterText"/>
          </w:pPr>
          <w:r>
            <w:t xml:space="preserve">17086/1/14 REV 1 </w:t>
          </w:r>
        </w:p>
      </w:tc>
      <w:tc>
        <w:tcPr>
          <w:tcW w:w="625" w:type="pct"/>
          <w:shd w:val="clear" w:color="auto" w:fill="auto"/>
          <w:tcMar>
            <w:top w:w="0" w:type="dxa"/>
          </w:tcMar>
        </w:tcPr>
        <w:p w:rsidR="00BF747B" w:rsidRPr="00AD7BF2" w:rsidRDefault="00BF747B" w:rsidP="0035025C">
          <w:pPr>
            <w:pStyle w:val="FooterText"/>
            <w:jc w:val="center"/>
          </w:pPr>
        </w:p>
      </w:tc>
      <w:tc>
        <w:tcPr>
          <w:tcW w:w="1287" w:type="pct"/>
          <w:gridSpan w:val="3"/>
          <w:shd w:val="clear" w:color="auto" w:fill="auto"/>
          <w:tcMar>
            <w:top w:w="0" w:type="dxa"/>
          </w:tcMar>
        </w:tcPr>
        <w:p w:rsidR="00BF747B" w:rsidRPr="002511D8" w:rsidRDefault="00BF747B" w:rsidP="0035025C">
          <w:pPr>
            <w:pStyle w:val="FooterText"/>
            <w:jc w:val="center"/>
          </w:pPr>
          <w:r>
            <w:t>DG/gs</w:t>
          </w:r>
        </w:p>
      </w:tc>
      <w:tc>
        <w:tcPr>
          <w:tcW w:w="588" w:type="pct"/>
          <w:shd w:val="clear" w:color="auto" w:fill="auto"/>
          <w:tcMar>
            <w:top w:w="0" w:type="dxa"/>
          </w:tcMar>
        </w:tcPr>
        <w:p w:rsidR="00BF747B" w:rsidRPr="00B310DC" w:rsidRDefault="00BF747B"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BF747B" w:rsidRPr="0035025C" w:rsidTr="00BF747B">
      <w:trPr>
        <w:jc w:val="center"/>
      </w:trPr>
      <w:tc>
        <w:tcPr>
          <w:tcW w:w="1774" w:type="pct"/>
          <w:shd w:val="clear" w:color="auto" w:fill="auto"/>
        </w:tcPr>
        <w:p w:rsidR="00BF747B" w:rsidRPr="00AD7BF2" w:rsidRDefault="00BF747B" w:rsidP="0035025C">
          <w:pPr>
            <w:pStyle w:val="FooterText"/>
            <w:spacing w:before="40"/>
          </w:pPr>
        </w:p>
      </w:tc>
      <w:tc>
        <w:tcPr>
          <w:tcW w:w="1494" w:type="pct"/>
          <w:gridSpan w:val="3"/>
          <w:shd w:val="clear" w:color="auto" w:fill="auto"/>
        </w:tcPr>
        <w:p w:rsidR="00BF747B" w:rsidRPr="00AD7BF2" w:rsidRDefault="00BF747B" w:rsidP="0035025C">
          <w:pPr>
            <w:pStyle w:val="FooterText"/>
            <w:spacing w:before="40"/>
            <w:jc w:val="center"/>
          </w:pPr>
          <w:r>
            <w:t>DGE 1</w:t>
          </w:r>
        </w:p>
      </w:tc>
      <w:tc>
        <w:tcPr>
          <w:tcW w:w="1107" w:type="pct"/>
          <w:shd w:val="clear" w:color="auto" w:fill="auto"/>
        </w:tcPr>
        <w:p w:rsidR="00BF747B" w:rsidRPr="0035025C" w:rsidRDefault="00BF747B" w:rsidP="0035025C">
          <w:pPr>
            <w:pStyle w:val="FooterText"/>
            <w:jc w:val="right"/>
            <w:rPr>
              <w:b/>
              <w:position w:val="-4"/>
              <w:sz w:val="36"/>
            </w:rPr>
          </w:pPr>
        </w:p>
      </w:tc>
      <w:tc>
        <w:tcPr>
          <w:tcW w:w="625" w:type="pct"/>
          <w:gridSpan w:val="2"/>
          <w:shd w:val="clear" w:color="auto" w:fill="auto"/>
        </w:tcPr>
        <w:p w:rsidR="00BF747B" w:rsidRPr="0035025C" w:rsidRDefault="00BF747B" w:rsidP="0035025C">
          <w:pPr>
            <w:pStyle w:val="FooterText"/>
            <w:jc w:val="right"/>
            <w:rPr>
              <w:sz w:val="16"/>
            </w:rPr>
          </w:pPr>
          <w:r>
            <w:rPr>
              <w:b/>
              <w:position w:val="-4"/>
              <w:sz w:val="36"/>
            </w:rPr>
            <w:t>BG</w:t>
          </w:r>
        </w:p>
      </w:tc>
    </w:tr>
    <w:bookmarkEnd w:id="2"/>
  </w:tbl>
  <w:p w:rsidR="00FD0E17" w:rsidRPr="00BF747B" w:rsidRDefault="00FD0E17" w:rsidP="00BF747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F747B" w:rsidRPr="0035025C" w:rsidTr="00BF747B">
      <w:trPr>
        <w:jc w:val="center"/>
      </w:trPr>
      <w:tc>
        <w:tcPr>
          <w:tcW w:w="5000" w:type="pct"/>
          <w:gridSpan w:val="7"/>
          <w:shd w:val="clear" w:color="auto" w:fill="auto"/>
          <w:tcMar>
            <w:top w:w="57" w:type="dxa"/>
          </w:tcMar>
        </w:tcPr>
        <w:p w:rsidR="00BF747B" w:rsidRPr="0035025C" w:rsidRDefault="00BF747B" w:rsidP="0035025C">
          <w:pPr>
            <w:pStyle w:val="FooterText"/>
            <w:pBdr>
              <w:top w:val="single" w:sz="4" w:space="1" w:color="auto"/>
            </w:pBdr>
            <w:spacing w:before="200"/>
            <w:rPr>
              <w:sz w:val="2"/>
              <w:szCs w:val="2"/>
            </w:rPr>
          </w:pPr>
        </w:p>
      </w:tc>
    </w:tr>
    <w:tr w:rsidR="00BF747B" w:rsidRPr="00B310DC" w:rsidTr="00BF747B">
      <w:trPr>
        <w:jc w:val="center"/>
      </w:trPr>
      <w:tc>
        <w:tcPr>
          <w:tcW w:w="2500" w:type="pct"/>
          <w:gridSpan w:val="2"/>
          <w:shd w:val="clear" w:color="auto" w:fill="auto"/>
          <w:tcMar>
            <w:top w:w="0" w:type="dxa"/>
          </w:tcMar>
        </w:tcPr>
        <w:p w:rsidR="00BF747B" w:rsidRPr="00AD7BF2" w:rsidRDefault="00BF747B" w:rsidP="0035025C">
          <w:pPr>
            <w:pStyle w:val="FooterText"/>
          </w:pPr>
          <w:r>
            <w:t xml:space="preserve">17086/1/14 REV 1 </w:t>
          </w:r>
        </w:p>
      </w:tc>
      <w:tc>
        <w:tcPr>
          <w:tcW w:w="625" w:type="pct"/>
          <w:shd w:val="clear" w:color="auto" w:fill="auto"/>
          <w:tcMar>
            <w:top w:w="0" w:type="dxa"/>
          </w:tcMar>
        </w:tcPr>
        <w:p w:rsidR="00BF747B" w:rsidRPr="00AD7BF2" w:rsidRDefault="00BF747B" w:rsidP="0035025C">
          <w:pPr>
            <w:pStyle w:val="FooterText"/>
            <w:jc w:val="center"/>
          </w:pPr>
        </w:p>
      </w:tc>
      <w:tc>
        <w:tcPr>
          <w:tcW w:w="1287" w:type="pct"/>
          <w:gridSpan w:val="3"/>
          <w:shd w:val="clear" w:color="auto" w:fill="auto"/>
          <w:tcMar>
            <w:top w:w="0" w:type="dxa"/>
          </w:tcMar>
        </w:tcPr>
        <w:p w:rsidR="00BF747B" w:rsidRPr="002511D8" w:rsidRDefault="00BF747B" w:rsidP="0035025C">
          <w:pPr>
            <w:pStyle w:val="FooterText"/>
            <w:jc w:val="center"/>
          </w:pPr>
          <w:r>
            <w:t>DG/gs</w:t>
          </w:r>
        </w:p>
      </w:tc>
      <w:tc>
        <w:tcPr>
          <w:tcW w:w="588" w:type="pct"/>
          <w:shd w:val="clear" w:color="auto" w:fill="auto"/>
          <w:tcMar>
            <w:top w:w="0" w:type="dxa"/>
          </w:tcMar>
        </w:tcPr>
        <w:p w:rsidR="00BF747B" w:rsidRPr="00B310DC" w:rsidRDefault="00BF747B" w:rsidP="0035025C">
          <w:pPr>
            <w:pStyle w:val="FooterText"/>
            <w:jc w:val="right"/>
          </w:pPr>
        </w:p>
      </w:tc>
    </w:tr>
    <w:tr w:rsidR="00BF747B" w:rsidRPr="0035025C" w:rsidTr="00BF747B">
      <w:trPr>
        <w:jc w:val="center"/>
      </w:trPr>
      <w:tc>
        <w:tcPr>
          <w:tcW w:w="1774" w:type="pct"/>
          <w:shd w:val="clear" w:color="auto" w:fill="auto"/>
        </w:tcPr>
        <w:p w:rsidR="00BF747B" w:rsidRPr="00AD7BF2" w:rsidRDefault="00BF747B" w:rsidP="0035025C">
          <w:pPr>
            <w:pStyle w:val="FooterText"/>
            <w:spacing w:before="40"/>
          </w:pPr>
        </w:p>
      </w:tc>
      <w:tc>
        <w:tcPr>
          <w:tcW w:w="1494" w:type="pct"/>
          <w:gridSpan w:val="3"/>
          <w:shd w:val="clear" w:color="auto" w:fill="auto"/>
        </w:tcPr>
        <w:p w:rsidR="00BF747B" w:rsidRPr="00AD7BF2" w:rsidRDefault="00BF747B" w:rsidP="0035025C">
          <w:pPr>
            <w:pStyle w:val="FooterText"/>
            <w:spacing w:before="40"/>
            <w:jc w:val="center"/>
          </w:pPr>
          <w:r>
            <w:t>DGE 1</w:t>
          </w:r>
        </w:p>
      </w:tc>
      <w:tc>
        <w:tcPr>
          <w:tcW w:w="1107" w:type="pct"/>
          <w:shd w:val="clear" w:color="auto" w:fill="auto"/>
        </w:tcPr>
        <w:p w:rsidR="00BF747B" w:rsidRPr="0035025C" w:rsidRDefault="00BF747B" w:rsidP="0035025C">
          <w:pPr>
            <w:pStyle w:val="FooterText"/>
            <w:jc w:val="right"/>
            <w:rPr>
              <w:b/>
              <w:position w:val="-4"/>
              <w:sz w:val="36"/>
            </w:rPr>
          </w:pPr>
        </w:p>
      </w:tc>
      <w:tc>
        <w:tcPr>
          <w:tcW w:w="625" w:type="pct"/>
          <w:gridSpan w:val="2"/>
          <w:shd w:val="clear" w:color="auto" w:fill="auto"/>
        </w:tcPr>
        <w:p w:rsidR="00BF747B" w:rsidRPr="0035025C" w:rsidRDefault="00BF747B" w:rsidP="0035025C">
          <w:pPr>
            <w:pStyle w:val="FooterText"/>
            <w:jc w:val="right"/>
            <w:rPr>
              <w:sz w:val="16"/>
            </w:rPr>
          </w:pPr>
          <w:r>
            <w:rPr>
              <w:b/>
              <w:position w:val="-4"/>
              <w:sz w:val="36"/>
            </w:rPr>
            <w:t>BG</w:t>
          </w:r>
        </w:p>
      </w:tc>
    </w:tr>
  </w:tbl>
  <w:p w:rsidR="00FD0E17" w:rsidRPr="00BF747B" w:rsidRDefault="00FD0E17" w:rsidP="00BF747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F747B" w:rsidRPr="0035025C" w:rsidTr="00BF747B">
      <w:trPr>
        <w:jc w:val="center"/>
      </w:trPr>
      <w:tc>
        <w:tcPr>
          <w:tcW w:w="5000" w:type="pct"/>
          <w:gridSpan w:val="7"/>
          <w:shd w:val="clear" w:color="auto" w:fill="auto"/>
          <w:tcMar>
            <w:top w:w="57" w:type="dxa"/>
          </w:tcMar>
        </w:tcPr>
        <w:p w:rsidR="00BF747B" w:rsidRPr="0035025C" w:rsidRDefault="00BF747B" w:rsidP="0035025C">
          <w:pPr>
            <w:pStyle w:val="FooterText"/>
            <w:pBdr>
              <w:top w:val="single" w:sz="4" w:space="1" w:color="auto"/>
            </w:pBdr>
            <w:spacing w:before="200"/>
            <w:rPr>
              <w:sz w:val="2"/>
              <w:szCs w:val="2"/>
            </w:rPr>
          </w:pPr>
        </w:p>
      </w:tc>
    </w:tr>
    <w:tr w:rsidR="00BF747B" w:rsidRPr="00B310DC" w:rsidTr="00BF747B">
      <w:trPr>
        <w:jc w:val="center"/>
      </w:trPr>
      <w:tc>
        <w:tcPr>
          <w:tcW w:w="2500" w:type="pct"/>
          <w:gridSpan w:val="2"/>
          <w:shd w:val="clear" w:color="auto" w:fill="auto"/>
          <w:tcMar>
            <w:top w:w="0" w:type="dxa"/>
          </w:tcMar>
        </w:tcPr>
        <w:p w:rsidR="00BF747B" w:rsidRPr="00AD7BF2" w:rsidRDefault="00BF747B" w:rsidP="0035025C">
          <w:pPr>
            <w:pStyle w:val="FooterText"/>
          </w:pPr>
          <w:r>
            <w:t xml:space="preserve">17086/1/14 REV 1 </w:t>
          </w:r>
        </w:p>
      </w:tc>
      <w:tc>
        <w:tcPr>
          <w:tcW w:w="625" w:type="pct"/>
          <w:shd w:val="clear" w:color="auto" w:fill="auto"/>
          <w:tcMar>
            <w:top w:w="0" w:type="dxa"/>
          </w:tcMar>
        </w:tcPr>
        <w:p w:rsidR="00BF747B" w:rsidRPr="00AD7BF2" w:rsidRDefault="00BF747B" w:rsidP="0035025C">
          <w:pPr>
            <w:pStyle w:val="FooterText"/>
            <w:jc w:val="center"/>
          </w:pPr>
        </w:p>
      </w:tc>
      <w:tc>
        <w:tcPr>
          <w:tcW w:w="1287" w:type="pct"/>
          <w:gridSpan w:val="3"/>
          <w:shd w:val="clear" w:color="auto" w:fill="auto"/>
          <w:tcMar>
            <w:top w:w="0" w:type="dxa"/>
          </w:tcMar>
        </w:tcPr>
        <w:p w:rsidR="00BF747B" w:rsidRPr="002511D8" w:rsidRDefault="00BF747B" w:rsidP="0035025C">
          <w:pPr>
            <w:pStyle w:val="FooterText"/>
            <w:jc w:val="center"/>
          </w:pPr>
          <w:r>
            <w:t>DG/gs</w:t>
          </w:r>
        </w:p>
      </w:tc>
      <w:tc>
        <w:tcPr>
          <w:tcW w:w="588" w:type="pct"/>
          <w:shd w:val="clear" w:color="auto" w:fill="auto"/>
          <w:tcMar>
            <w:top w:w="0" w:type="dxa"/>
          </w:tcMar>
        </w:tcPr>
        <w:p w:rsidR="00BF747B" w:rsidRPr="00B310DC" w:rsidRDefault="00BF747B"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BF747B" w:rsidRPr="0035025C" w:rsidTr="00BF747B">
      <w:trPr>
        <w:jc w:val="center"/>
      </w:trPr>
      <w:tc>
        <w:tcPr>
          <w:tcW w:w="1774" w:type="pct"/>
          <w:shd w:val="clear" w:color="auto" w:fill="auto"/>
        </w:tcPr>
        <w:p w:rsidR="00BF747B" w:rsidRPr="00AD7BF2" w:rsidRDefault="00BF747B" w:rsidP="0035025C">
          <w:pPr>
            <w:pStyle w:val="FooterText"/>
            <w:spacing w:before="40"/>
          </w:pPr>
          <w:r>
            <w:t>ПРИЛОЖЕНИЕ I</w:t>
          </w:r>
        </w:p>
      </w:tc>
      <w:tc>
        <w:tcPr>
          <w:tcW w:w="1494" w:type="pct"/>
          <w:gridSpan w:val="3"/>
          <w:shd w:val="clear" w:color="auto" w:fill="auto"/>
        </w:tcPr>
        <w:p w:rsidR="00BF747B" w:rsidRPr="00AD7BF2" w:rsidRDefault="00BF747B" w:rsidP="0035025C">
          <w:pPr>
            <w:pStyle w:val="FooterText"/>
            <w:spacing w:before="40"/>
            <w:jc w:val="center"/>
          </w:pPr>
          <w:r>
            <w:t>DGE 1</w:t>
          </w:r>
        </w:p>
      </w:tc>
      <w:tc>
        <w:tcPr>
          <w:tcW w:w="1107" w:type="pct"/>
          <w:shd w:val="clear" w:color="auto" w:fill="auto"/>
        </w:tcPr>
        <w:p w:rsidR="00BF747B" w:rsidRPr="0035025C" w:rsidRDefault="00BF747B" w:rsidP="0035025C">
          <w:pPr>
            <w:pStyle w:val="FooterText"/>
            <w:jc w:val="right"/>
            <w:rPr>
              <w:b/>
              <w:position w:val="-4"/>
              <w:sz w:val="36"/>
            </w:rPr>
          </w:pPr>
        </w:p>
      </w:tc>
      <w:tc>
        <w:tcPr>
          <w:tcW w:w="625" w:type="pct"/>
          <w:gridSpan w:val="2"/>
          <w:shd w:val="clear" w:color="auto" w:fill="auto"/>
        </w:tcPr>
        <w:p w:rsidR="00BF747B" w:rsidRPr="0035025C" w:rsidRDefault="00BF747B" w:rsidP="0035025C">
          <w:pPr>
            <w:pStyle w:val="FooterText"/>
            <w:jc w:val="right"/>
            <w:rPr>
              <w:sz w:val="16"/>
            </w:rPr>
          </w:pPr>
          <w:r>
            <w:rPr>
              <w:b/>
              <w:position w:val="-4"/>
              <w:sz w:val="36"/>
            </w:rPr>
            <w:t>BG</w:t>
          </w:r>
        </w:p>
      </w:tc>
    </w:tr>
  </w:tbl>
  <w:p w:rsidR="00FD0E17" w:rsidRPr="00BF747B" w:rsidRDefault="00FD0E17" w:rsidP="00BF747B">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F747B" w:rsidRPr="0035025C" w:rsidTr="00BF747B">
      <w:trPr>
        <w:jc w:val="center"/>
      </w:trPr>
      <w:tc>
        <w:tcPr>
          <w:tcW w:w="5000" w:type="pct"/>
          <w:gridSpan w:val="7"/>
          <w:shd w:val="clear" w:color="auto" w:fill="auto"/>
          <w:tcMar>
            <w:top w:w="57" w:type="dxa"/>
          </w:tcMar>
        </w:tcPr>
        <w:p w:rsidR="00BF747B" w:rsidRPr="0035025C" w:rsidRDefault="00BF747B" w:rsidP="0035025C">
          <w:pPr>
            <w:pStyle w:val="FooterText"/>
            <w:pBdr>
              <w:top w:val="single" w:sz="4" w:space="1" w:color="auto"/>
            </w:pBdr>
            <w:spacing w:before="200"/>
            <w:rPr>
              <w:sz w:val="2"/>
              <w:szCs w:val="2"/>
            </w:rPr>
          </w:pPr>
        </w:p>
      </w:tc>
    </w:tr>
    <w:tr w:rsidR="00BF747B" w:rsidRPr="00B310DC" w:rsidTr="00BF747B">
      <w:trPr>
        <w:jc w:val="center"/>
      </w:trPr>
      <w:tc>
        <w:tcPr>
          <w:tcW w:w="2500" w:type="pct"/>
          <w:gridSpan w:val="2"/>
          <w:shd w:val="clear" w:color="auto" w:fill="auto"/>
          <w:tcMar>
            <w:top w:w="0" w:type="dxa"/>
          </w:tcMar>
        </w:tcPr>
        <w:p w:rsidR="00BF747B" w:rsidRPr="00AD7BF2" w:rsidRDefault="00BF747B" w:rsidP="0035025C">
          <w:pPr>
            <w:pStyle w:val="FooterText"/>
          </w:pPr>
          <w:r>
            <w:t xml:space="preserve">17086/1/14 REV 1 </w:t>
          </w:r>
        </w:p>
      </w:tc>
      <w:tc>
        <w:tcPr>
          <w:tcW w:w="625" w:type="pct"/>
          <w:shd w:val="clear" w:color="auto" w:fill="auto"/>
          <w:tcMar>
            <w:top w:w="0" w:type="dxa"/>
          </w:tcMar>
        </w:tcPr>
        <w:p w:rsidR="00BF747B" w:rsidRPr="00AD7BF2" w:rsidRDefault="00BF747B" w:rsidP="0035025C">
          <w:pPr>
            <w:pStyle w:val="FooterText"/>
            <w:jc w:val="center"/>
          </w:pPr>
        </w:p>
      </w:tc>
      <w:tc>
        <w:tcPr>
          <w:tcW w:w="1287" w:type="pct"/>
          <w:gridSpan w:val="3"/>
          <w:shd w:val="clear" w:color="auto" w:fill="auto"/>
          <w:tcMar>
            <w:top w:w="0" w:type="dxa"/>
          </w:tcMar>
        </w:tcPr>
        <w:p w:rsidR="00BF747B" w:rsidRPr="002511D8" w:rsidRDefault="00BF747B" w:rsidP="0035025C">
          <w:pPr>
            <w:pStyle w:val="FooterText"/>
            <w:jc w:val="center"/>
          </w:pPr>
          <w:r>
            <w:t>DG/gs</w:t>
          </w:r>
        </w:p>
      </w:tc>
      <w:tc>
        <w:tcPr>
          <w:tcW w:w="588" w:type="pct"/>
          <w:shd w:val="clear" w:color="auto" w:fill="auto"/>
          <w:tcMar>
            <w:top w:w="0" w:type="dxa"/>
          </w:tcMar>
        </w:tcPr>
        <w:p w:rsidR="00BF747B" w:rsidRPr="00B310DC" w:rsidRDefault="00BF747B"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BF747B" w:rsidRPr="0035025C" w:rsidTr="00BF747B">
      <w:trPr>
        <w:jc w:val="center"/>
      </w:trPr>
      <w:tc>
        <w:tcPr>
          <w:tcW w:w="1774" w:type="pct"/>
          <w:shd w:val="clear" w:color="auto" w:fill="auto"/>
        </w:tcPr>
        <w:p w:rsidR="00BF747B" w:rsidRPr="00AD7BF2" w:rsidRDefault="00BF747B" w:rsidP="0035025C">
          <w:pPr>
            <w:pStyle w:val="FooterText"/>
            <w:spacing w:before="40"/>
          </w:pPr>
          <w:r>
            <w:t>ПРИЛОЖЕНИЕ ІІ</w:t>
          </w:r>
        </w:p>
      </w:tc>
      <w:tc>
        <w:tcPr>
          <w:tcW w:w="1494" w:type="pct"/>
          <w:gridSpan w:val="3"/>
          <w:shd w:val="clear" w:color="auto" w:fill="auto"/>
        </w:tcPr>
        <w:p w:rsidR="00BF747B" w:rsidRPr="00AD7BF2" w:rsidRDefault="00BF747B" w:rsidP="0035025C">
          <w:pPr>
            <w:pStyle w:val="FooterText"/>
            <w:spacing w:before="40"/>
            <w:jc w:val="center"/>
          </w:pPr>
          <w:r>
            <w:t>DGE 1</w:t>
          </w:r>
        </w:p>
      </w:tc>
      <w:tc>
        <w:tcPr>
          <w:tcW w:w="1107" w:type="pct"/>
          <w:shd w:val="clear" w:color="auto" w:fill="auto"/>
        </w:tcPr>
        <w:p w:rsidR="00BF747B" w:rsidRPr="0035025C" w:rsidRDefault="00BF747B" w:rsidP="0035025C">
          <w:pPr>
            <w:pStyle w:val="FooterText"/>
            <w:jc w:val="right"/>
            <w:rPr>
              <w:b/>
              <w:position w:val="-4"/>
              <w:sz w:val="36"/>
            </w:rPr>
          </w:pPr>
        </w:p>
      </w:tc>
      <w:tc>
        <w:tcPr>
          <w:tcW w:w="625" w:type="pct"/>
          <w:gridSpan w:val="2"/>
          <w:shd w:val="clear" w:color="auto" w:fill="auto"/>
        </w:tcPr>
        <w:p w:rsidR="00BF747B" w:rsidRPr="0035025C" w:rsidRDefault="00BF747B" w:rsidP="0035025C">
          <w:pPr>
            <w:pStyle w:val="FooterText"/>
            <w:jc w:val="right"/>
            <w:rPr>
              <w:sz w:val="16"/>
            </w:rPr>
          </w:pPr>
          <w:r>
            <w:rPr>
              <w:b/>
              <w:position w:val="-4"/>
              <w:sz w:val="36"/>
            </w:rPr>
            <w:t>BG</w:t>
          </w:r>
        </w:p>
      </w:tc>
    </w:tr>
  </w:tbl>
  <w:p w:rsidR="00953CAF" w:rsidRPr="00BF747B" w:rsidRDefault="00953CAF" w:rsidP="00BF747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17" w:rsidRDefault="00FD0E17" w:rsidP="00A60CFD">
      <w:pPr>
        <w:spacing w:before="0" w:after="0" w:line="240" w:lineRule="auto"/>
      </w:pPr>
      <w:r>
        <w:separator/>
      </w:r>
    </w:p>
  </w:footnote>
  <w:footnote w:type="continuationSeparator" w:id="0">
    <w:p w:rsidR="00FD0E17" w:rsidRDefault="00FD0E17" w:rsidP="00A60CFD">
      <w:pPr>
        <w:spacing w:before="0" w:after="0" w:line="240" w:lineRule="auto"/>
      </w:pPr>
      <w:r>
        <w:continuationSeparator/>
      </w:r>
    </w:p>
  </w:footnote>
  <w:footnote w:id="1">
    <w:p w:rsidR="00FD0E17" w:rsidRDefault="00FD0E17" w:rsidP="001C6C57">
      <w:pPr>
        <w:pStyle w:val="FootnoteText"/>
      </w:pPr>
      <w:r>
        <w:rPr>
          <w:rStyle w:val="FootnoteReference"/>
        </w:rPr>
        <w:footnoteRef/>
      </w:r>
      <w:r>
        <w:tab/>
        <w:t xml:space="preserve">OВ </w:t>
      </w:r>
      <w:r w:rsidRPr="00BE3F64">
        <w:t>67, 6.3.2014</w:t>
      </w:r>
      <w:r>
        <w:t xml:space="preserve"> г.</w:t>
      </w:r>
      <w:r w:rsidRPr="00BE3F64">
        <w:t xml:space="preserve">, </w:t>
      </w:r>
      <w:r>
        <w:t>стр</w:t>
      </w:r>
      <w:r w:rsidRPr="00BE3F64">
        <w:t>. 170</w:t>
      </w:r>
      <w:r>
        <w:t>.</w:t>
      </w:r>
    </w:p>
  </w:footnote>
  <w:footnote w:id="2">
    <w:p w:rsidR="00FD0E17" w:rsidRPr="00E53405" w:rsidRDefault="00FD0E17" w:rsidP="00D56495">
      <w:pPr>
        <w:pStyle w:val="FootnoteText"/>
      </w:pPr>
      <w:r>
        <w:rPr>
          <w:rStyle w:val="FootnoteReference"/>
        </w:rPr>
        <w:footnoteRef/>
      </w:r>
      <w:r w:rsidRPr="00C57A71">
        <w:tab/>
        <w:t xml:space="preserve">Позиция на Европейския парламент от </w:t>
      </w:r>
      <w:r>
        <w:t>16 април 2014 г.</w:t>
      </w:r>
      <w:r w:rsidRPr="00C57A71">
        <w:t xml:space="preserve"> (все още непубликувана в Официален </w:t>
      </w:r>
      <w:r>
        <w:rPr>
          <w:snapToGrid w:val="0"/>
          <w:szCs w:val="24"/>
          <w:lang w:eastAsia="en-GB"/>
        </w:rPr>
        <w:t xml:space="preserve">вестник) и </w:t>
      </w:r>
      <w:r w:rsidRPr="000C3C37">
        <w:t>позиция</w:t>
      </w:r>
      <w:r>
        <w:rPr>
          <w:snapToGrid w:val="0"/>
          <w:szCs w:val="24"/>
          <w:lang w:eastAsia="en-GB"/>
        </w:rPr>
        <w:t xml:space="preserve"> на Съвета </w:t>
      </w:r>
      <w:r w:rsidRPr="00362D23">
        <w:t xml:space="preserve">на първо четене </w:t>
      </w:r>
      <w:r>
        <w:rPr>
          <w:snapToGrid w:val="0"/>
          <w:szCs w:val="24"/>
          <w:lang w:eastAsia="en-GB"/>
        </w:rPr>
        <w:t xml:space="preserve">от </w:t>
      </w:r>
      <w:r w:rsidR="00D56495">
        <w:rPr>
          <w:snapToGrid w:val="0"/>
          <w:szCs w:val="24"/>
          <w:lang w:eastAsia="en-GB"/>
        </w:rPr>
        <w:t xml:space="preserve">5 март 2015 г. </w:t>
      </w:r>
      <w:r w:rsidRPr="000C3C37">
        <w:t xml:space="preserve">(все още непубликувана в Официален </w:t>
      </w:r>
      <w:r>
        <w:rPr>
          <w:snapToGrid w:val="0"/>
          <w:szCs w:val="24"/>
          <w:lang w:eastAsia="en-GB"/>
        </w:rPr>
        <w:t>вестник)</w:t>
      </w:r>
      <w:r>
        <w:t>.</w:t>
      </w:r>
      <w:r w:rsidRPr="00362D23">
        <w:t xml:space="preserve"> </w:t>
      </w:r>
      <w:r>
        <w:t>П</w:t>
      </w:r>
      <w:r w:rsidRPr="00362D23">
        <w:t xml:space="preserve">озиция </w:t>
      </w:r>
      <w:r w:rsidRPr="000C3C37">
        <w:t xml:space="preserve">на Европейския парламент от … (все още непубликувана в Официален </w:t>
      </w:r>
      <w:r>
        <w:rPr>
          <w:snapToGrid w:val="0"/>
          <w:szCs w:val="24"/>
          <w:lang w:eastAsia="en-GB"/>
        </w:rPr>
        <w:t>вестник)</w:t>
      </w:r>
      <w:r w:rsidRPr="00B82291">
        <w:rPr>
          <w:snapToGrid w:val="0"/>
          <w:szCs w:val="24"/>
          <w:lang w:eastAsia="en-GB"/>
        </w:rPr>
        <w:t>.</w:t>
      </w:r>
    </w:p>
  </w:footnote>
  <w:footnote w:id="3">
    <w:p w:rsidR="00FD0E17" w:rsidRPr="00E018D4" w:rsidRDefault="00FD0E17" w:rsidP="00C16045">
      <w:pPr>
        <w:pStyle w:val="FootnoteText"/>
      </w:pPr>
      <w:r>
        <w:rPr>
          <w:rStyle w:val="FootnoteReference"/>
        </w:rPr>
        <w:footnoteRef/>
      </w:r>
      <w:r>
        <w:tab/>
        <w:t xml:space="preserve">Директива 2009/29/ЕО на Европейския парламент и на Съвета от 23 април 2009 г. за изменение на Директива 2003/87/ЕО с оглед подобряване и разширяване на схемата за търговия с квоти за емисии на парникови газове на Общността </w:t>
      </w:r>
      <w:r w:rsidRPr="00C57A71">
        <w:t>(</w:t>
      </w:r>
      <w:r>
        <w:t>OB L 140, 5.6.2009 г., стр. 63</w:t>
      </w:r>
      <w:r w:rsidRPr="00C57A71">
        <w:t>)</w:t>
      </w:r>
      <w:r w:rsidR="00E452D7">
        <w:t>.</w:t>
      </w:r>
    </w:p>
  </w:footnote>
  <w:footnote w:id="4">
    <w:p w:rsidR="00FD0E17" w:rsidRDefault="00FD0E17">
      <w:pPr>
        <w:pStyle w:val="FootnoteText"/>
      </w:pPr>
      <w:r>
        <w:rPr>
          <w:rStyle w:val="FootnoteReference"/>
        </w:rPr>
        <w:footnoteRef/>
      </w:r>
      <w:r w:rsidRPr="009158F2">
        <w:tab/>
      </w:r>
      <w:r>
        <w:t xml:space="preserve">Решение № 406/2009/ЕО на Европейския парламент и на Съвета от 23 април 2009 г. относно усилията на държавите-членки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w:t>
      </w:r>
      <w:r w:rsidRPr="008A595A">
        <w:t>(</w:t>
      </w:r>
      <w:r>
        <w:t>OB L 140, 5.6.2009 г., стр.</w:t>
      </w:r>
      <w:r>
        <w:rPr>
          <w:lang w:val="en-GB"/>
        </w:rPr>
        <w:t> </w:t>
      </w:r>
      <w:r>
        <w:t>136</w:t>
      </w:r>
      <w:r w:rsidRPr="008A595A">
        <w:t>)</w:t>
      </w:r>
      <w:r>
        <w:t>.</w:t>
      </w:r>
    </w:p>
  </w:footnote>
  <w:footnote w:id="5">
    <w:p w:rsidR="00FD0E17" w:rsidRPr="00E018D4" w:rsidRDefault="00FD0E17" w:rsidP="001C6C57">
      <w:pPr>
        <w:pStyle w:val="FootnoteText"/>
      </w:pPr>
      <w:r>
        <w:rPr>
          <w:rStyle w:val="FootnoteReference"/>
        </w:rPr>
        <w:footnoteRef/>
      </w:r>
      <w:r w:rsidRPr="00C57A71">
        <w:tab/>
        <w:t>Решение № 1386/2013/ЕС на Европейския парламент</w:t>
      </w:r>
      <w:r>
        <w:t xml:space="preserve"> и на Съвета от 20 ноември 2013</w:t>
      </w:r>
      <w:r>
        <w:rPr>
          <w:lang w:val="en-GB"/>
        </w:rPr>
        <w:t> </w:t>
      </w:r>
      <w:r w:rsidRPr="00C57A71">
        <w:t>г</w:t>
      </w:r>
      <w:r>
        <w:t>.</w:t>
      </w:r>
      <w:r w:rsidRPr="00C57A71">
        <w:t xml:space="preserve"> относно Обща програма на Европейския съюз за действие за околната среда до 2020 година „Да живеем добре в пределите на нашата пл</w:t>
      </w:r>
      <w:r w:rsidRPr="00E018D4">
        <w:t>анета“</w:t>
      </w:r>
      <w:r w:rsidRPr="00C57A71">
        <w:t xml:space="preserve"> (</w:t>
      </w:r>
      <w:r w:rsidRPr="00E018D4">
        <w:rPr>
          <w:lang w:val="en-GB"/>
        </w:rPr>
        <w:t>OB</w:t>
      </w:r>
      <w:r w:rsidRPr="00C57A71">
        <w:t xml:space="preserve"> </w:t>
      </w:r>
      <w:r w:rsidRPr="00E018D4">
        <w:rPr>
          <w:lang w:val="en-GB"/>
        </w:rPr>
        <w:t>L</w:t>
      </w:r>
      <w:r w:rsidR="000B68D9">
        <w:t xml:space="preserve"> 354, 28.12.2013</w:t>
      </w:r>
      <w:r w:rsidR="000B68D9">
        <w:rPr>
          <w:lang w:val="en-GB"/>
        </w:rPr>
        <w:t> </w:t>
      </w:r>
      <w:r w:rsidRPr="00C57A71">
        <w:t>г., стр. 171).</w:t>
      </w:r>
    </w:p>
  </w:footnote>
  <w:footnote w:id="6">
    <w:p w:rsidR="00FD0E17" w:rsidRPr="00C65CC8" w:rsidRDefault="00FD0E17" w:rsidP="001C6C57">
      <w:pPr>
        <w:pStyle w:val="FootnoteText"/>
      </w:pPr>
      <w:r>
        <w:rPr>
          <w:rStyle w:val="FootnoteReference"/>
        </w:rPr>
        <w:footnoteRef/>
      </w:r>
      <w:r>
        <w:tab/>
      </w:r>
      <w:r w:rsidRPr="00C65CC8">
        <w:t xml:space="preserve">Решение 2012/504/ЕС на Комисията от 17 септември 2012 г. относно Евростат </w:t>
      </w:r>
      <w:r w:rsidRPr="00B20774">
        <w:t>(</w:t>
      </w:r>
      <w:r>
        <w:t>ОВ L 251, 5.8.2012 г., стр. 49</w:t>
      </w:r>
      <w:r w:rsidRPr="00B20774">
        <w:t>).</w:t>
      </w:r>
    </w:p>
  </w:footnote>
  <w:footnote w:id="7">
    <w:p w:rsidR="00FD0E17" w:rsidRPr="000D5E2A" w:rsidRDefault="00FD0E17" w:rsidP="001C6C57">
      <w:pPr>
        <w:pStyle w:val="FootnoteText"/>
      </w:pPr>
      <w:r>
        <w:rPr>
          <w:rStyle w:val="FootnoteReference"/>
        </w:rPr>
        <w:footnoteRef/>
      </w:r>
      <w:r>
        <w:tab/>
        <w:t>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 13.8.2008 г., стр. 30)</w:t>
      </w:r>
      <w:r w:rsidRPr="00B20774">
        <w:t>.</w:t>
      </w:r>
    </w:p>
  </w:footnote>
  <w:footnote w:id="8">
    <w:p w:rsidR="00FD0E17" w:rsidRPr="00C65CC8" w:rsidRDefault="00FD0E17" w:rsidP="001C6C57">
      <w:pPr>
        <w:pStyle w:val="FootnoteText"/>
      </w:pPr>
      <w:r>
        <w:rPr>
          <w:rStyle w:val="FootnoteReference"/>
        </w:rPr>
        <w:footnoteRef/>
      </w:r>
      <w:r>
        <w:tab/>
      </w:r>
      <w:r w:rsidRPr="00C65CC8">
        <w:t>Директива 2009/16/ЕО на Европейския парламент и на Съвета от 23 април 2009 г</w:t>
      </w:r>
      <w:r>
        <w:t>.</w:t>
      </w:r>
      <w:r w:rsidRPr="00C65CC8">
        <w:t xml:space="preserve"> относно държавния пристанищен контрол </w:t>
      </w:r>
      <w:r w:rsidRPr="00B20774">
        <w:t>(</w:t>
      </w:r>
      <w:r>
        <w:t>OВ L 131, 28.5.2009 г., стр. 57</w:t>
      </w:r>
      <w:r w:rsidRPr="00B20774">
        <w:t>).</w:t>
      </w:r>
    </w:p>
  </w:footnote>
  <w:footnote w:id="9">
    <w:p w:rsidR="00FD0E17" w:rsidRPr="00C65CC8" w:rsidRDefault="00FD0E17" w:rsidP="008A2E92">
      <w:pPr>
        <w:pStyle w:val="FootnoteText"/>
      </w:pPr>
      <w:r>
        <w:rPr>
          <w:rStyle w:val="FootnoteReference"/>
        </w:rPr>
        <w:footnoteRef/>
      </w:r>
      <w:r>
        <w:tab/>
      </w:r>
      <w:r w:rsidRPr="00C65CC8">
        <w:t>Директива 2009/21/ЕО на Европейския парламент и на Съвета от 23 април 2009 г</w:t>
      </w:r>
      <w:r>
        <w:t>.</w:t>
      </w:r>
      <w:r w:rsidRPr="00C65CC8">
        <w:t xml:space="preserve"> относно спазването на изискванията за държавата на знамето </w:t>
      </w:r>
      <w:r w:rsidRPr="0040289D">
        <w:t>(</w:t>
      </w:r>
      <w:r>
        <w:t>OВ L 131, 28.5.2009 г., стр. 132</w:t>
      </w:r>
      <w:r w:rsidRPr="0040289D">
        <w:t>).</w:t>
      </w:r>
    </w:p>
  </w:footnote>
  <w:footnote w:id="10">
    <w:p w:rsidR="00FD0E17" w:rsidRPr="001E165D" w:rsidRDefault="00FD0E17" w:rsidP="00D27E14">
      <w:pPr>
        <w:pStyle w:val="FootnoteText"/>
      </w:pPr>
      <w:r>
        <w:rPr>
          <w:rStyle w:val="FootnoteReference"/>
        </w:rPr>
        <w:footnoteRef/>
      </w:r>
      <w:r>
        <w:tab/>
      </w:r>
      <w:r w:rsidRPr="001E165D">
        <w:t>Регламент (ЕС) № 182/2011 на Европейския парламент и на Съвета от 16 февруари 2011 г</w:t>
      </w:r>
      <w:r>
        <w:t>.</w:t>
      </w:r>
      <w:r w:rsidRPr="001E165D">
        <w:t xml:space="preserve">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w:t>
      </w:r>
      <w:r w:rsidRPr="00B20774">
        <w:t>(</w:t>
      </w:r>
      <w:r>
        <w:t>ОВ L </w:t>
      </w:r>
      <w:r w:rsidRPr="00B20774">
        <w:t>55, 28.2.2011</w:t>
      </w:r>
      <w:r>
        <w:t xml:space="preserve"> г.</w:t>
      </w:r>
      <w:r w:rsidRPr="00B20774">
        <w:t xml:space="preserve">, </w:t>
      </w:r>
      <w:r>
        <w:t>стр</w:t>
      </w:r>
      <w:r w:rsidRPr="00B20774">
        <w:t>. 13).</w:t>
      </w:r>
    </w:p>
  </w:footnote>
  <w:footnote w:id="11">
    <w:p w:rsidR="00FD0E17" w:rsidRPr="001E165D" w:rsidRDefault="00FD0E17" w:rsidP="001C6C57">
      <w:pPr>
        <w:pStyle w:val="FootnoteText"/>
      </w:pPr>
      <w:r>
        <w:rPr>
          <w:rStyle w:val="FootnoteReference"/>
        </w:rPr>
        <w:footnoteRef/>
      </w:r>
      <w:r>
        <w:tab/>
      </w:r>
      <w:r w:rsidRPr="001E165D">
        <w:t>Директива 95/46/ЕО на Европейския парламент и на Съвета от 24 октомври 1995 г</w:t>
      </w:r>
      <w:r>
        <w:t>.</w:t>
      </w:r>
      <w:r w:rsidRPr="001E165D">
        <w:t xml:space="preserve"> за защита на физическите лица при обработването на лични данни и за свободното движение на тези данни </w:t>
      </w:r>
      <w:r w:rsidRPr="00B20774">
        <w:t>(</w:t>
      </w:r>
      <w:r>
        <w:t>ОВ L 281, 23.11.1995 г., стр. 31</w:t>
      </w:r>
      <w:r w:rsidRPr="00B20774">
        <w:t>).</w:t>
      </w:r>
    </w:p>
  </w:footnote>
  <w:footnote w:id="12">
    <w:p w:rsidR="00FD0E17" w:rsidRPr="001E165D" w:rsidRDefault="00FD0E17" w:rsidP="001C6C57">
      <w:pPr>
        <w:pStyle w:val="FootnoteText"/>
      </w:pPr>
      <w:r>
        <w:rPr>
          <w:rStyle w:val="FootnoteReference"/>
        </w:rPr>
        <w:footnoteRef/>
      </w:r>
      <w:r>
        <w:tab/>
      </w:r>
      <w:r w:rsidRPr="001E165D">
        <w:t>Регламент (ЕО) № 45/2001 на Европейския парламент и на Съвета от 18 декември 2000 г</w:t>
      </w:r>
      <w:r>
        <w:t>.</w:t>
      </w:r>
      <w:r w:rsidRPr="001E165D">
        <w:t xml:space="preserve"> относно защитата на лицата по отношение на обработката на лични данни от институции и органи на Общността и за свободното движение на такива данни </w:t>
      </w:r>
      <w:r w:rsidRPr="000C3C37">
        <w:t>(</w:t>
      </w:r>
      <w:r>
        <w:t>ОВ L 8, 12.1.2001 г., стр. 1</w:t>
      </w:r>
      <w:r w:rsidRPr="000C3C37">
        <w:t>)</w:t>
      </w:r>
    </w:p>
  </w:footnote>
  <w:footnote w:id="13">
    <w:p w:rsidR="00FD0E17" w:rsidRPr="00F138E9" w:rsidRDefault="00FD0E17" w:rsidP="001C6C57">
      <w:pPr>
        <w:pStyle w:val="FootnoteText"/>
      </w:pPr>
      <w:r>
        <w:rPr>
          <w:rStyle w:val="FootnoteReference"/>
        </w:rPr>
        <w:footnoteRef/>
      </w:r>
      <w:r>
        <w:tab/>
        <w:t xml:space="preserve">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w:t>
      </w:r>
      <w:r w:rsidRPr="00C62DA3">
        <w:t>(</w:t>
      </w:r>
      <w:r>
        <w:t>OB L 264, 25.9.2006 г., стр. 13</w:t>
      </w:r>
      <w:r w:rsidRPr="00C62DA3">
        <w:t>).</w:t>
      </w:r>
    </w:p>
  </w:footnote>
  <w:footnote w:id="14">
    <w:p w:rsidR="00FD0E17" w:rsidRPr="00F138E9" w:rsidRDefault="00FD0E17" w:rsidP="001C6C57">
      <w:pPr>
        <w:pStyle w:val="FootnoteText"/>
      </w:pPr>
      <w:r>
        <w:rPr>
          <w:rStyle w:val="FootnoteReference"/>
        </w:rPr>
        <w:footnoteRef/>
      </w:r>
      <w:r>
        <w:tab/>
      </w:r>
      <w:r w:rsidRPr="00F138E9">
        <w:t>Регламент (ЕО) № 1406/2002 на Европейския парламент и на Съвета от 27 юни 2002 г</w:t>
      </w:r>
      <w:r>
        <w:t>.</w:t>
      </w:r>
      <w:r w:rsidRPr="00F138E9">
        <w:t xml:space="preserve"> за създаване на Европейска агенция за морска безопасност </w:t>
      </w:r>
      <w:r w:rsidRPr="00C62DA3">
        <w:t>(</w:t>
      </w:r>
      <w:r>
        <w:t>ОВ L 208, 5.8.2002 г., стр. 1</w:t>
      </w:r>
      <w:r w:rsidRPr="00C62DA3">
        <w:t>).</w:t>
      </w:r>
    </w:p>
  </w:footnote>
  <w:footnote w:id="15">
    <w:p w:rsidR="00FD0E17" w:rsidRDefault="00FD0E17" w:rsidP="003D1328">
      <w:pPr>
        <w:pStyle w:val="FootnoteText"/>
      </w:pPr>
      <w:r>
        <w:rPr>
          <w:rStyle w:val="FootnoteReference"/>
        </w:rPr>
        <w:footnoteRef/>
      </w:r>
      <w:r>
        <w:tab/>
      </w:r>
      <w:r w:rsidRPr="00D723B0">
        <w:t>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w:t>
      </w:r>
      <w:r w:rsidRPr="003D1328">
        <w:rPr>
          <w:b/>
          <w:bCs/>
        </w:rPr>
        <w:t xml:space="preserve"> </w:t>
      </w:r>
      <w:r w:rsidRPr="003251DE">
        <w:t>(O</w:t>
      </w:r>
      <w:r>
        <w:t>В</w:t>
      </w:r>
      <w:r w:rsidRPr="003251DE">
        <w:t xml:space="preserve"> L </w:t>
      </w:r>
      <w:r w:rsidRPr="003D1328">
        <w:t>165, 18.6.2013</w:t>
      </w:r>
      <w:r>
        <w:t xml:space="preserve"> г.</w:t>
      </w:r>
      <w:r w:rsidRPr="003D1328">
        <w:t xml:space="preserve">, </w:t>
      </w:r>
      <w:r>
        <w:t>стр</w:t>
      </w:r>
      <w:r w:rsidRPr="003D1328">
        <w:t>. 13</w:t>
      </w:r>
      <w:r w:rsidRPr="003251DE">
        <w:t>).</w:t>
      </w:r>
    </w:p>
  </w:footnote>
  <w:footnote w:id="16">
    <w:p w:rsidR="00FD0E17" w:rsidRPr="007E68D5" w:rsidRDefault="00FD0E17" w:rsidP="001C6C57">
      <w:pPr>
        <w:pStyle w:val="FootnoteText"/>
      </w:pPr>
      <w:r>
        <w:rPr>
          <w:rStyle w:val="FootnoteReference"/>
        </w:rPr>
        <w:t>*</w:t>
      </w:r>
      <w:r>
        <w:tab/>
        <w:t>OВ: моля да попълните номера и датата на настоящия регламент в текста, както и бел. под линия, съдържаща пълното заглавие и данните за публикацията в ОВ.</w:t>
      </w:r>
    </w:p>
  </w:footnote>
  <w:footnote w:id="17">
    <w:p w:rsidR="00FD0E17" w:rsidRPr="003251DE" w:rsidRDefault="00FD0E17" w:rsidP="001C6C57">
      <w:pPr>
        <w:pStyle w:val="FootnoteText"/>
      </w:pPr>
      <w:r>
        <w:rPr>
          <w:rStyle w:val="FootnoteReference"/>
        </w:rPr>
        <w:footnoteRef/>
      </w:r>
      <w:r>
        <w:tab/>
      </w:r>
      <w:r w:rsidRPr="00DE6779">
        <w:t>Регламент (ЕС) № 601/2012 на Комисията от 21 юни 2012 г</w:t>
      </w:r>
      <w:r>
        <w:t>.</w:t>
      </w:r>
      <w:r w:rsidRPr="00DE6779">
        <w:t xml:space="preserve"> относно мониторинга и докладването на емисиите на парникови газове съгласно Директива 2003/87/ЕО на Европейския парламент и на Съвета </w:t>
      </w:r>
      <w:r w:rsidRPr="00263033">
        <w:t>(</w:t>
      </w:r>
      <w:r>
        <w:t>ОВ L 181, 12.7.2012 г., стр. 30—104</w:t>
      </w:r>
      <w:r w:rsidRPr="0026303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1A" w:rsidRPr="00BF747B" w:rsidRDefault="00FC051A" w:rsidP="00BF747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AF" w:rsidRPr="00BF747B" w:rsidRDefault="00953CAF" w:rsidP="00BF747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1A" w:rsidRPr="00BF747B" w:rsidRDefault="00FC051A" w:rsidP="00BF747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1A" w:rsidRPr="00BF747B" w:rsidRDefault="00FC051A" w:rsidP="00BF747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17" w:rsidRPr="00BF747B" w:rsidRDefault="00FD0E17" w:rsidP="00BF7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F09E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F214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5843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3B09C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8CA9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74C6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3EED42"/>
    <w:lvl w:ilvl="0">
      <w:start w:val="1"/>
      <w:numFmt w:val="decimal"/>
      <w:pStyle w:val="ListNumber"/>
      <w:lvlText w:val="%1."/>
      <w:lvlJc w:val="left"/>
      <w:pPr>
        <w:tabs>
          <w:tab w:val="num" w:pos="360"/>
        </w:tabs>
        <w:ind w:left="360" w:hanging="360"/>
      </w:pPr>
    </w:lvl>
  </w:abstractNum>
  <w:abstractNum w:abstractNumId="7">
    <w:nsid w:val="FFFFFF89"/>
    <w:multiLevelType w:val="singleLevel"/>
    <w:tmpl w:val="8D6853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5947A0"/>
    <w:multiLevelType w:val="multilevel"/>
    <w:tmpl w:val="9E94FE38"/>
    <w:name w:val="0,7827815222"/>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0">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4">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6">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3C78B8"/>
    <w:multiLevelType w:val="multilevel"/>
    <w:tmpl w:val="1012EEDC"/>
    <w:name w:val="0,7827815"/>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9">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21">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3">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4">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5">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6">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7">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9">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3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1">
    <w:nsid w:val="543842EE"/>
    <w:multiLevelType w:val="hybridMultilevel"/>
    <w:tmpl w:val="6AE08EBE"/>
    <w:lvl w:ilvl="0" w:tplc="7CF8AA1C">
      <w:start w:val="1"/>
      <w:numFmt w:val="decimal"/>
      <w:pStyle w:val="Nual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3">
    <w:nsid w:val="61C352D1"/>
    <w:multiLevelType w:val="multilevel"/>
    <w:tmpl w:val="FC086582"/>
    <w:name w:val="0,78278153"/>
    <w:lvl w:ilvl="0">
      <w:start w:val="1"/>
      <w:numFmt w:val="decimal"/>
      <w:lvlRestart w:val="0"/>
      <w:lvlText w:val="(%1)"/>
      <w:lvlJc w:val="left"/>
      <w:pPr>
        <w:tabs>
          <w:tab w:val="num" w:pos="850"/>
        </w:tabs>
        <w:ind w:left="850" w:hanging="850"/>
      </w:pPr>
      <w:rPr>
        <w:rFonts w:hint="default"/>
      </w:rPr>
    </w:lvl>
    <w:lvl w:ilvl="1">
      <w:start w:val="3"/>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2"/>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6">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7">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4">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5">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nsid w:val="7E474D4E"/>
    <w:multiLevelType w:val="singleLevel"/>
    <w:tmpl w:val="1A6608A0"/>
    <w:name w:val="List Bullet 3"/>
    <w:lvl w:ilvl="0">
      <w:start w:val="1"/>
      <w:numFmt w:val="decimal"/>
      <w:lvlRestart w:val="0"/>
      <w:lvlText w:val="(%1)"/>
      <w:lvlJc w:val="left"/>
      <w:pPr>
        <w:tabs>
          <w:tab w:val="num" w:pos="709"/>
        </w:tabs>
        <w:ind w:left="709" w:hanging="709"/>
      </w:pPr>
    </w:lvl>
  </w:abstractNum>
  <w:num w:numId="1">
    <w:abstractNumId w:val="35"/>
  </w:num>
  <w:num w:numId="2">
    <w:abstractNumId w:val="26"/>
  </w:num>
  <w:num w:numId="3">
    <w:abstractNumId w:val="25"/>
  </w:num>
  <w:num w:numId="4">
    <w:abstractNumId w:val="27"/>
  </w:num>
  <w:num w:numId="5">
    <w:abstractNumId w:val="23"/>
  </w:num>
  <w:num w:numId="6">
    <w:abstractNumId w:val="13"/>
  </w:num>
  <w:num w:numId="7">
    <w:abstractNumId w:val="22"/>
  </w:num>
  <w:num w:numId="8">
    <w:abstractNumId w:val="20"/>
  </w:num>
  <w:num w:numId="9">
    <w:abstractNumId w:val="18"/>
  </w:num>
  <w:num w:numId="10">
    <w:abstractNumId w:val="38"/>
  </w:num>
  <w:num w:numId="11">
    <w:abstractNumId w:val="39"/>
  </w:num>
  <w:num w:numId="12">
    <w:abstractNumId w:val="24"/>
  </w:num>
  <w:num w:numId="13">
    <w:abstractNumId w:val="34"/>
  </w:num>
  <w:num w:numId="14">
    <w:abstractNumId w:val="14"/>
  </w:num>
  <w:num w:numId="15">
    <w:abstractNumId w:val="42"/>
  </w:num>
  <w:num w:numId="16">
    <w:abstractNumId w:val="19"/>
  </w:num>
  <w:num w:numId="17">
    <w:abstractNumId w:val="31"/>
  </w:num>
  <w:num w:numId="18">
    <w:abstractNumId w:val="15"/>
  </w:num>
  <w:num w:numId="19">
    <w:abstractNumId w:val="28"/>
  </w:num>
  <w:num w:numId="20">
    <w:abstractNumId w:val="32"/>
  </w:num>
  <w:num w:numId="21">
    <w:abstractNumId w:val="30"/>
  </w:num>
  <w:num w:numId="22">
    <w:abstractNumId w:val="43"/>
  </w:num>
  <w:num w:numId="23">
    <w:abstractNumId w:val="16"/>
  </w:num>
  <w:num w:numId="24">
    <w:abstractNumId w:val="8"/>
  </w:num>
  <w:num w:numId="25">
    <w:abstractNumId w:val="45"/>
  </w:num>
  <w:num w:numId="26">
    <w:abstractNumId w:val="21"/>
  </w:num>
  <w:num w:numId="27">
    <w:abstractNumId w:val="12"/>
  </w:num>
  <w:num w:numId="28">
    <w:abstractNumId w:val="11"/>
  </w:num>
  <w:num w:numId="29">
    <w:abstractNumId w:val="41"/>
  </w:num>
  <w:num w:numId="30">
    <w:abstractNumId w:val="37"/>
  </w:num>
  <w:num w:numId="31">
    <w:abstractNumId w:val="40"/>
  </w:num>
  <w:num w:numId="32">
    <w:abstractNumId w:val="28"/>
    <w:lvlOverride w:ilvl="0">
      <w:startOverride w:val="1"/>
    </w:lvlOverride>
  </w:num>
  <w:num w:numId="33">
    <w:abstractNumId w:val="7"/>
  </w:num>
  <w:num w:numId="34">
    <w:abstractNumId w:val="5"/>
  </w:num>
  <w:num w:numId="35">
    <w:abstractNumId w:val="4"/>
  </w:num>
  <w:num w:numId="36">
    <w:abstractNumId w:val="3"/>
  </w:num>
  <w:num w:numId="37">
    <w:abstractNumId w:val="6"/>
  </w:num>
  <w:num w:numId="38">
    <w:abstractNumId w:val="2"/>
  </w:num>
  <w:num w:numId="39">
    <w:abstractNumId w:val="1"/>
  </w:num>
  <w:num w:numId="40">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7e5795d2-bef8-421b-8924-be06465a7e04&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3-06&lt;/text&gt;_x000d__x000a_  &lt;/metadata&gt;_x000d__x000a_  &lt;metadata key=&quot;md_Prefix&quot;&gt;_x000d__x000a_    &lt;text&gt;&lt;/text&gt;_x000d__x000a_  &lt;/metadata&gt;_x000d__x000a_  &lt;metadata key=&quot;md_DocumentNumber&quot;&gt;_x000d__x000a_    &lt;text&gt;17086&lt;/text&gt;_x000d__x000a_  &lt;/metadata&gt;_x000d__x000a_  &lt;metadata key=&quot;md_YearDocumentNumber&quot;&gt;_x000d__x000a_    &lt;text&gt;2014&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LIMA 119&lt;/text&gt;_x000d__x000a_      &lt;text&gt;ENV 1010&lt;/text&gt;_x000d__x000a_      &lt;text&gt;MAR 191&lt;/text&gt;_x000d__x000a_      &lt;text&gt;MI 1013&lt;/text&gt;_x000d__x000a_      &lt;text&gt;ONU 167&lt;/text&gt;_x000d__x000a_      &lt;text&gt;CODEC 2552&lt;/text&gt;_x000d__x000a_      &lt;text&gt;PARLNAT 30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22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4;&amp;#1086;&amp;#1085;&amp;#1080;&amp;#1090;&amp;#1086;&amp;#1088;&amp;#1080;&amp;#1085;&amp;#1075;&amp;#1072;, &amp;#1076;&amp;#1086;&amp;#1082;&amp;#1083;&amp;#1072;&amp;#1076;&amp;#1074;&amp;#1072;&amp;#1085;&amp;#1077;&amp;#1090;&amp;#1086; &amp;#1080; &amp;#1087;&amp;#1088;&amp;#1086;&amp;#1074;&amp;#1077;&amp;#1088;&amp;#1082;&amp;#1072;&amp;#1090;&amp;#1072;  &amp;#1085;&amp;#1072; &amp;#1077;&amp;#1084;&amp;#1080;&amp;#1089;&amp;#1080;&amp;#1080;&amp;#1090;&amp;#1077; &amp;#1085;&amp;#1072; &amp;#1074;&amp;#1098;&amp;#1075;&amp;#1083;&amp;#1077;&amp;#1088;&amp;#1086;&amp;#1076;&amp;#1077;&amp;#1085; &amp;#1076;&amp;#1080;&amp;#1086;&amp;#1082;&amp;#1089;&amp;#1080;&amp;#1076; &amp;#1086;&amp;#1090; &amp;#1084;&amp;#1086;&amp;#1088;&amp;#1089;&amp;#1082;&amp;#1080;&amp;#1103; &amp;#1090;&amp;#1088;&amp;#1072;&amp;#1085;&amp;#1089;&amp;#1087;&amp;#1086;&amp;#1088;&amp;#1090; &amp;#1080; &amp;#1079;&amp;#1072; &amp;#1080;&amp;#1079;&amp;#1084;&amp;#1077;&amp;#1085;&amp;#1077;&amp;#1085;&amp;#1080;&amp;#1077; &amp;#1085;&amp;#1072; &amp;#1044;&amp;#1080;&amp;#1088;&amp;#1077;&amp;#1082;&amp;#1090;&amp;#1080;&amp;#1074;&amp;#1072; 2009/16/&amp;#1045;&amp;#1054; - &amp;#1055;&amp;#1088;&amp;#1080;&amp;#1077;&amp;#1090;&amp;#1072; &amp;#1086;&amp;#1090; &amp;#1057;&amp;#1098;&amp;#1074;&amp;#1077;&amp;#1090;&amp;#1072; &amp;#1085;&amp;#1072; 5 &amp;#1084;&amp;#1072;&amp;#1088;&amp;#1090; 2015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amp;lt;/Run&amp;gt;&amp;lt;Run FontFamily=&quot;Times New Roman&quot; xml:lang=&quot;en-gb&quot; xml:space=&quot;preserve&quot;&amp;gt; &amp;lt;/Run&amp;gt;&amp;lt;Run FontFamily=&quot;Times New Roman&quot; xml:space=&quot;preserve&quot;&amp;gt;&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4;&amp;#1086;&amp;#1085;&amp;#1080;&amp;#1090;&amp;#1086;&amp;#1088;&amp;#1080;&amp;#1085;&amp;#1075;&amp;#1072;, &amp;#1076;&amp;#1086;&amp;#1082;&amp;#1083;&amp;#1072;&amp;#1076;&amp;#1074;&amp;#1072;&amp;#1085;&amp;#1077;&amp;#1090;&amp;#1086; &amp;#1080; &amp;#1087;&amp;#1088;&amp;#1086;&amp;#1074;&amp;#1077;&amp;#1088;&amp;#1082;&amp;#1072;&amp;#1090;&amp;#1072;  &amp;#1085;&amp;#1072; &amp;#1077;&amp;#1084;&amp;#1080;&amp;#1089;&amp;#1080;&amp;#1080;&amp;#1090;&amp;#1077; &amp;#1085;&amp;#1072; &amp;#1074;&amp;#1098;&amp;#1075;&amp;#1083;&amp;#1077;&amp;#1088;&amp;#1086;&amp;#1076;&amp;#1077;&amp;#1085; &amp;#1076;&amp;#1080;&amp;#1086;&amp;#1082;&amp;#1089;&amp;#1080;&amp;#1076; &amp;#1086;&amp;#1090; &amp;#1084;&amp;#1086;&amp;#1088;&amp;#1089;&amp;#1082;&amp;#1080;&amp;#1103; &amp;#1090;&amp;#1088;&amp;#1072;&amp;#1085;&amp;#1089;&amp;#1087;&amp;#1086;&amp;#1088;&amp;#1090; &amp;#1080; &amp;#1079;&amp;#1072; &amp;#1080;&amp;#1079;&amp;#1084;&amp;#1077;&amp;#1085;&amp;#1077;&amp;#1085;&amp;#1080;&amp;#1077; &amp;#1085;&amp;#1072; &amp;#1044;&amp;#1080;&amp;#1088;&amp;#1077;&amp;#1082;&amp;#1090;&amp;#1080;&amp;#1074;&amp;#1072; 2009/16/&amp;#1045;&amp;#1054;&amp;lt;/Run&amp;gt;&amp;lt;/Paragraph&amp;gt;&amp;lt;Paragraph FontFamily=&quot;Georgia&quot; NumberSubstitution.CultureSource=&quot;Text&quot;&amp;gt;&amp;lt;Run FontFamily=&quot;Times New Roman&quot; xml:lang=&quot;en-gb&quot; xml:space=&quot;preserve&quot;&amp;gt;- &amp;lt;/Run&amp;gt;&amp;lt;Run FontFamily=&quot;Times New Roman&quot; xml:lang=&quot;bg-bg&quot;&amp;gt;&amp;#1055;&amp;#1088;&amp;#1080;&amp;#1077;&amp;#1090;&amp;#1072; &amp;#1086;&amp;#1090; &amp;#1057;&amp;#1098;&amp;#1074;&amp;#1077;&amp;#1090;&amp;#1072; &amp;#1085;&amp;#1072; 5 &amp;#1084;&amp;#1072;&amp;#1088;&amp;#1090; 2015 &amp;#1075;.&amp;lt;/Run&amp;gt;&amp;lt;/Paragraph&amp;gt;&amp;lt;/FlowDocument&amp;gt;&lt;/xaml&gt;_x000d__x000a_  &lt;/metadata&gt;_x000d__x000a_  &lt;metadata key=&quot;md_SubjectFootnote&quot; /&gt;_x000d__x000a_  &lt;metadata key=&quot;md_DG&quot;&gt;_x000d__x000a_    &lt;text&gt;DGE 1&lt;/text&gt;_x000d__x000a_  &lt;/metadata&gt;_x000d__x000a_  &lt;metadata key=&quot;md_Initials&quot;&gt;_x000d__x000a_    &lt;text&gt;DG/g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LW_DocType" w:val="DW_LEGACTS"/>
    <w:docVar w:name="VSSDB_IniPath" w:val="\\at100\user\wovo\SEILEG\vss\srcsafe.ini"/>
    <w:docVar w:name="VSSDB_ProjectPath" w:val="$/DocuWrite/DOT/DW_LEGACTS"/>
  </w:docVars>
  <w:rsids>
    <w:rsidRoot w:val="00A60CFD"/>
    <w:rsid w:val="00012B25"/>
    <w:rsid w:val="000350D4"/>
    <w:rsid w:val="000533E6"/>
    <w:rsid w:val="00062F36"/>
    <w:rsid w:val="00066A7B"/>
    <w:rsid w:val="00091409"/>
    <w:rsid w:val="000A2C96"/>
    <w:rsid w:val="000B14AC"/>
    <w:rsid w:val="000B68D9"/>
    <w:rsid w:val="000E4439"/>
    <w:rsid w:val="00113771"/>
    <w:rsid w:val="00172029"/>
    <w:rsid w:val="0017412A"/>
    <w:rsid w:val="0018304A"/>
    <w:rsid w:val="00190883"/>
    <w:rsid w:val="001C6C57"/>
    <w:rsid w:val="001D3B9B"/>
    <w:rsid w:val="001E24FF"/>
    <w:rsid w:val="00211290"/>
    <w:rsid w:val="00224697"/>
    <w:rsid w:val="002259F6"/>
    <w:rsid w:val="00254019"/>
    <w:rsid w:val="00263033"/>
    <w:rsid w:val="00296F02"/>
    <w:rsid w:val="002E1912"/>
    <w:rsid w:val="002F2A2F"/>
    <w:rsid w:val="0031074E"/>
    <w:rsid w:val="0036128D"/>
    <w:rsid w:val="003A1B24"/>
    <w:rsid w:val="003A5574"/>
    <w:rsid w:val="003B6449"/>
    <w:rsid w:val="003C7916"/>
    <w:rsid w:val="003D1328"/>
    <w:rsid w:val="003E20EC"/>
    <w:rsid w:val="00423E3D"/>
    <w:rsid w:val="00446AD3"/>
    <w:rsid w:val="00464286"/>
    <w:rsid w:val="004A052C"/>
    <w:rsid w:val="004A2FA2"/>
    <w:rsid w:val="004A6052"/>
    <w:rsid w:val="004E42B8"/>
    <w:rsid w:val="004F348B"/>
    <w:rsid w:val="00522313"/>
    <w:rsid w:val="00637A4F"/>
    <w:rsid w:val="006449A4"/>
    <w:rsid w:val="00673543"/>
    <w:rsid w:val="00684DB6"/>
    <w:rsid w:val="00695110"/>
    <w:rsid w:val="00695308"/>
    <w:rsid w:val="006D0458"/>
    <w:rsid w:val="006E031F"/>
    <w:rsid w:val="006E3F95"/>
    <w:rsid w:val="007405C4"/>
    <w:rsid w:val="00775EBE"/>
    <w:rsid w:val="007A2F9E"/>
    <w:rsid w:val="007A4774"/>
    <w:rsid w:val="00811704"/>
    <w:rsid w:val="00811F83"/>
    <w:rsid w:val="00827ED1"/>
    <w:rsid w:val="00843243"/>
    <w:rsid w:val="00871CE3"/>
    <w:rsid w:val="008A2E92"/>
    <w:rsid w:val="008B5DC6"/>
    <w:rsid w:val="008D410B"/>
    <w:rsid w:val="008D71ED"/>
    <w:rsid w:val="009158F2"/>
    <w:rsid w:val="00953CAF"/>
    <w:rsid w:val="00991ACA"/>
    <w:rsid w:val="009C0914"/>
    <w:rsid w:val="009C5181"/>
    <w:rsid w:val="00A0102E"/>
    <w:rsid w:val="00A306DC"/>
    <w:rsid w:val="00A47797"/>
    <w:rsid w:val="00A60CFD"/>
    <w:rsid w:val="00A64E74"/>
    <w:rsid w:val="00AB3ADB"/>
    <w:rsid w:val="00AE35A6"/>
    <w:rsid w:val="00B12A7A"/>
    <w:rsid w:val="00B20774"/>
    <w:rsid w:val="00B25505"/>
    <w:rsid w:val="00B3349E"/>
    <w:rsid w:val="00B53783"/>
    <w:rsid w:val="00B758CB"/>
    <w:rsid w:val="00BC0B43"/>
    <w:rsid w:val="00BD4CD8"/>
    <w:rsid w:val="00BD5E59"/>
    <w:rsid w:val="00BF5EDE"/>
    <w:rsid w:val="00BF747B"/>
    <w:rsid w:val="00C12728"/>
    <w:rsid w:val="00C16045"/>
    <w:rsid w:val="00C23C4F"/>
    <w:rsid w:val="00C37A4B"/>
    <w:rsid w:val="00C41061"/>
    <w:rsid w:val="00C415D7"/>
    <w:rsid w:val="00C57A71"/>
    <w:rsid w:val="00C62DA3"/>
    <w:rsid w:val="00C67294"/>
    <w:rsid w:val="00C74D9C"/>
    <w:rsid w:val="00C90880"/>
    <w:rsid w:val="00CA651A"/>
    <w:rsid w:val="00CB08DD"/>
    <w:rsid w:val="00D00453"/>
    <w:rsid w:val="00D22D5C"/>
    <w:rsid w:val="00D27E14"/>
    <w:rsid w:val="00D47313"/>
    <w:rsid w:val="00D56495"/>
    <w:rsid w:val="00D62FB9"/>
    <w:rsid w:val="00D723B0"/>
    <w:rsid w:val="00D91432"/>
    <w:rsid w:val="00D914F5"/>
    <w:rsid w:val="00DA09D1"/>
    <w:rsid w:val="00DA5C39"/>
    <w:rsid w:val="00DD3DFD"/>
    <w:rsid w:val="00DD7DEA"/>
    <w:rsid w:val="00DE4F77"/>
    <w:rsid w:val="00DF16FD"/>
    <w:rsid w:val="00E452D7"/>
    <w:rsid w:val="00E56D38"/>
    <w:rsid w:val="00E725DD"/>
    <w:rsid w:val="00E938BF"/>
    <w:rsid w:val="00EA6268"/>
    <w:rsid w:val="00EC4E58"/>
    <w:rsid w:val="00EC6D66"/>
    <w:rsid w:val="00F00BFE"/>
    <w:rsid w:val="00F17B74"/>
    <w:rsid w:val="00F766E4"/>
    <w:rsid w:val="00F95DD8"/>
    <w:rsid w:val="00FC051A"/>
    <w:rsid w:val="00FD0E17"/>
    <w:rsid w:val="00FE2B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24"/>
      </w:numPr>
      <w:spacing w:before="360"/>
      <w:outlineLvl w:val="0"/>
    </w:pPr>
    <w:rPr>
      <w:b/>
      <w:bCs/>
      <w:smallCaps/>
      <w:szCs w:val="32"/>
    </w:rPr>
  </w:style>
  <w:style w:type="paragraph" w:styleId="Heading2">
    <w:name w:val="heading 2"/>
    <w:basedOn w:val="Normal"/>
    <w:next w:val="Text1"/>
    <w:qFormat/>
    <w:rsid w:val="00224697"/>
    <w:pPr>
      <w:keepNext/>
      <w:numPr>
        <w:ilvl w:val="1"/>
        <w:numId w:val="24"/>
      </w:numPr>
      <w:outlineLvl w:val="1"/>
    </w:pPr>
    <w:rPr>
      <w:b/>
      <w:bCs/>
      <w:iCs/>
      <w:szCs w:val="28"/>
    </w:rPr>
  </w:style>
  <w:style w:type="paragraph" w:styleId="Heading3">
    <w:name w:val="heading 3"/>
    <w:basedOn w:val="Normal"/>
    <w:next w:val="Text1"/>
    <w:qFormat/>
    <w:rsid w:val="00224697"/>
    <w:pPr>
      <w:keepNext/>
      <w:numPr>
        <w:ilvl w:val="2"/>
        <w:numId w:val="24"/>
      </w:numPr>
      <w:outlineLvl w:val="2"/>
    </w:pPr>
    <w:rPr>
      <w:bCs/>
      <w:i/>
      <w:szCs w:val="26"/>
    </w:rPr>
  </w:style>
  <w:style w:type="paragraph" w:styleId="Heading4">
    <w:name w:val="heading 4"/>
    <w:basedOn w:val="Normal"/>
    <w:next w:val="Text1"/>
    <w:qFormat/>
    <w:rsid w:val="00224697"/>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A60CFD"/>
    <w:pPr>
      <w:spacing w:before="0" w:after="600" w:line="240" w:lineRule="auto"/>
      <w:jc w:val="center"/>
    </w:pPr>
    <w:rPr>
      <w:b/>
      <w:caps/>
      <w:lang w:eastAsia="de-DE"/>
    </w:rPr>
  </w:style>
  <w:style w:type="paragraph" w:customStyle="1" w:styleId="Rfrenceinterne">
    <w:name w:val="Référence interne"/>
    <w:basedOn w:val="Normal"/>
    <w:next w:val="Normal"/>
    <w:rsid w:val="00A60CFD"/>
    <w:pPr>
      <w:spacing w:before="0" w:after="600" w:line="240" w:lineRule="auto"/>
      <w:jc w:val="center"/>
    </w:pPr>
    <w:rPr>
      <w:b/>
      <w:lang w:eastAsia="de-DE"/>
    </w:rPr>
  </w:style>
  <w:style w:type="paragraph" w:customStyle="1" w:styleId="HeaderCouncilLarge">
    <w:name w:val="Header Council Large"/>
    <w:basedOn w:val="Normal"/>
    <w:link w:val="HeaderCouncilLargeChar"/>
    <w:rsid w:val="00A60CFD"/>
    <w:pPr>
      <w:spacing w:before="0" w:after="440"/>
    </w:pPr>
    <w:rPr>
      <w:sz w:val="2"/>
    </w:rPr>
  </w:style>
  <w:style w:type="character" w:customStyle="1" w:styleId="LignefinalChar">
    <w:name w:val="Ligne final Char"/>
    <w:rsid w:val="00A60CFD"/>
    <w:rPr>
      <w:b/>
      <w:sz w:val="24"/>
      <w:szCs w:val="24"/>
      <w:lang w:val="bg-BG" w:eastAsia="en-US"/>
    </w:rPr>
  </w:style>
  <w:style w:type="character" w:customStyle="1" w:styleId="HeaderCouncilLargeChar">
    <w:name w:val="Header Council Large Char"/>
    <w:link w:val="HeaderCouncilLarge"/>
    <w:rsid w:val="00A60CFD"/>
    <w:rPr>
      <w:sz w:val="2"/>
      <w:szCs w:val="24"/>
      <w:lang w:val="bg-BG" w:eastAsia="en-US"/>
    </w:rPr>
  </w:style>
  <w:style w:type="paragraph" w:customStyle="1" w:styleId="FooterText">
    <w:name w:val="Footer Text"/>
    <w:basedOn w:val="Normal"/>
    <w:rsid w:val="00A60CFD"/>
    <w:pPr>
      <w:spacing w:before="0" w:after="0" w:line="240" w:lineRule="auto"/>
    </w:pPr>
    <w:rPr>
      <w:lang w:val="en-GB"/>
    </w:rPr>
  </w:style>
  <w:style w:type="character" w:customStyle="1" w:styleId="TechnicalBlockChar">
    <w:name w:val="Technical Block Char"/>
    <w:rsid w:val="00AB3ADB"/>
    <w:rPr>
      <w:sz w:val="24"/>
      <w:szCs w:val="24"/>
      <w:lang w:eastAsia="bg-BG"/>
    </w:rPr>
  </w:style>
  <w:style w:type="character" w:customStyle="1" w:styleId="FootnoteTextChar">
    <w:name w:val="Footnote Text Char"/>
    <w:aliases w:val="Fußnotentextf Char1,Footnote text Char1,fn Char1,Schriftart: 9 pt Char1,Schriftart: 10 pt Char1,Schriftart: 8 pt Char1,WB-Fußnotentext Char1,o Char1,Podrozdział Char1,Schriftart: 8 p Char1,Char Char1,Tekst przypisu Char1,ft Char"/>
    <w:rsid w:val="00AB3ADB"/>
    <w:rPr>
      <w:sz w:val="24"/>
      <w:lang w:eastAsia="bg-BG"/>
    </w:rPr>
  </w:style>
  <w:style w:type="paragraph" w:styleId="BalloonText">
    <w:name w:val="Balloon Text"/>
    <w:basedOn w:val="Normal"/>
    <w:link w:val="BalloonTextChar"/>
    <w:uiPriority w:val="99"/>
    <w:semiHidden/>
    <w:unhideWhenUsed/>
    <w:rsid w:val="00AB3ADB"/>
    <w:pPr>
      <w:spacing w:before="0" w:after="0" w:line="240" w:lineRule="auto"/>
    </w:pPr>
    <w:rPr>
      <w:rFonts w:ascii="Tahoma" w:hAnsi="Tahoma" w:cs="Tahoma"/>
      <w:sz w:val="16"/>
      <w:szCs w:val="16"/>
      <w:lang w:eastAsia="bg-BG" w:bidi="bg-BG"/>
    </w:rPr>
  </w:style>
  <w:style w:type="character" w:customStyle="1" w:styleId="BalloonTextChar">
    <w:name w:val="Balloon Text Char"/>
    <w:link w:val="BalloonText"/>
    <w:uiPriority w:val="99"/>
    <w:semiHidden/>
    <w:rsid w:val="00AB3ADB"/>
    <w:rPr>
      <w:rFonts w:ascii="Tahoma" w:hAnsi="Tahoma" w:cs="Tahoma"/>
      <w:sz w:val="16"/>
      <w:szCs w:val="16"/>
      <w:lang w:val="bg-BG" w:eastAsia="bg-BG" w:bidi="bg-BG"/>
    </w:rPr>
  </w:style>
  <w:style w:type="character" w:customStyle="1" w:styleId="st1">
    <w:name w:val="st1"/>
    <w:rsid w:val="00AB3ADB"/>
  </w:style>
  <w:style w:type="character" w:styleId="CommentReference">
    <w:name w:val="annotation reference"/>
    <w:uiPriority w:val="99"/>
    <w:rsid w:val="00AB3ADB"/>
    <w:rPr>
      <w:sz w:val="16"/>
    </w:rPr>
  </w:style>
  <w:style w:type="character" w:styleId="Emphasis">
    <w:name w:val="Emphasis"/>
    <w:uiPriority w:val="20"/>
    <w:qFormat/>
    <w:rsid w:val="00AB3ADB"/>
    <w:rPr>
      <w:i/>
    </w:rPr>
  </w:style>
  <w:style w:type="character" w:customStyle="1" w:styleId="Heading1Char">
    <w:name w:val="Heading 1 Char"/>
    <w:uiPriority w:val="9"/>
    <w:rsid w:val="00AB3ADB"/>
    <w:rPr>
      <w:b/>
      <w:bCs/>
      <w:smallCaps/>
      <w:sz w:val="24"/>
      <w:szCs w:val="32"/>
      <w:lang w:val="bg-BG" w:eastAsia="en-US"/>
    </w:rPr>
  </w:style>
  <w:style w:type="paragraph" w:customStyle="1" w:styleId="NormalJustified">
    <w:name w:val="Normal Justified"/>
    <w:basedOn w:val="Normal"/>
    <w:rsid w:val="00AB3ADB"/>
    <w:pPr>
      <w:spacing w:before="200"/>
      <w:jc w:val="both"/>
    </w:pPr>
    <w:rPr>
      <w:lang w:eastAsia="bg-BG" w:bidi="bg-BG"/>
    </w:rPr>
  </w:style>
  <w:style w:type="paragraph" w:customStyle="1" w:styleId="FinalLine">
    <w:name w:val="Final Line"/>
    <w:basedOn w:val="Normal"/>
    <w:next w:val="Normal"/>
    <w:rsid w:val="00AB3ADB"/>
    <w:pPr>
      <w:pBdr>
        <w:bottom w:val="single" w:sz="4" w:space="0" w:color="000000"/>
      </w:pBdr>
      <w:spacing w:before="360"/>
      <w:ind w:left="3400" w:right="3400"/>
      <w:jc w:val="center"/>
    </w:pPr>
    <w:rPr>
      <w:b/>
      <w:lang w:eastAsia="bg-BG" w:bidi="bg-BG"/>
    </w:rPr>
  </w:style>
  <w:style w:type="paragraph" w:customStyle="1" w:styleId="FinalLineLandscape">
    <w:name w:val="Final Line (Landscape)"/>
    <w:basedOn w:val="Normal"/>
    <w:next w:val="Normal"/>
    <w:rsid w:val="00AB3ADB"/>
    <w:pPr>
      <w:pBdr>
        <w:bottom w:val="single" w:sz="4" w:space="0" w:color="000000"/>
      </w:pBdr>
      <w:spacing w:before="360"/>
      <w:ind w:left="5868" w:right="5868"/>
      <w:jc w:val="center"/>
    </w:pPr>
    <w:rPr>
      <w:b/>
      <w:lang w:eastAsia="bg-BG" w:bidi="bg-BG"/>
    </w:rPr>
  </w:style>
  <w:style w:type="paragraph" w:customStyle="1" w:styleId="Text5">
    <w:name w:val="Text 5"/>
    <w:basedOn w:val="Normal"/>
    <w:rsid w:val="00AB3ADB"/>
    <w:pPr>
      <w:ind w:left="2835"/>
      <w:outlineLvl w:val="4"/>
    </w:pPr>
    <w:rPr>
      <w:lang w:eastAsia="bg-BG" w:bidi="bg-BG"/>
    </w:rPr>
  </w:style>
  <w:style w:type="paragraph" w:customStyle="1" w:styleId="Text6">
    <w:name w:val="Text 6"/>
    <w:basedOn w:val="Normal"/>
    <w:rsid w:val="00AB3ADB"/>
    <w:pPr>
      <w:ind w:left="3402"/>
      <w:outlineLvl w:val="5"/>
    </w:pPr>
    <w:rPr>
      <w:lang w:eastAsia="bg-BG" w:bidi="bg-BG"/>
    </w:rPr>
  </w:style>
  <w:style w:type="paragraph" w:customStyle="1" w:styleId="PointManual">
    <w:name w:val="Point Manual"/>
    <w:basedOn w:val="Normal"/>
    <w:rsid w:val="00AB3ADB"/>
    <w:pPr>
      <w:ind w:left="567" w:hanging="567"/>
    </w:pPr>
    <w:rPr>
      <w:lang w:eastAsia="bg-BG" w:bidi="bg-BG"/>
    </w:rPr>
  </w:style>
  <w:style w:type="paragraph" w:customStyle="1" w:styleId="PointManual1">
    <w:name w:val="Point Manual (1)"/>
    <w:basedOn w:val="Normal"/>
    <w:rsid w:val="00AB3ADB"/>
    <w:pPr>
      <w:ind w:left="1134" w:hanging="567"/>
      <w:outlineLvl w:val="0"/>
    </w:pPr>
    <w:rPr>
      <w:lang w:eastAsia="bg-BG" w:bidi="bg-BG"/>
    </w:rPr>
  </w:style>
  <w:style w:type="paragraph" w:customStyle="1" w:styleId="PointManual2">
    <w:name w:val="Point Manual (2)"/>
    <w:basedOn w:val="Normal"/>
    <w:rsid w:val="00AB3ADB"/>
    <w:pPr>
      <w:ind w:left="1701" w:hanging="567"/>
      <w:outlineLvl w:val="1"/>
    </w:pPr>
    <w:rPr>
      <w:lang w:eastAsia="bg-BG" w:bidi="bg-BG"/>
    </w:rPr>
  </w:style>
  <w:style w:type="paragraph" w:customStyle="1" w:styleId="PointManual3">
    <w:name w:val="Point Manual (3)"/>
    <w:basedOn w:val="Normal"/>
    <w:rsid w:val="00AB3ADB"/>
    <w:pPr>
      <w:ind w:left="2268" w:hanging="567"/>
      <w:outlineLvl w:val="2"/>
    </w:pPr>
    <w:rPr>
      <w:lang w:eastAsia="bg-BG" w:bidi="bg-BG"/>
    </w:rPr>
  </w:style>
  <w:style w:type="paragraph" w:customStyle="1" w:styleId="PointManual4">
    <w:name w:val="Point Manual (4)"/>
    <w:basedOn w:val="Normal"/>
    <w:rsid w:val="00AB3ADB"/>
    <w:pPr>
      <w:ind w:left="2835" w:hanging="567"/>
      <w:outlineLvl w:val="3"/>
    </w:pPr>
    <w:rPr>
      <w:lang w:eastAsia="bg-BG" w:bidi="bg-BG"/>
    </w:rPr>
  </w:style>
  <w:style w:type="paragraph" w:customStyle="1" w:styleId="PointDoubleManual">
    <w:name w:val="Point Double Manual"/>
    <w:basedOn w:val="Normal"/>
    <w:rsid w:val="00AB3ADB"/>
    <w:pPr>
      <w:tabs>
        <w:tab w:val="left" w:pos="567"/>
      </w:tabs>
      <w:ind w:left="1134" w:hanging="1134"/>
    </w:pPr>
    <w:rPr>
      <w:lang w:eastAsia="bg-BG" w:bidi="bg-BG"/>
    </w:rPr>
  </w:style>
  <w:style w:type="paragraph" w:customStyle="1" w:styleId="PointDoubleManual1">
    <w:name w:val="Point Double Manual (1)"/>
    <w:basedOn w:val="Normal"/>
    <w:rsid w:val="00AB3ADB"/>
    <w:pPr>
      <w:tabs>
        <w:tab w:val="left" w:pos="1134"/>
      </w:tabs>
      <w:ind w:left="1701" w:hanging="1134"/>
      <w:outlineLvl w:val="0"/>
    </w:pPr>
    <w:rPr>
      <w:lang w:eastAsia="bg-BG" w:bidi="bg-BG"/>
    </w:rPr>
  </w:style>
  <w:style w:type="paragraph" w:customStyle="1" w:styleId="PointDoubleManual2">
    <w:name w:val="Point Double Manual (2)"/>
    <w:basedOn w:val="Normal"/>
    <w:rsid w:val="00AB3ADB"/>
    <w:pPr>
      <w:tabs>
        <w:tab w:val="left" w:pos="1701"/>
      </w:tabs>
      <w:ind w:left="2268" w:hanging="1134"/>
      <w:outlineLvl w:val="1"/>
    </w:pPr>
    <w:rPr>
      <w:lang w:eastAsia="bg-BG" w:bidi="bg-BG"/>
    </w:rPr>
  </w:style>
  <w:style w:type="paragraph" w:customStyle="1" w:styleId="PointDoubleManual3">
    <w:name w:val="Point Double Manual (3)"/>
    <w:basedOn w:val="Normal"/>
    <w:rsid w:val="00AB3ADB"/>
    <w:pPr>
      <w:tabs>
        <w:tab w:val="left" w:pos="2268"/>
      </w:tabs>
      <w:ind w:left="2835" w:hanging="1134"/>
      <w:outlineLvl w:val="2"/>
    </w:pPr>
    <w:rPr>
      <w:lang w:eastAsia="bg-BG" w:bidi="bg-BG"/>
    </w:rPr>
  </w:style>
  <w:style w:type="paragraph" w:customStyle="1" w:styleId="PointDoubleManual4">
    <w:name w:val="Point Double Manual (4)"/>
    <w:basedOn w:val="Normal"/>
    <w:rsid w:val="00AB3ADB"/>
    <w:pPr>
      <w:tabs>
        <w:tab w:val="left" w:pos="2835"/>
      </w:tabs>
      <w:ind w:left="3402" w:hanging="1134"/>
      <w:outlineLvl w:val="3"/>
    </w:pPr>
    <w:rPr>
      <w:lang w:eastAsia="bg-BG" w:bidi="bg-BG"/>
    </w:rPr>
  </w:style>
  <w:style w:type="paragraph" w:customStyle="1" w:styleId="Pointabc">
    <w:name w:val="Point abc"/>
    <w:basedOn w:val="Normal"/>
    <w:rsid w:val="00AB3ADB"/>
    <w:pPr>
      <w:numPr>
        <w:ilvl w:val="1"/>
        <w:numId w:val="12"/>
      </w:numPr>
    </w:pPr>
    <w:rPr>
      <w:lang w:eastAsia="bg-BG" w:bidi="bg-BG"/>
    </w:rPr>
  </w:style>
  <w:style w:type="paragraph" w:customStyle="1" w:styleId="Pointabc1">
    <w:name w:val="Point abc (1)"/>
    <w:basedOn w:val="Normal"/>
    <w:rsid w:val="00AB3ADB"/>
    <w:pPr>
      <w:numPr>
        <w:ilvl w:val="3"/>
        <w:numId w:val="12"/>
      </w:numPr>
      <w:outlineLvl w:val="0"/>
    </w:pPr>
    <w:rPr>
      <w:lang w:eastAsia="bg-BG" w:bidi="bg-BG"/>
    </w:rPr>
  </w:style>
  <w:style w:type="paragraph" w:customStyle="1" w:styleId="Pointabc2">
    <w:name w:val="Point abc (2)"/>
    <w:basedOn w:val="Normal"/>
    <w:rsid w:val="00AB3ADB"/>
    <w:pPr>
      <w:numPr>
        <w:ilvl w:val="5"/>
        <w:numId w:val="12"/>
      </w:numPr>
      <w:outlineLvl w:val="1"/>
    </w:pPr>
    <w:rPr>
      <w:lang w:eastAsia="bg-BG" w:bidi="bg-BG"/>
    </w:rPr>
  </w:style>
  <w:style w:type="paragraph" w:customStyle="1" w:styleId="Pointabc3">
    <w:name w:val="Point abc (3)"/>
    <w:basedOn w:val="Normal"/>
    <w:rsid w:val="00AB3ADB"/>
    <w:pPr>
      <w:numPr>
        <w:ilvl w:val="7"/>
        <w:numId w:val="12"/>
      </w:numPr>
      <w:outlineLvl w:val="2"/>
    </w:pPr>
    <w:rPr>
      <w:lang w:eastAsia="bg-BG" w:bidi="bg-BG"/>
    </w:rPr>
  </w:style>
  <w:style w:type="paragraph" w:customStyle="1" w:styleId="Pointabc4">
    <w:name w:val="Point abc (4)"/>
    <w:basedOn w:val="Normal"/>
    <w:rsid w:val="00AB3ADB"/>
    <w:pPr>
      <w:numPr>
        <w:ilvl w:val="8"/>
        <w:numId w:val="12"/>
      </w:numPr>
      <w:outlineLvl w:val="3"/>
    </w:pPr>
    <w:rPr>
      <w:lang w:eastAsia="bg-BG" w:bidi="bg-BG"/>
    </w:rPr>
  </w:style>
  <w:style w:type="paragraph" w:customStyle="1" w:styleId="Point123">
    <w:name w:val="Point 123"/>
    <w:basedOn w:val="Normal"/>
    <w:rsid w:val="00AB3ADB"/>
    <w:pPr>
      <w:numPr>
        <w:numId w:val="12"/>
      </w:numPr>
    </w:pPr>
    <w:rPr>
      <w:lang w:eastAsia="bg-BG" w:bidi="bg-BG"/>
    </w:rPr>
  </w:style>
  <w:style w:type="paragraph" w:customStyle="1" w:styleId="Point1231">
    <w:name w:val="Point 123 (1)"/>
    <w:basedOn w:val="Normal"/>
    <w:rsid w:val="00AB3ADB"/>
    <w:pPr>
      <w:numPr>
        <w:ilvl w:val="2"/>
        <w:numId w:val="12"/>
      </w:numPr>
      <w:outlineLvl w:val="0"/>
    </w:pPr>
    <w:rPr>
      <w:lang w:eastAsia="bg-BG" w:bidi="bg-BG"/>
    </w:rPr>
  </w:style>
  <w:style w:type="paragraph" w:customStyle="1" w:styleId="Point1232">
    <w:name w:val="Point 123 (2)"/>
    <w:basedOn w:val="Normal"/>
    <w:rsid w:val="00AB3ADB"/>
    <w:pPr>
      <w:numPr>
        <w:ilvl w:val="4"/>
        <w:numId w:val="12"/>
      </w:numPr>
      <w:outlineLvl w:val="1"/>
    </w:pPr>
    <w:rPr>
      <w:lang w:eastAsia="bg-BG" w:bidi="bg-BG"/>
    </w:rPr>
  </w:style>
  <w:style w:type="paragraph" w:customStyle="1" w:styleId="Point1233">
    <w:name w:val="Point 123 (3)"/>
    <w:basedOn w:val="Normal"/>
    <w:rsid w:val="00AB3ADB"/>
    <w:pPr>
      <w:numPr>
        <w:ilvl w:val="6"/>
        <w:numId w:val="12"/>
      </w:numPr>
      <w:outlineLvl w:val="2"/>
    </w:pPr>
    <w:rPr>
      <w:lang w:eastAsia="bg-BG" w:bidi="bg-BG"/>
    </w:rPr>
  </w:style>
  <w:style w:type="paragraph" w:customStyle="1" w:styleId="Pointivx">
    <w:name w:val="Point ivx"/>
    <w:basedOn w:val="Normal"/>
    <w:rsid w:val="00AB3ADB"/>
    <w:pPr>
      <w:numPr>
        <w:numId w:val="13"/>
      </w:numPr>
    </w:pPr>
    <w:rPr>
      <w:lang w:eastAsia="bg-BG" w:bidi="bg-BG"/>
    </w:rPr>
  </w:style>
  <w:style w:type="paragraph" w:customStyle="1" w:styleId="Pointivx1">
    <w:name w:val="Point ivx (1)"/>
    <w:basedOn w:val="Normal"/>
    <w:rsid w:val="00AB3ADB"/>
    <w:pPr>
      <w:numPr>
        <w:ilvl w:val="1"/>
        <w:numId w:val="13"/>
      </w:numPr>
      <w:outlineLvl w:val="0"/>
    </w:pPr>
    <w:rPr>
      <w:lang w:eastAsia="bg-BG" w:bidi="bg-BG"/>
    </w:rPr>
  </w:style>
  <w:style w:type="paragraph" w:customStyle="1" w:styleId="Pointivx2">
    <w:name w:val="Point ivx (2)"/>
    <w:basedOn w:val="Normal"/>
    <w:rsid w:val="00AB3ADB"/>
    <w:pPr>
      <w:numPr>
        <w:ilvl w:val="2"/>
        <w:numId w:val="13"/>
      </w:numPr>
      <w:outlineLvl w:val="1"/>
    </w:pPr>
    <w:rPr>
      <w:lang w:eastAsia="bg-BG" w:bidi="bg-BG"/>
    </w:rPr>
  </w:style>
  <w:style w:type="paragraph" w:customStyle="1" w:styleId="Pointivx3">
    <w:name w:val="Point ivx (3)"/>
    <w:basedOn w:val="Normal"/>
    <w:rsid w:val="00AB3ADB"/>
    <w:pPr>
      <w:numPr>
        <w:ilvl w:val="3"/>
        <w:numId w:val="13"/>
      </w:numPr>
      <w:outlineLvl w:val="2"/>
    </w:pPr>
    <w:rPr>
      <w:lang w:eastAsia="bg-BG" w:bidi="bg-BG"/>
    </w:rPr>
  </w:style>
  <w:style w:type="paragraph" w:customStyle="1" w:styleId="Pointivx4">
    <w:name w:val="Point ivx (4)"/>
    <w:basedOn w:val="Normal"/>
    <w:rsid w:val="00AB3ADB"/>
    <w:pPr>
      <w:numPr>
        <w:ilvl w:val="4"/>
        <w:numId w:val="13"/>
      </w:numPr>
      <w:outlineLvl w:val="3"/>
    </w:pPr>
    <w:rPr>
      <w:lang w:eastAsia="bg-BG" w:bidi="bg-BG"/>
    </w:rPr>
  </w:style>
  <w:style w:type="paragraph" w:customStyle="1" w:styleId="Bullet">
    <w:name w:val="Bullet"/>
    <w:basedOn w:val="Normal"/>
    <w:rsid w:val="00AB3ADB"/>
    <w:pPr>
      <w:numPr>
        <w:numId w:val="11"/>
      </w:numPr>
    </w:pPr>
    <w:rPr>
      <w:lang w:eastAsia="bg-BG" w:bidi="bg-BG"/>
    </w:rPr>
  </w:style>
  <w:style w:type="paragraph" w:customStyle="1" w:styleId="Dash">
    <w:name w:val="Dash"/>
    <w:basedOn w:val="Normal"/>
    <w:rsid w:val="00AB3ADB"/>
    <w:pPr>
      <w:numPr>
        <w:numId w:val="1"/>
      </w:numPr>
    </w:pPr>
    <w:rPr>
      <w:lang w:eastAsia="bg-BG" w:bidi="bg-BG"/>
    </w:rPr>
  </w:style>
  <w:style w:type="paragraph" w:customStyle="1" w:styleId="Dash1">
    <w:name w:val="Dash 1"/>
    <w:basedOn w:val="Normal"/>
    <w:rsid w:val="00AB3ADB"/>
    <w:pPr>
      <w:numPr>
        <w:numId w:val="2"/>
      </w:numPr>
      <w:outlineLvl w:val="0"/>
    </w:pPr>
    <w:rPr>
      <w:lang w:eastAsia="bg-BG" w:bidi="bg-BG"/>
    </w:rPr>
  </w:style>
  <w:style w:type="paragraph" w:customStyle="1" w:styleId="Dash2">
    <w:name w:val="Dash 2"/>
    <w:basedOn w:val="Normal"/>
    <w:rsid w:val="00AB3ADB"/>
    <w:pPr>
      <w:numPr>
        <w:numId w:val="3"/>
      </w:numPr>
      <w:outlineLvl w:val="1"/>
    </w:pPr>
    <w:rPr>
      <w:lang w:eastAsia="bg-BG" w:bidi="bg-BG"/>
    </w:rPr>
  </w:style>
  <w:style w:type="paragraph" w:customStyle="1" w:styleId="Dash3">
    <w:name w:val="Dash 3"/>
    <w:basedOn w:val="Normal"/>
    <w:rsid w:val="00AB3ADB"/>
    <w:pPr>
      <w:numPr>
        <w:numId w:val="4"/>
      </w:numPr>
      <w:outlineLvl w:val="2"/>
    </w:pPr>
    <w:rPr>
      <w:lang w:eastAsia="bg-BG" w:bidi="bg-BG"/>
    </w:rPr>
  </w:style>
  <w:style w:type="paragraph" w:customStyle="1" w:styleId="Dash4">
    <w:name w:val="Dash 4"/>
    <w:basedOn w:val="Normal"/>
    <w:rsid w:val="00AB3ADB"/>
    <w:pPr>
      <w:numPr>
        <w:numId w:val="5"/>
      </w:numPr>
      <w:outlineLvl w:val="3"/>
    </w:pPr>
    <w:rPr>
      <w:lang w:eastAsia="bg-BG" w:bidi="bg-BG"/>
    </w:rPr>
  </w:style>
  <w:style w:type="paragraph" w:customStyle="1" w:styleId="DashEqual">
    <w:name w:val="Dash Equal"/>
    <w:basedOn w:val="Dash"/>
    <w:rsid w:val="00AB3ADB"/>
    <w:pPr>
      <w:numPr>
        <w:numId w:val="6"/>
      </w:numPr>
    </w:pPr>
  </w:style>
  <w:style w:type="paragraph" w:customStyle="1" w:styleId="DashEqual1">
    <w:name w:val="Dash Equal 1"/>
    <w:basedOn w:val="Dash1"/>
    <w:rsid w:val="00AB3ADB"/>
    <w:pPr>
      <w:numPr>
        <w:numId w:val="7"/>
      </w:numPr>
    </w:pPr>
  </w:style>
  <w:style w:type="paragraph" w:customStyle="1" w:styleId="DashEqual2">
    <w:name w:val="Dash Equal 2"/>
    <w:basedOn w:val="Dash2"/>
    <w:rsid w:val="00AB3ADB"/>
    <w:pPr>
      <w:numPr>
        <w:numId w:val="8"/>
      </w:numPr>
    </w:pPr>
  </w:style>
  <w:style w:type="paragraph" w:customStyle="1" w:styleId="DashEqual3">
    <w:name w:val="Dash Equal 3"/>
    <w:basedOn w:val="Dash3"/>
    <w:rsid w:val="00AB3ADB"/>
    <w:pPr>
      <w:numPr>
        <w:numId w:val="9"/>
      </w:numPr>
    </w:pPr>
  </w:style>
  <w:style w:type="paragraph" w:customStyle="1" w:styleId="DashEqual4">
    <w:name w:val="Dash Equal 4"/>
    <w:basedOn w:val="Dash4"/>
    <w:rsid w:val="00AB3ADB"/>
    <w:pPr>
      <w:numPr>
        <w:numId w:val="10"/>
      </w:numPr>
    </w:pPr>
  </w:style>
  <w:style w:type="paragraph" w:customStyle="1" w:styleId="HeadingLeft">
    <w:name w:val="Heading Left"/>
    <w:basedOn w:val="Normal"/>
    <w:next w:val="Normal"/>
    <w:rsid w:val="00AB3ADB"/>
    <w:pPr>
      <w:spacing w:before="360"/>
      <w:outlineLvl w:val="0"/>
    </w:pPr>
    <w:rPr>
      <w:b/>
      <w:caps/>
      <w:u w:val="single"/>
      <w:lang w:eastAsia="bg-BG" w:bidi="bg-BG"/>
    </w:rPr>
  </w:style>
  <w:style w:type="paragraph" w:customStyle="1" w:styleId="HeadingIVX">
    <w:name w:val="Heading IVX"/>
    <w:basedOn w:val="HeadingLeft"/>
    <w:next w:val="Normal"/>
    <w:rsid w:val="00AB3ADB"/>
    <w:pPr>
      <w:numPr>
        <w:numId w:val="16"/>
      </w:numPr>
    </w:pPr>
  </w:style>
  <w:style w:type="paragraph" w:customStyle="1" w:styleId="Heading123">
    <w:name w:val="Heading 123"/>
    <w:basedOn w:val="HeadingLeft"/>
    <w:next w:val="Normal"/>
    <w:rsid w:val="00AB3ADB"/>
    <w:pPr>
      <w:numPr>
        <w:numId w:val="15"/>
      </w:numPr>
    </w:pPr>
  </w:style>
  <w:style w:type="paragraph" w:customStyle="1" w:styleId="HeadingABC">
    <w:name w:val="Heading ABC"/>
    <w:basedOn w:val="HeadingLeft"/>
    <w:next w:val="Normal"/>
    <w:rsid w:val="00AB3ADB"/>
    <w:pPr>
      <w:numPr>
        <w:numId w:val="14"/>
      </w:numPr>
    </w:pPr>
  </w:style>
  <w:style w:type="paragraph" w:customStyle="1" w:styleId="HeadingCentered">
    <w:name w:val="Heading Centered"/>
    <w:basedOn w:val="HeadingLeft"/>
    <w:next w:val="Normal"/>
    <w:rsid w:val="00AB3ADB"/>
    <w:pPr>
      <w:jc w:val="center"/>
    </w:pPr>
  </w:style>
  <w:style w:type="paragraph" w:customStyle="1" w:styleId="Amendment">
    <w:name w:val="Amendment"/>
    <w:basedOn w:val="Normal"/>
    <w:next w:val="Normal"/>
    <w:rsid w:val="00AB3ADB"/>
    <w:rPr>
      <w:i/>
      <w:u w:val="single"/>
      <w:lang w:eastAsia="bg-BG" w:bidi="bg-BG"/>
    </w:rPr>
  </w:style>
  <w:style w:type="paragraph" w:customStyle="1" w:styleId="AmendmentList">
    <w:name w:val="Amendment List"/>
    <w:basedOn w:val="Normal"/>
    <w:rsid w:val="00AB3ADB"/>
    <w:pPr>
      <w:ind w:left="2268" w:hanging="2268"/>
    </w:pPr>
    <w:rPr>
      <w:lang w:eastAsia="bg-BG" w:bidi="bg-BG"/>
    </w:rPr>
  </w:style>
  <w:style w:type="paragraph" w:customStyle="1" w:styleId="ReplyRE">
    <w:name w:val="Reply RE"/>
    <w:basedOn w:val="Normal"/>
    <w:next w:val="Normal"/>
    <w:rsid w:val="00AB3ADB"/>
    <w:pPr>
      <w:spacing w:after="480" w:line="240" w:lineRule="auto"/>
      <w:contextualSpacing/>
    </w:pPr>
    <w:rPr>
      <w:lang w:eastAsia="bg-BG" w:bidi="bg-BG"/>
    </w:rPr>
  </w:style>
  <w:style w:type="paragraph" w:customStyle="1" w:styleId="ReplyBold">
    <w:name w:val="Reply Bold"/>
    <w:basedOn w:val="ReplyRE"/>
    <w:next w:val="Normal"/>
    <w:rsid w:val="00AB3ADB"/>
    <w:rPr>
      <w:b/>
    </w:rPr>
  </w:style>
  <w:style w:type="paragraph" w:customStyle="1" w:styleId="Annex">
    <w:name w:val="Annex"/>
    <w:basedOn w:val="Normal"/>
    <w:next w:val="Normal"/>
    <w:rsid w:val="00AB3ADB"/>
    <w:pPr>
      <w:jc w:val="right"/>
    </w:pPr>
    <w:rPr>
      <w:b/>
      <w:u w:val="single"/>
      <w:lang w:eastAsia="bg-BG" w:bidi="bg-BG"/>
    </w:rPr>
  </w:style>
  <w:style w:type="paragraph" w:customStyle="1" w:styleId="Sign">
    <w:name w:val="Sign"/>
    <w:basedOn w:val="Normal"/>
    <w:rsid w:val="00AB3ADB"/>
    <w:pPr>
      <w:tabs>
        <w:tab w:val="center" w:pos="7087"/>
      </w:tabs>
    </w:pPr>
    <w:rPr>
      <w:lang w:eastAsia="bg-BG" w:bidi="bg-BG"/>
    </w:rPr>
  </w:style>
  <w:style w:type="paragraph" w:customStyle="1" w:styleId="NotDeclassified">
    <w:name w:val="Not Declassified"/>
    <w:basedOn w:val="Normal"/>
    <w:qFormat/>
    <w:rsid w:val="00AB3ADB"/>
    <w:rPr>
      <w:b/>
      <w:bCs/>
      <w:bdr w:val="single" w:sz="4" w:space="0" w:color="auto"/>
      <w:shd w:val="solid" w:color="CCCCCC" w:fill="CCCCCC"/>
      <w:lang w:eastAsia="bg-BG" w:bidi="bg-BG"/>
    </w:rPr>
  </w:style>
  <w:style w:type="paragraph" w:styleId="CommentText">
    <w:name w:val="annotation text"/>
    <w:basedOn w:val="Normal"/>
    <w:link w:val="CommentTextChar"/>
    <w:uiPriority w:val="99"/>
    <w:semiHidden/>
    <w:unhideWhenUsed/>
    <w:rsid w:val="00AB3ADB"/>
    <w:rPr>
      <w:sz w:val="20"/>
      <w:szCs w:val="20"/>
      <w:lang w:eastAsia="bg-BG" w:bidi="bg-BG"/>
    </w:rPr>
  </w:style>
  <w:style w:type="character" w:customStyle="1" w:styleId="CommentTextChar">
    <w:name w:val="Comment Text Char"/>
    <w:link w:val="CommentText"/>
    <w:uiPriority w:val="99"/>
    <w:semiHidden/>
    <w:rsid w:val="00AB3ADB"/>
    <w:rPr>
      <w:lang w:val="bg-BG" w:eastAsia="bg-BG" w:bidi="bg-BG"/>
    </w:rPr>
  </w:style>
  <w:style w:type="paragraph" w:styleId="CommentSubject">
    <w:name w:val="annotation subject"/>
    <w:basedOn w:val="CommentText"/>
    <w:next w:val="CommentText"/>
    <w:link w:val="CommentSubjectChar"/>
    <w:uiPriority w:val="99"/>
    <w:semiHidden/>
    <w:unhideWhenUsed/>
    <w:rsid w:val="00AB3ADB"/>
    <w:rPr>
      <w:b/>
      <w:bCs/>
    </w:rPr>
  </w:style>
  <w:style w:type="character" w:customStyle="1" w:styleId="CommentSubjectChar">
    <w:name w:val="Comment Subject Char"/>
    <w:link w:val="CommentSubject"/>
    <w:uiPriority w:val="99"/>
    <w:semiHidden/>
    <w:rsid w:val="00AB3ADB"/>
    <w:rPr>
      <w:b/>
      <w:bCs/>
      <w:lang w:val="bg-BG" w:eastAsia="bg-BG" w:bidi="bg-BG"/>
    </w:rPr>
  </w:style>
  <w:style w:type="paragraph" w:customStyle="1" w:styleId="a">
    <w:name w:val="всжх"/>
    <w:basedOn w:val="Annexetitre"/>
    <w:rsid w:val="00AB3ADB"/>
    <w:pPr>
      <w:jc w:val="right"/>
    </w:pPr>
  </w:style>
  <w:style w:type="paragraph" w:customStyle="1" w:styleId="Nualn">
    <w:name w:val="Nual n"/>
    <w:basedOn w:val="Normal"/>
    <w:rsid w:val="009C5181"/>
    <w:pPr>
      <w:numPr>
        <w:numId w:val="17"/>
      </w:numPr>
      <w:tabs>
        <w:tab w:val="left" w:pos="709"/>
      </w:tabs>
      <w:ind w:left="709" w:hanging="709"/>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4A6052"/>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8"/>
      </w:numPr>
    </w:pPr>
  </w:style>
  <w:style w:type="paragraph" w:customStyle="1" w:styleId="Tiret1">
    <w:name w:val="Tiret 1"/>
    <w:basedOn w:val="Normal"/>
    <w:rsid w:val="00224697"/>
    <w:pPr>
      <w:numPr>
        <w:numId w:val="19"/>
      </w:numPr>
      <w:outlineLvl w:val="0"/>
    </w:pPr>
  </w:style>
  <w:style w:type="paragraph" w:customStyle="1" w:styleId="Tiret2">
    <w:name w:val="Tiret 2"/>
    <w:basedOn w:val="Normal"/>
    <w:rsid w:val="00224697"/>
    <w:pPr>
      <w:numPr>
        <w:numId w:val="20"/>
      </w:numPr>
      <w:outlineLvl w:val="1"/>
    </w:pPr>
  </w:style>
  <w:style w:type="paragraph" w:customStyle="1" w:styleId="Tiret3">
    <w:name w:val="Tiret 3"/>
    <w:basedOn w:val="Normal"/>
    <w:rsid w:val="00224697"/>
    <w:pPr>
      <w:numPr>
        <w:numId w:val="21"/>
      </w:numPr>
      <w:outlineLvl w:val="2"/>
    </w:pPr>
  </w:style>
  <w:style w:type="paragraph" w:customStyle="1" w:styleId="Tiret4">
    <w:name w:val="Tiret 4"/>
    <w:basedOn w:val="Normal"/>
    <w:rsid w:val="00224697"/>
    <w:pPr>
      <w:numPr>
        <w:numId w:val="22"/>
      </w:numPr>
      <w:outlineLvl w:val="3"/>
    </w:pPr>
  </w:style>
  <w:style w:type="paragraph" w:customStyle="1" w:styleId="NumPar1">
    <w:name w:val="NumPar 1"/>
    <w:basedOn w:val="Normal"/>
    <w:next w:val="Text1"/>
    <w:rsid w:val="00224697"/>
    <w:pPr>
      <w:numPr>
        <w:numId w:val="23"/>
      </w:numPr>
      <w:outlineLvl w:val="0"/>
    </w:pPr>
  </w:style>
  <w:style w:type="paragraph" w:customStyle="1" w:styleId="NumPar2">
    <w:name w:val="NumPar 2"/>
    <w:basedOn w:val="Normal"/>
    <w:next w:val="Text1"/>
    <w:rsid w:val="00224697"/>
    <w:pPr>
      <w:numPr>
        <w:ilvl w:val="1"/>
        <w:numId w:val="23"/>
      </w:numPr>
      <w:outlineLvl w:val="1"/>
    </w:pPr>
  </w:style>
  <w:style w:type="paragraph" w:customStyle="1" w:styleId="NumPar3">
    <w:name w:val="NumPar 3"/>
    <w:basedOn w:val="Normal"/>
    <w:next w:val="Text1"/>
    <w:rsid w:val="00224697"/>
    <w:pPr>
      <w:numPr>
        <w:ilvl w:val="2"/>
        <w:numId w:val="23"/>
      </w:numPr>
      <w:outlineLvl w:val="2"/>
    </w:pPr>
  </w:style>
  <w:style w:type="paragraph" w:customStyle="1" w:styleId="NumPar4">
    <w:name w:val="NumPar 4"/>
    <w:basedOn w:val="Normal"/>
    <w:next w:val="Text1"/>
    <w:rsid w:val="00224697"/>
    <w:pPr>
      <w:numPr>
        <w:ilvl w:val="3"/>
        <w:numId w:val="23"/>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25"/>
      </w:numPr>
    </w:pPr>
  </w:style>
  <w:style w:type="paragraph" w:customStyle="1" w:styleId="Point1number">
    <w:name w:val="Point 1 (number)"/>
    <w:basedOn w:val="Normal"/>
    <w:rsid w:val="00224697"/>
    <w:pPr>
      <w:numPr>
        <w:ilvl w:val="2"/>
        <w:numId w:val="25"/>
      </w:numPr>
      <w:outlineLvl w:val="0"/>
    </w:pPr>
  </w:style>
  <w:style w:type="paragraph" w:customStyle="1" w:styleId="Point2number">
    <w:name w:val="Point 2 (number)"/>
    <w:basedOn w:val="Normal"/>
    <w:rsid w:val="00224697"/>
    <w:pPr>
      <w:numPr>
        <w:ilvl w:val="4"/>
        <w:numId w:val="25"/>
      </w:numPr>
      <w:outlineLvl w:val="1"/>
    </w:pPr>
  </w:style>
  <w:style w:type="paragraph" w:customStyle="1" w:styleId="Point3number">
    <w:name w:val="Point 3 (number)"/>
    <w:basedOn w:val="Normal"/>
    <w:rsid w:val="00224697"/>
    <w:pPr>
      <w:numPr>
        <w:ilvl w:val="6"/>
        <w:numId w:val="25"/>
      </w:numPr>
      <w:outlineLvl w:val="2"/>
    </w:pPr>
  </w:style>
  <w:style w:type="paragraph" w:customStyle="1" w:styleId="Point0letter">
    <w:name w:val="Point 0 (letter)"/>
    <w:basedOn w:val="Normal"/>
    <w:rsid w:val="00224697"/>
    <w:pPr>
      <w:numPr>
        <w:ilvl w:val="1"/>
        <w:numId w:val="25"/>
      </w:numPr>
    </w:pPr>
  </w:style>
  <w:style w:type="paragraph" w:customStyle="1" w:styleId="Point1letter">
    <w:name w:val="Point 1 (letter)"/>
    <w:basedOn w:val="Normal"/>
    <w:rsid w:val="00224697"/>
    <w:pPr>
      <w:numPr>
        <w:ilvl w:val="3"/>
        <w:numId w:val="25"/>
      </w:numPr>
      <w:outlineLvl w:val="0"/>
    </w:pPr>
  </w:style>
  <w:style w:type="paragraph" w:customStyle="1" w:styleId="Point2letter">
    <w:name w:val="Point 2 (letter)"/>
    <w:basedOn w:val="Normal"/>
    <w:rsid w:val="00224697"/>
    <w:pPr>
      <w:numPr>
        <w:ilvl w:val="5"/>
        <w:numId w:val="25"/>
      </w:numPr>
      <w:outlineLvl w:val="1"/>
    </w:pPr>
  </w:style>
  <w:style w:type="paragraph" w:customStyle="1" w:styleId="Point3letter">
    <w:name w:val="Point 3 (letter)"/>
    <w:basedOn w:val="Normal"/>
    <w:rsid w:val="00224697"/>
    <w:pPr>
      <w:numPr>
        <w:ilvl w:val="7"/>
        <w:numId w:val="25"/>
      </w:numPr>
      <w:outlineLvl w:val="2"/>
    </w:pPr>
  </w:style>
  <w:style w:type="paragraph" w:customStyle="1" w:styleId="Point4letter">
    <w:name w:val="Point 4 (letter)"/>
    <w:basedOn w:val="Normal"/>
    <w:rsid w:val="00224697"/>
    <w:pPr>
      <w:numPr>
        <w:ilvl w:val="8"/>
        <w:numId w:val="25"/>
      </w:numPr>
      <w:outlineLvl w:val="3"/>
    </w:pPr>
  </w:style>
  <w:style w:type="paragraph" w:customStyle="1" w:styleId="Bullet0">
    <w:name w:val="Bullet 0"/>
    <w:basedOn w:val="Normal"/>
    <w:rsid w:val="00224697"/>
    <w:pPr>
      <w:numPr>
        <w:numId w:val="26"/>
      </w:numPr>
    </w:pPr>
  </w:style>
  <w:style w:type="paragraph" w:customStyle="1" w:styleId="Bullet1">
    <w:name w:val="Bullet 1"/>
    <w:basedOn w:val="Normal"/>
    <w:rsid w:val="00224697"/>
    <w:pPr>
      <w:numPr>
        <w:numId w:val="27"/>
      </w:numPr>
      <w:outlineLvl w:val="0"/>
    </w:pPr>
  </w:style>
  <w:style w:type="paragraph" w:customStyle="1" w:styleId="Bullet2">
    <w:name w:val="Bullet 2"/>
    <w:basedOn w:val="Normal"/>
    <w:rsid w:val="00224697"/>
    <w:pPr>
      <w:numPr>
        <w:numId w:val="28"/>
      </w:numPr>
      <w:outlineLvl w:val="1"/>
    </w:pPr>
  </w:style>
  <w:style w:type="paragraph" w:customStyle="1" w:styleId="Bullet3">
    <w:name w:val="Bullet 3"/>
    <w:basedOn w:val="Normal"/>
    <w:rsid w:val="00224697"/>
    <w:pPr>
      <w:numPr>
        <w:numId w:val="29"/>
      </w:numPr>
      <w:outlineLvl w:val="2"/>
    </w:pPr>
  </w:style>
  <w:style w:type="paragraph" w:customStyle="1" w:styleId="Bullet4">
    <w:name w:val="Bullet 4"/>
    <w:basedOn w:val="Normal"/>
    <w:rsid w:val="00224697"/>
    <w:pPr>
      <w:numPr>
        <w:numId w:val="30"/>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1"/>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character" w:styleId="Hyperlink">
    <w:name w:val="Hyperlink"/>
    <w:basedOn w:val="DefaultParagraphFont"/>
    <w:uiPriority w:val="99"/>
    <w:unhideWhenUsed/>
    <w:rsid w:val="00FE2BB6"/>
    <w:rPr>
      <w:color w:val="0000FF" w:themeColor="hyperlink"/>
      <w:u w:val="single"/>
    </w:rPr>
  </w:style>
  <w:style w:type="paragraph" w:styleId="ListBullet">
    <w:name w:val="List Bullet"/>
    <w:basedOn w:val="Normal"/>
    <w:uiPriority w:val="99"/>
    <w:semiHidden/>
    <w:unhideWhenUsed/>
    <w:rsid w:val="003C7916"/>
    <w:pPr>
      <w:numPr>
        <w:numId w:val="33"/>
      </w:numPr>
      <w:contextualSpacing/>
    </w:pPr>
  </w:style>
  <w:style w:type="paragraph" w:styleId="ListBullet2">
    <w:name w:val="List Bullet 2"/>
    <w:basedOn w:val="Normal"/>
    <w:uiPriority w:val="99"/>
    <w:semiHidden/>
    <w:unhideWhenUsed/>
    <w:rsid w:val="003C7916"/>
    <w:pPr>
      <w:numPr>
        <w:numId w:val="34"/>
      </w:numPr>
      <w:contextualSpacing/>
    </w:pPr>
  </w:style>
  <w:style w:type="paragraph" w:styleId="ListBullet3">
    <w:name w:val="List Bullet 3"/>
    <w:basedOn w:val="Normal"/>
    <w:uiPriority w:val="99"/>
    <w:semiHidden/>
    <w:unhideWhenUsed/>
    <w:rsid w:val="003C7916"/>
    <w:pPr>
      <w:numPr>
        <w:numId w:val="35"/>
      </w:numPr>
      <w:contextualSpacing/>
    </w:pPr>
  </w:style>
  <w:style w:type="paragraph" w:styleId="ListBullet4">
    <w:name w:val="List Bullet 4"/>
    <w:basedOn w:val="Normal"/>
    <w:uiPriority w:val="99"/>
    <w:semiHidden/>
    <w:unhideWhenUsed/>
    <w:rsid w:val="003C7916"/>
    <w:pPr>
      <w:numPr>
        <w:numId w:val="36"/>
      </w:numPr>
      <w:contextualSpacing/>
    </w:pPr>
  </w:style>
  <w:style w:type="paragraph" w:styleId="ListNumber">
    <w:name w:val="List Number"/>
    <w:basedOn w:val="Normal"/>
    <w:uiPriority w:val="99"/>
    <w:semiHidden/>
    <w:unhideWhenUsed/>
    <w:rsid w:val="003C7916"/>
    <w:pPr>
      <w:numPr>
        <w:numId w:val="37"/>
      </w:numPr>
      <w:contextualSpacing/>
    </w:pPr>
  </w:style>
  <w:style w:type="paragraph" w:styleId="ListNumber2">
    <w:name w:val="List Number 2"/>
    <w:basedOn w:val="Normal"/>
    <w:uiPriority w:val="99"/>
    <w:semiHidden/>
    <w:unhideWhenUsed/>
    <w:rsid w:val="003C7916"/>
    <w:pPr>
      <w:numPr>
        <w:numId w:val="38"/>
      </w:numPr>
      <w:contextualSpacing/>
    </w:pPr>
  </w:style>
  <w:style w:type="paragraph" w:styleId="ListNumber3">
    <w:name w:val="List Number 3"/>
    <w:basedOn w:val="Normal"/>
    <w:uiPriority w:val="99"/>
    <w:semiHidden/>
    <w:unhideWhenUsed/>
    <w:rsid w:val="003C7916"/>
    <w:pPr>
      <w:numPr>
        <w:numId w:val="39"/>
      </w:numPr>
      <w:contextualSpacing/>
    </w:pPr>
  </w:style>
  <w:style w:type="paragraph" w:styleId="ListNumber4">
    <w:name w:val="List Number 4"/>
    <w:basedOn w:val="Normal"/>
    <w:uiPriority w:val="99"/>
    <w:semiHidden/>
    <w:unhideWhenUsed/>
    <w:rsid w:val="003C7916"/>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E514-BDB0-4F37-B4F1-AEC24AC1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15</Pages>
  <Words>11485</Words>
  <Characters>65469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STANCHEVA Gergana</dc:creator>
  <cp:keywords/>
  <cp:lastModifiedBy>STANCHEVA Gergana</cp:lastModifiedBy>
  <cp:revision>4</cp:revision>
  <dcterms:created xsi:type="dcterms:W3CDTF">2015-03-05T16:26:00Z</dcterms:created>
  <dcterms:modified xsi:type="dcterms:W3CDTF">2015-03-06T10:47:00Z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