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38" w:rsidRPr="00CF0077" w:rsidRDefault="00DE1CED" w:rsidP="00CF0077">
      <w:pPr>
        <w:pStyle w:val="TechnicalBlock"/>
        <w:ind w:left="-1134" w:right="-1134"/>
      </w:pPr>
      <w:bookmarkStart w:id="0" w:name="DW_BM_COVERPAGE"/>
      <w:bookmarkStart w:id="1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7a21fda5-6bdf-4021-943f-3cf6d9cf3bd3" style="width:568.5pt;height:385.25pt">
            <v:imagedata r:id="rId8" o:title=""/>
          </v:shape>
        </w:pict>
      </w:r>
      <w:bookmarkEnd w:id="0"/>
      <w:bookmarkEnd w:id="1"/>
    </w:p>
    <w:p w:rsidR="00A50238" w:rsidRDefault="00A50238" w:rsidP="00A50238">
      <w:pPr>
        <w:sectPr w:rsidR="00A50238" w:rsidSect="00DE1CE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624" w:right="1134" w:bottom="1134" w:left="1134" w:header="567" w:footer="567" w:gutter="0"/>
          <w:pgNumType w:start="1"/>
          <w:cols w:space="708"/>
          <w:titlePg/>
          <w:docGrid w:linePitch="360"/>
        </w:sectPr>
      </w:pPr>
    </w:p>
    <w:p w:rsidR="00A2440D" w:rsidRDefault="00A2440D" w:rsidP="00A2440D">
      <w:pPr>
        <w:pStyle w:val="Par-numberI"/>
        <w:numPr>
          <w:ilvl w:val="0"/>
          <w:numId w:val="0"/>
        </w:numPr>
        <w:rPr>
          <w:b/>
          <w:u w:val="single"/>
        </w:rPr>
      </w:pPr>
      <w:r w:rsidRPr="00EE048A">
        <w:rPr>
          <w:b/>
        </w:rPr>
        <w:lastRenderedPageBreak/>
        <w:t>I.</w:t>
      </w:r>
      <w:r w:rsidRPr="00EE048A">
        <w:rPr>
          <w:b/>
        </w:rPr>
        <w:tab/>
      </w:r>
      <w:r w:rsidRPr="00095CB3">
        <w:rPr>
          <w:b/>
          <w:u w:val="single"/>
        </w:rPr>
        <w:t>INTRODUCTION</w:t>
      </w:r>
    </w:p>
    <w:p w:rsidR="00095CB3" w:rsidRPr="00095CB3" w:rsidRDefault="00095CB3" w:rsidP="00095CB3">
      <w:pPr>
        <w:rPr>
          <w:lang w:eastAsia="fr-BE"/>
        </w:rPr>
      </w:pPr>
    </w:p>
    <w:p w:rsidR="00A2440D" w:rsidRDefault="00A2440D" w:rsidP="00D84A6B">
      <w:pPr>
        <w:pStyle w:val="NormalIndent"/>
        <w:ind w:left="1134" w:hanging="567"/>
      </w:pPr>
      <w:r>
        <w:t>1.</w:t>
      </w:r>
      <w:r w:rsidR="00D84A6B">
        <w:tab/>
      </w:r>
      <w:r>
        <w:t xml:space="preserve">On 1 July 2013, </w:t>
      </w:r>
      <w:r w:rsidRPr="00FF3356">
        <w:t xml:space="preserve">the </w:t>
      </w:r>
      <w:r>
        <w:rPr>
          <w:u w:val="single"/>
        </w:rPr>
        <w:t>Commission</w:t>
      </w:r>
      <w:r>
        <w:t xml:space="preserve"> submitted the above-mentioned proposal</w:t>
      </w:r>
      <w:r>
        <w:rPr>
          <w:rStyle w:val="FootnoteReference"/>
        </w:rPr>
        <w:footnoteReference w:id="1"/>
      </w:r>
      <w:r>
        <w:t xml:space="preserve"> and its related Impact Assessment to the Council and the European Parliament.</w:t>
      </w:r>
    </w:p>
    <w:p w:rsidR="00A2440D" w:rsidRDefault="00A2440D" w:rsidP="00095CB3">
      <w:pPr>
        <w:pStyle w:val="NormalIndent"/>
      </w:pPr>
    </w:p>
    <w:p w:rsidR="00A2440D" w:rsidRDefault="00D84A6B" w:rsidP="00D84A6B">
      <w:pPr>
        <w:pStyle w:val="NormalIndent"/>
        <w:ind w:left="1134" w:hanging="567"/>
      </w:pPr>
      <w:r>
        <w:t>2.</w:t>
      </w:r>
      <w:r>
        <w:tab/>
      </w:r>
      <w:r w:rsidR="00A2440D" w:rsidRPr="00FF3356">
        <w:t xml:space="preserve">The </w:t>
      </w:r>
      <w:r w:rsidR="00A2440D">
        <w:rPr>
          <w:u w:val="single"/>
        </w:rPr>
        <w:t>Economic and Social Committee</w:t>
      </w:r>
      <w:r w:rsidR="00A2440D">
        <w:t xml:space="preserve"> adopted its opinion on 16 October 2013.</w:t>
      </w:r>
      <w:r w:rsidR="00A2440D">
        <w:rPr>
          <w:rStyle w:val="FootnoteReference"/>
          <w:lang w:eastAsia="en-US"/>
        </w:rPr>
        <w:footnoteReference w:id="2"/>
      </w:r>
      <w:r w:rsidR="00A2440D">
        <w:t xml:space="preserve"> </w:t>
      </w:r>
    </w:p>
    <w:p w:rsidR="00A2440D" w:rsidRDefault="00A2440D" w:rsidP="00095CB3">
      <w:pPr>
        <w:pStyle w:val="NormalIndent"/>
      </w:pPr>
    </w:p>
    <w:p w:rsidR="00A2440D" w:rsidRDefault="00A2440D" w:rsidP="00D84A6B">
      <w:pPr>
        <w:pStyle w:val="NormalIndent"/>
        <w:ind w:left="1134"/>
      </w:pPr>
      <w:r>
        <w:t xml:space="preserve">The </w:t>
      </w:r>
      <w:r w:rsidRPr="00D84A6B">
        <w:t>European</w:t>
      </w:r>
      <w:r w:rsidRPr="00D645AB">
        <w:rPr>
          <w:u w:val="single"/>
        </w:rPr>
        <w:t xml:space="preserve"> Parliament</w:t>
      </w:r>
      <w:r>
        <w:t xml:space="preserve"> adopted its opinion at first reading on 16 April 2014</w:t>
      </w:r>
      <w:r>
        <w:rPr>
          <w:rStyle w:val="FootnoteReference"/>
        </w:rPr>
        <w:footnoteReference w:id="3"/>
      </w:r>
      <w:r>
        <w:t>, adopting 85 amendments.</w:t>
      </w:r>
    </w:p>
    <w:p w:rsidR="00A2440D" w:rsidRDefault="00A2440D" w:rsidP="00095CB3">
      <w:pPr>
        <w:pStyle w:val="NormalIndent"/>
      </w:pPr>
    </w:p>
    <w:p w:rsidR="00A2440D" w:rsidRDefault="00D84A6B" w:rsidP="00D84A6B">
      <w:pPr>
        <w:pStyle w:val="NormalIndent"/>
        <w:ind w:left="1134" w:hanging="567"/>
      </w:pPr>
      <w:r>
        <w:t>3.</w:t>
      </w:r>
      <w:r>
        <w:tab/>
      </w:r>
      <w:r w:rsidR="00A2440D">
        <w:t>The Council and the European Parliament conducted informal negotiations with a view to concluding an agreement at the stage of the Council's position at first reading ("early second reading agreement"). These negotiations were concluded on 18 November 2014 with a provisional agreement.</w:t>
      </w:r>
    </w:p>
    <w:p w:rsidR="00A2440D" w:rsidRDefault="00A2440D" w:rsidP="00095CB3">
      <w:pPr>
        <w:pStyle w:val="NormalIndent"/>
      </w:pPr>
    </w:p>
    <w:p w:rsidR="00A2440D" w:rsidRDefault="00D84A6B" w:rsidP="00D84A6B">
      <w:pPr>
        <w:pStyle w:val="NormalIndent"/>
        <w:ind w:left="1134" w:hanging="567"/>
      </w:pPr>
      <w:r>
        <w:rPr>
          <w:bCs/>
          <w:color w:val="000000"/>
        </w:rPr>
        <w:t>4.</w:t>
      </w:r>
      <w:r>
        <w:rPr>
          <w:bCs/>
          <w:color w:val="000000"/>
        </w:rPr>
        <w:tab/>
      </w:r>
      <w:r w:rsidR="00A2440D" w:rsidRPr="00C2602E">
        <w:rPr>
          <w:bCs/>
          <w:color w:val="000000"/>
        </w:rPr>
        <w:t xml:space="preserve">On </w:t>
      </w:r>
      <w:r w:rsidR="00A2440D" w:rsidRPr="00C2602E">
        <w:rPr>
          <w:rFonts w:eastAsia="Calibri"/>
          <w:bCs/>
          <w:color w:val="000000"/>
        </w:rPr>
        <w:t>3 December 2014,</w:t>
      </w:r>
      <w:r w:rsidR="00A2440D">
        <w:rPr>
          <w:rFonts w:eastAsia="Calibri"/>
          <w:bCs/>
          <w:color w:val="000000"/>
        </w:rPr>
        <w:t xml:space="preserve"> the European Parliament's Committee on the Environment, Public Health and Food Safety (ENVI) approved the</w:t>
      </w:r>
      <w:r w:rsidR="00A2440D" w:rsidRPr="00C2602E">
        <w:rPr>
          <w:rFonts w:eastAsia="Calibri"/>
          <w:bCs/>
          <w:color w:val="000000"/>
        </w:rPr>
        <w:t xml:space="preserve"> </w:t>
      </w:r>
      <w:r w:rsidR="00A2440D">
        <w:rPr>
          <w:rFonts w:eastAsia="Calibri"/>
          <w:bCs/>
          <w:color w:val="000000"/>
        </w:rPr>
        <w:t xml:space="preserve">outcome of the informal trilogue negotiations. On that same day, </w:t>
      </w:r>
      <w:r w:rsidR="00A2440D" w:rsidRPr="00C2602E">
        <w:rPr>
          <w:rFonts w:eastAsia="Calibri"/>
          <w:bCs/>
          <w:color w:val="000000"/>
        </w:rPr>
        <w:t xml:space="preserve">the </w:t>
      </w:r>
      <w:r w:rsidR="00A2440D" w:rsidRPr="00C2602E">
        <w:rPr>
          <w:rFonts w:eastAsia="Calibri"/>
          <w:bCs/>
          <w:color w:val="000000"/>
          <w:u w:val="single"/>
        </w:rPr>
        <w:t>Chair of the ENVI Committee</w:t>
      </w:r>
      <w:r w:rsidR="00A2440D" w:rsidRPr="00C2602E">
        <w:rPr>
          <w:rFonts w:eastAsia="Calibri"/>
          <w:bCs/>
          <w:color w:val="000000"/>
        </w:rPr>
        <w:t xml:space="preserve"> </w:t>
      </w:r>
      <w:r w:rsidR="00A2440D">
        <w:rPr>
          <w:rFonts w:eastAsia="Calibri"/>
          <w:bCs/>
          <w:color w:val="000000"/>
        </w:rPr>
        <w:t xml:space="preserve">informed, by means of a letter, </w:t>
      </w:r>
      <w:r w:rsidR="00A2440D">
        <w:rPr>
          <w:bCs/>
          <w:color w:val="000000"/>
        </w:rPr>
        <w:t xml:space="preserve">the </w:t>
      </w:r>
      <w:r w:rsidR="00A2440D" w:rsidRPr="009C3F4D">
        <w:rPr>
          <w:bCs/>
          <w:color w:val="000000"/>
          <w:u w:val="single"/>
        </w:rPr>
        <w:t>Chair</w:t>
      </w:r>
      <w:r w:rsidR="00095CB3">
        <w:rPr>
          <w:bCs/>
          <w:color w:val="000000"/>
          <w:u w:val="single"/>
        </w:rPr>
        <w:t> </w:t>
      </w:r>
      <w:r w:rsidR="00A2440D" w:rsidRPr="009C3F4D">
        <w:rPr>
          <w:bCs/>
          <w:color w:val="000000"/>
          <w:u w:val="single"/>
        </w:rPr>
        <w:t>of Coreper I</w:t>
      </w:r>
      <w:r w:rsidR="00A2440D">
        <w:rPr>
          <w:bCs/>
          <w:color w:val="000000"/>
        </w:rPr>
        <w:t xml:space="preserve"> that</w:t>
      </w:r>
      <w:r w:rsidR="00A2440D" w:rsidRPr="00C2602E">
        <w:rPr>
          <w:rFonts w:eastAsia="Calibri"/>
          <w:bCs/>
          <w:color w:val="000000"/>
        </w:rPr>
        <w:t>, should the Council transmit formally to the European Parliament its position as agreed, subject to legal-</w:t>
      </w:r>
      <w:r w:rsidR="00A2440D">
        <w:rPr>
          <w:rFonts w:eastAsia="Calibri"/>
          <w:bCs/>
          <w:color w:val="000000"/>
        </w:rPr>
        <w:t>linguistic verification, he would</w:t>
      </w:r>
      <w:r w:rsidR="00A2440D" w:rsidRPr="00C2602E">
        <w:rPr>
          <w:rFonts w:eastAsia="Calibri"/>
          <w:bCs/>
          <w:color w:val="000000"/>
        </w:rPr>
        <w:t>, together with the Rapporteur, recommend to the Plenary that the Council's position be accepted without amendments at Parliament's second reading.</w:t>
      </w:r>
    </w:p>
    <w:p w:rsidR="00A2440D" w:rsidRDefault="00A2440D" w:rsidP="00095CB3">
      <w:pPr>
        <w:pStyle w:val="NormalIndent"/>
      </w:pPr>
    </w:p>
    <w:p w:rsidR="00A2440D" w:rsidRDefault="00D84A6B" w:rsidP="00D84A6B">
      <w:pPr>
        <w:pStyle w:val="NormalIndent"/>
        <w:ind w:left="1134" w:hanging="567"/>
      </w:pPr>
      <w:r>
        <w:t>5.</w:t>
      </w:r>
      <w:r>
        <w:tab/>
      </w:r>
      <w:r w:rsidR="00A2440D">
        <w:t xml:space="preserve">On </w:t>
      </w:r>
      <w:r w:rsidR="00A2440D" w:rsidRPr="00D84A6B">
        <w:rPr>
          <w:rFonts w:eastAsia="Calibri"/>
          <w:bCs/>
          <w:color w:val="000000"/>
        </w:rPr>
        <w:t>that</w:t>
      </w:r>
      <w:r w:rsidR="00A2440D">
        <w:t xml:space="preserve"> basis, the Council on 17 December 2014 confirmed its political agreement regarding the text of this Regulation</w:t>
      </w:r>
      <w:r w:rsidR="00A2440D">
        <w:rPr>
          <w:rStyle w:val="FootnoteReference"/>
        </w:rPr>
        <w:footnoteReference w:id="4"/>
      </w:r>
      <w:r w:rsidR="00A2440D">
        <w:t xml:space="preserve"> as it had been agreed by the two Institutions.</w:t>
      </w:r>
    </w:p>
    <w:p w:rsidR="00A2440D" w:rsidRDefault="00A2440D" w:rsidP="00095CB3">
      <w:pPr>
        <w:pStyle w:val="NormalIndent"/>
      </w:pPr>
    </w:p>
    <w:p w:rsidR="00A2440D" w:rsidRDefault="00D84A6B" w:rsidP="00095CB3">
      <w:pPr>
        <w:pStyle w:val="Par-numberI"/>
        <w:numPr>
          <w:ilvl w:val="0"/>
          <w:numId w:val="0"/>
        </w:numPr>
        <w:rPr>
          <w:b/>
        </w:rPr>
      </w:pPr>
      <w:r>
        <w:rPr>
          <w:b/>
        </w:rPr>
        <w:br w:type="page"/>
      </w:r>
      <w:r w:rsidR="00A2440D" w:rsidRPr="00EE048A">
        <w:rPr>
          <w:b/>
        </w:rPr>
        <w:lastRenderedPageBreak/>
        <w:t>II.</w:t>
      </w:r>
      <w:r w:rsidR="00A2440D" w:rsidRPr="00EE048A">
        <w:rPr>
          <w:b/>
        </w:rPr>
        <w:tab/>
      </w:r>
      <w:r w:rsidR="00A2440D" w:rsidRPr="00095CB3">
        <w:rPr>
          <w:b/>
          <w:u w:val="single"/>
        </w:rPr>
        <w:t>OBJECTIVE</w:t>
      </w:r>
    </w:p>
    <w:p w:rsidR="00A2440D" w:rsidRPr="00E014C6" w:rsidRDefault="00A2440D" w:rsidP="00095CB3">
      <w:pPr>
        <w:spacing w:before="0" w:after="0"/>
      </w:pPr>
    </w:p>
    <w:p w:rsidR="00A2440D" w:rsidRDefault="00A2440D" w:rsidP="00095CB3">
      <w:pPr>
        <w:spacing w:before="0" w:after="0"/>
        <w:ind w:left="567" w:hanging="567"/>
      </w:pPr>
      <w:r>
        <w:tab/>
      </w:r>
      <w:r w:rsidRPr="0063275B">
        <w:t xml:space="preserve">The </w:t>
      </w:r>
      <w:r>
        <w:t xml:space="preserve">main </w:t>
      </w:r>
      <w:r w:rsidRPr="0063275B">
        <w:t xml:space="preserve">objective of the proposed </w:t>
      </w:r>
      <w:r>
        <w:t xml:space="preserve">Regulation </w:t>
      </w:r>
      <w:r w:rsidRPr="00D02D07">
        <w:rPr>
          <w:rFonts w:eastAsia="Calibri" w:cs="Arial"/>
          <w:szCs w:val="22"/>
        </w:rPr>
        <w:t>is to establish a system for the monitoring, reporting and verification (MRV) of CO</w:t>
      </w:r>
      <w:r w:rsidRPr="00D84A6B">
        <w:rPr>
          <w:rFonts w:eastAsia="Calibri" w:cs="Arial"/>
          <w:szCs w:val="22"/>
          <w:vertAlign w:val="subscript"/>
        </w:rPr>
        <w:t>2</w:t>
      </w:r>
      <w:r w:rsidRPr="00D02D07">
        <w:rPr>
          <w:rFonts w:eastAsia="Calibri" w:cs="Arial"/>
          <w:szCs w:val="22"/>
        </w:rPr>
        <w:t xml:space="preserve"> emissions from maritime transport, as a first step towards a global MRV system.</w:t>
      </w:r>
    </w:p>
    <w:p w:rsidR="00A2440D" w:rsidRPr="006F7CE4" w:rsidRDefault="00A2440D" w:rsidP="00095CB3">
      <w:pPr>
        <w:spacing w:before="0" w:after="0"/>
        <w:ind w:left="567" w:hanging="567"/>
        <w:rPr>
          <w:b/>
          <w:u w:val="single"/>
        </w:rPr>
      </w:pPr>
      <w:bookmarkStart w:id="3" w:name="ControlPages"/>
      <w:bookmarkEnd w:id="3"/>
    </w:p>
    <w:p w:rsidR="00A2440D" w:rsidRPr="00095CB3" w:rsidRDefault="00A2440D" w:rsidP="00095CB3">
      <w:pPr>
        <w:spacing w:before="0" w:after="0"/>
        <w:rPr>
          <w:u w:val="single"/>
        </w:rPr>
      </w:pPr>
      <w:r w:rsidRPr="00FB6885">
        <w:rPr>
          <w:b/>
        </w:rPr>
        <w:t>III.</w:t>
      </w:r>
      <w:r w:rsidRPr="00FB6885">
        <w:rPr>
          <w:b/>
        </w:rPr>
        <w:tab/>
      </w:r>
      <w:r w:rsidRPr="00095CB3">
        <w:rPr>
          <w:b/>
          <w:u w:val="single"/>
        </w:rPr>
        <w:t>ANALYSIS OF THE COUNCIL'S POSITION AT FIRST READING</w:t>
      </w:r>
    </w:p>
    <w:p w:rsidR="00A2440D" w:rsidRDefault="00A2440D" w:rsidP="00095CB3">
      <w:pPr>
        <w:pStyle w:val="Par-number1"/>
        <w:numPr>
          <w:ilvl w:val="0"/>
          <w:numId w:val="0"/>
        </w:numPr>
        <w:ind w:left="567"/>
        <w:outlineLvl w:val="0"/>
        <w:rPr>
          <w:b/>
        </w:rPr>
      </w:pPr>
    </w:p>
    <w:p w:rsidR="00A2440D" w:rsidRDefault="001656A3" w:rsidP="001656A3">
      <w:pPr>
        <w:spacing w:before="0" w:after="0"/>
        <w:ind w:left="567"/>
        <w:rPr>
          <w:b/>
          <w:bCs/>
        </w:rPr>
      </w:pPr>
      <w:r>
        <w:rPr>
          <w:b/>
          <w:bCs/>
        </w:rPr>
        <w:t>A.</w:t>
      </w:r>
      <w:r>
        <w:rPr>
          <w:b/>
          <w:bCs/>
        </w:rPr>
        <w:tab/>
      </w:r>
      <w:r w:rsidR="00A2440D" w:rsidRPr="006C059E">
        <w:rPr>
          <w:b/>
          <w:bCs/>
        </w:rPr>
        <w:t>General</w:t>
      </w:r>
    </w:p>
    <w:p w:rsidR="00095CB3" w:rsidRPr="006C059E" w:rsidRDefault="00095CB3" w:rsidP="00095CB3">
      <w:pPr>
        <w:spacing w:before="0" w:after="0"/>
        <w:rPr>
          <w:b/>
          <w:bCs/>
        </w:rPr>
      </w:pPr>
    </w:p>
    <w:p w:rsidR="00A2440D" w:rsidRPr="00B92D10" w:rsidRDefault="00A2440D" w:rsidP="001656A3">
      <w:pPr>
        <w:spacing w:before="0" w:after="0"/>
        <w:ind w:left="567"/>
        <w:rPr>
          <w:lang w:eastAsia="en-GB"/>
        </w:rPr>
      </w:pPr>
      <w:r w:rsidRPr="00B92D10">
        <w:t>Following</w:t>
      </w:r>
      <w:r w:rsidRPr="00B92D10">
        <w:rPr>
          <w:lang w:eastAsia="en-GB"/>
        </w:rPr>
        <w:t xml:space="preserve"> the vote in plenary, the European Parliament and the Council conducted negotiations with the aim of concluding a second-reading agreement on the basis of a Council first-reading position that the Parliament could approve as such. The text of the Council's first-reading position fully reflects the compromise reached between the co-legislators.</w:t>
      </w:r>
    </w:p>
    <w:p w:rsidR="00A2440D" w:rsidRDefault="00A2440D" w:rsidP="00095CB3">
      <w:pPr>
        <w:spacing w:before="0" w:after="0"/>
      </w:pPr>
    </w:p>
    <w:p w:rsidR="00A2440D" w:rsidRDefault="00A2440D" w:rsidP="001656A3">
      <w:pPr>
        <w:spacing w:before="0" w:after="0"/>
        <w:ind w:left="567"/>
        <w:rPr>
          <w:b/>
          <w:bCs/>
        </w:rPr>
      </w:pPr>
      <w:r w:rsidRPr="006C059E">
        <w:rPr>
          <w:b/>
          <w:bCs/>
        </w:rPr>
        <w:t>B.</w:t>
      </w:r>
      <w:r w:rsidR="001656A3">
        <w:rPr>
          <w:b/>
          <w:bCs/>
        </w:rPr>
        <w:tab/>
      </w:r>
      <w:r w:rsidRPr="006C059E">
        <w:rPr>
          <w:b/>
          <w:bCs/>
        </w:rPr>
        <w:t>Main issues</w:t>
      </w:r>
    </w:p>
    <w:p w:rsidR="00A2440D" w:rsidRPr="006C059E" w:rsidRDefault="00A2440D" w:rsidP="00095CB3">
      <w:pPr>
        <w:spacing w:before="0" w:after="0"/>
        <w:rPr>
          <w:b/>
          <w:bCs/>
        </w:rPr>
      </w:pPr>
    </w:p>
    <w:p w:rsidR="00A2440D" w:rsidRDefault="00A2440D" w:rsidP="001656A3">
      <w:pPr>
        <w:spacing w:before="0" w:after="0"/>
        <w:ind w:left="567"/>
      </w:pPr>
      <w:r>
        <w:t xml:space="preserve">The amendments brought to the Commission proposal generally reflect the need to find the right balance in </w:t>
      </w:r>
      <w:r w:rsidRPr="009C4A3A">
        <w:t>establish</w:t>
      </w:r>
      <w:r>
        <w:t>ing</w:t>
      </w:r>
      <w:r w:rsidRPr="009C4A3A">
        <w:t xml:space="preserve"> a </w:t>
      </w:r>
      <w:r>
        <w:t xml:space="preserve">monitoring reporting and verification (MRV) </w:t>
      </w:r>
      <w:r w:rsidRPr="009C4A3A">
        <w:t xml:space="preserve">system which </w:t>
      </w:r>
      <w:r>
        <w:t>would  remain</w:t>
      </w:r>
      <w:r w:rsidRPr="009C4A3A">
        <w:t xml:space="preserve"> flexible, </w:t>
      </w:r>
      <w:r>
        <w:t>while</w:t>
      </w:r>
      <w:r w:rsidRPr="009C4A3A">
        <w:t xml:space="preserve"> ensur</w:t>
      </w:r>
      <w:r>
        <w:t>ing</w:t>
      </w:r>
      <w:r w:rsidRPr="009C4A3A">
        <w:t xml:space="preserve"> a minimum level-playing field </w:t>
      </w:r>
      <w:r>
        <w:t xml:space="preserve">and </w:t>
      </w:r>
      <w:r w:rsidRPr="009C4A3A">
        <w:t>minimising administrative burden.</w:t>
      </w:r>
    </w:p>
    <w:p w:rsidR="00A2440D" w:rsidRDefault="00A2440D" w:rsidP="00095CB3">
      <w:pPr>
        <w:spacing w:before="0" w:after="0"/>
      </w:pPr>
    </w:p>
    <w:p w:rsidR="00A2440D" w:rsidRDefault="00A2440D" w:rsidP="001656A3">
      <w:pPr>
        <w:spacing w:before="0" w:after="0"/>
        <w:ind w:left="567"/>
      </w:pPr>
      <w:r>
        <w:t>More specifically, the main issues which required modifications compared to the original Commission proposal were:</w:t>
      </w:r>
    </w:p>
    <w:p w:rsidR="00A2440D" w:rsidRDefault="00A2440D" w:rsidP="00095CB3">
      <w:pPr>
        <w:spacing w:before="0" w:after="0"/>
      </w:pPr>
    </w:p>
    <w:p w:rsidR="00A2440D" w:rsidRDefault="00A2440D" w:rsidP="00DC0BFF">
      <w:pPr>
        <w:spacing w:before="0" w:after="0"/>
        <w:ind w:left="993" w:hanging="426"/>
      </w:pPr>
      <w:r>
        <w:t>(a)</w:t>
      </w:r>
      <w:r w:rsidR="00DC0BFF">
        <w:tab/>
      </w:r>
      <w:r w:rsidRPr="009C4A3A">
        <w:t>the list of definitions, which was expanded, with new definitions added and others being further specified;</w:t>
      </w:r>
    </w:p>
    <w:p w:rsidR="00A2440D" w:rsidRPr="009C4A3A" w:rsidRDefault="00A2440D" w:rsidP="00095CB3">
      <w:pPr>
        <w:spacing w:before="0" w:after="0"/>
      </w:pPr>
    </w:p>
    <w:p w:rsidR="00A2440D" w:rsidRDefault="00A2440D" w:rsidP="00DC0BFF">
      <w:pPr>
        <w:spacing w:before="0" w:after="0"/>
        <w:ind w:left="993" w:hanging="426"/>
      </w:pPr>
      <w:r>
        <w:t>(b)</w:t>
      </w:r>
      <w:r w:rsidR="00DC0BFF">
        <w:tab/>
      </w:r>
      <w:r w:rsidRPr="009C4A3A">
        <w:t xml:space="preserve">the content of, and </w:t>
      </w:r>
      <w:r>
        <w:t xml:space="preserve">procedure for, the </w:t>
      </w:r>
      <w:r w:rsidRPr="009C4A3A">
        <w:t>modifications to the monitoring plan;</w:t>
      </w:r>
    </w:p>
    <w:p w:rsidR="00A2440D" w:rsidRDefault="00A2440D" w:rsidP="00095CB3">
      <w:pPr>
        <w:spacing w:before="0" w:after="0"/>
      </w:pPr>
    </w:p>
    <w:p w:rsidR="00A2440D" w:rsidRDefault="00D84A6B" w:rsidP="00DC0BFF">
      <w:pPr>
        <w:spacing w:before="0" w:after="0"/>
        <w:ind w:left="993" w:hanging="426"/>
      </w:pPr>
      <w:r>
        <w:br w:type="page"/>
      </w:r>
      <w:r w:rsidR="00A2440D">
        <w:lastRenderedPageBreak/>
        <w:t>(c)</w:t>
      </w:r>
      <w:r w:rsidR="00DC0BFF">
        <w:tab/>
      </w:r>
      <w:r w:rsidR="00A2440D" w:rsidRPr="009C4A3A">
        <w:t xml:space="preserve">the </w:t>
      </w:r>
      <w:r w:rsidR="00A2440D">
        <w:t xml:space="preserve">types of </w:t>
      </w:r>
      <w:r w:rsidR="00A2440D" w:rsidRPr="009C4A3A">
        <w:t xml:space="preserve">monitoring of </w:t>
      </w:r>
      <w:r>
        <w:t>CO</w:t>
      </w:r>
      <w:r>
        <w:rPr>
          <w:vertAlign w:val="subscript"/>
        </w:rPr>
        <w:t>2</w:t>
      </w:r>
      <w:r>
        <w:t xml:space="preserve"> </w:t>
      </w:r>
      <w:r w:rsidR="00A2440D" w:rsidRPr="009C4A3A">
        <w:t>emissions, where a particular exemption was introduced to monitoring on a per-voyage basis</w:t>
      </w:r>
      <w:r w:rsidR="00A2440D">
        <w:t xml:space="preserve">; the possibility to monitor and report on a voluntary basis, both yearly and per-voyage, additional </w:t>
      </w:r>
      <w:r w:rsidR="00A2440D" w:rsidRPr="00095CB3">
        <w:t>information items,</w:t>
      </w:r>
      <w:r>
        <w:t xml:space="preserve"> such as those</w:t>
      </w:r>
      <w:r w:rsidR="00A2440D" w:rsidRPr="00095CB3">
        <w:t xml:space="preserve"> relating</w:t>
      </w:r>
      <w:r w:rsidR="00A2440D">
        <w:t xml:space="preserve"> to the ice-class of the ship and to navigation through ice,</w:t>
      </w:r>
      <w:r w:rsidR="00A2440D" w:rsidRPr="009C4A3A">
        <w:t xml:space="preserve"> </w:t>
      </w:r>
      <w:r w:rsidR="00A2440D">
        <w:t>was also</w:t>
      </w:r>
      <w:r w:rsidR="00A2440D" w:rsidRPr="009C4A3A">
        <w:t xml:space="preserve"> included;</w:t>
      </w:r>
    </w:p>
    <w:p w:rsidR="00A2440D" w:rsidRPr="009C4A3A" w:rsidRDefault="00A2440D" w:rsidP="00095CB3">
      <w:pPr>
        <w:spacing w:before="0" w:after="0"/>
      </w:pPr>
    </w:p>
    <w:p w:rsidR="00A2440D" w:rsidRDefault="00A2440D" w:rsidP="00DC0BFF">
      <w:pPr>
        <w:spacing w:before="0" w:after="0"/>
        <w:ind w:left="993" w:hanging="426"/>
      </w:pPr>
      <w:r>
        <w:t>(d)</w:t>
      </w:r>
      <w:r w:rsidR="00DC0BFF">
        <w:tab/>
      </w:r>
      <w:r w:rsidRPr="009C4A3A">
        <w:t xml:space="preserve">the </w:t>
      </w:r>
      <w:r>
        <w:t xml:space="preserve">organisation </w:t>
      </w:r>
      <w:r w:rsidRPr="009C4A3A">
        <w:t>of verification activities, with a view to clarifying the sequencing of actions and simplifying the procedure;</w:t>
      </w:r>
    </w:p>
    <w:p w:rsidR="00A2440D" w:rsidRPr="009C4A3A" w:rsidRDefault="00A2440D" w:rsidP="00095CB3">
      <w:pPr>
        <w:spacing w:before="0" w:after="0"/>
      </w:pPr>
    </w:p>
    <w:p w:rsidR="00A2440D" w:rsidRDefault="00A2440D" w:rsidP="00DC0BFF">
      <w:pPr>
        <w:spacing w:before="0" w:after="0"/>
        <w:ind w:left="993" w:hanging="426"/>
      </w:pPr>
      <w:r>
        <w:t>(e)</w:t>
      </w:r>
      <w:r w:rsidR="00DC0BFF">
        <w:tab/>
      </w:r>
      <w:r w:rsidRPr="009C4A3A">
        <w:t>the structure and content of compliance and the mechanism for penalties, together with the possible links to Directive 2009/16/EC on port-state control;</w:t>
      </w:r>
    </w:p>
    <w:p w:rsidR="00A2440D" w:rsidRDefault="00A2440D" w:rsidP="00095C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after="0"/>
      </w:pPr>
    </w:p>
    <w:p w:rsidR="00A2440D" w:rsidRDefault="00A2440D" w:rsidP="00DC0BFF">
      <w:pPr>
        <w:spacing w:before="0" w:after="0"/>
        <w:ind w:left="993" w:hanging="426"/>
      </w:pPr>
      <w:r>
        <w:t>(f)</w:t>
      </w:r>
      <w:r w:rsidR="00DC0BFF">
        <w:tab/>
      </w:r>
      <w:r w:rsidRPr="009C4A3A">
        <w:t xml:space="preserve">the </w:t>
      </w:r>
      <w:r>
        <w:t xml:space="preserve">deletion of the </w:t>
      </w:r>
      <w:r w:rsidRPr="009C4A3A">
        <w:t>link</w:t>
      </w:r>
      <w:r>
        <w:t xml:space="preserve"> </w:t>
      </w:r>
      <w:r w:rsidRPr="009C4A3A">
        <w:t xml:space="preserve">to Regulation (EU) No 525/2013 </w:t>
      </w:r>
      <w:r w:rsidRPr="000000AA">
        <w:rPr>
          <w:rFonts w:cs="Times-Roman"/>
          <w:lang w:val="en-US"/>
        </w:rPr>
        <w:t>on a mechanism for monitoring and reporting greenhouse gas emissions and for reporting other information at national and Union level relevant to climate change</w:t>
      </w:r>
      <w:r>
        <w:rPr>
          <w:rFonts w:cs="Times-Roman"/>
          <w:lang w:val="en-US"/>
        </w:rPr>
        <w:t>;</w:t>
      </w:r>
    </w:p>
    <w:p w:rsidR="00A2440D" w:rsidRDefault="00A2440D" w:rsidP="00095CB3">
      <w:pPr>
        <w:spacing w:before="0" w:after="0"/>
      </w:pPr>
    </w:p>
    <w:p w:rsidR="00A2440D" w:rsidRDefault="00DC0BFF" w:rsidP="00DC0BFF">
      <w:pPr>
        <w:spacing w:before="0" w:after="0"/>
        <w:ind w:left="993" w:hanging="426"/>
      </w:pPr>
      <w:r>
        <w:t>(g)</w:t>
      </w:r>
      <w:r>
        <w:tab/>
      </w:r>
      <w:r w:rsidR="00A2440D" w:rsidRPr="009C4A3A">
        <w:t xml:space="preserve">the information </w:t>
      </w:r>
      <w:r w:rsidR="00A2440D">
        <w:t xml:space="preserve">that is to be made available by the </w:t>
      </w:r>
      <w:r w:rsidR="00A2440D" w:rsidRPr="009C4A3A">
        <w:t>Commission</w:t>
      </w:r>
      <w:r w:rsidR="00A2440D">
        <w:t xml:space="preserve">, the recognition of a (limited) exemption from </w:t>
      </w:r>
      <w:r w:rsidR="00D84A6B">
        <w:t xml:space="preserve">that </w:t>
      </w:r>
      <w:r w:rsidR="00A2440D">
        <w:t>publicity, as well as the different types of reports that the Commission is to establish under the Regulation</w:t>
      </w:r>
      <w:r w:rsidR="00A2440D" w:rsidRPr="009C4A3A">
        <w:t xml:space="preserve">; </w:t>
      </w:r>
    </w:p>
    <w:p w:rsidR="00A2440D" w:rsidRDefault="00A2440D" w:rsidP="00095CB3">
      <w:pPr>
        <w:spacing w:before="0" w:after="0"/>
      </w:pPr>
    </w:p>
    <w:p w:rsidR="00A2440D" w:rsidRDefault="00DC0BFF" w:rsidP="00DC0BFF">
      <w:pPr>
        <w:spacing w:before="0" w:after="0"/>
        <w:ind w:left="993" w:hanging="426"/>
      </w:pPr>
      <w:r>
        <w:t>(h)</w:t>
      </w:r>
      <w:r>
        <w:tab/>
      </w:r>
      <w:r w:rsidR="00A2440D" w:rsidRPr="009C4A3A">
        <w:t>the scope of Annex II</w:t>
      </w:r>
      <w:r w:rsidR="00A2440D">
        <w:t>,</w:t>
      </w:r>
      <w:r w:rsidR="00A2440D" w:rsidRPr="009C4A3A">
        <w:t xml:space="preserve"> where a possible differentiation between different types of ships </w:t>
      </w:r>
      <w:r w:rsidR="00A2440D">
        <w:t>and the further specification of applicable parameters for the calculation of cargo carried by implementing act was introduced</w:t>
      </w:r>
      <w:r w:rsidR="00A2440D" w:rsidRPr="009C4A3A">
        <w:t xml:space="preserve">; and, </w:t>
      </w:r>
    </w:p>
    <w:p w:rsidR="00A2440D" w:rsidRDefault="00A2440D" w:rsidP="00095CB3">
      <w:pPr>
        <w:spacing w:before="0" w:after="0"/>
      </w:pPr>
    </w:p>
    <w:p w:rsidR="00A2440D" w:rsidRDefault="00DC0BFF" w:rsidP="00DC0BFF">
      <w:pPr>
        <w:spacing w:before="0" w:after="0"/>
        <w:ind w:left="993" w:hanging="426"/>
      </w:pPr>
      <w:r>
        <w:t>(i)</w:t>
      </w:r>
      <w:r>
        <w:tab/>
      </w:r>
      <w:r w:rsidR="00A2440D" w:rsidRPr="009C4A3A">
        <w:t xml:space="preserve">the </w:t>
      </w:r>
      <w:r w:rsidR="00D84A6B">
        <w:t>scope of the</w:t>
      </w:r>
      <w:r w:rsidR="00A2440D" w:rsidRPr="009C4A3A">
        <w:t xml:space="preserve"> delegated acts</w:t>
      </w:r>
      <w:r w:rsidR="00D84A6B">
        <w:t xml:space="preserve"> foreseen in the Regulation</w:t>
      </w:r>
      <w:r w:rsidR="00A2440D" w:rsidRPr="009C4A3A">
        <w:t>.</w:t>
      </w:r>
    </w:p>
    <w:p w:rsidR="00A2440D" w:rsidRDefault="00A2440D" w:rsidP="00095CB3">
      <w:pPr>
        <w:pStyle w:val="NormalIndent"/>
      </w:pPr>
    </w:p>
    <w:p w:rsidR="00A2440D" w:rsidRDefault="00D84A6B" w:rsidP="00095CB3">
      <w:pPr>
        <w:pStyle w:val="Par-numberI"/>
        <w:numPr>
          <w:ilvl w:val="0"/>
          <w:numId w:val="0"/>
        </w:numPr>
        <w:rPr>
          <w:b/>
          <w:u w:val="single"/>
        </w:rPr>
      </w:pPr>
      <w:r>
        <w:rPr>
          <w:b/>
        </w:rPr>
        <w:br w:type="page"/>
      </w:r>
      <w:r w:rsidR="00A2440D" w:rsidRPr="00FB6885">
        <w:rPr>
          <w:b/>
        </w:rPr>
        <w:lastRenderedPageBreak/>
        <w:t>IV.</w:t>
      </w:r>
      <w:r w:rsidR="00A2440D" w:rsidRPr="00FB6885">
        <w:rPr>
          <w:b/>
        </w:rPr>
        <w:tab/>
      </w:r>
      <w:r w:rsidR="00A2440D" w:rsidRPr="00095CB3">
        <w:rPr>
          <w:b/>
          <w:u w:val="single"/>
        </w:rPr>
        <w:t>CONCLUSION</w:t>
      </w:r>
    </w:p>
    <w:p w:rsidR="00A2440D" w:rsidRPr="00C253F6" w:rsidRDefault="00A2440D" w:rsidP="00095CB3">
      <w:pPr>
        <w:spacing w:before="0" w:after="0"/>
      </w:pPr>
    </w:p>
    <w:p w:rsidR="00A2440D" w:rsidRDefault="00A2440D" w:rsidP="00095CB3">
      <w:pPr>
        <w:spacing w:before="0" w:after="0"/>
        <w:ind w:left="567"/>
      </w:pPr>
      <w:r>
        <w:t xml:space="preserve">The </w:t>
      </w:r>
      <w:r w:rsidRPr="00E830C9">
        <w:rPr>
          <w:u w:val="single"/>
        </w:rPr>
        <w:t>Council</w:t>
      </w:r>
      <w:r>
        <w:rPr>
          <w:u w:val="single"/>
        </w:rPr>
        <w:t>'s</w:t>
      </w:r>
      <w:r w:rsidRPr="00EF0AFD">
        <w:t xml:space="preserve"> position</w:t>
      </w:r>
      <w:r>
        <w:t xml:space="preserve"> fully reflects the compromise reached in the informal negotiations between the Council and the European Parliament, with the support of the Commission.</w:t>
      </w:r>
    </w:p>
    <w:p w:rsidR="00A2440D" w:rsidRDefault="00A2440D" w:rsidP="00095CB3">
      <w:pPr>
        <w:spacing w:before="0" w:after="0"/>
        <w:ind w:left="567"/>
      </w:pPr>
    </w:p>
    <w:p w:rsidR="00A2440D" w:rsidRDefault="00A2440D" w:rsidP="00095CB3">
      <w:pPr>
        <w:spacing w:before="0" w:after="0"/>
        <w:ind w:left="567"/>
      </w:pPr>
      <w:r>
        <w:t>This compromise was confirmed by a letter from the Chair of the European Parliament ENVI Committee addressed to the Presidency and dated 3 December 2014. It was subsequently endorse</w:t>
      </w:r>
      <w:r w:rsidR="00D84A6B">
        <w:t>d</w:t>
      </w:r>
      <w:r>
        <w:t xml:space="preserve"> by the Council (ENV) on 17 December 2014 through the adoption of the political agreement.</w:t>
      </w:r>
    </w:p>
    <w:p w:rsidR="00A2440D" w:rsidRDefault="00A2440D" w:rsidP="00A2440D">
      <w:pPr>
        <w:ind w:left="567"/>
      </w:pPr>
    </w:p>
    <w:p w:rsidR="00A2440D" w:rsidRDefault="00A2440D" w:rsidP="00A2440D">
      <w:pPr>
        <w:jc w:val="center"/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FC4670" w:rsidRPr="00A50238" w:rsidRDefault="00FC4670" w:rsidP="00A2440D">
      <w:pPr>
        <w:pStyle w:val="HeadingIVX"/>
        <w:numPr>
          <w:ilvl w:val="0"/>
          <w:numId w:val="0"/>
        </w:numPr>
        <w:ind w:left="567"/>
      </w:pPr>
    </w:p>
    <w:sectPr w:rsidR="00FC4670" w:rsidRPr="00A50238" w:rsidSect="00DE1CED">
      <w:headerReference w:type="default" r:id="rId15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B5C" w:rsidRDefault="004C5B5C" w:rsidP="00A50238">
      <w:pPr>
        <w:spacing w:before="0" w:after="0" w:line="240" w:lineRule="auto"/>
      </w:pPr>
      <w:r>
        <w:separator/>
      </w:r>
    </w:p>
  </w:endnote>
  <w:endnote w:type="continuationSeparator" w:id="0">
    <w:p w:rsidR="004C5B5C" w:rsidRDefault="004C5B5C" w:rsidP="00A502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CED" w:rsidRPr="00DE1CED" w:rsidRDefault="00DE1CED" w:rsidP="00DE1C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E1CED" w:rsidRPr="00D94637" w:rsidTr="00DE1CE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E1CED" w:rsidRPr="00D94637" w:rsidRDefault="00DE1CE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DE1CED" w:rsidRPr="00B310DC" w:rsidTr="00DE1CE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E1CED" w:rsidRPr="00AD7BF2" w:rsidRDefault="00DE1CED" w:rsidP="004F54B2">
          <w:pPr>
            <w:pStyle w:val="FooterText"/>
          </w:pPr>
          <w:r>
            <w:t>17086/1/14</w:t>
          </w:r>
          <w:r w:rsidRPr="002511D8">
            <w:t xml:space="preserve"> </w:t>
          </w:r>
          <w:r>
            <w:t>REV 1 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E1CED" w:rsidRPr="00AD7BF2" w:rsidRDefault="00DE1CE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E1CED" w:rsidRPr="002511D8" w:rsidRDefault="00DE1CED" w:rsidP="00D94637">
          <w:pPr>
            <w:pStyle w:val="FooterText"/>
            <w:jc w:val="center"/>
          </w:pPr>
          <w:r>
            <w:t>psc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E1CED" w:rsidRPr="00B310DC" w:rsidRDefault="00DE1CE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</w:tr>
    <w:tr w:rsidR="00DE1CED" w:rsidRPr="00D94637" w:rsidTr="00DE1CED">
      <w:trPr>
        <w:jc w:val="center"/>
      </w:trPr>
      <w:tc>
        <w:tcPr>
          <w:tcW w:w="1774" w:type="pct"/>
          <w:shd w:val="clear" w:color="auto" w:fill="auto"/>
        </w:tcPr>
        <w:p w:rsidR="00DE1CED" w:rsidRPr="00AD7BF2" w:rsidRDefault="00DE1CE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E1CED" w:rsidRPr="00AD7BF2" w:rsidRDefault="00DE1CED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DE1CED" w:rsidRPr="00D94637" w:rsidRDefault="00DE1CE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E1CED" w:rsidRPr="00D94637" w:rsidRDefault="00DE1CE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A50238" w:rsidRPr="00DE1CED" w:rsidRDefault="00A50238" w:rsidP="00DE1CED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E1CED" w:rsidRPr="00D94637" w:rsidTr="00DE1CE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E1CED" w:rsidRPr="00D94637" w:rsidRDefault="00DE1CE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DE1CED" w:rsidRPr="00B310DC" w:rsidTr="00DE1CE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E1CED" w:rsidRPr="00AD7BF2" w:rsidRDefault="00DE1CED" w:rsidP="004F54B2">
          <w:pPr>
            <w:pStyle w:val="FooterText"/>
          </w:pPr>
          <w:r>
            <w:t>17086/1/14</w:t>
          </w:r>
          <w:r w:rsidRPr="002511D8">
            <w:t xml:space="preserve"> </w:t>
          </w:r>
          <w:r>
            <w:t>REV 1 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E1CED" w:rsidRPr="00AD7BF2" w:rsidRDefault="00DE1CE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E1CED" w:rsidRPr="002511D8" w:rsidRDefault="00DE1CED" w:rsidP="00D94637">
          <w:pPr>
            <w:pStyle w:val="FooterText"/>
            <w:jc w:val="center"/>
          </w:pPr>
          <w:r>
            <w:t>psc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E1CED" w:rsidRPr="00B310DC" w:rsidRDefault="00DE1CE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DE1CED" w:rsidRPr="00D94637" w:rsidTr="00DE1CED">
      <w:trPr>
        <w:jc w:val="center"/>
      </w:trPr>
      <w:tc>
        <w:tcPr>
          <w:tcW w:w="1774" w:type="pct"/>
          <w:shd w:val="clear" w:color="auto" w:fill="auto"/>
        </w:tcPr>
        <w:p w:rsidR="00DE1CED" w:rsidRPr="00AD7BF2" w:rsidRDefault="00DE1CE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E1CED" w:rsidRPr="00AD7BF2" w:rsidRDefault="00DE1CED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DE1CED" w:rsidRPr="00D94637" w:rsidRDefault="00DE1CE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E1CED" w:rsidRPr="00D94637" w:rsidRDefault="00DE1CE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A50238" w:rsidRPr="00DE1CED" w:rsidRDefault="00A50238" w:rsidP="00DE1CED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B5C" w:rsidRDefault="004C5B5C" w:rsidP="00A50238">
      <w:pPr>
        <w:spacing w:before="0" w:after="0" w:line="240" w:lineRule="auto"/>
      </w:pPr>
      <w:r>
        <w:separator/>
      </w:r>
    </w:p>
  </w:footnote>
  <w:footnote w:type="continuationSeparator" w:id="0">
    <w:p w:rsidR="004C5B5C" w:rsidRDefault="004C5B5C" w:rsidP="00A50238">
      <w:pPr>
        <w:spacing w:before="0" w:after="0" w:line="240" w:lineRule="auto"/>
      </w:pPr>
      <w:r>
        <w:continuationSeparator/>
      </w:r>
    </w:p>
  </w:footnote>
  <w:footnote w:id="1">
    <w:p w:rsidR="00A2440D" w:rsidRPr="00095096" w:rsidRDefault="00A2440D" w:rsidP="00A2440D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 w:rsidRPr="00095096">
        <w:rPr>
          <w:lang w:val="pt-PT"/>
        </w:rPr>
        <w:tab/>
      </w:r>
      <w:r>
        <w:rPr>
          <w:lang w:val="pt-PT"/>
        </w:rPr>
        <w:t>11851/13.</w:t>
      </w:r>
    </w:p>
  </w:footnote>
  <w:footnote w:id="2">
    <w:p w:rsidR="00A2440D" w:rsidRPr="00320A13" w:rsidRDefault="00A2440D" w:rsidP="00A2440D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 w:rsidRPr="00320A13">
        <w:rPr>
          <w:lang w:val="pt-PT"/>
        </w:rPr>
        <w:tab/>
      </w:r>
      <w:r>
        <w:rPr>
          <w:lang w:val="pt-PT"/>
        </w:rPr>
        <w:t>CESE 5340/2013</w:t>
      </w:r>
      <w:r w:rsidRPr="00320A13">
        <w:rPr>
          <w:lang w:val="pt-PT"/>
        </w:rPr>
        <w:t>.</w:t>
      </w:r>
    </w:p>
  </w:footnote>
  <w:footnote w:id="3">
    <w:p w:rsidR="00A2440D" w:rsidRDefault="00A2440D" w:rsidP="00A2440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8671/14.</w:t>
      </w:r>
    </w:p>
  </w:footnote>
  <w:footnote w:id="4">
    <w:p w:rsidR="00A2440D" w:rsidRDefault="00A2440D" w:rsidP="00A2440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16238/14.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CED" w:rsidRPr="00DE1CED" w:rsidRDefault="00DE1CED" w:rsidP="00DE1C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CED" w:rsidRPr="00DE1CED" w:rsidRDefault="00DE1CED" w:rsidP="00DE1CED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CED" w:rsidRPr="00DE1CED" w:rsidRDefault="00DE1CED" w:rsidP="00DE1CED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238" w:rsidRPr="00DE1CED" w:rsidRDefault="00A50238" w:rsidP="00DE1C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4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6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8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9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0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1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2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3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6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8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9">
    <w:nsid w:val="6E4E71E4"/>
    <w:multiLevelType w:val="singleLevel"/>
    <w:tmpl w:val="21145626"/>
    <w:lvl w:ilvl="0">
      <w:start w:val="1"/>
      <w:numFmt w:val="decimal"/>
      <w:pStyle w:val="Par-number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0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2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13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20"/>
  </w:num>
  <w:num w:numId="11">
    <w:abstractNumId w:val="21"/>
  </w:num>
  <w:num w:numId="12">
    <w:abstractNumId w:val="1"/>
  </w:num>
  <w:num w:numId="13">
    <w:abstractNumId w:val="23"/>
  </w:num>
  <w:num w:numId="14">
    <w:abstractNumId w:val="18"/>
  </w:num>
  <w:num w:numId="15">
    <w:abstractNumId w:val="15"/>
  </w:num>
  <w:num w:numId="16">
    <w:abstractNumId w:val="10"/>
  </w:num>
  <w:num w:numId="17">
    <w:abstractNumId w:val="16"/>
  </w:num>
  <w:num w:numId="18">
    <w:abstractNumId w:val="4"/>
  </w:num>
  <w:num w:numId="19">
    <w:abstractNumId w:val="22"/>
  </w:num>
  <w:num w:numId="20">
    <w:abstractNumId w:val="6"/>
  </w:num>
  <w:num w:numId="21">
    <w:abstractNumId w:val="1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7a21fda5-6bdf-4021-943f-3cf6d9cf3bd3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60&quot; text=&quot;STATEMENT OF THE COUNCIL'S REASONS&quot; /&gt;_x000d__x000a_    &lt;/basicdatatype&gt;_x000d__x000a_  &lt;/metadata&gt;_x000d__x000a_  &lt;metadata key=&quot;md_HeadingText&quot;&gt;_x000d__x000a_    &lt;headingtext text=&quot;STATEMENT OF THE COUNCIL'S REASONS&quot;&gt;_x000d__x000a_      &lt;formattedtext&gt;_x000d__x000a_        &lt;xaml text=&quot;STATEMENT OF THE COUNCIL'S REASONS&quot;&gt;&amp;lt;FlowDocument xmlns=&quot;http://schemas.microsoft.com/winfx/2006/xaml/presentation&quot;&amp;gt;&amp;lt;Paragraph&amp;gt;STATEMENT OF THE COUNCIL'S REASONS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0&quot; text=&quot;Statement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3-05&lt;/text&gt;_x000d__x000a_  &lt;/metadata&gt;_x000d__x000a_  &lt;metadata key=&quot;md_Prefix&quot;&gt;_x000d__x000a_    &lt;text&gt;&lt;/text&gt;_x000d__x000a_  &lt;/metadata&gt;_x000d__x000a_  &lt;metadata key=&quot;md_DocumentNumber&quot;&gt;_x000d__x000a_    &lt;text&gt;17086&lt;/text&gt;_x000d__x000a_  &lt;/metadata&gt;_x000d__x000a_  &lt;metadata key=&quot;md_YearDocumentNumber&quot;&gt;_x000d__x000a_    &lt;text&gt;2014&lt;/text&gt;_x000d__x000a_  &lt;/metadata&gt;_x000d__x000a_  &lt;metadata key=&quot;md_Suffixes&quot;&gt;_x000d__x000a_    &lt;text&gt;REV 1 ADD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CLIMA 119&lt;/text&gt;_x000d__x000a_      &lt;text&gt;ENV 1010&lt;/text&gt;_x000d__x000a_      &lt;text&gt;MAR 191&lt;/text&gt;_x000d__x000a_      &lt;text&gt;MI 1013&lt;/text&gt;_x000d__x000a_      &lt;text&gt;ONU 167&lt;/text&gt;_x000d__x000a_      &lt;text&gt;CODEC 2552&lt;/text&gt;_x000d__x000a_      &lt;text&gt;PARLNAT 302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&gt;_x000d__x000a_    &lt;textlist&gt;_x000d__x000a_      &lt;text&gt;2013/0224 (COD)&lt;/text&gt;_x000d__x000a_    &lt;/textlist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Position of the Council at first reading with a view to the adoption of a Regulation of the European Parliament and of the Council on the monitoring, reporting and verification of carbon dioxide emissions from maritime transport and amending Directive 2009/16/EC - Statement of the Council's reasons  &amp;#8211; Adopted by the Council on 5 March 2015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Position of the Council at first reading with a view to the adoption of a Regulation of the European Parliament and of the Council on the monitoring, reporting and verification of carbon dioxide emissions from maritime transport and amending &amp;lt;Run xml:lang=&quot;fr-be&quot;&amp;gt;Directive 2009/16/EC&amp;lt;/Run&amp;gt;&amp;lt;/Paragraph&amp;gt;&amp;lt;Paragraph xml:space=&quot;preserve&quot;&amp;gt;-&amp;lt;Run xml:lang=&quot;fr-be&quot;&amp;gt; S&amp;lt;/Run&amp;gt;tatement of the Council's reasons &amp;lt;LineBreak /&amp;gt;&amp;#8211; Adopted by the Council on &amp;lt;Run xml:lang=&quot;fr-be&quot;&amp;gt;5 March 2015&amp;lt;/Run&amp;gt;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psc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&lt;/text&gt;_x000d__x000a_  &lt;/metadata&gt;_x000d__x000a_  &lt;metadata key=&quot;md_NB2&quot;&gt;_x000d__x000a_    &lt;text&gt;&lt;/text&gt;_x000d__x000a_  &lt;/metadata&gt;_x000d__x000a_  &lt;metadata key=&quot;md_NB3&quot;&gt;_x000d__x000a_    &lt;text&gt;&lt;/text&gt;_x000d__x000a_  &lt;/metadata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W_DocType" w:val="DW_COUNCIL"/>
    <w:docVar w:name="VSSDB_IniPath" w:val="\\at100\user\wovo\SEILEG\vss\srcsafe.ini"/>
    <w:docVar w:name="VSSDB_ProjectPath" w:val="$/DocuWrite/DOT/DW_COUNCIL"/>
  </w:docVars>
  <w:rsids>
    <w:rsidRoot w:val="00A50238"/>
    <w:rsid w:val="00095CB3"/>
    <w:rsid w:val="00096B04"/>
    <w:rsid w:val="00130CD9"/>
    <w:rsid w:val="001656A3"/>
    <w:rsid w:val="00182F2F"/>
    <w:rsid w:val="001F0645"/>
    <w:rsid w:val="002C1132"/>
    <w:rsid w:val="00356F5F"/>
    <w:rsid w:val="0036366B"/>
    <w:rsid w:val="00414945"/>
    <w:rsid w:val="004A5CE6"/>
    <w:rsid w:val="004C5B5C"/>
    <w:rsid w:val="005D2D61"/>
    <w:rsid w:val="00625999"/>
    <w:rsid w:val="006351BB"/>
    <w:rsid w:val="0064018D"/>
    <w:rsid w:val="00653E52"/>
    <w:rsid w:val="007161AD"/>
    <w:rsid w:val="007C43A1"/>
    <w:rsid w:val="00803B94"/>
    <w:rsid w:val="008F00E0"/>
    <w:rsid w:val="00901450"/>
    <w:rsid w:val="0092762A"/>
    <w:rsid w:val="00930B84"/>
    <w:rsid w:val="00957038"/>
    <w:rsid w:val="009B07D1"/>
    <w:rsid w:val="009E0987"/>
    <w:rsid w:val="00A2440D"/>
    <w:rsid w:val="00A30641"/>
    <w:rsid w:val="00A50238"/>
    <w:rsid w:val="00A93207"/>
    <w:rsid w:val="00AF3113"/>
    <w:rsid w:val="00B54F86"/>
    <w:rsid w:val="00B92D10"/>
    <w:rsid w:val="00BE6E3D"/>
    <w:rsid w:val="00C22021"/>
    <w:rsid w:val="00C34E91"/>
    <w:rsid w:val="00C35E20"/>
    <w:rsid w:val="00CF0077"/>
    <w:rsid w:val="00D13316"/>
    <w:rsid w:val="00D84A6B"/>
    <w:rsid w:val="00DC0BFF"/>
    <w:rsid w:val="00DC4B72"/>
    <w:rsid w:val="00DE1CED"/>
    <w:rsid w:val="00E5767B"/>
    <w:rsid w:val="00E80814"/>
    <w:rsid w:val="00F86DE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aliases w:val="Fußnotentextf,Footnote text,fn,Schriftart: 9 pt,Schriftart: 10 pt,Schriftart: 8 pt,WB-Fußnotentext,o,Podrozdział,Schriftart: 8 p,Char,Tekst przypisu,WB-Fuﬂnotentext,Voetnoottekst Char,Voetnoottekst Char1,Footnotes,ft"/>
    <w:basedOn w:val="Normal"/>
    <w:link w:val="FootnoteTextChar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aliases w:val="Footnote Reference Superscript,BVI fnr,Footnote symbol,Footnote call,SUPERS,(Footnote Reference),Footnote,Voetnootverwijzing,Times 10 Point,Exposant 3 Point,Footnote reference number,note TESI, BVI fnr,Footnotes refss,number,Ref,no...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86DE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rsid w:val="00A50238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link w:val="TechnicalBlock"/>
    <w:rsid w:val="00A50238"/>
    <w:rPr>
      <w:sz w:val="24"/>
      <w:szCs w:val="24"/>
      <w:lang w:eastAsia="en-US"/>
    </w:rPr>
  </w:style>
  <w:style w:type="character" w:customStyle="1" w:styleId="HeaderCouncilLargeChar">
    <w:name w:val="Header Council Large Char"/>
    <w:link w:val="HeaderCouncilLarge"/>
    <w:rsid w:val="00A50238"/>
    <w:rPr>
      <w:sz w:val="2"/>
      <w:szCs w:val="24"/>
      <w:lang w:eastAsia="en-US"/>
    </w:rPr>
  </w:style>
  <w:style w:type="paragraph" w:customStyle="1" w:styleId="FooterText">
    <w:name w:val="Footer Text"/>
    <w:basedOn w:val="Normal"/>
    <w:rsid w:val="00A50238"/>
    <w:pPr>
      <w:spacing w:before="0" w:after="0" w:line="240" w:lineRule="auto"/>
    </w:pPr>
  </w:style>
  <w:style w:type="character" w:customStyle="1" w:styleId="FootnoteTextChar">
    <w:name w:val="Footnote Text Char"/>
    <w:aliases w:val="Fußnotentextf Char,Footnote text Char,fn Char,Schriftart: 9 pt Char,Schriftart: 10 pt Char,Schriftart: 8 pt Char,WB-Fußnotentext Char,o Char,Podrozdział Char,Schriftart: 8 p Char,Char Char1,Tekst przypisu Char,WB-Fuﬂnotentext Char"/>
    <w:link w:val="FootnoteText"/>
    <w:rsid w:val="00B92D10"/>
    <w:rPr>
      <w:sz w:val="24"/>
      <w:lang w:eastAsia="en-US"/>
    </w:rPr>
  </w:style>
  <w:style w:type="paragraph" w:styleId="NormalIndent">
    <w:name w:val="Normal Indent"/>
    <w:basedOn w:val="Normal"/>
    <w:rsid w:val="00A2440D"/>
    <w:pPr>
      <w:widowControl w:val="0"/>
      <w:spacing w:before="0" w:after="0"/>
      <w:ind w:left="567"/>
    </w:pPr>
    <w:rPr>
      <w:szCs w:val="20"/>
      <w:lang w:eastAsia="fr-BE"/>
    </w:rPr>
  </w:style>
  <w:style w:type="paragraph" w:customStyle="1" w:styleId="Par-number1">
    <w:name w:val="Par-number 1."/>
    <w:basedOn w:val="Normal"/>
    <w:next w:val="Normal"/>
    <w:rsid w:val="00A2440D"/>
    <w:pPr>
      <w:widowControl w:val="0"/>
      <w:numPr>
        <w:numId w:val="21"/>
      </w:numPr>
      <w:spacing w:before="0" w:after="0"/>
    </w:pPr>
    <w:rPr>
      <w:szCs w:val="20"/>
      <w:lang w:eastAsia="fr-BE"/>
    </w:rPr>
  </w:style>
  <w:style w:type="paragraph" w:customStyle="1" w:styleId="Par-numberI">
    <w:name w:val="Par-number I."/>
    <w:basedOn w:val="Normal"/>
    <w:next w:val="Normal"/>
    <w:rsid w:val="00A2440D"/>
    <w:pPr>
      <w:widowControl w:val="0"/>
      <w:numPr>
        <w:numId w:val="22"/>
      </w:numPr>
      <w:spacing w:before="0" w:after="0"/>
    </w:pPr>
    <w:rPr>
      <w:szCs w:val="20"/>
      <w:lang w:eastAsia="fr-BE"/>
    </w:rPr>
  </w:style>
  <w:style w:type="paragraph" w:customStyle="1" w:styleId="CharChar">
    <w:name w:val="Char Char"/>
    <w:basedOn w:val="Normal"/>
    <w:rsid w:val="00A2440D"/>
    <w:pPr>
      <w:spacing w:before="0" w:after="0" w:line="240" w:lineRule="auto"/>
    </w:pPr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3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3A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3</TotalTime>
  <Pages>5</Pages>
  <Words>692</Words>
  <Characters>3830</Characters>
  <Application>Microsoft Office Word</Application>
  <DocSecurity>0</DocSecurity>
  <Lines>98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MARETTO Aline</dc:creator>
  <cp:lastModifiedBy>NEIRA Julia</cp:lastModifiedBy>
  <cp:revision>4</cp:revision>
  <cp:lastPrinted>2015-03-06T07:48:00Z</cp:lastPrinted>
  <dcterms:created xsi:type="dcterms:W3CDTF">2015-03-05T16:31:00Z</dcterms:created>
  <dcterms:modified xsi:type="dcterms:W3CDTF">2015-03-06T07:50:00Z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3.3.1, Build 20150112</vt:lpwstr>
  </property>
  <property fmtid="{D5CDD505-2E9C-101B-9397-08002B2CF9AE}" pid="4" name="Last edited using">
    <vt:lpwstr>DocuWrite 3.4.3, Build 20150129</vt:lpwstr>
  </property>
</Properties>
</file>