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F42" w:rsidRPr="008A4429" w:rsidRDefault="00485A97" w:rsidP="008A4429">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63f50f2-834b-432d-b865-8fb7f4ddf71e" style="width:568.65pt;height:373.35pt">
            <v:imagedata r:id="rId8" o:title=""/>
          </v:shape>
        </w:pict>
      </w:r>
      <w:bookmarkEnd w:id="0"/>
    </w:p>
    <w:p w:rsidR="003C0F42" w:rsidRPr="00F03095" w:rsidRDefault="003C0F42" w:rsidP="003C0F42">
      <w:pPr>
        <w:sectPr w:rsidR="003C0F42" w:rsidRPr="00F03095" w:rsidSect="008A4429">
          <w:headerReference w:type="even" r:id="rId9"/>
          <w:headerReference w:type="default" r:id="rId10"/>
          <w:footerReference w:type="even" r:id="rId11"/>
          <w:footerReference w:type="default" r:id="rId12"/>
          <w:headerReference w:type="first" r:id="rId13"/>
          <w:footerReference w:type="first" r:id="rId14"/>
          <w:pgSz w:w="11907" w:h="16840" w:code="9"/>
          <w:pgMar w:top="624" w:right="1134" w:bottom="1134" w:left="1134" w:header="567" w:footer="567" w:gutter="0"/>
          <w:pgNumType w:start="1"/>
          <w:cols w:space="708"/>
          <w:titlePg/>
          <w:docGrid w:linePitch="360"/>
        </w:sectPr>
      </w:pPr>
    </w:p>
    <w:p w:rsidR="003C0F42" w:rsidRPr="00F03095" w:rsidRDefault="004577EF" w:rsidP="004577EF">
      <w:pPr>
        <w:pStyle w:val="HeadingIVX"/>
        <w:numPr>
          <w:ilvl w:val="0"/>
          <w:numId w:val="41"/>
        </w:numPr>
      </w:pPr>
      <w:r w:rsidRPr="00F03095">
        <w:lastRenderedPageBreak/>
        <w:t>ВЪВЕДЕНИЕ</w:t>
      </w:r>
    </w:p>
    <w:p w:rsidR="00B70F9E" w:rsidRPr="00F03095" w:rsidRDefault="00B70F9E" w:rsidP="00B70F9E">
      <w:pPr>
        <w:spacing w:before="0" w:after="0"/>
        <w:ind w:left="993" w:hanging="426"/>
        <w:rPr>
          <w:rFonts w:eastAsia="Calibri" w:cs="Arial"/>
          <w:szCs w:val="22"/>
        </w:rPr>
      </w:pPr>
      <w:r w:rsidRPr="00F03095">
        <w:t>1.</w:t>
      </w:r>
      <w:r w:rsidRPr="00F03095">
        <w:tab/>
        <w:t xml:space="preserve">На 5 ноември 2013 г. </w:t>
      </w:r>
      <w:r w:rsidRPr="00F03095">
        <w:rPr>
          <w:u w:val="single"/>
        </w:rPr>
        <w:t>Комисията</w:t>
      </w:r>
      <w:r w:rsidRPr="00F03095">
        <w:t xml:space="preserve"> представи на Европейския парламент и на Съвета предложението си за директива за изменение на Директива 94/62/ЕО относно опаковките и отпадъците от опаковки с цел намаляване на потреблението на леки пластмасови пликове за покупки, основано на член 114 от Договора за функционирането на Европейския съюз.</w:t>
      </w:r>
    </w:p>
    <w:p w:rsidR="00B70F9E" w:rsidRPr="00F03095" w:rsidRDefault="00B70F9E" w:rsidP="00B70F9E">
      <w:pPr>
        <w:spacing w:before="0" w:after="0"/>
        <w:ind w:left="567" w:hanging="567"/>
        <w:rPr>
          <w:rFonts w:eastAsia="Calibri" w:cs="Arial"/>
          <w:szCs w:val="22"/>
        </w:rPr>
      </w:pPr>
    </w:p>
    <w:p w:rsidR="00B70F9E" w:rsidRPr="00F03095" w:rsidRDefault="00B70F9E" w:rsidP="00B70F9E">
      <w:pPr>
        <w:spacing w:before="0" w:after="0"/>
        <w:ind w:left="993" w:hanging="426"/>
        <w:rPr>
          <w:rFonts w:eastAsia="Calibri" w:cs="Arial"/>
          <w:szCs w:val="22"/>
        </w:rPr>
      </w:pPr>
      <w:r w:rsidRPr="00F03095">
        <w:rPr>
          <w:color w:val="000000"/>
        </w:rPr>
        <w:t>2.</w:t>
      </w:r>
      <w:r w:rsidRPr="00F03095">
        <w:tab/>
      </w:r>
      <w:r w:rsidRPr="00F03095">
        <w:rPr>
          <w:color w:val="000000"/>
          <w:u w:val="single"/>
        </w:rPr>
        <w:t>Европейският икономически и социален комитет</w:t>
      </w:r>
      <w:r w:rsidRPr="00F03095">
        <w:t xml:space="preserve"> гласува становището си на 26 февруари 2014 г., а </w:t>
      </w:r>
      <w:r w:rsidRPr="00F03095">
        <w:rPr>
          <w:u w:val="single"/>
        </w:rPr>
        <w:t>Комитетът на регионите</w:t>
      </w:r>
      <w:r w:rsidRPr="00F03095">
        <w:t xml:space="preserve"> — на 3 април 2014 г.</w:t>
      </w:r>
    </w:p>
    <w:p w:rsidR="00B70F9E" w:rsidRPr="00F03095" w:rsidRDefault="00B70F9E" w:rsidP="00B70F9E">
      <w:pPr>
        <w:spacing w:before="0" w:after="0"/>
        <w:ind w:left="567"/>
        <w:rPr>
          <w:rFonts w:eastAsia="Calibri" w:cs="Arial"/>
          <w:szCs w:val="22"/>
        </w:rPr>
      </w:pPr>
    </w:p>
    <w:p w:rsidR="00B70F9E" w:rsidRPr="00F03095" w:rsidRDefault="00B70F9E" w:rsidP="00B70F9E">
      <w:pPr>
        <w:spacing w:before="0" w:after="0"/>
        <w:ind w:left="993"/>
        <w:rPr>
          <w:rFonts w:eastAsia="Calibri" w:cs="Arial"/>
          <w:szCs w:val="22"/>
        </w:rPr>
      </w:pPr>
      <w:r w:rsidRPr="00F03095">
        <w:rPr>
          <w:u w:val="single"/>
        </w:rPr>
        <w:t>Европейският парламент</w:t>
      </w:r>
      <w:r w:rsidRPr="00F03095">
        <w:t xml:space="preserve"> гласува своята законодателна резолюция на първо четене на 16 април 2014 г.</w:t>
      </w:r>
      <w:r w:rsidRPr="00F03095">
        <w:rPr>
          <w:b/>
          <w:vertAlign w:val="superscript"/>
        </w:rPr>
        <w:footnoteReference w:id="1"/>
      </w:r>
      <w:r w:rsidRPr="00F03095">
        <w:t>, приемайки 43 изменения.</w:t>
      </w:r>
    </w:p>
    <w:p w:rsidR="00B70F9E" w:rsidRPr="00F03095" w:rsidRDefault="00B70F9E" w:rsidP="00B70F9E">
      <w:pPr>
        <w:autoSpaceDE w:val="0"/>
        <w:autoSpaceDN w:val="0"/>
        <w:adjustRightInd w:val="0"/>
        <w:spacing w:before="0" w:after="0"/>
        <w:ind w:left="567" w:hanging="567"/>
        <w:outlineLvl w:val="0"/>
        <w:rPr>
          <w:rFonts w:eastAsia="Calibri" w:cs="Arial"/>
          <w:b/>
          <w:color w:val="000000"/>
          <w:szCs w:val="22"/>
        </w:rPr>
      </w:pPr>
    </w:p>
    <w:p w:rsidR="00B70F9E" w:rsidRPr="00F03095" w:rsidRDefault="00B70F9E" w:rsidP="00B70F9E">
      <w:pPr>
        <w:autoSpaceDE w:val="0"/>
        <w:autoSpaceDN w:val="0"/>
        <w:adjustRightInd w:val="0"/>
        <w:spacing w:before="0" w:after="0"/>
        <w:ind w:left="993" w:hanging="426"/>
        <w:outlineLvl w:val="0"/>
        <w:rPr>
          <w:rFonts w:eastAsia="Calibri" w:cs="Arial"/>
          <w:bCs/>
          <w:color w:val="000000"/>
          <w:szCs w:val="22"/>
        </w:rPr>
      </w:pPr>
      <w:r w:rsidRPr="00F03095">
        <w:rPr>
          <w:color w:val="000000"/>
        </w:rPr>
        <w:t>3.</w:t>
      </w:r>
      <w:r w:rsidRPr="00F03095">
        <w:tab/>
      </w:r>
      <w:r w:rsidRPr="00F03095">
        <w:rPr>
          <w:color w:val="000000"/>
          <w:u w:val="single"/>
        </w:rPr>
        <w:t>Съветът</w:t>
      </w:r>
      <w:r w:rsidRPr="00F03095">
        <w:rPr>
          <w:color w:val="000000"/>
        </w:rPr>
        <w:t xml:space="preserve"> и </w:t>
      </w:r>
      <w:r w:rsidRPr="00F03095">
        <w:rPr>
          <w:color w:val="000000"/>
          <w:u w:val="single"/>
        </w:rPr>
        <w:t>Европейският парламент</w:t>
      </w:r>
      <w:r w:rsidRPr="00F03095">
        <w:rPr>
          <w:color w:val="000000"/>
        </w:rPr>
        <w:t xml:space="preserve"> започнаха преговори с оглед на постигането на споразумение на второ четене. Преговорите приключиха на 17 ноември 2014 г.</w:t>
      </w:r>
    </w:p>
    <w:p w:rsidR="00B70F9E" w:rsidRPr="00F03095" w:rsidRDefault="00B70F9E" w:rsidP="00B70F9E">
      <w:pPr>
        <w:autoSpaceDE w:val="0"/>
        <w:autoSpaceDN w:val="0"/>
        <w:adjustRightInd w:val="0"/>
        <w:spacing w:before="0" w:after="0"/>
        <w:ind w:left="567" w:hanging="567"/>
        <w:outlineLvl w:val="0"/>
        <w:rPr>
          <w:rFonts w:eastAsia="Calibri" w:cs="Arial"/>
          <w:bCs/>
          <w:color w:val="000000"/>
          <w:szCs w:val="22"/>
        </w:rPr>
      </w:pPr>
    </w:p>
    <w:p w:rsidR="00B70F9E" w:rsidRPr="00F03095" w:rsidRDefault="00B70F9E" w:rsidP="00B70F9E">
      <w:pPr>
        <w:autoSpaceDE w:val="0"/>
        <w:autoSpaceDN w:val="0"/>
        <w:adjustRightInd w:val="0"/>
        <w:spacing w:before="0" w:after="0"/>
        <w:ind w:left="993" w:hanging="426"/>
        <w:outlineLvl w:val="0"/>
        <w:rPr>
          <w:rFonts w:eastAsia="Calibri" w:cs="Arial"/>
          <w:bCs/>
          <w:color w:val="000000"/>
          <w:szCs w:val="22"/>
        </w:rPr>
      </w:pPr>
      <w:r w:rsidRPr="00F03095">
        <w:rPr>
          <w:color w:val="000000"/>
        </w:rPr>
        <w:t>4.</w:t>
      </w:r>
      <w:r w:rsidRPr="00F03095">
        <w:tab/>
      </w:r>
      <w:r w:rsidRPr="00F03095">
        <w:rPr>
          <w:color w:val="000000"/>
        </w:rPr>
        <w:t xml:space="preserve">На 25 ноември 2014 г. </w:t>
      </w:r>
      <w:r w:rsidRPr="00F03095">
        <w:rPr>
          <w:color w:val="000000"/>
          <w:u w:val="single"/>
        </w:rPr>
        <w:t>председателят на комисията на Европейския парламент по околна среда, обществено здраве и безопасност на храните</w:t>
      </w:r>
      <w:r w:rsidRPr="00F03095">
        <w:rPr>
          <w:color w:val="000000"/>
        </w:rPr>
        <w:t xml:space="preserve"> изпрати писмо до председателството, в което се посочва, че ако Съветът изпрати официално на Европейския парламент своята одобрена позиция, която по-късно ще бъде проверена от юрист-лингвистите, той, заедно с докладчика, ще препоръча на пленарното заседание позицията на Съвета да бъде приета без изменения на второто четене в Парламента.</w:t>
      </w:r>
    </w:p>
    <w:p w:rsidR="00B70F9E" w:rsidRPr="00F03095" w:rsidRDefault="00B70F9E" w:rsidP="00B70F9E">
      <w:pPr>
        <w:autoSpaceDE w:val="0"/>
        <w:autoSpaceDN w:val="0"/>
        <w:adjustRightInd w:val="0"/>
        <w:spacing w:before="0" w:after="0"/>
        <w:ind w:left="567" w:hanging="567"/>
        <w:outlineLvl w:val="0"/>
        <w:rPr>
          <w:rFonts w:eastAsia="Calibri" w:cs="Arial"/>
          <w:bCs/>
          <w:color w:val="000000"/>
          <w:szCs w:val="22"/>
        </w:rPr>
      </w:pPr>
    </w:p>
    <w:p w:rsidR="00B70F9E" w:rsidRPr="00F03095" w:rsidRDefault="00B70F9E" w:rsidP="00B70F9E">
      <w:pPr>
        <w:autoSpaceDE w:val="0"/>
        <w:autoSpaceDN w:val="0"/>
        <w:adjustRightInd w:val="0"/>
        <w:spacing w:before="0" w:after="0"/>
        <w:ind w:left="993" w:hanging="426"/>
        <w:outlineLvl w:val="0"/>
        <w:rPr>
          <w:rFonts w:eastAsia="Calibri" w:cs="Arial"/>
          <w:bCs/>
          <w:color w:val="000000"/>
          <w:szCs w:val="22"/>
        </w:rPr>
      </w:pPr>
      <w:r w:rsidRPr="00F03095">
        <w:rPr>
          <w:color w:val="000000"/>
        </w:rPr>
        <w:t>5.</w:t>
      </w:r>
      <w:r w:rsidRPr="00F03095">
        <w:tab/>
      </w:r>
      <w:r w:rsidRPr="00F03095">
        <w:rPr>
          <w:color w:val="000000"/>
        </w:rPr>
        <w:t xml:space="preserve">На 17 декември 2014 г. </w:t>
      </w:r>
      <w:r w:rsidRPr="00F03095">
        <w:rPr>
          <w:color w:val="000000"/>
          <w:u w:val="single"/>
        </w:rPr>
        <w:t>Съветът</w:t>
      </w:r>
      <w:r w:rsidRPr="00F03095">
        <w:rPr>
          <w:color w:val="000000"/>
        </w:rPr>
        <w:t xml:space="preserve"> потвърди политическото си споразумение по текста на директивата във вида, договорен от двете институции.</w:t>
      </w:r>
    </w:p>
    <w:p w:rsidR="003C0F42" w:rsidRPr="00F03095" w:rsidRDefault="00B70F9E" w:rsidP="00B70F9E">
      <w:pPr>
        <w:pStyle w:val="Text1"/>
        <w:ind w:left="0"/>
      </w:pPr>
      <w:r w:rsidRPr="00F03095">
        <w:br w:type="page"/>
      </w:r>
    </w:p>
    <w:p w:rsidR="003C0F42" w:rsidRPr="00F03095" w:rsidRDefault="004577EF" w:rsidP="004577EF">
      <w:pPr>
        <w:pStyle w:val="HeadingIVX"/>
      </w:pPr>
      <w:r w:rsidRPr="00F03095">
        <w:t>ЦЕЛ</w:t>
      </w:r>
    </w:p>
    <w:p w:rsidR="00B70F9E" w:rsidRPr="00F03095" w:rsidRDefault="00B70F9E" w:rsidP="00B70F9E">
      <w:pPr>
        <w:spacing w:before="0" w:after="0"/>
        <w:ind w:left="567"/>
      </w:pPr>
      <w:r w:rsidRPr="00F03095">
        <w:t xml:space="preserve">Предмет на директивата са леките пластмасови пликове с дебелина на стената под 50 микрона, които представляват по-голямата част от пластмасовите пликове за покупки, </w:t>
      </w:r>
      <w:proofErr w:type="spellStart"/>
      <w:r w:rsidRPr="00F03095">
        <w:t>потребявани</w:t>
      </w:r>
      <w:proofErr w:type="spellEnd"/>
      <w:r w:rsidRPr="00F03095">
        <w:t xml:space="preserve"> в ЕС, и които по-рядко се използват повторно в сравнение с по-дебелите. С директивата се цели да се ограничи отрицателното въздействие на тези пликове върху околната среда, да се насърчи предотвратяването на изхвърлянето на отпадъци и да се постигне по-ефективно използване на ресурсите.</w:t>
      </w:r>
    </w:p>
    <w:p w:rsidR="003C0F42" w:rsidRPr="00F03095" w:rsidRDefault="004577EF" w:rsidP="004577EF">
      <w:pPr>
        <w:pStyle w:val="HeadingIVX"/>
      </w:pPr>
      <w:r w:rsidRPr="00F03095">
        <w:t>АНАЛИЗ НА ПОЗИЦИЯТА НА СЪВЕТА НА ПЪРВО ЧЕТЕНЕ</w:t>
      </w:r>
    </w:p>
    <w:p w:rsidR="00B70F9E" w:rsidRPr="00F03095" w:rsidRDefault="00B70F9E" w:rsidP="00B70F9E">
      <w:pPr>
        <w:autoSpaceDE w:val="0"/>
        <w:autoSpaceDN w:val="0"/>
        <w:adjustRightInd w:val="0"/>
        <w:spacing w:before="0" w:after="0"/>
        <w:ind w:left="567"/>
        <w:outlineLvl w:val="0"/>
        <w:rPr>
          <w:rFonts w:eastAsia="Calibri" w:cs="Arial"/>
          <w:b/>
          <w:color w:val="000000"/>
        </w:rPr>
      </w:pPr>
      <w:r w:rsidRPr="00F03095">
        <w:rPr>
          <w:b/>
          <w:color w:val="000000"/>
        </w:rPr>
        <w:t>А.</w:t>
      </w:r>
      <w:r w:rsidRPr="00F03095">
        <w:tab/>
      </w:r>
      <w:r w:rsidRPr="00F03095">
        <w:rPr>
          <w:b/>
          <w:color w:val="000000"/>
        </w:rPr>
        <w:t>Общо положение</w:t>
      </w:r>
    </w:p>
    <w:p w:rsidR="00B70F9E" w:rsidRPr="00F03095" w:rsidRDefault="00B70F9E" w:rsidP="00B70F9E">
      <w:pPr>
        <w:autoSpaceDE w:val="0"/>
        <w:autoSpaceDN w:val="0"/>
        <w:adjustRightInd w:val="0"/>
        <w:spacing w:before="0" w:after="0"/>
        <w:ind w:left="567" w:hanging="567"/>
        <w:outlineLvl w:val="0"/>
        <w:rPr>
          <w:rFonts w:eastAsia="Calibri" w:cs="Arial"/>
          <w:bCs/>
          <w:color w:val="000000"/>
        </w:rPr>
      </w:pPr>
    </w:p>
    <w:p w:rsidR="00B70F9E" w:rsidRPr="00F03095" w:rsidRDefault="00B70F9E" w:rsidP="00B70F9E">
      <w:pPr>
        <w:spacing w:before="0" w:after="0"/>
        <w:ind w:left="1134"/>
      </w:pPr>
      <w:r w:rsidRPr="00F03095">
        <w:t xml:space="preserve">След гласуването на пленарното заседание Европейският парламент и Съветът проведоха преговори с цел да сключат споразумение на второ четене въз основа на позицията на Съвета на първо четене, която Парламентът беше в състояние да одобри. Текстът на позицията на Съвета на първо четене отразява напълно постигнатия между </w:t>
      </w:r>
      <w:proofErr w:type="spellStart"/>
      <w:r w:rsidRPr="00F03095">
        <w:t>съзаконодателите</w:t>
      </w:r>
      <w:proofErr w:type="spellEnd"/>
      <w:r w:rsidRPr="00F03095">
        <w:t xml:space="preserve"> компромис.</w:t>
      </w:r>
    </w:p>
    <w:p w:rsidR="00B70F9E" w:rsidRPr="00F03095" w:rsidRDefault="00B70F9E" w:rsidP="00EF6E97">
      <w:pPr>
        <w:spacing w:before="0" w:after="0"/>
      </w:pPr>
    </w:p>
    <w:p w:rsidR="00B70F9E" w:rsidRPr="00F03095" w:rsidRDefault="00B70F9E" w:rsidP="00B70F9E">
      <w:pPr>
        <w:autoSpaceDE w:val="0"/>
        <w:autoSpaceDN w:val="0"/>
        <w:adjustRightInd w:val="0"/>
        <w:spacing w:before="0" w:after="0"/>
        <w:ind w:left="567"/>
        <w:outlineLvl w:val="0"/>
        <w:rPr>
          <w:rFonts w:eastAsia="Calibri" w:cs="Arial"/>
          <w:b/>
          <w:color w:val="000000"/>
        </w:rPr>
      </w:pPr>
      <w:r w:rsidRPr="00F03095">
        <w:rPr>
          <w:b/>
          <w:color w:val="000000"/>
        </w:rPr>
        <w:t>Б.</w:t>
      </w:r>
      <w:r w:rsidRPr="00F03095">
        <w:tab/>
      </w:r>
      <w:r w:rsidRPr="00F03095">
        <w:rPr>
          <w:b/>
          <w:color w:val="000000"/>
        </w:rPr>
        <w:t>Основни въпроси</w:t>
      </w:r>
    </w:p>
    <w:p w:rsidR="00B70F9E" w:rsidRPr="00F03095" w:rsidRDefault="00B70F9E" w:rsidP="00B70F9E">
      <w:pPr>
        <w:spacing w:before="0" w:after="0"/>
        <w:ind w:left="567" w:hanging="567"/>
      </w:pPr>
    </w:p>
    <w:p w:rsidR="00B70F9E" w:rsidRPr="00F03095" w:rsidRDefault="00B70F9E" w:rsidP="00B94FFC">
      <w:pPr>
        <w:spacing w:before="0" w:after="0"/>
        <w:ind w:left="1134"/>
      </w:pPr>
      <w:r w:rsidRPr="00F03095">
        <w:t>Основните елементи на компромиса, постигнат с Европейския парламент, са изложени по-долу:</w:t>
      </w:r>
    </w:p>
    <w:p w:rsidR="00B70F9E" w:rsidRPr="00F03095" w:rsidRDefault="00B70F9E" w:rsidP="00B70F9E">
      <w:pPr>
        <w:spacing w:before="0" w:after="0"/>
        <w:ind w:left="567" w:hanging="567"/>
      </w:pPr>
    </w:p>
    <w:p w:rsidR="00B70F9E" w:rsidRPr="00F03095" w:rsidRDefault="00B70F9E" w:rsidP="007F5923">
      <w:pPr>
        <w:spacing w:before="0" w:after="0"/>
        <w:ind w:left="1701" w:hanging="567"/>
      </w:pPr>
      <w:r w:rsidRPr="00F03095">
        <w:t>1)</w:t>
      </w:r>
      <w:r w:rsidRPr="00F03095">
        <w:tab/>
        <w:t>Мерките, които трябва да бъдат приети с цел намаляване на потреблението на леки пластмасови пликове, включват един от следните два подхода или и двата заедно:</w:t>
      </w:r>
    </w:p>
    <w:p w:rsidR="00B70F9E" w:rsidRPr="00F03095" w:rsidRDefault="00B70F9E" w:rsidP="00EF6E97">
      <w:pPr>
        <w:spacing w:before="0" w:after="0"/>
      </w:pPr>
    </w:p>
    <w:p w:rsidR="00B70F9E" w:rsidRPr="00F03095" w:rsidRDefault="00B70F9E" w:rsidP="00B70F9E">
      <w:pPr>
        <w:spacing w:before="0" w:after="0"/>
        <w:ind w:left="2268" w:hanging="567"/>
      </w:pPr>
      <w:r w:rsidRPr="00F03095">
        <w:t>—</w:t>
      </w:r>
      <w:r w:rsidRPr="00F03095">
        <w:tab/>
        <w:t>приемане на мерки, които да гарантират, че нивото на годишно потребление не превишава 90 леки пластмасови плика на човек до 31 декември 2019 г. и 40 леки пластмасови плика за покупки на човек до 31 декември 2025 г. (или тяхната равностойност в тегло);</w:t>
      </w:r>
    </w:p>
    <w:p w:rsidR="00B70F9E" w:rsidRPr="00F03095" w:rsidRDefault="00B70F9E" w:rsidP="00485A97">
      <w:pPr>
        <w:spacing w:before="0" w:after="0" w:line="300" w:lineRule="auto"/>
        <w:ind w:left="2268" w:hanging="567"/>
      </w:pPr>
      <w:r w:rsidRPr="00F03095">
        <w:br w:type="page"/>
      </w:r>
      <w:r w:rsidRPr="00F03095">
        <w:lastRenderedPageBreak/>
        <w:t>—</w:t>
      </w:r>
      <w:r w:rsidRPr="00F03095">
        <w:tab/>
        <w:t>приемане на мерки, с които да се гарантира, че до 31 декември 2018 г. леките пластмасови пликове ще престанат да се предлагат безплатно на потребителите, освен ако не се прилагат инструменти с равностойна ефективност.</w:t>
      </w:r>
    </w:p>
    <w:p w:rsidR="00B70F9E" w:rsidRPr="00F03095" w:rsidRDefault="00B70F9E" w:rsidP="00485A97">
      <w:pPr>
        <w:spacing w:before="0" w:after="0" w:line="300" w:lineRule="auto"/>
      </w:pPr>
    </w:p>
    <w:p w:rsidR="00B70F9E" w:rsidRPr="00F03095" w:rsidRDefault="00B70F9E" w:rsidP="00485A97">
      <w:pPr>
        <w:spacing w:before="0" w:after="0" w:line="300" w:lineRule="auto"/>
        <w:ind w:left="1701"/>
      </w:pPr>
      <w:r w:rsidRPr="00F03095">
        <w:t>Много леките пластмасови пликове за покупки могат да бъдат изключени от тези мерки. Те се определят като пластмасови пликове с дебелина на стената под 15 микрона, чието използване се налага за целите на хигиената или които се предлагат като първични опаковки за насипна храна, когато това помага за предотвратяване на разхищаването на храни.</w:t>
      </w:r>
    </w:p>
    <w:p w:rsidR="00B70F9E" w:rsidRPr="00F03095" w:rsidRDefault="00B70F9E" w:rsidP="00485A97">
      <w:pPr>
        <w:spacing w:after="0" w:line="300" w:lineRule="auto"/>
        <w:ind w:left="1701" w:hanging="567"/>
        <w:rPr>
          <w:bCs/>
          <w:iCs/>
        </w:rPr>
      </w:pPr>
      <w:r w:rsidRPr="00F03095">
        <w:t>2)</w:t>
      </w:r>
      <w:r w:rsidRPr="00F03095">
        <w:tab/>
        <w:t>Информация за обществеността — поне през първата година от изпълнението на настоящата директива Комисията и държавите членки активно ще насърчават кампании за информиране и повишаване на осведомеността, насочени към обществеността, относно отрицателните последици за околната среда от прекомерното използване на леки пластмасови пликове.</w:t>
      </w:r>
    </w:p>
    <w:p w:rsidR="00B70F9E" w:rsidRPr="00F03095" w:rsidRDefault="00B70F9E" w:rsidP="00485A97">
      <w:pPr>
        <w:spacing w:after="0" w:line="300" w:lineRule="auto"/>
        <w:ind w:left="1701" w:hanging="567"/>
        <w:rPr>
          <w:iCs/>
        </w:rPr>
      </w:pPr>
      <w:r w:rsidRPr="00F03095">
        <w:t>3)</w:t>
      </w:r>
      <w:r w:rsidRPr="00F03095">
        <w:tab/>
        <w:t xml:space="preserve">Бъдещи стъпки — две години след влизането в сила на директивата Комисията ще представи доклад пред Европейския парламент и Съвета, в който се разглежда въздействието на използването на </w:t>
      </w:r>
      <w:proofErr w:type="spellStart"/>
      <w:r w:rsidRPr="00F03095">
        <w:t>разградимите</w:t>
      </w:r>
      <w:proofErr w:type="spellEnd"/>
      <w:r w:rsidRPr="00F03095">
        <w:t xml:space="preserve"> при окисляване пластмасови пликове върху околната среда, както и доклад относно различните възможности за намаляване на използването на много леките пластмасови пликове. Шест години и половина след влизането в сила на директивата Комисията представя доклад, в който се оценява ефективността на мерките на равнище ЕС за борба срещу нерегламентираното изхвърляне, промяна на поведението на потребителите и насърчаване на предотвратяването на генерирането на отпадъци. Ако оценката покаже, че приетите мерки не са ефективни, Комисията разглежда други възможни начини за постигане на намаление на потреблението на леки пластмасови пликове, включително определянето на реалистични и постижими цели на равнище ЕС. При необходимост всички тези доклади ще бъдат придружени от законодателни предложения.</w:t>
      </w:r>
    </w:p>
    <w:p w:rsidR="003C0F42" w:rsidRPr="00F03095" w:rsidRDefault="004577EF" w:rsidP="00485A97">
      <w:pPr>
        <w:pStyle w:val="HeadingIVX"/>
        <w:spacing w:after="0" w:line="300" w:lineRule="auto"/>
      </w:pPr>
      <w:r w:rsidRPr="00F03095">
        <w:t>ЗАКЛЮЧЕНИЕ</w:t>
      </w:r>
    </w:p>
    <w:p w:rsidR="00B70F9E" w:rsidRPr="00F03095" w:rsidRDefault="00B70F9E" w:rsidP="00485A97">
      <w:pPr>
        <w:spacing w:before="0" w:after="0" w:line="300" w:lineRule="auto"/>
        <w:ind w:left="567"/>
      </w:pPr>
      <w:r w:rsidRPr="00F03095">
        <w:t>Позицията на Съвета отразява напълно компромиса, който беше постигнат в преговорите между Европейския парламент и Съвета със съгласието на Комисията. Компромисът се потвърждава от писмото на председателя на комисията по околна среда, обществено здраве и безопасност на храните до председателя на Комитета на постоянните представители от 25 ноември 2014 г.</w:t>
      </w:r>
    </w:p>
    <w:p w:rsidR="00FC4670" w:rsidRPr="004577EF" w:rsidRDefault="00FC4670" w:rsidP="00485A97">
      <w:pPr>
        <w:pStyle w:val="FinalLine"/>
        <w:spacing w:line="240" w:lineRule="auto"/>
      </w:pPr>
      <w:bookmarkStart w:id="2" w:name="_GoBack"/>
      <w:bookmarkEnd w:id="2"/>
    </w:p>
    <w:sectPr w:rsidR="00FC4670" w:rsidRPr="004577EF" w:rsidSect="008A4429">
      <w:headerReference w:type="default" r:id="rId15"/>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F42" w:rsidRDefault="003C0F42" w:rsidP="003C0F42">
      <w:pPr>
        <w:spacing w:before="0" w:after="0" w:line="240" w:lineRule="auto"/>
      </w:pPr>
      <w:r>
        <w:separator/>
      </w:r>
    </w:p>
  </w:endnote>
  <w:endnote w:type="continuationSeparator" w:id="0">
    <w:p w:rsidR="003C0F42" w:rsidRDefault="003C0F42" w:rsidP="003C0F4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05" w:rsidRPr="008A4429" w:rsidRDefault="00994705" w:rsidP="008A44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8A4429" w:rsidRPr="00D94637" w:rsidTr="008A4429">
      <w:trPr>
        <w:jc w:val="center"/>
      </w:trPr>
      <w:tc>
        <w:tcPr>
          <w:tcW w:w="5000" w:type="pct"/>
          <w:gridSpan w:val="7"/>
          <w:shd w:val="clear" w:color="auto" w:fill="auto"/>
          <w:tcMar>
            <w:top w:w="57" w:type="dxa"/>
          </w:tcMar>
        </w:tcPr>
        <w:p w:rsidR="008A4429" w:rsidRPr="00D94637" w:rsidRDefault="008A4429" w:rsidP="00D94637">
          <w:pPr>
            <w:pStyle w:val="FooterText"/>
            <w:pBdr>
              <w:top w:val="single" w:sz="4" w:space="1" w:color="auto"/>
            </w:pBdr>
            <w:spacing w:before="200"/>
            <w:rPr>
              <w:sz w:val="2"/>
              <w:szCs w:val="2"/>
            </w:rPr>
          </w:pPr>
          <w:bookmarkStart w:id="1" w:name="FOOTER_STANDARD"/>
        </w:p>
      </w:tc>
    </w:tr>
    <w:tr w:rsidR="008A4429" w:rsidRPr="00B310DC" w:rsidTr="008A4429">
      <w:trPr>
        <w:jc w:val="center"/>
      </w:trPr>
      <w:tc>
        <w:tcPr>
          <w:tcW w:w="2500" w:type="pct"/>
          <w:gridSpan w:val="2"/>
          <w:shd w:val="clear" w:color="auto" w:fill="auto"/>
          <w:tcMar>
            <w:top w:w="0" w:type="dxa"/>
          </w:tcMar>
        </w:tcPr>
        <w:p w:rsidR="008A4429" w:rsidRPr="00AD7BF2" w:rsidRDefault="008A4429" w:rsidP="004F54B2">
          <w:pPr>
            <w:pStyle w:val="FooterText"/>
          </w:pPr>
          <w:r>
            <w:t>5094/1/15</w:t>
          </w:r>
          <w:r w:rsidRPr="002511D8">
            <w:t xml:space="preserve"> </w:t>
          </w:r>
          <w:r>
            <w:t>REV 1 ADD 1</w:t>
          </w:r>
        </w:p>
      </w:tc>
      <w:tc>
        <w:tcPr>
          <w:tcW w:w="625" w:type="pct"/>
          <w:shd w:val="clear" w:color="auto" w:fill="auto"/>
          <w:tcMar>
            <w:top w:w="0" w:type="dxa"/>
          </w:tcMar>
        </w:tcPr>
        <w:p w:rsidR="008A4429" w:rsidRPr="00AD7BF2" w:rsidRDefault="008A4429" w:rsidP="00D94637">
          <w:pPr>
            <w:pStyle w:val="FooterText"/>
            <w:jc w:val="center"/>
          </w:pPr>
        </w:p>
      </w:tc>
      <w:tc>
        <w:tcPr>
          <w:tcW w:w="1287" w:type="pct"/>
          <w:gridSpan w:val="3"/>
          <w:shd w:val="clear" w:color="auto" w:fill="auto"/>
          <w:tcMar>
            <w:top w:w="0" w:type="dxa"/>
          </w:tcMar>
        </w:tcPr>
        <w:p w:rsidR="008A4429" w:rsidRPr="002511D8" w:rsidRDefault="008A4429" w:rsidP="00D94637">
          <w:pPr>
            <w:pStyle w:val="FooterText"/>
            <w:jc w:val="center"/>
          </w:pPr>
          <w:proofErr w:type="spellStart"/>
          <w:r>
            <w:t>vat</w:t>
          </w:r>
          <w:proofErr w:type="spellEnd"/>
          <w:r>
            <w:t>/</w:t>
          </w:r>
          <w:proofErr w:type="spellStart"/>
          <w:r>
            <w:t>yp</w:t>
          </w:r>
          <w:proofErr w:type="spellEnd"/>
        </w:p>
      </w:tc>
      <w:tc>
        <w:tcPr>
          <w:tcW w:w="588" w:type="pct"/>
          <w:shd w:val="clear" w:color="auto" w:fill="auto"/>
          <w:tcMar>
            <w:top w:w="0" w:type="dxa"/>
          </w:tcMar>
        </w:tcPr>
        <w:p w:rsidR="008A4429" w:rsidRPr="00B310DC" w:rsidRDefault="008A4429" w:rsidP="00D94637">
          <w:pPr>
            <w:pStyle w:val="FooterText"/>
            <w:jc w:val="right"/>
          </w:pPr>
          <w:r>
            <w:fldChar w:fldCharType="begin"/>
          </w:r>
          <w:r>
            <w:instrText xml:space="preserve"> PAGE  \* MERGEFORMAT </w:instrText>
          </w:r>
          <w:r>
            <w:fldChar w:fldCharType="separate"/>
          </w:r>
          <w:r w:rsidR="00485A97">
            <w:rPr>
              <w:noProof/>
            </w:rPr>
            <w:t>4</w:t>
          </w:r>
          <w:r>
            <w:fldChar w:fldCharType="end"/>
          </w:r>
        </w:p>
      </w:tc>
    </w:tr>
    <w:tr w:rsidR="008A4429" w:rsidRPr="00D94637" w:rsidTr="008A4429">
      <w:trPr>
        <w:jc w:val="center"/>
      </w:trPr>
      <w:tc>
        <w:tcPr>
          <w:tcW w:w="1774" w:type="pct"/>
          <w:shd w:val="clear" w:color="auto" w:fill="auto"/>
        </w:tcPr>
        <w:p w:rsidR="008A4429" w:rsidRPr="00AD7BF2" w:rsidRDefault="008A4429" w:rsidP="00D94637">
          <w:pPr>
            <w:pStyle w:val="FooterText"/>
            <w:spacing w:before="40"/>
          </w:pPr>
        </w:p>
      </w:tc>
      <w:tc>
        <w:tcPr>
          <w:tcW w:w="1455" w:type="pct"/>
          <w:gridSpan w:val="3"/>
          <w:shd w:val="clear" w:color="auto" w:fill="auto"/>
        </w:tcPr>
        <w:p w:rsidR="008A4429" w:rsidRPr="00AD7BF2" w:rsidRDefault="008A4429" w:rsidP="00D204D6">
          <w:pPr>
            <w:pStyle w:val="FooterText"/>
            <w:spacing w:before="40"/>
            <w:jc w:val="center"/>
          </w:pPr>
          <w:r>
            <w:t>DPG</w:t>
          </w:r>
        </w:p>
      </w:tc>
      <w:tc>
        <w:tcPr>
          <w:tcW w:w="1147" w:type="pct"/>
          <w:shd w:val="clear" w:color="auto" w:fill="auto"/>
        </w:tcPr>
        <w:p w:rsidR="008A4429" w:rsidRPr="00D94637" w:rsidRDefault="008A4429" w:rsidP="00D94637">
          <w:pPr>
            <w:pStyle w:val="FooterText"/>
            <w:jc w:val="right"/>
            <w:rPr>
              <w:b/>
              <w:position w:val="-4"/>
              <w:sz w:val="36"/>
            </w:rPr>
          </w:pPr>
        </w:p>
      </w:tc>
      <w:tc>
        <w:tcPr>
          <w:tcW w:w="625" w:type="pct"/>
          <w:gridSpan w:val="2"/>
          <w:shd w:val="clear" w:color="auto" w:fill="auto"/>
        </w:tcPr>
        <w:p w:rsidR="008A4429" w:rsidRPr="00D94637" w:rsidRDefault="008A4429" w:rsidP="00D94637">
          <w:pPr>
            <w:pStyle w:val="FooterText"/>
            <w:jc w:val="right"/>
            <w:rPr>
              <w:sz w:val="16"/>
            </w:rPr>
          </w:pPr>
          <w:r>
            <w:rPr>
              <w:b/>
              <w:position w:val="-4"/>
              <w:sz w:val="36"/>
            </w:rPr>
            <w:t>BG</w:t>
          </w:r>
        </w:p>
      </w:tc>
    </w:tr>
    <w:bookmarkEnd w:id="1"/>
  </w:tbl>
  <w:p w:rsidR="003C0F42" w:rsidRPr="008A4429" w:rsidRDefault="003C0F42" w:rsidP="008A4429">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8A4429" w:rsidRPr="00D94637" w:rsidTr="008A4429">
      <w:trPr>
        <w:jc w:val="center"/>
      </w:trPr>
      <w:tc>
        <w:tcPr>
          <w:tcW w:w="5000" w:type="pct"/>
          <w:gridSpan w:val="7"/>
          <w:shd w:val="clear" w:color="auto" w:fill="auto"/>
          <w:tcMar>
            <w:top w:w="57" w:type="dxa"/>
          </w:tcMar>
        </w:tcPr>
        <w:p w:rsidR="008A4429" w:rsidRPr="00D94637" w:rsidRDefault="008A4429" w:rsidP="00D94637">
          <w:pPr>
            <w:pStyle w:val="FooterText"/>
            <w:pBdr>
              <w:top w:val="single" w:sz="4" w:space="1" w:color="auto"/>
            </w:pBdr>
            <w:spacing w:before="200"/>
            <w:rPr>
              <w:sz w:val="2"/>
              <w:szCs w:val="2"/>
            </w:rPr>
          </w:pPr>
        </w:p>
      </w:tc>
    </w:tr>
    <w:tr w:rsidR="008A4429" w:rsidRPr="00B310DC" w:rsidTr="008A4429">
      <w:trPr>
        <w:jc w:val="center"/>
      </w:trPr>
      <w:tc>
        <w:tcPr>
          <w:tcW w:w="2500" w:type="pct"/>
          <w:gridSpan w:val="2"/>
          <w:shd w:val="clear" w:color="auto" w:fill="auto"/>
          <w:tcMar>
            <w:top w:w="0" w:type="dxa"/>
          </w:tcMar>
        </w:tcPr>
        <w:p w:rsidR="008A4429" w:rsidRPr="00AD7BF2" w:rsidRDefault="008A4429" w:rsidP="004F54B2">
          <w:pPr>
            <w:pStyle w:val="FooterText"/>
          </w:pPr>
          <w:r>
            <w:t>5094/1/15</w:t>
          </w:r>
          <w:r w:rsidRPr="002511D8">
            <w:t xml:space="preserve"> </w:t>
          </w:r>
          <w:r>
            <w:t>REV 1 ADD 1</w:t>
          </w:r>
        </w:p>
      </w:tc>
      <w:tc>
        <w:tcPr>
          <w:tcW w:w="625" w:type="pct"/>
          <w:shd w:val="clear" w:color="auto" w:fill="auto"/>
          <w:tcMar>
            <w:top w:w="0" w:type="dxa"/>
          </w:tcMar>
        </w:tcPr>
        <w:p w:rsidR="008A4429" w:rsidRPr="00AD7BF2" w:rsidRDefault="008A4429" w:rsidP="00D94637">
          <w:pPr>
            <w:pStyle w:val="FooterText"/>
            <w:jc w:val="center"/>
          </w:pPr>
        </w:p>
      </w:tc>
      <w:tc>
        <w:tcPr>
          <w:tcW w:w="1287" w:type="pct"/>
          <w:gridSpan w:val="3"/>
          <w:shd w:val="clear" w:color="auto" w:fill="auto"/>
          <w:tcMar>
            <w:top w:w="0" w:type="dxa"/>
          </w:tcMar>
        </w:tcPr>
        <w:p w:rsidR="008A4429" w:rsidRPr="002511D8" w:rsidRDefault="008A4429" w:rsidP="00D94637">
          <w:pPr>
            <w:pStyle w:val="FooterText"/>
            <w:jc w:val="center"/>
          </w:pPr>
          <w:proofErr w:type="spellStart"/>
          <w:r>
            <w:t>vat</w:t>
          </w:r>
          <w:proofErr w:type="spellEnd"/>
          <w:r>
            <w:t>/</w:t>
          </w:r>
          <w:proofErr w:type="spellStart"/>
          <w:r>
            <w:t>yp</w:t>
          </w:r>
          <w:proofErr w:type="spellEnd"/>
        </w:p>
      </w:tc>
      <w:tc>
        <w:tcPr>
          <w:tcW w:w="588" w:type="pct"/>
          <w:shd w:val="clear" w:color="auto" w:fill="auto"/>
          <w:tcMar>
            <w:top w:w="0" w:type="dxa"/>
          </w:tcMar>
        </w:tcPr>
        <w:p w:rsidR="008A4429" w:rsidRPr="00B310DC" w:rsidRDefault="008A4429" w:rsidP="00D94637">
          <w:pPr>
            <w:pStyle w:val="FooterText"/>
            <w:jc w:val="right"/>
          </w:pPr>
          <w:r>
            <w:fldChar w:fldCharType="begin"/>
          </w:r>
          <w:r>
            <w:instrText xml:space="preserve"> PAGE  \* MERGEFORMAT </w:instrText>
          </w:r>
          <w:r>
            <w:fldChar w:fldCharType="separate"/>
          </w:r>
          <w:r w:rsidR="00485A97">
            <w:rPr>
              <w:noProof/>
            </w:rPr>
            <w:t>1</w:t>
          </w:r>
          <w:r>
            <w:fldChar w:fldCharType="end"/>
          </w:r>
        </w:p>
      </w:tc>
    </w:tr>
    <w:tr w:rsidR="008A4429" w:rsidRPr="00D94637" w:rsidTr="008A4429">
      <w:trPr>
        <w:jc w:val="center"/>
      </w:trPr>
      <w:tc>
        <w:tcPr>
          <w:tcW w:w="1774" w:type="pct"/>
          <w:shd w:val="clear" w:color="auto" w:fill="auto"/>
        </w:tcPr>
        <w:p w:rsidR="008A4429" w:rsidRPr="00AD7BF2" w:rsidRDefault="008A4429" w:rsidP="00D94637">
          <w:pPr>
            <w:pStyle w:val="FooterText"/>
            <w:spacing w:before="40"/>
          </w:pPr>
        </w:p>
      </w:tc>
      <w:tc>
        <w:tcPr>
          <w:tcW w:w="1455" w:type="pct"/>
          <w:gridSpan w:val="3"/>
          <w:shd w:val="clear" w:color="auto" w:fill="auto"/>
        </w:tcPr>
        <w:p w:rsidR="008A4429" w:rsidRPr="00AD7BF2" w:rsidRDefault="008A4429" w:rsidP="00D204D6">
          <w:pPr>
            <w:pStyle w:val="FooterText"/>
            <w:spacing w:before="40"/>
            <w:jc w:val="center"/>
          </w:pPr>
          <w:r>
            <w:t>DPG</w:t>
          </w:r>
        </w:p>
      </w:tc>
      <w:tc>
        <w:tcPr>
          <w:tcW w:w="1147" w:type="pct"/>
          <w:shd w:val="clear" w:color="auto" w:fill="auto"/>
        </w:tcPr>
        <w:p w:rsidR="008A4429" w:rsidRPr="00D94637" w:rsidRDefault="008A4429" w:rsidP="00D94637">
          <w:pPr>
            <w:pStyle w:val="FooterText"/>
            <w:jc w:val="right"/>
            <w:rPr>
              <w:b/>
              <w:position w:val="-4"/>
              <w:sz w:val="36"/>
            </w:rPr>
          </w:pPr>
        </w:p>
      </w:tc>
      <w:tc>
        <w:tcPr>
          <w:tcW w:w="625" w:type="pct"/>
          <w:gridSpan w:val="2"/>
          <w:shd w:val="clear" w:color="auto" w:fill="auto"/>
        </w:tcPr>
        <w:p w:rsidR="008A4429" w:rsidRPr="00D94637" w:rsidRDefault="008A4429" w:rsidP="00D94637">
          <w:pPr>
            <w:pStyle w:val="FooterText"/>
            <w:jc w:val="right"/>
            <w:rPr>
              <w:sz w:val="16"/>
            </w:rPr>
          </w:pPr>
          <w:r>
            <w:rPr>
              <w:b/>
              <w:position w:val="-4"/>
              <w:sz w:val="36"/>
            </w:rPr>
            <w:t>BG</w:t>
          </w:r>
        </w:p>
      </w:tc>
    </w:tr>
  </w:tbl>
  <w:p w:rsidR="003C0F42" w:rsidRPr="008A4429" w:rsidRDefault="003C0F42" w:rsidP="008A4429">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F42" w:rsidRDefault="003C0F42" w:rsidP="003C0F42">
      <w:pPr>
        <w:spacing w:before="0" w:after="0" w:line="240" w:lineRule="auto"/>
      </w:pPr>
      <w:r>
        <w:separator/>
      </w:r>
    </w:p>
  </w:footnote>
  <w:footnote w:type="continuationSeparator" w:id="0">
    <w:p w:rsidR="003C0F42" w:rsidRDefault="003C0F42" w:rsidP="003C0F42">
      <w:pPr>
        <w:spacing w:before="0" w:after="0" w:line="240" w:lineRule="auto"/>
      </w:pPr>
      <w:r>
        <w:continuationSeparator/>
      </w:r>
    </w:p>
  </w:footnote>
  <w:footnote w:id="1">
    <w:p w:rsidR="00B70F9E" w:rsidRDefault="00B70F9E" w:rsidP="006E5F6A">
      <w:pPr>
        <w:pStyle w:val="FootnoteText"/>
        <w:ind w:left="567" w:hanging="567"/>
      </w:pPr>
      <w:r>
        <w:rPr>
          <w:rStyle w:val="FootnoteReference"/>
        </w:rPr>
        <w:footnoteRef/>
      </w:r>
      <w:r>
        <w:tab/>
        <w:t>9044/14.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05" w:rsidRPr="008A4429" w:rsidRDefault="00994705" w:rsidP="008A44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05" w:rsidRPr="008A4429" w:rsidRDefault="00994705" w:rsidP="008A4429">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05" w:rsidRPr="008A4429" w:rsidRDefault="00994705" w:rsidP="008A4429">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F42" w:rsidRPr="008A4429" w:rsidRDefault="003C0F42" w:rsidP="008A44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350F1"/>
    <w:multiLevelType w:val="singleLevel"/>
    <w:tmpl w:val="8A36B78C"/>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1">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2">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4">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6">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7">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8">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9">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10">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11">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12">
    <w:nsid w:val="4D6B557C"/>
    <w:multiLevelType w:val="singleLevel"/>
    <w:tmpl w:val="D7C06852"/>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3">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15">
    <w:nsid w:val="6A807310"/>
    <w:multiLevelType w:val="singleLevel"/>
    <w:tmpl w:val="62B4271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6">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17">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8">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CAE7682"/>
    <w:multiLevelType w:val="singleLevel"/>
    <w:tmpl w:val="D7C4174A"/>
    <w:name w:val="Bullet (2)"/>
    <w:lvl w:ilvl="0">
      <w:start w:val="1"/>
      <w:numFmt w:val="bullet"/>
      <w:lvlRestart w:val="0"/>
      <w:pStyle w:val="Bullet2"/>
      <w:lvlText w:val=""/>
      <w:lvlJc w:val="left"/>
      <w:pPr>
        <w:tabs>
          <w:tab w:val="num" w:pos="1701"/>
        </w:tabs>
        <w:ind w:left="1701" w:hanging="567"/>
      </w:pPr>
      <w:rPr>
        <w:rFonts w:ascii="Symbol" w:hAnsi="Symbol" w:hint="default"/>
      </w:rPr>
    </w:lvl>
  </w:abstractNum>
  <w:num w:numId="1">
    <w:abstractNumId w:val="14"/>
  </w:num>
  <w:num w:numId="2">
    <w:abstractNumId w:val="10"/>
  </w:num>
  <w:num w:numId="3">
    <w:abstractNumId w:val="9"/>
  </w:num>
  <w:num w:numId="4">
    <w:abstractNumId w:val="11"/>
  </w:num>
  <w:num w:numId="5">
    <w:abstractNumId w:val="7"/>
  </w:num>
  <w:num w:numId="6">
    <w:abstractNumId w:val="1"/>
  </w:num>
  <w:num w:numId="7">
    <w:abstractNumId w:val="6"/>
  </w:num>
  <w:num w:numId="8">
    <w:abstractNumId w:val="5"/>
  </w:num>
  <w:num w:numId="9">
    <w:abstractNumId w:val="3"/>
  </w:num>
  <w:num w:numId="10">
    <w:abstractNumId w:val="16"/>
  </w:num>
  <w:num w:numId="11">
    <w:abstractNumId w:val="17"/>
  </w:num>
  <w:num w:numId="12">
    <w:abstractNumId w:val="0"/>
  </w:num>
  <w:num w:numId="13">
    <w:abstractNumId w:val="19"/>
  </w:num>
  <w:num w:numId="14">
    <w:abstractNumId w:val="15"/>
  </w:num>
  <w:num w:numId="15">
    <w:abstractNumId w:val="12"/>
  </w:num>
  <w:num w:numId="16">
    <w:abstractNumId w:val="8"/>
  </w:num>
  <w:num w:numId="17">
    <w:abstractNumId w:val="13"/>
  </w:num>
  <w:num w:numId="18">
    <w:abstractNumId w:val="2"/>
  </w:num>
  <w:num w:numId="19">
    <w:abstractNumId w:val="18"/>
  </w:num>
  <w:num w:numId="20">
    <w:abstractNumId w:val="4"/>
  </w:num>
  <w:num w:numId="21">
    <w:abstractNumId w:val="14"/>
  </w:num>
  <w:num w:numId="22">
    <w:abstractNumId w:val="10"/>
  </w:num>
  <w:num w:numId="23">
    <w:abstractNumId w:val="9"/>
  </w:num>
  <w:num w:numId="24">
    <w:abstractNumId w:val="11"/>
  </w:num>
  <w:num w:numId="25">
    <w:abstractNumId w:val="7"/>
  </w:num>
  <w:num w:numId="26">
    <w:abstractNumId w:val="1"/>
  </w:num>
  <w:num w:numId="27">
    <w:abstractNumId w:val="6"/>
  </w:num>
  <w:num w:numId="28">
    <w:abstractNumId w:val="5"/>
  </w:num>
  <w:num w:numId="29">
    <w:abstractNumId w:val="3"/>
  </w:num>
  <w:num w:numId="30">
    <w:abstractNumId w:val="16"/>
  </w:num>
  <w:num w:numId="31">
    <w:abstractNumId w:val="17"/>
  </w:num>
  <w:num w:numId="32">
    <w:abstractNumId w:val="0"/>
  </w:num>
  <w:num w:numId="33">
    <w:abstractNumId w:val="19"/>
  </w:num>
  <w:num w:numId="34">
    <w:abstractNumId w:val="15"/>
  </w:num>
  <w:num w:numId="35">
    <w:abstractNumId w:val="12"/>
  </w:num>
  <w:num w:numId="36">
    <w:abstractNumId w:val="8"/>
  </w:num>
  <w:num w:numId="37">
    <w:abstractNumId w:val="13"/>
  </w:num>
  <w:num w:numId="38">
    <w:abstractNumId w:val="2"/>
  </w:num>
  <w:num w:numId="39">
    <w:abstractNumId w:val="18"/>
  </w:num>
  <w:num w:numId="40">
    <w:abstractNumId w:val="4"/>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13"/>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4.3&quot; technicalblockguid=&quot;a63f50f2-834b-432d-b865-8fb7f4ddf71e&quot;&gt;_x000d__x000a_  &lt;metadata key=&quot;md_DocumentLanguages&quot; translate=&quot;false&quot;&gt;_x000d__x000a_    &lt;basicdatatypelist&gt;_x000d__x000a_      &lt;language key=&quot;BG&quot; text=&quot;BG&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 translate=&quot;false&quot;&gt;_x000d__x000a_    &lt;basicdatatype&gt;_x000d__x000a_      &lt;heading key=&quot;uh_60&quot; text=&quot;&amp;#1048;&amp;#1047;&amp;#1051;&amp;#1054;&amp;#1046;&amp;#1045;&amp;#1053;&amp;#1048;&amp;#1045; &amp;#1053;&amp;#1040; &amp;#1052;&amp;#1054;&amp;#1058;&amp;#1048;&amp;#1042;&amp;#1048;&amp;#1058;&amp;#1045; &amp;#1053;&amp;#1040; &amp;#1057;&amp;#1066;&amp;#1042;&amp;#1045;&amp;#1058;&amp;#1040;&quot; /&gt;_x000d__x000a_    &lt;/basicdatatype&gt;_x000d__x000a_  &lt;/metadata&gt;_x000d__x000a_  &lt;metadata key=&quot;md_HeadingText&quot; translate=&quot;false&quot;&gt;_x000d__x000a_    &lt;headingtext text=&quot;&amp;#1048;&amp;#1047;&amp;#1051;&amp;#1054;&amp;#1046;&amp;#1045;&amp;#1053;&amp;#1048;&amp;#1045; &amp;#1053;&amp;#1040; &amp;#1052;&amp;#1054;&amp;#1058;&amp;#1048;&amp;#1042;&amp;#1048;&amp;#1058;&amp;#1045; &amp;#1053;&amp;#1040; &amp;#1057;&amp;#1066;&amp;#1042;&amp;#1045;&amp;#1058;&amp;#1040;&quot;&gt;_x000d__x000a_      &lt;formattedtext&gt;_x000d__x000a_        &lt;xaml text=&quot;&amp;#1048;&amp;#1047;&amp;#1051;&amp;#1054;&amp;#1046;&amp;#1045;&amp;#1053;&amp;#1048;&amp;#1045; &amp;#1053;&amp;#1040; &amp;#1052;&amp;#1054;&amp;#1058;&amp;#1048;&amp;#1042;&amp;#1048;&amp;#1058;&amp;#1045; &amp;#1053;&amp;#1040; &amp;#1057;&amp;#1066;&amp;#1042;&amp;#1045;&amp;#1058;&amp;#1040;&quot;&gt;&amp;lt;FlowDocument xmlns=&quot;http://schemas.microsoft.com/winfx/2006/xaml/presentation&quot;&amp;gt;&amp;lt;Paragraph&amp;gt;&amp;#1048;&amp;#1047;&amp;#1051;&amp;#1054;&amp;#1046;&amp;#1045;&amp;#1053;&amp;#1048;&amp;#1045; &amp;#1053;&amp;#1040; &amp;#1052;&amp;#1054;&amp;#1058;&amp;#1048;&amp;#1042;&amp;#1048;&amp;#1058;&amp;#1045; &amp;#1053;&amp;#1040; &amp;#1057;&amp;#1066;&amp;#1042;&amp;#1045;&amp;#1058;&amp;#1040;&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10&quot; text=&quot;Statement&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 translate=&quot;false&quot;&gt;_x000d__x000a_    &lt;basicdatatype&gt;_x000d__x000a_      &lt;framework key=&quot;if_01&quot; text=&quot;&amp;#1057;&amp;#1098;&amp;#1074;&amp;#1077;&amp;#1090; &amp;#1085;&amp;#1072; &amp;#1045;&amp;#1074;&amp;#1088;&amp;#1086;&amp;#1087;&amp;#1077;&amp;#1081;&amp;#1089;&amp;#1082;&amp;#1080;&amp;#1103; &amp;#1089;&amp;#1098;&amp;#1102;&amp;#1079;&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loc_01&quot; text=&quot;&amp;#1041;&amp;#1088;&amp;#1102;&amp;#1082;&amp;#1089;&amp;#1077;&amp;#1083;&quot; /&gt;_x000d__x000a_    &lt;/basicdatatype&gt;_x000d__x000a_  &lt;/metadata&gt;_x000d__x000a_  &lt;metadata key=&quot;md_DocumentDate&quot; translate=&quot;false&quot;&gt;_x000d__x000a_    &lt;text&gt;2015-03-04&lt;/text&gt;_x000d__x000a_  &lt;/metadata&gt;_x000d__x000a_  &lt;metadata key=&quot;md_Prefix&quot; translate=&quot;false&quot;&gt;_x000d__x000a_    &lt;text&gt;&lt;/text&gt;_x000d__x000a_  &lt;/metadata&gt;_x000d__x000a_  &lt;metadata key=&quot;md_DocumentNumber&quot; translate=&quot;false&quot;&gt;_x000d__x000a_    &lt;text&gt;5094&lt;/text&gt;_x000d__x000a_  &lt;/metadata&gt;_x000d__x000a_  &lt;metadata key=&quot;md_YearDocumentNumber&quot; translate=&quot;false&quot;&gt;_x000d__x000a_    &lt;text&gt;2015&lt;/text&gt;_x000d__x000a_  &lt;/metadata&gt;_x000d__x000a_  &lt;metadata key=&quot;md_Suffixes&quot; translate=&quot;false&quot;&gt;_x000d__x000a_    &lt;text&gt;REV 1 ADD 1&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1&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ENV 6&lt;/text&gt;_x000d__x000a_      &lt;text&gt;MI 11&lt;/text&gt;_x000d__x000a_      &lt;text&gt;IND 9&lt;/text&gt;_x000d__x000a_      &lt;text&gt;CONSOM 5&lt;/text&gt;_x000d__x000a_      &lt;text&gt;CODEC 16&lt;/text&gt;_x000d__x000a_      &lt;text&gt;PARLNAT 14&lt;/text&gt;_x000d__x000a_    &lt;/textlist&gt;_x000d__x000a_  &lt;/metadata&gt;_x000d__x000a_  &lt;metadata key=&quot;md_Contact&quot; translate=&quot;false&quot;&gt;_x000d__x000a_    &lt;text&gt;&lt;/text&gt;_x000d__x000a_  &lt;/metadata&gt;_x000d__x000a_  &lt;metadata key=&quot;md_ContactPhoneFax&quot; translate=&quot;false&quot;&gt;_x000d__x000a_    &lt;text&gt;&lt;/text&gt;_x000d__x000a_  &lt;/metadata&gt;_x000d__x000a_  &lt;metadata key=&quot;md_MeetingVenue&quot; translate=&quot;false&quot;&gt;_x000d__x000a_    &lt;basicdatatype&gt;_x000d__x000a_      &lt;meetingvenue key=&quot;&quot; /&gt;_x000d__x000a_    &lt;/basicdatatype&gt;_x000d__x000a_  &lt;/metadata&gt;_x000d__x000a_  &lt;metadata key=&quot;md_ProvisionalVersion&quot; translate=&quot;false&quot;&gt;_x000d__x000a_    &lt;text&gt;&lt;/text&gt;_x000d__x000a_  &lt;/metadata&gt;_x000d__x000a_  &lt;metadata key=&quot;md_PresidentInformation&quot; translate=&quot;false&quot;&gt;_x000d__x000a_    &lt;presidents /&gt;_x000d__x000a_  &lt;/metadata&gt;_x000d__x000a_  &lt;metadata key=&quot;md_MeetingNumber&quot; translate=&quot;false&quot;&gt;_x000d__x000a_    &lt;text&gt;&lt;/text&gt;_x000d__x000a_  &lt;/metadata&gt;_x000d__x000a_  &lt;metadata key=&quot;md_CouncilConfiguration&quot; translate=&quot;false&quot;&gt;_x000d__x000a_    &lt;basicdatatype&gt;_x000d__x000a_      &lt;configuration key=&quot;&quot; /&gt;_x000d__x000a_    &lt;/basicdatatype&gt;_x000d__x000a_  &lt;/metadata&gt;_x000d__x000a_  &lt;metadata key=&quot;md_CouncilIssue&quot; translate=&quot;false&quot;&gt;_x000d__x000a_    &lt;text&gt;&lt;/text&gt;_x000d__x000a_  &lt;/metadata&gt;_x000d__x000a_  &lt;metadata key=&quot;md_PhoneNumber&quot; translate=&quot;false&quot;&gt;_x000d__x000a_    &lt;text&gt;&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translate=&quot;false&quot;&gt;_x000d__x000a_    &lt;text&gt;&lt;/text&gt;_x000d__x000a_  &lt;/metadata&gt;_x000d__x000a_  &lt;metadata key=&quot;md_EPQuestionsData&quot; /&gt;_x000d__x000a_  &lt;metadata key=&quot;md_Deadline&quot; translate=&quot;false&quot;&gt;_x000d__x000a_    &lt;textlist /&gt;_x000d__x000a_  &lt;/metadata&gt;_x000d__x000a_  &lt;metadata key=&quot;md_InterinstitutionalFiles&quot; translate=&quot;false&quot;&gt;_x000d__x000a_    &lt;textlist&gt;_x000d__x000a_      &lt;text&gt;2013/0371 (COD)&lt;/text&gt;_x000d__x000a_    &lt;/textlist&gt;_x000d__x000a_  &lt;/metadata&gt;_x000d__x000a_  &lt;metadata key=&quot;md_AdditionalReferences&quot; translate=&quot;false&quot;&gt;_x000d__x000a_    &lt;textlist /&gt;_x000d__x000a_  &lt;/metadata&gt;_x000d__x000a_  &lt;metadata key=&quot;md_LEXNumber&quot; translate=&quot;false&quot;&gt;_x000d__x000a_    &lt;text&gt;&lt;/text&gt;_x000d__x000a_  &lt;/metadata&gt;_x000d__x000a_  &lt;metadata key=&quot;md_SousEmbargo&quot; translate=&quot;false&quot;&gt;_x000d__x000a_    &lt;text&gt;&lt;/text&gt;_x000d__x000a_  &lt;/metadata&gt;_x000d__x000a_  &lt;metadata key=&quot;md_Originator&quot; translate=&quot;false&quot;&gt;_x000d__x000a_    &lt;basicdatatype&gt;_x000d__x000a_      &lt;originator key=&quot;&quot; /&gt;_x000d__x000a_    &lt;/basicdatatype&gt;_x000d__x000a_  &lt;/metadata&gt;_x000d__x000a_  &lt;metadata key=&quot;md_Recipient&quot; translate=&quot;false&quot;&gt;_x000d__x000a_    &lt;basicdatatype&gt;_x000d__x000a_      &lt;recipient key=&quot;&quot; /&gt;_x000d__x000a_    &lt;/basicdatatype&gt;_x000d__x000a_  &lt;/metadata&gt;_x000d__x000a_  &lt;metadata key=&quot;md_DateOfReceipt&quot; translate=&quot;false&quot;&gt;_x000d__x000a_    &lt;text&gt;&lt;/text&gt;_x000d__x000a_  &lt;/metadata&gt;_x000d__x000a_  &lt;metadata key=&quot;md_FreeDate&quot;&gt;_x000d__x000a_    &lt;textlist /&gt;_x000d__x000a_  &lt;/metadata&gt;_x000d__x000a_  &lt;metadata key=&quot;md_PrecedingDocuments&quot; translate=&quot;false&quot;&gt;_x000d__x000a_    &lt;textlist /&gt;_x000d__x000a_  &lt;/metadata&gt;_x000d__x000a_  &lt;metadata key=&quot;md_CommissionDocuments&quot; translate=&quot;false&quot;&gt;_x000d__x000a_    &lt;textlist /&gt;_x000d__x000a_  &lt;/metadata&gt;_x000d__x000a_  &lt;metadata key=&quot;md_DocForDWNDCL&quot; translate=&quot;false&quot;&gt;_x000d__x000a_    &lt;text&gt;&lt;/text&gt;_x000d__x000a_  &lt;/metadata&gt;_x000d__x000a_  &lt;metadata key=&quot;md_Distribution_NewClassification&quot; translate=&quot;false&quot;&gt;_x000d__x000a_    &lt;text&gt;&lt;/text&gt;_x000d__x000a_  &lt;/metadata&gt;_x000d__x000a_  &lt;metadata key=&quot;md_DWNDCLAuthorization&quot; translate=&quot;false&quot;&gt;_x000d__x000a_    &lt;text&gt;&lt;/text&gt;_x000d__x000a_  &lt;/metadata&gt;_x000d__x000a_  &lt;metadata key=&quot;md_DateOfAuthorization&quot; translate=&quot;false&quot;&gt;_x000d__x000a_    &lt;text&gt;&lt;/text&gt;_x000d__x000a_  &lt;/metadata&gt;_x000d__x000a_  &lt;metadata key=&quot;md_MeetingLocation&quot; translate=&quot;false&quot;&gt;_x000d__x000a_    &lt;basicdatatype&gt;_x000d__x000a_      &lt;location key=&quot;&quot; /&gt;_x000d__x000a_    &lt;/basicdatatype&gt;_x000d__x000a_  &lt;/metadata&gt;_x000d__x000a_  &lt;metadata key=&quot;md_MeetingDate&quot; translate=&quot;false&quot;&gt;_x000d__x000a_    &lt;textlist /&gt;_x000d__x000a_  &lt;/metadata&gt;_x000d__x000a_  &lt;metadata key=&quot;md_MeetingInformation&quot; translate=&quot;false&quot;&gt;_x000d__x000a_    &lt;text&gt;&lt;/text&gt;_x000d__x000a_  &lt;/metadata&gt;_x000d__x000a_  &lt;metadata key=&quot;md_Item&quot; translate=&quot;false&quot;&gt;_x000d__x000a_    &lt;text&gt;&lt;/text&gt;_x000d__x000a_  &lt;/metadata&gt;_x000d__x000a_  &lt;metadata key=&quot;md_Subject&quot;&gt;_x000d__x000a_    &lt;xaml text=&quot;&amp;#1055;&amp;#1086;&amp;#1079;&amp;#1080;&amp;#1094;&amp;#1080;&amp;#1103; &amp;#1085;&amp;#1072; &amp;#1057;&amp;#1098;&amp;#1074;&amp;#1077;&amp;#1090;&amp;#1072; &amp;#1085;&amp;#1072; &amp;#1087;&amp;#1098;&amp;#1088;&amp;#1074;&amp;#1086; &amp;#1095;&amp;#1077;&amp;#1090;&amp;#1077;&amp;#1085;&amp;#1077; &amp;#1089; &amp;#1086;&amp;#1075;&amp;#1083;&amp;#1077;&amp;#1076; &amp;#1085;&amp;#1072; &amp;#1087;&amp;#1088;&amp;#1080;&amp;#1077;&amp;#1084;&amp;#1072;&amp;#1085;&amp;#1077;&amp;#1090;&amp;#1086; &amp;#1085;&amp;#1072;&amp;#1076;&amp;#1080;&amp;#1088;&amp;#1077;&amp;#1082;&amp;#1090;&amp;#1080;&amp;#1074;&amp;#1072; &amp;#1085;&amp;#1072; &amp;#1045;&amp;#1074;&amp;#1088;&amp;#1086;&amp;#1087;&amp;#1077;&amp;#1081;&amp;#1089;&amp;#1082;&amp;#1080;&amp;#1103; &amp;#1087;&amp;#1072;&amp;#1088;&amp;#1083;&amp;#1072;&amp;#1084;&amp;#1077;&amp;#1085;&amp;#1090; &amp;#1080; &amp;#1085;&amp;#1072; &amp;#1057;&amp;#1098;&amp;#1074;&amp;#1077;&amp;#1090;&amp;#1072; &amp;#1079;&amp;#1072; &amp;#1080;&amp;#1079;&amp;#1084;&amp;#1077;&amp;#1085;&amp;#1077;&amp;#1085;&amp;#1080;&amp;#1077; &amp;#1085;&amp;#1072; &amp;#1044;&amp;#1080;&amp;#1088;&amp;#1077;&amp;#1082;&amp;#1090;&amp;#1080;&amp;#1074;&amp;#1072; 94/62/&amp;#1045;&amp;#1054; &amp;#1087;&amp;#1086; &amp;#1086;&amp;#1090;&amp;#1085;&amp;#1086;&amp;#1096;&amp;#1077;&amp;#1085;&amp;#1080;&amp;#1077; &amp;#1085;&amp;#1072; &amp;#1085;&amp;#1072;&amp;#1084;&amp;#1072;&amp;#1083;&amp;#1103;&amp;#1074;&amp;#1072;&amp;#1085;&amp;#1077;&amp;#1090;&amp;#1086; &amp;#1085;&amp;#1072; &amp;#1087;&amp;#1086;&amp;#1090;&amp;#1088;&amp;#1077;&amp;#1073;&amp;#1083;&amp;#1077;&amp;#1085;&amp;#1080;&amp;#1077;&amp;#1090;&amp;#1086; &amp;#1085;&amp;#1072; &amp;#1083;&amp;#1077;&amp;#1082;&amp;#1080; &amp;#1087;&amp;#1083;&amp;#1072;&amp;#1089;&amp;#1090;&amp;#1084;&amp;#1072;&amp;#1089;&amp;#1086;&amp;#1074;&amp;#1080; &amp;#1087;&amp;#1083;&amp;#1080;&amp;#1082;&amp;#1086;&amp;#1074;&amp;#1077; &amp;#1079;&amp;#1072; &amp;#1087;&amp;#1086;&amp;#1082;&amp;#1091;&amp;#1087;&amp;#1082;&amp;#1080; &amp;#8211; &amp;#1048;&amp;#1079;&amp;#1083;&amp;#1086;&amp;#1078;&amp;#1077;&amp;#1085;&amp;#1080;&amp;#1077; &amp;#1085;&amp;#1072; &amp;#1084;&amp;#1086;&amp;#1090;&amp;#1080;&amp;#1074;&amp;#1080;&amp;#1090;&amp;#1077; &amp;#1085;&amp;#1072; &amp;#1057;&amp;#1098;&amp;#1074;&amp;#1077;&amp;#1090;&amp;#1072; &amp;#8211; &amp;#1055;&amp;#1088;&amp;#1080;&amp;#1077;&amp;#1090;&amp;#1086; &amp;#1086;&amp;#1090; &amp;#1057;&amp;#1098;&amp;#1074;&amp;#1077;&amp;#1090;&amp;#1072; &amp;#1085;&amp;#1072; 2 &amp;#1084;&amp;#1072;&amp;#1088;&amp;#1090; 2015 &amp;#1075;.&quot;&gt;&amp;lt;FlowDocument FontFamily=&quot;Times New Roman&quot; FontSize=&quot;16&quot; PageWidth=&quot;377&quot; PagePadding=&quot;0,0,0,0&quot; AllowDrop=&quot;False&quot; xmlns=&quot;http://schemas.microsoft.com/winfx/2006/xaml/presentation&quot; xmlns:x=&quot;http://schemas.microsoft.com/winfx/2006/xaml&quot;&amp;gt;&amp;lt;Paragraph&amp;gt;&amp;#1055;&amp;#1086;&amp;#1079;&amp;#1080;&amp;#1094;&amp;#1080;&amp;#1103; &amp;#1085;&amp;#1072; &amp;#1057;&amp;#1098;&amp;#1074;&amp;#1077;&amp;#1090;&amp;#1072; &amp;#1085;&amp;#1072; &amp;#1087;&amp;#1098;&amp;#1088;&amp;#1074;&amp;#1086; &amp;#1095;&amp;#1077;&amp;#1090;&amp;#1077;&amp;#1085;&amp;#1077; &amp;#1089; &amp;#1086;&amp;#1075;&amp;#1083;&amp;#1077;&amp;#1076; &amp;#1085;&amp;#1072; &amp;#1087;&amp;#1088;&amp;#1080;&amp;#1077;&amp;#1084;&amp;#1072;&amp;#1085;&amp;#1077;&amp;#1090;&amp;#1086; &amp;#1085;&amp;#1072;&amp;lt;Run xml:lang=&quot;fr-be&quot; xml:space=&quot;preserve&quot; /&amp;gt;&amp;#1076;&amp;#1080;&amp;#1088;&amp;#1077;&amp;#1082;&amp;#1090;&amp;#1080;&amp;#1074;&amp;#1072; &amp;#1085;&amp;#1072; &amp;#1045;&amp;#1074;&amp;#1088;&amp;#1086;&amp;#1087;&amp;#1077;&amp;#1081;&amp;#1089;&amp;#1082;&amp;#1080;&amp;#1103; &amp;#1087;&amp;#1072;&amp;#1088;&amp;#1083;&amp;#1072;&amp;#1084;&amp;#1077;&amp;#1085;&amp;#1090; &amp;#1080; &amp;#1085;&amp;#1072; &amp;#1057;&amp;#1098;&amp;#1074;&amp;#1077;&amp;#1090;&amp;#1072; &amp;#1079;&amp;#1072; &amp;#1080;&amp;#1079;&amp;#1084;&amp;#1077;&amp;#1085;&amp;#1077;&amp;#1085;&amp;#1080;&amp;#1077; &amp;#1085;&amp;#1072; &amp;#1044;&amp;#1080;&amp;#1088;&amp;#1077;&amp;#1082;&amp;#1090;&amp;#1080;&amp;#1074;&amp;#1072; 94/62/&amp;#1045;&amp;#1054; &amp;#1087;&amp;#1086; &amp;#1086;&amp;#1090;&amp;#1085;&amp;#1086;&amp;#1096;&amp;#1077;&amp;#1085;&amp;#1080;&amp;#1077; &amp;#1085;&amp;#1072; &amp;#1085;&amp;#1072;&amp;#1084;&amp;#1072;&amp;#1083;&amp;#1103;&amp;#1074;&amp;#1072;&amp;lt;Run xml:lang=&quot;fr-be&quot;&amp;gt;&amp;#1085;&amp;#1077;&amp;#1090;&amp;#1086;&amp;lt;/Run&amp;gt; &amp;#1085;&amp;#1072; &amp;#1087;&amp;#1086;&amp;#1090;&amp;#1088;&amp;#1077;&amp;#1073;&amp;#1083;&amp;#1077;&amp;#1085;&amp;#1080;&amp;#1077;&amp;#1090;&amp;#1086; &amp;#1085;&amp;#1072; &amp;#1083;&amp;#1077;&amp;#1082;&amp;#1080; &amp;#1087;&amp;#1083;&amp;#1072;&amp;#1089;&amp;#1090;&amp;#1084;&amp;#1072;&amp;#1089;&amp;#1086;&amp;#1074;&amp;#1080; &amp;#1087;&amp;#1083;&amp;#1080;&amp;#1082;&amp;#1086;&amp;#1074;&amp;#1077; &amp;#1079;&amp;#1072; &amp;#1087;&amp;#1086;&amp;#1082;&amp;#1091;&amp;#1087;&amp;#1082;&amp;#1080;&amp;lt;/Paragraph&amp;gt;&amp;lt;Paragraph&amp;gt;&amp;#8211; &amp;#1048;&amp;#1079;&amp;#1083;&amp;#1086;&amp;#1078;&amp;#1077;&amp;#1085;&amp;#1080;&amp;#1077; &amp;#1085;&amp;#1072; &amp;#1084;&amp;#1086;&amp;#1090;&amp;#1080;&amp;#1074;&amp;#1080;&amp;#1090;&amp;#1077; &amp;#1085;&amp;#1072; &amp;#1057;&amp;#1098;&amp;#1074;&amp;#1077;&amp;#1090;&amp;#1072;&amp;lt;LineBreak /&amp;gt;&amp;#8211; &amp;#1055;&amp;#1088;&amp;#1080;&amp;#1077;&amp;#1090;&amp;#1086; &amp;#1086;&amp;#1090; &amp;#1057;&amp;#1098;&amp;#1074;&amp;#1077;&amp;#1090;&amp;#1072; &amp;#1085;&amp;#1072;&amp;lt;Run xml:lang=&quot;fr-be&quot; xml:space=&quot;preserve&quot;&amp;gt; 2 &amp;#1084;&amp;#1072;&amp;#1088;&amp;#1090; 2015 &amp;#1075;.&amp;lt;/Run&amp;gt;&amp;lt;/Paragraph&amp;gt;&amp;lt;/FlowDocument&amp;gt;&lt;/xaml&gt;_x000d__x000a_  &lt;/metadata&gt;_x000d__x000a_  &lt;metadata key=&quot;md_SubjectFootnote&quot; /&gt;_x000d__x000a_  &lt;metadata key=&quot;md_DG&quot; translate=&quot;false&quot;&gt;_x000d__x000a_    &lt;text&gt;DPG&lt;/text&gt;_x000d__x000a_  &lt;/metadata&gt;_x000d__x000a_  &lt;metadata key=&quot;md_Initials&quot; translate=&quot;false&quot;&gt;_x000d__x000a_    &lt;text&gt;vat/yp&lt;/text&gt;_x000d__x000a_  &lt;/metadata&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5&lt;/text&gt;_x000d__x000a_  &lt;/metadata&gt;_x000d__x000a_  &lt;metadata key=&quot;md_Rectif_Source2_Suffixes&quot; translate=&quot;false&quot;&gt;_x000d__x000a_    &lt;text&gt;&lt;/text&gt;_x000d__x000a_  &lt;/metadata&gt;_x000d__x000a_  &lt;metadata key=&quot;md_CoverPageDocWithCouncilFooter&quot; translate=&quot;false&quot;&gt;_x000d__x000a_    &lt;text&gt;false&lt;/text&gt;_x000d__x000a_  &lt;/metadata&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translate=&quot;false&quot;&gt;_x000d__x000a_    &lt;text&gt;&lt;/text&gt;_x000d__x000a_  &lt;/metadata&gt;_x000d__x000a_  &lt;metadata key=&quot;md_NB2&quot; translate=&quot;false&quot;&gt;_x000d__x000a_    &lt;text&gt;&lt;/text&gt;_x000d__x000a_  &lt;/metadata&gt;_x000d__x000a_  &lt;metadata key=&quot;md_NB3&quot; translate=&quot;false&quot;&gt;_x000d__x000a_    &lt;text&gt;&lt;/text&gt;_x000d__x000a_  &lt;/metadata&gt;_x000d__x000a_  &lt;metadata key=&quot;md_Meetings&quot; /&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gt;_x000d__x000a_    &lt;letterdata letterid=&quot;&quot; /&gt;_x000d__x000a_  &lt;/metadata&gt;_x000d__x000a_&lt;/metadataset&gt;"/>
    <w:docVar w:name="DocuWriteMetaDataSource1" w:val="&lt;metadataset docuwriteversion=&quot;3.4.3&quot; technicalblockguid=&quot;e7b49450-1c6e-4c7a-9113-561f566f2798&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59&quot; text=&quot;DRAFT STATEMENT OF THE COUNCIL'S REASONS&quot; /&gt;_x000d__x000a_    &lt;/basicdatatype&gt;_x000d__x000a_  &lt;/metadata&gt;_x000d__x000a_  &lt;metadata key=&quot;md_HeadingText&quot;&gt;_x000d__x000a_    &lt;headingtext text=&quot;DRAFT STATEMENT OF THE COUNCIL'S REASONS&quot;&gt;_x000d__x000a_      &lt;formattedtext&gt;_x000d__x000a_        &lt;xaml text=&quot;DRAFT STATEMENT OF THE COUNCIL'S REASONS&quot;&gt;&amp;lt;FlowDocument xmlns=&quot;http://schemas.microsoft.com/winfx/2006/xaml/presentation&quot;&amp;gt;&amp;lt;Paragraph&amp;gt;DRAFT STATEMENT OF THE COUNCIL'S REASONS&amp;lt;/Paragraph&amp;gt;&amp;lt;/FlowDocument&amp;gt;&lt;/xaml&gt;_x000d__x000a_      &lt;/formattedtext&gt;_x000d__x000a_    &lt;/headingtext&gt;_x000d__x000a_  &lt;/metadata&gt;_x000d__x000a_  &lt;metadata key=&quot;md_DocumentGroup&quot;&gt;_x000d__x000a_    &lt;basicdatatype&gt;_x000d__x000a_      &lt;document_group key=&quot;dg_10&quot; text=&quot;Statemen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2-18&lt;/text&gt;_x000d__x000a_  &lt;/metadata&gt;_x000d__x000a_  &lt;metadata key=&quot;md_Prefix&quot;&gt;_x000d__x000a_    &lt;text&gt;&lt;/text&gt;_x000d__x000a_  &lt;/metadata&gt;_x000d__x000a_  &lt;metadata key=&quot;md_DocumentNumber&quot;&gt;_x000d__x000a_    &lt;text&gt;5094&lt;/text&gt;_x000d__x000a_  &lt;/metadata&gt;_x000d__x000a_  &lt;metadata key=&quot;md_YearDocumentNumber&quot;&gt;_x000d__x000a_    &lt;text&gt;2015&lt;/text&gt;_x000d__x000a_  &lt;/metadata&gt;_x000d__x000a_  &lt;metadata key=&quot;md_Suffixes&quot;&gt;_x000d__x000a_    &lt;text&gt;ADD 1&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ENV 6&lt;/text&gt;_x000d__x000a_      &lt;text&gt;MI 11&lt;/text&gt;_x000d__x000a_      &lt;text&gt;IND 9&lt;/text&gt;_x000d__x000a_      &lt;text&gt;CONSOM 5&lt;/text&gt;_x000d__x000a_      &lt;text&gt;CODEC 16&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3/0371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Position of the Council at first reading with a view to the adoption of the Directive of the European Parliament and of the Council amending Directive 94/62/EC on packaging and packaging waste to reduce the consumption of lightweight plastic carrier bags &amp;#8211; Draft Statement of the Council's reasons&quot;&gt;&amp;lt;FlowDocument FontFamily=&quot;Times New Roman&quot; FontSize=&quot;16&quot; PageWidth=&quot;377&quot; PagePadding=&quot;0,0,0,0&quot; AllowDrop=&quot;False&quot; xmlns=&quot;http://schemas.microsoft.com/winfx/2006/xaml/presentation&quot;&amp;gt;&amp;lt;Paragraph&amp;gt;&amp;lt;Run xml:lang=&quot;en-gb&quot;&amp;gt;Position of the Council at first reading with a view to the adoption of the Directive of the European Parliament and of the Council amending Directive 94/62/EC on packaging and packaging waste to reduce the consumption of lightweight plastic carrier bags&amp;lt;/Run&amp;gt;&amp;lt;/Paragraph&amp;gt;&amp;lt;Paragraph&amp;gt;&amp;#8211; Draft Statement of the Council's reasons&amp;lt;/Paragraph&amp;gt;&amp;lt;/FlowDocument&amp;gt;&lt;/xaml&gt;_x000d__x000a_  &lt;/metadata&gt;_x000d__x000a_  &lt;metadata key=&quot;md_SubjectFootnote&quot; /&gt;_x000d__x000a_  &lt;metadata key=&quot;md_DG&quot;&gt;_x000d__x000a_    &lt;text&gt;DG E 1A&lt;/text&gt;_x000d__x000a_  &lt;/metadata&gt;_x000d__x000a_  &lt;metadata key=&quot;md_Initials&quot;&gt;_x000d__x000a_    &lt;text&gt;CM/am&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COUNCIL"/>
    <w:docVar w:name="VSSDB_IniPath" w:val="\\at100\user\wovo\SEILEG\vss\srcsafe.ini"/>
    <w:docVar w:name="VSSDB_ProjectPath" w:val="$/DocuWrite/DOT/DW_COUNCIL"/>
  </w:docVars>
  <w:rsids>
    <w:rsidRoot w:val="003C0F42"/>
    <w:rsid w:val="00096B04"/>
    <w:rsid w:val="000C79E2"/>
    <w:rsid w:val="00106A69"/>
    <w:rsid w:val="00130CD9"/>
    <w:rsid w:val="00182F2F"/>
    <w:rsid w:val="00205792"/>
    <w:rsid w:val="00356F5F"/>
    <w:rsid w:val="003C0F42"/>
    <w:rsid w:val="003C564B"/>
    <w:rsid w:val="00414945"/>
    <w:rsid w:val="004577EF"/>
    <w:rsid w:val="00485A97"/>
    <w:rsid w:val="004A5CE6"/>
    <w:rsid w:val="00512D5E"/>
    <w:rsid w:val="00625999"/>
    <w:rsid w:val="006351BB"/>
    <w:rsid w:val="006E5F6A"/>
    <w:rsid w:val="007161AD"/>
    <w:rsid w:val="007F5923"/>
    <w:rsid w:val="008A3562"/>
    <w:rsid w:val="008A4429"/>
    <w:rsid w:val="008C2394"/>
    <w:rsid w:val="00901450"/>
    <w:rsid w:val="00994705"/>
    <w:rsid w:val="009B07D1"/>
    <w:rsid w:val="00A30641"/>
    <w:rsid w:val="00A93207"/>
    <w:rsid w:val="00AF3113"/>
    <w:rsid w:val="00B21B25"/>
    <w:rsid w:val="00B54F86"/>
    <w:rsid w:val="00B70F9E"/>
    <w:rsid w:val="00B94FFC"/>
    <w:rsid w:val="00BE6E3D"/>
    <w:rsid w:val="00C70D97"/>
    <w:rsid w:val="00D13316"/>
    <w:rsid w:val="00D506C2"/>
    <w:rsid w:val="00E5767B"/>
    <w:rsid w:val="00E80814"/>
    <w:rsid w:val="00E81BBB"/>
    <w:rsid w:val="00E826DA"/>
    <w:rsid w:val="00EF6E97"/>
    <w:rsid w:val="00F03095"/>
    <w:rsid w:val="00F86DEA"/>
    <w:rsid w:val="00F93B1F"/>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3C0F42"/>
    <w:pPr>
      <w:spacing w:before="0" w:after="440"/>
      <w:ind w:left="-1134" w:right="-1134"/>
    </w:pPr>
    <w:rPr>
      <w:sz w:val="2"/>
    </w:rPr>
  </w:style>
  <w:style w:type="character" w:customStyle="1" w:styleId="TechnicalBlockChar">
    <w:name w:val="Technical Block Char"/>
    <w:basedOn w:val="DefaultParagraphFont"/>
    <w:rsid w:val="003C0F42"/>
    <w:rPr>
      <w:sz w:val="24"/>
      <w:szCs w:val="24"/>
      <w:lang w:val="bg-BG" w:eastAsia="bg-BG"/>
    </w:rPr>
  </w:style>
  <w:style w:type="character" w:customStyle="1" w:styleId="HeaderCouncilLargeChar">
    <w:name w:val="Header Council Large Char"/>
    <w:basedOn w:val="TechnicalBlockChar"/>
    <w:link w:val="HeaderCouncilLarge"/>
    <w:rsid w:val="003C0F42"/>
    <w:rPr>
      <w:sz w:val="2"/>
      <w:szCs w:val="24"/>
      <w:lang w:val="bg-BG" w:eastAsia="bg-BG"/>
    </w:rPr>
  </w:style>
  <w:style w:type="paragraph" w:customStyle="1" w:styleId="FooterText">
    <w:name w:val="Footer Text"/>
    <w:basedOn w:val="Normal"/>
    <w:rsid w:val="003C0F42"/>
    <w:pPr>
      <w:spacing w:before="0" w:after="0" w:line="240" w:lineRule="auto"/>
    </w:pPr>
  </w:style>
  <w:style w:type="character" w:customStyle="1" w:styleId="FootnoteTextChar">
    <w:name w:val="Footnote Text Char"/>
    <w:aliases w:val="Fußnotentextf Char,Footnote text Char,fn Char,Schriftart: 9 pt Char,Schriftart: 10 pt Char,Schriftart: 8 pt Char,WB-Fußnotentext Char,o Char,Podrozdział Char,Schriftart: 8 p Char,Char Char,Tekst przypisu Char,WB-Fuﬂnotentext Char"/>
    <w:rsid w:val="00B70F9E"/>
    <w:rPr>
      <w:sz w:val="24"/>
      <w:lang w:val="bg-BG" w:eastAsia="bg-BG"/>
    </w:rPr>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basedOn w:val="Normal"/>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rsid w:val="00F86DEA"/>
    <w:pPr>
      <w:spacing w:before="0" w:after="240" w:line="240" w:lineRule="auto"/>
      <w:jc w:val="center"/>
    </w:p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36"/>
      </w:numPr>
    </w:pPr>
  </w:style>
  <w:style w:type="paragraph" w:customStyle="1" w:styleId="Pointabc1">
    <w:name w:val="Point abc (1)"/>
    <w:basedOn w:val="Normal"/>
    <w:rsid w:val="00F86DEA"/>
    <w:pPr>
      <w:numPr>
        <w:ilvl w:val="3"/>
        <w:numId w:val="36"/>
      </w:numPr>
      <w:outlineLvl w:val="0"/>
    </w:pPr>
  </w:style>
  <w:style w:type="paragraph" w:customStyle="1" w:styleId="Pointabc2">
    <w:name w:val="Point abc (2)"/>
    <w:basedOn w:val="Normal"/>
    <w:rsid w:val="00F86DEA"/>
    <w:pPr>
      <w:numPr>
        <w:ilvl w:val="5"/>
        <w:numId w:val="36"/>
      </w:numPr>
      <w:outlineLvl w:val="1"/>
    </w:pPr>
  </w:style>
  <w:style w:type="paragraph" w:customStyle="1" w:styleId="Pointabc3">
    <w:name w:val="Point abc (3)"/>
    <w:basedOn w:val="Normal"/>
    <w:rsid w:val="00F86DEA"/>
    <w:pPr>
      <w:numPr>
        <w:ilvl w:val="7"/>
        <w:numId w:val="36"/>
      </w:numPr>
      <w:outlineLvl w:val="2"/>
    </w:pPr>
  </w:style>
  <w:style w:type="paragraph" w:customStyle="1" w:styleId="Pointabc4">
    <w:name w:val="Point abc (4)"/>
    <w:basedOn w:val="Normal"/>
    <w:rsid w:val="00F86DEA"/>
    <w:pPr>
      <w:numPr>
        <w:ilvl w:val="8"/>
        <w:numId w:val="36"/>
      </w:numPr>
      <w:outlineLvl w:val="3"/>
    </w:pPr>
  </w:style>
  <w:style w:type="paragraph" w:customStyle="1" w:styleId="Point123">
    <w:name w:val="Point 123"/>
    <w:basedOn w:val="Normal"/>
    <w:rsid w:val="00F86DEA"/>
    <w:pPr>
      <w:numPr>
        <w:numId w:val="36"/>
      </w:numPr>
    </w:pPr>
  </w:style>
  <w:style w:type="paragraph" w:customStyle="1" w:styleId="Point1231">
    <w:name w:val="Point 123 (1)"/>
    <w:basedOn w:val="Normal"/>
    <w:rsid w:val="00F86DEA"/>
    <w:pPr>
      <w:numPr>
        <w:ilvl w:val="2"/>
        <w:numId w:val="36"/>
      </w:numPr>
      <w:outlineLvl w:val="0"/>
    </w:pPr>
  </w:style>
  <w:style w:type="paragraph" w:customStyle="1" w:styleId="Point1232">
    <w:name w:val="Point 123 (2)"/>
    <w:basedOn w:val="Normal"/>
    <w:rsid w:val="00F86DEA"/>
    <w:pPr>
      <w:numPr>
        <w:ilvl w:val="4"/>
        <w:numId w:val="36"/>
      </w:numPr>
      <w:outlineLvl w:val="1"/>
    </w:pPr>
  </w:style>
  <w:style w:type="paragraph" w:customStyle="1" w:styleId="Point1233">
    <w:name w:val="Point 123 (3)"/>
    <w:basedOn w:val="Normal"/>
    <w:rsid w:val="00F86DEA"/>
    <w:pPr>
      <w:numPr>
        <w:ilvl w:val="6"/>
        <w:numId w:val="36"/>
      </w:numPr>
      <w:outlineLvl w:val="2"/>
    </w:pPr>
  </w:style>
  <w:style w:type="paragraph" w:customStyle="1" w:styleId="Pointivx">
    <w:name w:val="Point ivx"/>
    <w:basedOn w:val="Normal"/>
    <w:rsid w:val="00F86DEA"/>
    <w:pPr>
      <w:numPr>
        <w:numId w:val="37"/>
      </w:numPr>
    </w:pPr>
  </w:style>
  <w:style w:type="paragraph" w:customStyle="1" w:styleId="Pointivx1">
    <w:name w:val="Point ivx (1)"/>
    <w:basedOn w:val="Normal"/>
    <w:rsid w:val="00F86DEA"/>
    <w:pPr>
      <w:numPr>
        <w:ilvl w:val="1"/>
        <w:numId w:val="37"/>
      </w:numPr>
      <w:outlineLvl w:val="0"/>
    </w:pPr>
  </w:style>
  <w:style w:type="paragraph" w:customStyle="1" w:styleId="Pointivx2">
    <w:name w:val="Point ivx (2)"/>
    <w:basedOn w:val="Normal"/>
    <w:rsid w:val="00F86DEA"/>
    <w:pPr>
      <w:numPr>
        <w:ilvl w:val="2"/>
        <w:numId w:val="37"/>
      </w:numPr>
      <w:outlineLvl w:val="1"/>
    </w:pPr>
  </w:style>
  <w:style w:type="paragraph" w:customStyle="1" w:styleId="Pointivx3">
    <w:name w:val="Point ivx (3)"/>
    <w:basedOn w:val="Normal"/>
    <w:rsid w:val="00F86DEA"/>
    <w:pPr>
      <w:numPr>
        <w:ilvl w:val="3"/>
        <w:numId w:val="37"/>
      </w:numPr>
      <w:outlineLvl w:val="2"/>
    </w:pPr>
  </w:style>
  <w:style w:type="paragraph" w:customStyle="1" w:styleId="Pointivx4">
    <w:name w:val="Point ivx (4)"/>
    <w:basedOn w:val="Normal"/>
    <w:rsid w:val="00F86DEA"/>
    <w:pPr>
      <w:numPr>
        <w:ilvl w:val="4"/>
        <w:numId w:val="37"/>
      </w:numPr>
      <w:outlineLvl w:val="3"/>
    </w:pPr>
  </w:style>
  <w:style w:type="paragraph" w:customStyle="1" w:styleId="Bullet">
    <w:name w:val="Bullet"/>
    <w:basedOn w:val="Normal"/>
    <w:rsid w:val="00F86DEA"/>
    <w:pPr>
      <w:numPr>
        <w:numId w:val="31"/>
      </w:numPr>
    </w:pPr>
  </w:style>
  <w:style w:type="paragraph" w:customStyle="1" w:styleId="Bullet1">
    <w:name w:val="Bullet 1"/>
    <w:basedOn w:val="Normal"/>
    <w:rsid w:val="00F86DEA"/>
    <w:pPr>
      <w:numPr>
        <w:numId w:val="32"/>
      </w:numPr>
      <w:outlineLvl w:val="0"/>
    </w:pPr>
  </w:style>
  <w:style w:type="paragraph" w:customStyle="1" w:styleId="Bullet2">
    <w:name w:val="Bullet 2"/>
    <w:basedOn w:val="Normal"/>
    <w:rsid w:val="00F86DEA"/>
    <w:pPr>
      <w:numPr>
        <w:numId w:val="33"/>
      </w:numPr>
      <w:outlineLvl w:val="1"/>
    </w:pPr>
  </w:style>
  <w:style w:type="paragraph" w:customStyle="1" w:styleId="Bullet3">
    <w:name w:val="Bullet 3"/>
    <w:basedOn w:val="Normal"/>
    <w:rsid w:val="00F86DEA"/>
    <w:pPr>
      <w:numPr>
        <w:numId w:val="34"/>
      </w:numPr>
      <w:outlineLvl w:val="2"/>
    </w:pPr>
  </w:style>
  <w:style w:type="paragraph" w:customStyle="1" w:styleId="Bullet4">
    <w:name w:val="Bullet 4"/>
    <w:basedOn w:val="Normal"/>
    <w:rsid w:val="00F86DEA"/>
    <w:pPr>
      <w:numPr>
        <w:numId w:val="35"/>
      </w:numPr>
      <w:outlineLvl w:val="3"/>
    </w:pPr>
  </w:style>
  <w:style w:type="paragraph" w:customStyle="1" w:styleId="Dash">
    <w:name w:val="Dash"/>
    <w:basedOn w:val="Normal"/>
    <w:rsid w:val="00F86DEA"/>
    <w:pPr>
      <w:numPr>
        <w:numId w:val="21"/>
      </w:numPr>
    </w:pPr>
  </w:style>
  <w:style w:type="paragraph" w:customStyle="1" w:styleId="Dash1">
    <w:name w:val="Dash 1"/>
    <w:basedOn w:val="Normal"/>
    <w:rsid w:val="00F86DEA"/>
    <w:pPr>
      <w:numPr>
        <w:numId w:val="22"/>
      </w:numPr>
      <w:outlineLvl w:val="0"/>
    </w:pPr>
  </w:style>
  <w:style w:type="paragraph" w:customStyle="1" w:styleId="Dash2">
    <w:name w:val="Dash 2"/>
    <w:basedOn w:val="Normal"/>
    <w:rsid w:val="00F86DEA"/>
    <w:pPr>
      <w:numPr>
        <w:numId w:val="23"/>
      </w:numPr>
      <w:outlineLvl w:val="1"/>
    </w:pPr>
  </w:style>
  <w:style w:type="paragraph" w:customStyle="1" w:styleId="Dash3">
    <w:name w:val="Dash 3"/>
    <w:basedOn w:val="Normal"/>
    <w:rsid w:val="00F86DEA"/>
    <w:pPr>
      <w:numPr>
        <w:numId w:val="24"/>
      </w:numPr>
      <w:outlineLvl w:val="2"/>
    </w:pPr>
  </w:style>
  <w:style w:type="paragraph" w:customStyle="1" w:styleId="Dash4">
    <w:name w:val="Dash 4"/>
    <w:basedOn w:val="Normal"/>
    <w:rsid w:val="00F86DEA"/>
    <w:pPr>
      <w:numPr>
        <w:numId w:val="25"/>
      </w:numPr>
      <w:outlineLvl w:val="3"/>
    </w:pPr>
  </w:style>
  <w:style w:type="paragraph" w:customStyle="1" w:styleId="DashEqual">
    <w:name w:val="Dash Equal"/>
    <w:basedOn w:val="Dash"/>
    <w:rsid w:val="00F86DEA"/>
    <w:pPr>
      <w:numPr>
        <w:numId w:val="26"/>
      </w:numPr>
    </w:pPr>
  </w:style>
  <w:style w:type="paragraph" w:customStyle="1" w:styleId="DashEqual1">
    <w:name w:val="Dash Equal 1"/>
    <w:basedOn w:val="Dash1"/>
    <w:rsid w:val="00F86DEA"/>
    <w:pPr>
      <w:numPr>
        <w:numId w:val="27"/>
      </w:numPr>
    </w:pPr>
  </w:style>
  <w:style w:type="paragraph" w:customStyle="1" w:styleId="DashEqual2">
    <w:name w:val="Dash Equal 2"/>
    <w:basedOn w:val="Dash2"/>
    <w:rsid w:val="00F86DEA"/>
    <w:pPr>
      <w:numPr>
        <w:numId w:val="28"/>
      </w:numPr>
    </w:pPr>
  </w:style>
  <w:style w:type="paragraph" w:customStyle="1" w:styleId="DashEqual3">
    <w:name w:val="Dash Equal 3"/>
    <w:basedOn w:val="Dash3"/>
    <w:rsid w:val="00F86DEA"/>
    <w:pPr>
      <w:numPr>
        <w:numId w:val="29"/>
      </w:numPr>
    </w:pPr>
  </w:style>
  <w:style w:type="paragraph" w:customStyle="1" w:styleId="DashEqual4">
    <w:name w:val="Dash Equal 4"/>
    <w:basedOn w:val="Dash4"/>
    <w:rsid w:val="00F86DEA"/>
    <w:pPr>
      <w:numPr>
        <w:numId w:val="3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40"/>
      </w:numPr>
    </w:pPr>
  </w:style>
  <w:style w:type="paragraph" w:customStyle="1" w:styleId="Heading123">
    <w:name w:val="Heading 123"/>
    <w:basedOn w:val="HeadingLeft"/>
    <w:next w:val="Normal"/>
    <w:rsid w:val="00F86DEA"/>
    <w:pPr>
      <w:numPr>
        <w:numId w:val="39"/>
      </w:numPr>
    </w:pPr>
  </w:style>
  <w:style w:type="paragraph" w:customStyle="1" w:styleId="HeadingABC">
    <w:name w:val="Heading ABC"/>
    <w:basedOn w:val="HeadingLeft"/>
    <w:next w:val="Normal"/>
    <w:rsid w:val="00F86DEA"/>
    <w:pPr>
      <w:numPr>
        <w:numId w:val="3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3C0F42"/>
    <w:pPr>
      <w:spacing w:before="0" w:after="440"/>
      <w:ind w:left="-1134" w:right="-1134"/>
    </w:pPr>
    <w:rPr>
      <w:sz w:val="2"/>
    </w:rPr>
  </w:style>
  <w:style w:type="character" w:customStyle="1" w:styleId="TechnicalBlockChar">
    <w:name w:val="Technical Block Char"/>
    <w:basedOn w:val="DefaultParagraphFont"/>
    <w:rsid w:val="003C0F42"/>
    <w:rPr>
      <w:sz w:val="24"/>
      <w:szCs w:val="24"/>
      <w:lang w:val="bg-BG" w:eastAsia="bg-BG"/>
    </w:rPr>
  </w:style>
  <w:style w:type="character" w:customStyle="1" w:styleId="HeaderCouncilLargeChar">
    <w:name w:val="Header Council Large Char"/>
    <w:basedOn w:val="TechnicalBlockChar"/>
    <w:link w:val="HeaderCouncilLarge"/>
    <w:rsid w:val="003C0F42"/>
    <w:rPr>
      <w:sz w:val="2"/>
      <w:szCs w:val="24"/>
      <w:lang w:val="bg-BG" w:eastAsia="bg-BG"/>
    </w:rPr>
  </w:style>
  <w:style w:type="paragraph" w:customStyle="1" w:styleId="FooterText">
    <w:name w:val="Footer Text"/>
    <w:basedOn w:val="Normal"/>
    <w:rsid w:val="003C0F42"/>
    <w:pPr>
      <w:spacing w:before="0" w:after="0" w:line="240" w:lineRule="auto"/>
    </w:pPr>
  </w:style>
  <w:style w:type="character" w:customStyle="1" w:styleId="FootnoteTextChar">
    <w:name w:val="Footnote Text Char"/>
    <w:aliases w:val="Fußnotentextf Char,Footnote text Char,fn Char,Schriftart: 9 pt Char,Schriftart: 10 pt Char,Schriftart: 8 pt Char,WB-Fußnotentext Char,o Char,Podrozdział Char,Schriftart: 8 p Char,Char Char,Tekst przypisu Char,WB-Fuﬂnotentext Char"/>
    <w:rsid w:val="00B70F9E"/>
    <w:rPr>
      <w:sz w:val="24"/>
      <w:lang w:val="bg-BG" w:eastAsia="bg-BG"/>
    </w:rPr>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basedOn w:val="Normal"/>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rsid w:val="00F86DEA"/>
    <w:pPr>
      <w:spacing w:before="0" w:after="240" w:line="240" w:lineRule="auto"/>
      <w:jc w:val="center"/>
    </w:p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36"/>
      </w:numPr>
    </w:pPr>
  </w:style>
  <w:style w:type="paragraph" w:customStyle="1" w:styleId="Pointabc1">
    <w:name w:val="Point abc (1)"/>
    <w:basedOn w:val="Normal"/>
    <w:rsid w:val="00F86DEA"/>
    <w:pPr>
      <w:numPr>
        <w:ilvl w:val="3"/>
        <w:numId w:val="36"/>
      </w:numPr>
      <w:outlineLvl w:val="0"/>
    </w:pPr>
  </w:style>
  <w:style w:type="paragraph" w:customStyle="1" w:styleId="Pointabc2">
    <w:name w:val="Point abc (2)"/>
    <w:basedOn w:val="Normal"/>
    <w:rsid w:val="00F86DEA"/>
    <w:pPr>
      <w:numPr>
        <w:ilvl w:val="5"/>
        <w:numId w:val="36"/>
      </w:numPr>
      <w:outlineLvl w:val="1"/>
    </w:pPr>
  </w:style>
  <w:style w:type="paragraph" w:customStyle="1" w:styleId="Pointabc3">
    <w:name w:val="Point abc (3)"/>
    <w:basedOn w:val="Normal"/>
    <w:rsid w:val="00F86DEA"/>
    <w:pPr>
      <w:numPr>
        <w:ilvl w:val="7"/>
        <w:numId w:val="36"/>
      </w:numPr>
      <w:outlineLvl w:val="2"/>
    </w:pPr>
  </w:style>
  <w:style w:type="paragraph" w:customStyle="1" w:styleId="Pointabc4">
    <w:name w:val="Point abc (4)"/>
    <w:basedOn w:val="Normal"/>
    <w:rsid w:val="00F86DEA"/>
    <w:pPr>
      <w:numPr>
        <w:ilvl w:val="8"/>
        <w:numId w:val="36"/>
      </w:numPr>
      <w:outlineLvl w:val="3"/>
    </w:pPr>
  </w:style>
  <w:style w:type="paragraph" w:customStyle="1" w:styleId="Point123">
    <w:name w:val="Point 123"/>
    <w:basedOn w:val="Normal"/>
    <w:rsid w:val="00F86DEA"/>
    <w:pPr>
      <w:numPr>
        <w:numId w:val="36"/>
      </w:numPr>
    </w:pPr>
  </w:style>
  <w:style w:type="paragraph" w:customStyle="1" w:styleId="Point1231">
    <w:name w:val="Point 123 (1)"/>
    <w:basedOn w:val="Normal"/>
    <w:rsid w:val="00F86DEA"/>
    <w:pPr>
      <w:numPr>
        <w:ilvl w:val="2"/>
        <w:numId w:val="36"/>
      </w:numPr>
      <w:outlineLvl w:val="0"/>
    </w:pPr>
  </w:style>
  <w:style w:type="paragraph" w:customStyle="1" w:styleId="Point1232">
    <w:name w:val="Point 123 (2)"/>
    <w:basedOn w:val="Normal"/>
    <w:rsid w:val="00F86DEA"/>
    <w:pPr>
      <w:numPr>
        <w:ilvl w:val="4"/>
        <w:numId w:val="36"/>
      </w:numPr>
      <w:outlineLvl w:val="1"/>
    </w:pPr>
  </w:style>
  <w:style w:type="paragraph" w:customStyle="1" w:styleId="Point1233">
    <w:name w:val="Point 123 (3)"/>
    <w:basedOn w:val="Normal"/>
    <w:rsid w:val="00F86DEA"/>
    <w:pPr>
      <w:numPr>
        <w:ilvl w:val="6"/>
        <w:numId w:val="36"/>
      </w:numPr>
      <w:outlineLvl w:val="2"/>
    </w:pPr>
  </w:style>
  <w:style w:type="paragraph" w:customStyle="1" w:styleId="Pointivx">
    <w:name w:val="Point ivx"/>
    <w:basedOn w:val="Normal"/>
    <w:rsid w:val="00F86DEA"/>
    <w:pPr>
      <w:numPr>
        <w:numId w:val="37"/>
      </w:numPr>
    </w:pPr>
  </w:style>
  <w:style w:type="paragraph" w:customStyle="1" w:styleId="Pointivx1">
    <w:name w:val="Point ivx (1)"/>
    <w:basedOn w:val="Normal"/>
    <w:rsid w:val="00F86DEA"/>
    <w:pPr>
      <w:numPr>
        <w:ilvl w:val="1"/>
        <w:numId w:val="37"/>
      </w:numPr>
      <w:outlineLvl w:val="0"/>
    </w:pPr>
  </w:style>
  <w:style w:type="paragraph" w:customStyle="1" w:styleId="Pointivx2">
    <w:name w:val="Point ivx (2)"/>
    <w:basedOn w:val="Normal"/>
    <w:rsid w:val="00F86DEA"/>
    <w:pPr>
      <w:numPr>
        <w:ilvl w:val="2"/>
        <w:numId w:val="37"/>
      </w:numPr>
      <w:outlineLvl w:val="1"/>
    </w:pPr>
  </w:style>
  <w:style w:type="paragraph" w:customStyle="1" w:styleId="Pointivx3">
    <w:name w:val="Point ivx (3)"/>
    <w:basedOn w:val="Normal"/>
    <w:rsid w:val="00F86DEA"/>
    <w:pPr>
      <w:numPr>
        <w:ilvl w:val="3"/>
        <w:numId w:val="37"/>
      </w:numPr>
      <w:outlineLvl w:val="2"/>
    </w:pPr>
  </w:style>
  <w:style w:type="paragraph" w:customStyle="1" w:styleId="Pointivx4">
    <w:name w:val="Point ivx (4)"/>
    <w:basedOn w:val="Normal"/>
    <w:rsid w:val="00F86DEA"/>
    <w:pPr>
      <w:numPr>
        <w:ilvl w:val="4"/>
        <w:numId w:val="37"/>
      </w:numPr>
      <w:outlineLvl w:val="3"/>
    </w:pPr>
  </w:style>
  <w:style w:type="paragraph" w:customStyle="1" w:styleId="Bullet">
    <w:name w:val="Bullet"/>
    <w:basedOn w:val="Normal"/>
    <w:rsid w:val="00F86DEA"/>
    <w:pPr>
      <w:numPr>
        <w:numId w:val="31"/>
      </w:numPr>
    </w:pPr>
  </w:style>
  <w:style w:type="paragraph" w:customStyle="1" w:styleId="Bullet1">
    <w:name w:val="Bullet 1"/>
    <w:basedOn w:val="Normal"/>
    <w:rsid w:val="00F86DEA"/>
    <w:pPr>
      <w:numPr>
        <w:numId w:val="32"/>
      </w:numPr>
      <w:outlineLvl w:val="0"/>
    </w:pPr>
  </w:style>
  <w:style w:type="paragraph" w:customStyle="1" w:styleId="Bullet2">
    <w:name w:val="Bullet 2"/>
    <w:basedOn w:val="Normal"/>
    <w:rsid w:val="00F86DEA"/>
    <w:pPr>
      <w:numPr>
        <w:numId w:val="33"/>
      </w:numPr>
      <w:outlineLvl w:val="1"/>
    </w:pPr>
  </w:style>
  <w:style w:type="paragraph" w:customStyle="1" w:styleId="Bullet3">
    <w:name w:val="Bullet 3"/>
    <w:basedOn w:val="Normal"/>
    <w:rsid w:val="00F86DEA"/>
    <w:pPr>
      <w:numPr>
        <w:numId w:val="34"/>
      </w:numPr>
      <w:outlineLvl w:val="2"/>
    </w:pPr>
  </w:style>
  <w:style w:type="paragraph" w:customStyle="1" w:styleId="Bullet4">
    <w:name w:val="Bullet 4"/>
    <w:basedOn w:val="Normal"/>
    <w:rsid w:val="00F86DEA"/>
    <w:pPr>
      <w:numPr>
        <w:numId w:val="35"/>
      </w:numPr>
      <w:outlineLvl w:val="3"/>
    </w:pPr>
  </w:style>
  <w:style w:type="paragraph" w:customStyle="1" w:styleId="Dash">
    <w:name w:val="Dash"/>
    <w:basedOn w:val="Normal"/>
    <w:rsid w:val="00F86DEA"/>
    <w:pPr>
      <w:numPr>
        <w:numId w:val="21"/>
      </w:numPr>
    </w:pPr>
  </w:style>
  <w:style w:type="paragraph" w:customStyle="1" w:styleId="Dash1">
    <w:name w:val="Dash 1"/>
    <w:basedOn w:val="Normal"/>
    <w:rsid w:val="00F86DEA"/>
    <w:pPr>
      <w:numPr>
        <w:numId w:val="22"/>
      </w:numPr>
      <w:outlineLvl w:val="0"/>
    </w:pPr>
  </w:style>
  <w:style w:type="paragraph" w:customStyle="1" w:styleId="Dash2">
    <w:name w:val="Dash 2"/>
    <w:basedOn w:val="Normal"/>
    <w:rsid w:val="00F86DEA"/>
    <w:pPr>
      <w:numPr>
        <w:numId w:val="23"/>
      </w:numPr>
      <w:outlineLvl w:val="1"/>
    </w:pPr>
  </w:style>
  <w:style w:type="paragraph" w:customStyle="1" w:styleId="Dash3">
    <w:name w:val="Dash 3"/>
    <w:basedOn w:val="Normal"/>
    <w:rsid w:val="00F86DEA"/>
    <w:pPr>
      <w:numPr>
        <w:numId w:val="24"/>
      </w:numPr>
      <w:outlineLvl w:val="2"/>
    </w:pPr>
  </w:style>
  <w:style w:type="paragraph" w:customStyle="1" w:styleId="Dash4">
    <w:name w:val="Dash 4"/>
    <w:basedOn w:val="Normal"/>
    <w:rsid w:val="00F86DEA"/>
    <w:pPr>
      <w:numPr>
        <w:numId w:val="25"/>
      </w:numPr>
      <w:outlineLvl w:val="3"/>
    </w:pPr>
  </w:style>
  <w:style w:type="paragraph" w:customStyle="1" w:styleId="DashEqual">
    <w:name w:val="Dash Equal"/>
    <w:basedOn w:val="Dash"/>
    <w:rsid w:val="00F86DEA"/>
    <w:pPr>
      <w:numPr>
        <w:numId w:val="26"/>
      </w:numPr>
    </w:pPr>
  </w:style>
  <w:style w:type="paragraph" w:customStyle="1" w:styleId="DashEqual1">
    <w:name w:val="Dash Equal 1"/>
    <w:basedOn w:val="Dash1"/>
    <w:rsid w:val="00F86DEA"/>
    <w:pPr>
      <w:numPr>
        <w:numId w:val="27"/>
      </w:numPr>
    </w:pPr>
  </w:style>
  <w:style w:type="paragraph" w:customStyle="1" w:styleId="DashEqual2">
    <w:name w:val="Dash Equal 2"/>
    <w:basedOn w:val="Dash2"/>
    <w:rsid w:val="00F86DEA"/>
    <w:pPr>
      <w:numPr>
        <w:numId w:val="28"/>
      </w:numPr>
    </w:pPr>
  </w:style>
  <w:style w:type="paragraph" w:customStyle="1" w:styleId="DashEqual3">
    <w:name w:val="Dash Equal 3"/>
    <w:basedOn w:val="Dash3"/>
    <w:rsid w:val="00F86DEA"/>
    <w:pPr>
      <w:numPr>
        <w:numId w:val="29"/>
      </w:numPr>
    </w:pPr>
  </w:style>
  <w:style w:type="paragraph" w:customStyle="1" w:styleId="DashEqual4">
    <w:name w:val="Dash Equal 4"/>
    <w:basedOn w:val="Dash4"/>
    <w:rsid w:val="00F86DEA"/>
    <w:pPr>
      <w:numPr>
        <w:numId w:val="3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40"/>
      </w:numPr>
    </w:pPr>
  </w:style>
  <w:style w:type="paragraph" w:customStyle="1" w:styleId="Heading123">
    <w:name w:val="Heading 123"/>
    <w:basedOn w:val="HeadingLeft"/>
    <w:next w:val="Normal"/>
    <w:rsid w:val="00F86DEA"/>
    <w:pPr>
      <w:numPr>
        <w:numId w:val="39"/>
      </w:numPr>
    </w:pPr>
  </w:style>
  <w:style w:type="paragraph" w:customStyle="1" w:styleId="HeadingABC">
    <w:name w:val="Heading ABC"/>
    <w:basedOn w:val="HeadingLeft"/>
    <w:next w:val="Normal"/>
    <w:rsid w:val="00F86DEA"/>
    <w:pPr>
      <w:numPr>
        <w:numId w:val="3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fiia\AppData\Roaming\Microsoft\Templates\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DW_COUNCIL.dotm</Template>
  <TotalTime>1</TotalTime>
  <Pages>4</Pages>
  <Words>740</Words>
  <Characters>4332</Characters>
  <Application>Microsoft Office Word</Application>
  <DocSecurity>0</DocSecurity>
  <Lines>98</Lines>
  <Paragraphs>25</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5047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MARETTO Aline</dc:creator>
  <cp:lastModifiedBy>PROFIROV Iavor</cp:lastModifiedBy>
  <cp:revision>3</cp:revision>
  <cp:lastPrinted>2015-03-04T11:06:00Z</cp:lastPrinted>
  <dcterms:created xsi:type="dcterms:W3CDTF">2015-03-05T18:05:00Z</dcterms:created>
  <dcterms:modified xsi:type="dcterms:W3CDTF">2015-03-05T18:06:00Z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3.4.3, Build 20150129</vt:lpwstr>
  </property>
  <property fmtid="{D5CDD505-2E9C-101B-9397-08002B2CF9AE}" pid="4" name="Last edited using">
    <vt:lpwstr>DocuWrite 3.4.3, Build 20150129</vt:lpwstr>
  </property>
  <property fmtid="{D5CDD505-2E9C-101B-9397-08002B2CF9AE}" pid="5" name="SkipControlLengthPage">
    <vt:lpwstr/>
  </property>
</Properties>
</file>