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C8" w:rsidRPr="008A4C8A" w:rsidRDefault="00B96832" w:rsidP="008A4C8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784b885-2f04-45e7-8238-5a6e04ff0fa4" style="width:568.5pt;height:363.75pt">
            <v:imagedata r:id="rId8" o:title=""/>
          </v:shape>
        </w:pict>
      </w:r>
      <w:bookmarkEnd w:id="0"/>
    </w:p>
    <w:p w:rsidR="007516C8" w:rsidRPr="00BB0D31" w:rsidRDefault="007516C8" w:rsidP="007516C8">
      <w:pPr>
        <w:sectPr w:rsidR="007516C8" w:rsidRPr="00BB0D31" w:rsidSect="00B96832">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653D1D" w:rsidRPr="00BB0D31" w:rsidRDefault="00653D1D" w:rsidP="00A84553">
      <w:pPr>
        <w:spacing w:line="380" w:lineRule="exact"/>
        <w:outlineLvl w:val="0"/>
      </w:pPr>
      <w:r w:rsidRPr="00BB0D31">
        <w:rPr>
          <w:b/>
        </w:rPr>
        <w:lastRenderedPageBreak/>
        <w:t>I.</w:t>
      </w:r>
      <w:r w:rsidRPr="00BB0D31">
        <w:tab/>
      </w:r>
      <w:r w:rsidRPr="00BB0D31">
        <w:rPr>
          <w:b/>
          <w:u w:val="single"/>
        </w:rPr>
        <w:t>ВЪВЕДЕНИЕ</w:t>
      </w:r>
    </w:p>
    <w:p w:rsidR="00653D1D" w:rsidRPr="00BB0D31" w:rsidRDefault="00653D1D" w:rsidP="00A84553">
      <w:pPr>
        <w:spacing w:line="380" w:lineRule="exact"/>
      </w:pPr>
    </w:p>
    <w:p w:rsidR="00653D1D" w:rsidRPr="00BB0D31" w:rsidRDefault="00653D1D" w:rsidP="00A84553">
      <w:pPr>
        <w:spacing w:line="380" w:lineRule="exact"/>
        <w:ind w:left="567" w:hanging="567"/>
        <w:jc w:val="both"/>
        <w:rPr>
          <w:color w:val="000000"/>
        </w:rPr>
      </w:pPr>
      <w:r w:rsidRPr="00BB0D31">
        <w:rPr>
          <w:color w:val="000000"/>
        </w:rPr>
        <w:t>1.</w:t>
      </w:r>
      <w:r w:rsidRPr="00BB0D31">
        <w:tab/>
      </w:r>
      <w:r w:rsidRPr="00BB0D31">
        <w:rPr>
          <w:color w:val="000000"/>
        </w:rPr>
        <w:t xml:space="preserve">На 13 юни 2013 г. </w:t>
      </w:r>
      <w:r w:rsidRPr="00BB0D31">
        <w:rPr>
          <w:color w:val="000000"/>
          <w:u w:val="single"/>
        </w:rPr>
        <w:t>Комисията</w:t>
      </w:r>
      <w:r w:rsidRPr="00BB0D31">
        <w:rPr>
          <w:color w:val="000000"/>
        </w:rPr>
        <w:t xml:space="preserve"> представи на Съвета и на Европейския парламент посоченото по-горе предложение за регламент заедно с предложение за съответно решение. Целта на двете предложения е да се осигури въвеждането на ползваща телефон 112 услуга за спешни повиквания eCall в целия Съюз.</w:t>
      </w:r>
    </w:p>
    <w:p w:rsidR="00CC39CA" w:rsidRPr="00BB0D31" w:rsidRDefault="00653D1D" w:rsidP="00A84553">
      <w:pPr>
        <w:spacing w:line="380" w:lineRule="exact"/>
        <w:ind w:left="567" w:hanging="567"/>
        <w:jc w:val="both"/>
        <w:rPr>
          <w:color w:val="000000"/>
        </w:rPr>
      </w:pPr>
      <w:r w:rsidRPr="00BB0D31">
        <w:tab/>
      </w:r>
      <w:r w:rsidRPr="00BB0D31">
        <w:rPr>
          <w:color w:val="000000"/>
        </w:rPr>
        <w:t>Решението</w:t>
      </w:r>
      <w:r w:rsidRPr="00BB0D31">
        <w:rPr>
          <w:b/>
          <w:color w:val="000000"/>
          <w:vertAlign w:val="superscript"/>
        </w:rPr>
        <w:footnoteReference w:id="1"/>
      </w:r>
      <w:r w:rsidRPr="00BB0D31">
        <w:rPr>
          <w:color w:val="000000"/>
        </w:rPr>
        <w:t xml:space="preserve"> беше прието от </w:t>
      </w:r>
      <w:r w:rsidRPr="00BB0D31">
        <w:rPr>
          <w:color w:val="000000"/>
          <w:u w:val="single"/>
        </w:rPr>
        <w:t>Съвета</w:t>
      </w:r>
      <w:r w:rsidRPr="00BB0D31">
        <w:rPr>
          <w:color w:val="000000"/>
        </w:rPr>
        <w:t xml:space="preserve"> на 8 май 2014 г.</w:t>
      </w:r>
    </w:p>
    <w:p w:rsidR="00653D1D" w:rsidRPr="00BB0D31" w:rsidRDefault="00653D1D" w:rsidP="00A84553">
      <w:pPr>
        <w:spacing w:line="380" w:lineRule="exact"/>
        <w:ind w:left="567" w:hanging="567"/>
        <w:jc w:val="both"/>
        <w:rPr>
          <w:color w:val="000000"/>
        </w:rPr>
      </w:pPr>
    </w:p>
    <w:p w:rsidR="00653D1D" w:rsidRPr="00BB0D31" w:rsidRDefault="00653D1D" w:rsidP="00A84553">
      <w:pPr>
        <w:pStyle w:val="NormalConseil"/>
        <w:spacing w:line="380" w:lineRule="exact"/>
        <w:ind w:left="567" w:hanging="567"/>
        <w:jc w:val="both"/>
        <w:rPr>
          <w:color w:val="000000"/>
        </w:rPr>
      </w:pPr>
      <w:r w:rsidRPr="00BB0D31">
        <w:rPr>
          <w:color w:val="000000"/>
        </w:rPr>
        <w:t xml:space="preserve">2. </w:t>
      </w:r>
      <w:r w:rsidRPr="00BB0D31">
        <w:tab/>
      </w:r>
      <w:r w:rsidRPr="00BB0D31">
        <w:rPr>
          <w:color w:val="000000"/>
          <w:u w:val="single"/>
        </w:rPr>
        <w:t>Европейският икономически и социален комитет</w:t>
      </w:r>
      <w:r w:rsidRPr="00BB0D31">
        <w:rPr>
          <w:color w:val="000000"/>
        </w:rPr>
        <w:t xml:space="preserve"> даде становището си на 19 септември 2013 г.</w:t>
      </w:r>
    </w:p>
    <w:p w:rsidR="00653D1D" w:rsidRPr="00BB0D31" w:rsidRDefault="00653D1D" w:rsidP="00A84553">
      <w:pPr>
        <w:pStyle w:val="NormalConseil"/>
        <w:spacing w:line="380" w:lineRule="exact"/>
        <w:ind w:left="567" w:hanging="567"/>
        <w:jc w:val="both"/>
        <w:rPr>
          <w:color w:val="000000"/>
        </w:rPr>
      </w:pPr>
    </w:p>
    <w:p w:rsidR="00653D1D" w:rsidRPr="00BB0D31" w:rsidRDefault="00653D1D" w:rsidP="00A84553">
      <w:pPr>
        <w:pStyle w:val="NormalConseil"/>
        <w:spacing w:line="380" w:lineRule="exact"/>
        <w:ind w:left="567" w:hanging="567"/>
        <w:jc w:val="both"/>
        <w:rPr>
          <w:color w:val="000000"/>
        </w:rPr>
      </w:pPr>
      <w:r w:rsidRPr="00BB0D31">
        <w:rPr>
          <w:color w:val="000000"/>
        </w:rPr>
        <w:t xml:space="preserve">3. </w:t>
      </w:r>
      <w:r w:rsidRPr="00BB0D31">
        <w:tab/>
      </w:r>
      <w:r w:rsidRPr="00BB0D31">
        <w:rPr>
          <w:color w:val="000000"/>
          <w:u w:val="single"/>
        </w:rPr>
        <w:t>Европейският надзорен орган по защита на данните</w:t>
      </w:r>
      <w:r w:rsidRPr="00BB0D31">
        <w:rPr>
          <w:color w:val="000000"/>
        </w:rPr>
        <w:t xml:space="preserve"> предаде становището си на Съвета и Европейския парламент на 29 октомври 2013 г.</w:t>
      </w:r>
    </w:p>
    <w:p w:rsidR="00653D1D" w:rsidRPr="00BB0D31" w:rsidRDefault="00653D1D" w:rsidP="00A84553">
      <w:pPr>
        <w:spacing w:line="380" w:lineRule="exact"/>
        <w:ind w:left="567" w:hanging="567"/>
        <w:jc w:val="both"/>
        <w:rPr>
          <w:color w:val="000000"/>
        </w:rPr>
      </w:pPr>
    </w:p>
    <w:p w:rsidR="00CC39CA" w:rsidRPr="00BB0D31" w:rsidRDefault="00653D1D" w:rsidP="00A84553">
      <w:pPr>
        <w:pStyle w:val="NormalConseil"/>
        <w:spacing w:line="380" w:lineRule="exact"/>
        <w:ind w:left="567" w:hanging="567"/>
        <w:jc w:val="both"/>
        <w:rPr>
          <w:color w:val="000000"/>
        </w:rPr>
      </w:pPr>
      <w:r w:rsidRPr="00BB0D31">
        <w:rPr>
          <w:color w:val="000000"/>
        </w:rPr>
        <w:t>4.</w:t>
      </w:r>
      <w:r w:rsidRPr="00BB0D31">
        <w:tab/>
      </w:r>
      <w:r w:rsidRPr="00BB0D31">
        <w:rPr>
          <w:color w:val="000000"/>
          <w:u w:val="single"/>
        </w:rPr>
        <w:t>Европейският парламент</w:t>
      </w:r>
      <w:r w:rsidRPr="00BB0D31">
        <w:rPr>
          <w:color w:val="000000"/>
        </w:rPr>
        <w:t xml:space="preserve"> (докладчик г-жа Olga Sehnalová, Комисия по вътрешния пазар и защита на потребителите) прие позицията си на първо четене на 26 февруари 2014 г. Г-жа Sehnalová беше преназначена за докладчик след изборите през май 2014 г.</w:t>
      </w:r>
    </w:p>
    <w:p w:rsidR="00653D1D" w:rsidRPr="00BB0D31" w:rsidRDefault="00653D1D" w:rsidP="00A84553">
      <w:pPr>
        <w:pStyle w:val="NormalConseil"/>
        <w:spacing w:line="380" w:lineRule="exact"/>
        <w:ind w:left="567" w:hanging="567"/>
        <w:jc w:val="both"/>
        <w:rPr>
          <w:color w:val="000000"/>
        </w:rPr>
      </w:pPr>
    </w:p>
    <w:p w:rsidR="00CC39CA" w:rsidRPr="00BB0D31" w:rsidRDefault="00653D1D" w:rsidP="00A84553">
      <w:pPr>
        <w:pStyle w:val="NormalConseil"/>
        <w:spacing w:line="380" w:lineRule="exact"/>
        <w:ind w:left="567" w:hanging="567"/>
        <w:jc w:val="both"/>
        <w:rPr>
          <w:color w:val="000000"/>
        </w:rPr>
      </w:pPr>
      <w:r w:rsidRPr="00BB0D31">
        <w:rPr>
          <w:color w:val="000000"/>
        </w:rPr>
        <w:t>5.</w:t>
      </w:r>
      <w:r w:rsidRPr="00BB0D31">
        <w:tab/>
      </w:r>
      <w:r w:rsidRPr="00BB0D31">
        <w:rPr>
          <w:color w:val="000000"/>
          <w:u w:val="single"/>
        </w:rPr>
        <w:t>Съветът</w:t>
      </w:r>
      <w:r w:rsidRPr="00BB0D31">
        <w:rPr>
          <w:color w:val="000000"/>
        </w:rPr>
        <w:t xml:space="preserve"> прие общ подход на 26 май 2014 г. (док. 9879/14). Председателството получи мандат за започване на преговори с Европейския парламент.</w:t>
      </w:r>
    </w:p>
    <w:p w:rsidR="00653D1D" w:rsidRPr="00BB0D31" w:rsidRDefault="00653D1D" w:rsidP="00A84553">
      <w:pPr>
        <w:pStyle w:val="NormalConseil"/>
        <w:spacing w:line="380" w:lineRule="exact"/>
        <w:jc w:val="both"/>
        <w:rPr>
          <w:color w:val="000000"/>
        </w:rPr>
      </w:pPr>
    </w:p>
    <w:p w:rsidR="00CC39CA" w:rsidRPr="00BB0D31" w:rsidRDefault="00653D1D" w:rsidP="00A84553">
      <w:pPr>
        <w:pStyle w:val="NormalConseil"/>
        <w:spacing w:line="380" w:lineRule="exact"/>
        <w:ind w:left="567" w:hanging="567"/>
        <w:jc w:val="both"/>
        <w:rPr>
          <w:color w:val="000000"/>
        </w:rPr>
      </w:pPr>
      <w:r w:rsidRPr="00BB0D31">
        <w:rPr>
          <w:color w:val="000000"/>
        </w:rPr>
        <w:t xml:space="preserve">6. </w:t>
      </w:r>
      <w:r w:rsidRPr="00BB0D31">
        <w:tab/>
      </w:r>
      <w:r w:rsidRPr="00BB0D31">
        <w:rPr>
          <w:u w:val="single"/>
        </w:rPr>
        <w:t>Тристранни срещи</w:t>
      </w:r>
      <w:r w:rsidRPr="00BB0D31">
        <w:t xml:space="preserve"> се състояха на 8 октомври, 11 ноември и 1 декември 2014 г.</w:t>
      </w:r>
      <w:r w:rsidRPr="00BB0D31">
        <w:rPr>
          <w:color w:val="000000"/>
        </w:rPr>
        <w:t xml:space="preserve"> По време на третата тристранна среща съзаконодателите постигнаха съгласие по компромисен текст. В резултат на това, с писмо от 8 декември 2014 г. </w:t>
      </w:r>
      <w:r w:rsidRPr="00BB0D31">
        <w:rPr>
          <w:color w:val="000000"/>
          <w:u w:val="single"/>
        </w:rPr>
        <w:t>Европейският парламент</w:t>
      </w:r>
      <w:r w:rsidRPr="00BB0D31">
        <w:rPr>
          <w:color w:val="000000"/>
        </w:rPr>
        <w:t xml:space="preserve"> уведоми </w:t>
      </w:r>
      <w:r w:rsidRPr="00BB0D31">
        <w:rPr>
          <w:color w:val="000000"/>
          <w:u w:val="single"/>
        </w:rPr>
        <w:t>Съвета</w:t>
      </w:r>
      <w:r w:rsidRPr="00BB0D31">
        <w:rPr>
          <w:color w:val="000000"/>
        </w:rPr>
        <w:t>, че ако Съветът приеме позицията си на първо четене въз основа на договорения компромисен текст, Европейският парламент ще гласува в подкрепа на приетия от Съвета текст без по-нататъшни изменения.</w:t>
      </w:r>
    </w:p>
    <w:p w:rsidR="00653D1D" w:rsidRPr="00BB0D31" w:rsidRDefault="00653D1D" w:rsidP="00653D1D">
      <w:pPr>
        <w:pStyle w:val="NormalConseil"/>
        <w:spacing w:line="360" w:lineRule="auto"/>
        <w:ind w:left="567" w:hanging="567"/>
        <w:jc w:val="both"/>
        <w:rPr>
          <w:color w:val="000000"/>
        </w:rPr>
      </w:pPr>
    </w:p>
    <w:p w:rsidR="00653D1D" w:rsidRPr="00BB0D31" w:rsidRDefault="00653D1D" w:rsidP="00653D1D">
      <w:pPr>
        <w:pStyle w:val="NormalConseil"/>
        <w:spacing w:line="360" w:lineRule="auto"/>
        <w:ind w:left="567" w:hanging="567"/>
        <w:jc w:val="both"/>
        <w:rPr>
          <w:b/>
          <w:bCs/>
          <w:color w:val="000000"/>
        </w:rPr>
      </w:pPr>
      <w:r w:rsidRPr="00BB0D31">
        <w:br w:type="page"/>
      </w:r>
      <w:r w:rsidRPr="00BB0D31">
        <w:rPr>
          <w:b/>
          <w:color w:val="000000"/>
        </w:rPr>
        <w:lastRenderedPageBreak/>
        <w:t>II.</w:t>
      </w:r>
      <w:r w:rsidRPr="00BB0D31">
        <w:tab/>
      </w:r>
      <w:r w:rsidRPr="00BB0D31">
        <w:rPr>
          <w:b/>
          <w:color w:val="000000"/>
          <w:u w:val="single"/>
        </w:rPr>
        <w:t>ЦЕЛ</w:t>
      </w:r>
    </w:p>
    <w:p w:rsidR="00653D1D" w:rsidRPr="00BB0D31" w:rsidRDefault="00653D1D" w:rsidP="00653D1D">
      <w:pPr>
        <w:ind w:left="567" w:hanging="567"/>
        <w:outlineLvl w:val="0"/>
        <w:rPr>
          <w:noProof/>
        </w:rPr>
      </w:pPr>
    </w:p>
    <w:p w:rsidR="00653D1D" w:rsidRPr="00BB0D31" w:rsidRDefault="00653D1D" w:rsidP="00653D1D">
      <w:pPr>
        <w:ind w:left="567" w:hanging="567"/>
        <w:outlineLvl w:val="0"/>
        <w:rPr>
          <w:noProof/>
        </w:rPr>
      </w:pPr>
      <w:r w:rsidRPr="00BB0D31">
        <w:t>7.</w:t>
      </w:r>
      <w:r w:rsidRPr="00BB0D31">
        <w:tab/>
      </w:r>
      <w:r w:rsidRPr="00BB0D31">
        <w:rPr>
          <w:color w:val="000000"/>
        </w:rPr>
        <w:t>В регламента се установяват разпоредбите относно изискванията за одобрение на типа за въвеждането на бордовата система eCall. Съгласно предложението се изисква да бъдат конструирани нови типове пътнически леки автомобили и лекотоварни превозни средства, за да се гарантира, че в случай на тежко произшествие автоматично или ръчно ще бъде изпратено спешно повикване до номера за спешни повиквания 112. Поради естеството на информацията, предоставяна чрез тази услуга, в предложението са предвидени и правила за защита на неприкосновеността на личния живот и личните данни.</w:t>
      </w:r>
    </w:p>
    <w:p w:rsidR="00653D1D" w:rsidRPr="00BB0D31" w:rsidRDefault="00653D1D" w:rsidP="00653D1D">
      <w:pPr>
        <w:rPr>
          <w:b/>
          <w:u w:val="single"/>
        </w:rPr>
      </w:pPr>
      <w:r w:rsidRPr="00BB0D31">
        <w:rPr>
          <w:b/>
        </w:rPr>
        <w:br/>
        <w:t>III.</w:t>
      </w:r>
      <w:r w:rsidRPr="00BB0D31">
        <w:tab/>
      </w:r>
      <w:r w:rsidRPr="00BB0D31">
        <w:rPr>
          <w:b/>
          <w:u w:val="single"/>
        </w:rPr>
        <w:t>АНАЛИЗ НА ПОЗИЦИЯТА НА СЪВЕТА НА ПЪРВО ЧЕТЕНЕ</w:t>
      </w:r>
    </w:p>
    <w:p w:rsidR="00653D1D" w:rsidRPr="00BB0D31" w:rsidRDefault="00653D1D" w:rsidP="00653D1D">
      <w:pPr>
        <w:rPr>
          <w:b/>
          <w:u w:val="single"/>
        </w:rPr>
      </w:pPr>
    </w:p>
    <w:p w:rsidR="00CC39CA" w:rsidRPr="00BB0D31" w:rsidRDefault="00653D1D" w:rsidP="00653D1D">
      <w:pPr>
        <w:rPr>
          <w:b/>
          <w:u w:val="single"/>
        </w:rPr>
      </w:pPr>
      <w:r w:rsidRPr="00BB0D31">
        <w:rPr>
          <w:b/>
        </w:rPr>
        <w:t>A.</w:t>
      </w:r>
      <w:r w:rsidRPr="00BB0D31">
        <w:tab/>
      </w:r>
      <w:r w:rsidRPr="00BB0D31">
        <w:rPr>
          <w:b/>
          <w:u w:val="single"/>
        </w:rPr>
        <w:t>Общо положение</w:t>
      </w:r>
    </w:p>
    <w:p w:rsidR="00653D1D" w:rsidRPr="00BB0D31" w:rsidRDefault="00653D1D" w:rsidP="00653D1D">
      <w:pPr>
        <w:rPr>
          <w:bCs/>
        </w:rPr>
      </w:pPr>
    </w:p>
    <w:p w:rsidR="00CC39CA" w:rsidRPr="00BB0D31" w:rsidRDefault="00653D1D" w:rsidP="00653D1D">
      <w:pPr>
        <w:ind w:left="567" w:hanging="567"/>
        <w:rPr>
          <w:bCs/>
        </w:rPr>
      </w:pPr>
      <w:r w:rsidRPr="00BB0D31">
        <w:t>8.</w:t>
      </w:r>
      <w:r w:rsidRPr="00BB0D31">
        <w:tab/>
        <w:t>Съветът внесе в първоначалното предложение няколко изменения. Успоредно с това Европейският парламент също гласува редица изменения, които по същество бяха доста сходни с обсъжданите в Съвета. Двете институции бързо постигнаха споразумение, забавено единствено поради изборите за Европейски парламент през май 2014 г.</w:t>
      </w:r>
    </w:p>
    <w:p w:rsidR="00CC39CA" w:rsidRPr="00BB0D31" w:rsidRDefault="00653D1D" w:rsidP="00653D1D">
      <w:pPr>
        <w:ind w:left="567" w:hanging="567"/>
        <w:rPr>
          <w:bCs/>
        </w:rPr>
      </w:pPr>
      <w:r w:rsidRPr="00BB0D31">
        <w:tab/>
        <w:t>Позицията на Съвета на първо четене съответно изменя първоначалното предложение на Комисията, като отчасти го преформулира въз основа на постигнатото с Европейския парламент споразумение.</w:t>
      </w:r>
    </w:p>
    <w:p w:rsidR="00653D1D" w:rsidRPr="00BB0D31" w:rsidRDefault="00653D1D" w:rsidP="00653D1D">
      <w:pPr>
        <w:rPr>
          <w:bCs/>
        </w:rPr>
      </w:pPr>
    </w:p>
    <w:p w:rsidR="00653D1D" w:rsidRPr="00BB0D31" w:rsidRDefault="00653D1D" w:rsidP="00653D1D">
      <w:pPr>
        <w:rPr>
          <w:b/>
        </w:rPr>
      </w:pPr>
      <w:r w:rsidRPr="00BB0D31">
        <w:br w:type="page"/>
      </w:r>
      <w:r w:rsidRPr="00BB0D31">
        <w:rPr>
          <w:b/>
        </w:rPr>
        <w:lastRenderedPageBreak/>
        <w:t>Б.</w:t>
      </w:r>
      <w:r w:rsidR="00F65854" w:rsidRPr="00F65854">
        <w:rPr>
          <w:b/>
        </w:rPr>
        <w:tab/>
      </w:r>
      <w:r w:rsidRPr="00BB0D31">
        <w:rPr>
          <w:b/>
          <w:u w:val="single"/>
        </w:rPr>
        <w:t>Ключови въпроси на политиката</w:t>
      </w:r>
    </w:p>
    <w:p w:rsidR="00653D1D" w:rsidRPr="00BB0D31" w:rsidRDefault="00653D1D" w:rsidP="00653D1D">
      <w:pPr>
        <w:rPr>
          <w:bCs/>
        </w:rPr>
      </w:pPr>
    </w:p>
    <w:p w:rsidR="00CC39CA" w:rsidRPr="00BB0D31" w:rsidRDefault="00653D1D" w:rsidP="00653D1D">
      <w:pPr>
        <w:pStyle w:val="NormalConseil"/>
        <w:spacing w:line="360" w:lineRule="auto"/>
        <w:jc w:val="both"/>
        <w:rPr>
          <w:color w:val="000000"/>
          <w:u w:val="single"/>
        </w:rPr>
      </w:pPr>
      <w:r w:rsidRPr="00BB0D31">
        <w:rPr>
          <w:color w:val="000000"/>
        </w:rPr>
        <w:t xml:space="preserve">9. </w:t>
      </w:r>
      <w:r w:rsidRPr="00BB0D31">
        <w:tab/>
      </w:r>
      <w:r w:rsidRPr="00BB0D31">
        <w:rPr>
          <w:color w:val="000000"/>
          <w:u w:val="single"/>
        </w:rPr>
        <w:t>Система eCall, основаваща се на услугата 112</w:t>
      </w:r>
    </w:p>
    <w:p w:rsidR="00CC39CA" w:rsidRPr="00BB0D31" w:rsidRDefault="00653D1D" w:rsidP="00653D1D">
      <w:pPr>
        <w:pStyle w:val="NormalConseil"/>
        <w:spacing w:line="360" w:lineRule="auto"/>
        <w:ind w:left="567"/>
        <w:jc w:val="both"/>
        <w:rPr>
          <w:color w:val="000000"/>
        </w:rPr>
      </w:pPr>
      <w:r w:rsidRPr="00BB0D31">
        <w:rPr>
          <w:color w:val="000000"/>
        </w:rPr>
        <w:t>По отношение на системата eCall беше внесена яснота в целия текст, включително в заглавието, като беше уточнено, че става дума конкретно за основаващата се на услугата 112 система eCall.</w:t>
      </w:r>
    </w:p>
    <w:p w:rsidR="00653D1D" w:rsidRPr="00BB0D31" w:rsidRDefault="00653D1D" w:rsidP="00653D1D">
      <w:pPr>
        <w:pStyle w:val="NormalConseil"/>
        <w:spacing w:line="360" w:lineRule="auto"/>
        <w:ind w:left="567"/>
        <w:jc w:val="both"/>
        <w:rPr>
          <w:color w:val="000000"/>
        </w:rPr>
      </w:pPr>
    </w:p>
    <w:p w:rsidR="00653D1D" w:rsidRPr="00BB0D31" w:rsidRDefault="00653D1D" w:rsidP="00653D1D">
      <w:pPr>
        <w:pStyle w:val="NormalConseil"/>
        <w:spacing w:line="360" w:lineRule="auto"/>
        <w:jc w:val="both"/>
        <w:rPr>
          <w:color w:val="000000"/>
        </w:rPr>
      </w:pPr>
      <w:r w:rsidRPr="00BB0D31">
        <w:rPr>
          <w:color w:val="000000"/>
        </w:rPr>
        <w:t xml:space="preserve">10. </w:t>
      </w:r>
      <w:r w:rsidRPr="00BB0D31">
        <w:tab/>
      </w:r>
      <w:r w:rsidRPr="00BB0D31">
        <w:rPr>
          <w:color w:val="000000"/>
          <w:u w:val="single"/>
        </w:rPr>
        <w:t>Включване в обхвата на системи, компоненти и отделни технически възли</w:t>
      </w:r>
    </w:p>
    <w:p w:rsidR="00653D1D" w:rsidRPr="00BB0D31" w:rsidRDefault="00653D1D" w:rsidP="00CC39CA">
      <w:pPr>
        <w:pStyle w:val="NormalConseil"/>
        <w:spacing w:line="360" w:lineRule="auto"/>
        <w:ind w:left="567" w:hanging="567"/>
        <w:jc w:val="both"/>
        <w:rPr>
          <w:color w:val="000000"/>
        </w:rPr>
      </w:pPr>
      <w:r w:rsidRPr="00BB0D31">
        <w:tab/>
      </w:r>
      <w:r w:rsidRPr="00BB0D31">
        <w:rPr>
          <w:color w:val="000000"/>
        </w:rPr>
        <w:t>Съветът предвиди разширяване на обхвата на регламента, така че да бъдат обхванати и системи, компоненти и отделни технически възли</w:t>
      </w:r>
    </w:p>
    <w:p w:rsidR="00653D1D" w:rsidRPr="00BB0D31" w:rsidRDefault="00653D1D" w:rsidP="00653D1D">
      <w:pPr>
        <w:pStyle w:val="NormalConseil"/>
        <w:spacing w:line="360" w:lineRule="auto"/>
        <w:ind w:left="567"/>
        <w:jc w:val="both"/>
        <w:rPr>
          <w:color w:val="000000"/>
        </w:rPr>
      </w:pPr>
    </w:p>
    <w:p w:rsidR="00CC39CA" w:rsidRPr="00BB0D31" w:rsidRDefault="00653D1D" w:rsidP="00653D1D">
      <w:pPr>
        <w:pStyle w:val="NormalConseil"/>
        <w:spacing w:line="360" w:lineRule="auto"/>
        <w:ind w:left="567" w:hanging="567"/>
        <w:jc w:val="both"/>
        <w:rPr>
          <w:color w:val="000000"/>
          <w:u w:val="single"/>
        </w:rPr>
      </w:pPr>
      <w:r w:rsidRPr="00BB0D31">
        <w:rPr>
          <w:color w:val="000000"/>
        </w:rPr>
        <w:t>11.</w:t>
      </w:r>
      <w:r w:rsidRPr="00BB0D31">
        <w:tab/>
      </w:r>
      <w:r w:rsidRPr="00BB0D31">
        <w:rPr>
          <w:color w:val="000000"/>
          <w:u w:val="single"/>
        </w:rPr>
        <w:t>Освобождаване</w:t>
      </w:r>
    </w:p>
    <w:p w:rsidR="00CC39CA" w:rsidRPr="00BB0D31" w:rsidRDefault="00653D1D" w:rsidP="00653D1D">
      <w:pPr>
        <w:pStyle w:val="NormalConseil"/>
        <w:spacing w:line="360" w:lineRule="auto"/>
        <w:ind w:left="567" w:hanging="567"/>
        <w:jc w:val="both"/>
        <w:rPr>
          <w:color w:val="000000"/>
        </w:rPr>
      </w:pPr>
      <w:r w:rsidRPr="00BB0D31">
        <w:tab/>
      </w:r>
      <w:r w:rsidRPr="00BB0D31">
        <w:rPr>
          <w:color w:val="000000"/>
        </w:rPr>
        <w:t>Съветът добави разпоредба, която внася яснота по отношение на освободените категории превозни средства.</w:t>
      </w:r>
    </w:p>
    <w:p w:rsidR="00653D1D" w:rsidRPr="00BB0D31" w:rsidRDefault="00653D1D" w:rsidP="00653D1D">
      <w:pPr>
        <w:pStyle w:val="NormalConseil"/>
        <w:spacing w:line="360" w:lineRule="auto"/>
        <w:ind w:left="567"/>
        <w:jc w:val="both"/>
        <w:rPr>
          <w:color w:val="000000"/>
        </w:rPr>
      </w:pPr>
    </w:p>
    <w:p w:rsidR="00653D1D" w:rsidRPr="00BB0D31" w:rsidRDefault="00653D1D" w:rsidP="00653D1D">
      <w:pPr>
        <w:pStyle w:val="NormalConseil"/>
        <w:spacing w:line="360" w:lineRule="auto"/>
        <w:jc w:val="both"/>
        <w:rPr>
          <w:color w:val="000000"/>
        </w:rPr>
      </w:pPr>
      <w:r w:rsidRPr="00BB0D31">
        <w:rPr>
          <w:color w:val="000000"/>
        </w:rPr>
        <w:t>12.</w:t>
      </w:r>
      <w:r w:rsidRPr="00BB0D31">
        <w:tab/>
      </w:r>
      <w:r w:rsidRPr="00BB0D31">
        <w:rPr>
          <w:color w:val="000000"/>
          <w:u w:val="single"/>
        </w:rPr>
        <w:t>Добавяне на нови определения</w:t>
      </w:r>
    </w:p>
    <w:p w:rsidR="00CC39CA" w:rsidRPr="00BB0D31" w:rsidRDefault="00653D1D" w:rsidP="00CC39CA">
      <w:pPr>
        <w:pStyle w:val="NormalConseil"/>
        <w:spacing w:line="360" w:lineRule="auto"/>
        <w:ind w:left="567" w:hanging="567"/>
        <w:jc w:val="both"/>
        <w:rPr>
          <w:color w:val="000000"/>
        </w:rPr>
      </w:pPr>
      <w:r w:rsidRPr="00BB0D31">
        <w:tab/>
        <w:t>Добавени бяха редица нови определения за уточняване на някои понятия, които са употребени в текста и които ще се използват и в бъдеще в делегирани актове.</w:t>
      </w:r>
    </w:p>
    <w:p w:rsidR="00653D1D" w:rsidRPr="00BB0D31" w:rsidRDefault="00653D1D" w:rsidP="00653D1D">
      <w:pPr>
        <w:pStyle w:val="NormalConseil"/>
        <w:spacing w:line="360" w:lineRule="auto"/>
        <w:ind w:left="567"/>
        <w:jc w:val="both"/>
        <w:rPr>
          <w:color w:val="000000"/>
        </w:rPr>
      </w:pPr>
    </w:p>
    <w:p w:rsidR="00653D1D" w:rsidRPr="00BB0D31" w:rsidRDefault="00653D1D" w:rsidP="00653D1D">
      <w:pPr>
        <w:pStyle w:val="NormalConseil"/>
        <w:spacing w:line="360" w:lineRule="auto"/>
        <w:jc w:val="both"/>
        <w:rPr>
          <w:color w:val="000000"/>
        </w:rPr>
      </w:pPr>
      <w:r w:rsidRPr="00BB0D31">
        <w:rPr>
          <w:color w:val="000000"/>
        </w:rPr>
        <w:t>13.</w:t>
      </w:r>
      <w:r w:rsidRPr="00BB0D31">
        <w:tab/>
      </w:r>
      <w:r w:rsidRPr="00BB0D31">
        <w:rPr>
          <w:color w:val="000000"/>
          <w:u w:val="single"/>
        </w:rPr>
        <w:t>„Постоянно монтирани“ системи eCall</w:t>
      </w:r>
    </w:p>
    <w:p w:rsidR="00CC39CA" w:rsidRPr="00BB0D31" w:rsidRDefault="00653D1D" w:rsidP="00653D1D">
      <w:pPr>
        <w:pStyle w:val="NormalConseil"/>
        <w:spacing w:line="360" w:lineRule="auto"/>
        <w:ind w:left="567" w:hanging="567"/>
        <w:jc w:val="both"/>
        <w:rPr>
          <w:color w:val="000000"/>
        </w:rPr>
      </w:pPr>
      <w:r w:rsidRPr="00BB0D31">
        <w:tab/>
      </w:r>
      <w:r w:rsidRPr="00BB0D31">
        <w:rPr>
          <w:color w:val="000000"/>
        </w:rPr>
        <w:t>В текста беше добавено пояснение, че системата eCall следва да бъде постоянно монтирана в превозното средство при представянето му за одобряване на типа.</w:t>
      </w:r>
    </w:p>
    <w:p w:rsidR="00653D1D" w:rsidRPr="00BB0D31" w:rsidRDefault="00653D1D" w:rsidP="00653D1D">
      <w:pPr>
        <w:pStyle w:val="NormalConseil"/>
        <w:spacing w:line="360" w:lineRule="auto"/>
        <w:ind w:left="1134" w:hanging="567"/>
        <w:jc w:val="both"/>
        <w:rPr>
          <w:color w:val="000000"/>
        </w:rPr>
      </w:pPr>
    </w:p>
    <w:p w:rsidR="00653D1D" w:rsidRPr="00BB0D31" w:rsidRDefault="00653D1D" w:rsidP="00653D1D">
      <w:pPr>
        <w:pStyle w:val="NormalConseil"/>
        <w:spacing w:line="360" w:lineRule="auto"/>
        <w:ind w:left="567" w:hanging="567"/>
        <w:jc w:val="both"/>
        <w:rPr>
          <w:color w:val="000000"/>
        </w:rPr>
      </w:pPr>
      <w:r w:rsidRPr="00BB0D31">
        <w:rPr>
          <w:color w:val="000000"/>
        </w:rPr>
        <w:t>14.</w:t>
      </w:r>
      <w:r w:rsidRPr="00BB0D31">
        <w:tab/>
      </w:r>
      <w:r w:rsidRPr="00BB0D31">
        <w:rPr>
          <w:color w:val="000000"/>
          <w:u w:val="single"/>
        </w:rPr>
        <w:t>Услуги, поддържани от трети страни (УТС)</w:t>
      </w:r>
    </w:p>
    <w:p w:rsidR="00CC39CA" w:rsidRPr="00BB0D31" w:rsidRDefault="00653D1D" w:rsidP="00653D1D">
      <w:pPr>
        <w:pStyle w:val="NormalConseil"/>
        <w:spacing w:line="360" w:lineRule="auto"/>
        <w:ind w:left="567" w:hanging="567"/>
        <w:jc w:val="both"/>
        <w:rPr>
          <w:color w:val="000000"/>
        </w:rPr>
      </w:pPr>
      <w:r w:rsidRPr="00BB0D31">
        <w:tab/>
      </w:r>
      <w:r w:rsidRPr="00BB0D31">
        <w:rPr>
          <w:color w:val="000000"/>
        </w:rPr>
        <w:t>Съветът добави в текста възможността собствениците на превозни средства да използват в допълнение към основаващата се на услугата 112 система eCall и УТС, като същевременно върху тези УТС не се налагат задължения.</w:t>
      </w:r>
    </w:p>
    <w:p w:rsidR="00653D1D" w:rsidRPr="00BB0D31" w:rsidRDefault="00653D1D" w:rsidP="00653D1D">
      <w:pPr>
        <w:pStyle w:val="NormalConseil"/>
        <w:spacing w:line="360" w:lineRule="auto"/>
        <w:jc w:val="both"/>
        <w:rPr>
          <w:i/>
          <w:iCs/>
          <w:color w:val="000000"/>
        </w:rPr>
      </w:pPr>
    </w:p>
    <w:p w:rsidR="00CC39CA" w:rsidRPr="00BB0D31" w:rsidRDefault="00653D1D" w:rsidP="00653D1D">
      <w:pPr>
        <w:pStyle w:val="NormalConseil"/>
        <w:spacing w:line="360" w:lineRule="auto"/>
        <w:jc w:val="both"/>
        <w:rPr>
          <w:color w:val="000000"/>
          <w:u w:val="single"/>
        </w:rPr>
      </w:pPr>
      <w:r w:rsidRPr="00BB0D31">
        <w:br w:type="page"/>
      </w:r>
      <w:r w:rsidRPr="00BB0D31">
        <w:rPr>
          <w:color w:val="000000"/>
        </w:rPr>
        <w:lastRenderedPageBreak/>
        <w:t>15.</w:t>
      </w:r>
      <w:r w:rsidRPr="00BB0D31">
        <w:tab/>
      </w:r>
      <w:r w:rsidRPr="00BB0D31">
        <w:rPr>
          <w:color w:val="000000"/>
          <w:u w:val="single"/>
        </w:rPr>
        <w:t>Съвместимост с навигационни спътникови системи</w:t>
      </w:r>
    </w:p>
    <w:p w:rsidR="00CC39CA" w:rsidRPr="00BB0D31" w:rsidRDefault="00653D1D" w:rsidP="00653D1D">
      <w:pPr>
        <w:pStyle w:val="NormalConseil"/>
        <w:spacing w:line="360" w:lineRule="auto"/>
        <w:ind w:left="567"/>
        <w:jc w:val="both"/>
        <w:rPr>
          <w:color w:val="000000"/>
        </w:rPr>
      </w:pPr>
      <w:r w:rsidRPr="00BB0D31">
        <w:rPr>
          <w:color w:val="000000"/>
        </w:rPr>
        <w:t>Съветът предвиди задължителна съвместимост на системата eCall с навигационните системи „Галилео“ и Европейската геостационарна служба за навигационно покритие (EGNOS), като същевременно предостави на производителите възможност за осигуряване на съвместимост и с други навигационни системи.</w:t>
      </w:r>
    </w:p>
    <w:p w:rsidR="00653D1D" w:rsidRPr="00BB0D31" w:rsidRDefault="00653D1D" w:rsidP="00653D1D">
      <w:pPr>
        <w:pStyle w:val="NormalConseil"/>
        <w:spacing w:line="360" w:lineRule="auto"/>
        <w:ind w:left="1134" w:hanging="567"/>
        <w:jc w:val="both"/>
        <w:rPr>
          <w:color w:val="000000"/>
        </w:rPr>
      </w:pPr>
    </w:p>
    <w:p w:rsidR="00653D1D" w:rsidRPr="00BB0D31" w:rsidRDefault="00653D1D" w:rsidP="00653D1D">
      <w:pPr>
        <w:pStyle w:val="NormalConseil"/>
        <w:spacing w:line="360" w:lineRule="auto"/>
        <w:ind w:left="567" w:hanging="567"/>
        <w:jc w:val="both"/>
        <w:rPr>
          <w:color w:val="000000"/>
        </w:rPr>
      </w:pPr>
      <w:r w:rsidRPr="00BB0D31">
        <w:rPr>
          <w:color w:val="000000"/>
        </w:rPr>
        <w:t>16.</w:t>
      </w:r>
      <w:r w:rsidRPr="00BB0D31">
        <w:tab/>
      </w:r>
      <w:r w:rsidRPr="00BB0D31">
        <w:rPr>
          <w:color w:val="000000"/>
          <w:u w:val="single"/>
        </w:rPr>
        <w:t>Достъп на независими оператори</w:t>
      </w:r>
    </w:p>
    <w:p w:rsidR="00653D1D" w:rsidRPr="00BB0D31" w:rsidRDefault="00653D1D" w:rsidP="00653D1D">
      <w:pPr>
        <w:pStyle w:val="NormalConseil"/>
        <w:spacing w:line="360" w:lineRule="auto"/>
        <w:ind w:left="567"/>
        <w:jc w:val="both"/>
        <w:rPr>
          <w:color w:val="000000"/>
        </w:rPr>
      </w:pPr>
      <w:r w:rsidRPr="00BB0D31">
        <w:rPr>
          <w:color w:val="000000"/>
        </w:rPr>
        <w:t>В текста бе предвидено системата eCall, основаваща се на услугата 112, да бъде достъпна за ремонт и техническо обслужване за независими оператори срещу разумна такса в съответствие с Регламент (ЕО) 715/2007, в който се установяват разпоредби относно достъпа до информация за ремонт и техническо обслужване на превозни средства.</w:t>
      </w:r>
    </w:p>
    <w:p w:rsidR="00653D1D" w:rsidRPr="00BB0D31" w:rsidRDefault="00653D1D" w:rsidP="00653D1D">
      <w:pPr>
        <w:pStyle w:val="NormalConseil"/>
        <w:spacing w:line="360" w:lineRule="auto"/>
        <w:ind w:left="1134" w:hanging="567"/>
        <w:jc w:val="both"/>
        <w:rPr>
          <w:i/>
          <w:iCs/>
          <w:color w:val="000000"/>
        </w:rPr>
      </w:pPr>
    </w:p>
    <w:p w:rsidR="00653D1D" w:rsidRPr="00BB0D31" w:rsidRDefault="00653D1D" w:rsidP="00653D1D">
      <w:pPr>
        <w:pStyle w:val="NormalConseil"/>
        <w:spacing w:line="360" w:lineRule="auto"/>
        <w:ind w:left="567" w:hanging="567"/>
        <w:jc w:val="both"/>
        <w:rPr>
          <w:color w:val="000000"/>
        </w:rPr>
      </w:pPr>
      <w:r w:rsidRPr="00BB0D31">
        <w:rPr>
          <w:color w:val="000000"/>
        </w:rPr>
        <w:t>17.</w:t>
      </w:r>
      <w:r w:rsidRPr="00BB0D31">
        <w:tab/>
      </w:r>
      <w:r w:rsidRPr="00BB0D31">
        <w:rPr>
          <w:color w:val="000000"/>
          <w:u w:val="single"/>
        </w:rPr>
        <w:t>Правила относно защитата на неприкосновеността на личния живот и личните данни</w:t>
      </w:r>
    </w:p>
    <w:p w:rsidR="00CC39CA" w:rsidRPr="00BB0D31" w:rsidRDefault="00653D1D" w:rsidP="00653D1D">
      <w:pPr>
        <w:pStyle w:val="NormalConseil"/>
        <w:spacing w:line="360" w:lineRule="auto"/>
        <w:ind w:left="567" w:hanging="567"/>
        <w:jc w:val="both"/>
        <w:rPr>
          <w:color w:val="000000"/>
        </w:rPr>
      </w:pPr>
      <w:r w:rsidRPr="00BB0D31">
        <w:tab/>
      </w:r>
      <w:r w:rsidRPr="00BB0D31">
        <w:rPr>
          <w:color w:val="000000"/>
        </w:rPr>
        <w:t>Съветът измени първоначалното предложение на Комисията, като включи ясно позоваване на приложимите правила за защита на данните, които постановяват, че данните от eCall могат да се използват само при извънредни ситуации и автоматично се заличават, че не може да има обмен на данни между основаващата се на услугата 112 система eCall и система на трета страна и че ръководството за употреба предоставя на собственика информация за обработването на данни от всяка система.</w:t>
      </w:r>
    </w:p>
    <w:p w:rsidR="00653D1D" w:rsidRPr="00BB0D31" w:rsidRDefault="00653D1D" w:rsidP="00653D1D">
      <w:pPr>
        <w:pStyle w:val="NormalConseil"/>
        <w:spacing w:line="360" w:lineRule="auto"/>
        <w:ind w:left="567" w:hanging="567"/>
        <w:jc w:val="both"/>
        <w:rPr>
          <w:color w:val="000000"/>
        </w:rPr>
      </w:pPr>
    </w:p>
    <w:p w:rsidR="00653D1D" w:rsidRPr="00BB0D31" w:rsidRDefault="00653D1D" w:rsidP="00653D1D">
      <w:pPr>
        <w:pStyle w:val="NormalConseil"/>
        <w:spacing w:line="360" w:lineRule="auto"/>
        <w:ind w:left="567" w:hanging="567"/>
        <w:jc w:val="both"/>
        <w:rPr>
          <w:color w:val="000000"/>
        </w:rPr>
      </w:pPr>
      <w:r w:rsidRPr="00BB0D31">
        <w:rPr>
          <w:color w:val="000000"/>
        </w:rPr>
        <w:t>18.</w:t>
      </w:r>
      <w:r w:rsidRPr="00BB0D31">
        <w:tab/>
      </w:r>
      <w:r w:rsidRPr="00BB0D31">
        <w:rPr>
          <w:color w:val="000000"/>
          <w:u w:val="single"/>
        </w:rPr>
        <w:t>Актове за изпълнение</w:t>
      </w:r>
    </w:p>
    <w:p w:rsidR="00CC39CA" w:rsidRPr="00BB0D31" w:rsidRDefault="00653D1D" w:rsidP="00653D1D">
      <w:pPr>
        <w:pStyle w:val="NormalConseil"/>
        <w:spacing w:line="360" w:lineRule="auto"/>
        <w:ind w:left="567" w:hanging="567"/>
        <w:jc w:val="both"/>
        <w:rPr>
          <w:color w:val="000000"/>
        </w:rPr>
      </w:pPr>
      <w:r w:rsidRPr="00BB0D31">
        <w:tab/>
      </w:r>
      <w:r w:rsidRPr="00BB0D31">
        <w:rPr>
          <w:color w:val="000000"/>
        </w:rPr>
        <w:t>Съветът добави в текста и разпоредба, че някои практически договорености в областта на защитата на данните ще бъдат уточнени посредством актове за изпълнение, а не делегирани актове. Това доведе до добавянето на съответни разпоредби в постановителната част.</w:t>
      </w:r>
    </w:p>
    <w:p w:rsidR="00CC39CA" w:rsidRPr="00BB0D31" w:rsidRDefault="00CC39CA" w:rsidP="00653D1D">
      <w:pPr>
        <w:pStyle w:val="NormalConseil"/>
        <w:spacing w:line="360" w:lineRule="auto"/>
        <w:ind w:left="1134" w:hanging="1134"/>
        <w:jc w:val="both"/>
        <w:rPr>
          <w:i/>
          <w:iCs/>
          <w:color w:val="000000"/>
        </w:rPr>
      </w:pPr>
    </w:p>
    <w:p w:rsidR="00653D1D" w:rsidRPr="00BB0D31" w:rsidRDefault="00653D1D" w:rsidP="00653D1D">
      <w:pPr>
        <w:pStyle w:val="NormalConseil"/>
        <w:spacing w:line="360" w:lineRule="auto"/>
        <w:ind w:left="567" w:hanging="567"/>
        <w:jc w:val="both"/>
        <w:rPr>
          <w:i/>
          <w:iCs/>
          <w:color w:val="000000"/>
        </w:rPr>
      </w:pPr>
      <w:r w:rsidRPr="00BB0D31">
        <w:rPr>
          <w:color w:val="000000"/>
        </w:rPr>
        <w:t>19.</w:t>
      </w:r>
      <w:r w:rsidRPr="00BB0D31">
        <w:tab/>
      </w:r>
      <w:r w:rsidRPr="00BB0D31">
        <w:rPr>
          <w:color w:val="000000"/>
          <w:u w:val="single"/>
        </w:rPr>
        <w:t>Оправомощаване на Комисията</w:t>
      </w:r>
    </w:p>
    <w:p w:rsidR="00CC39CA" w:rsidRPr="00BB0D31" w:rsidRDefault="00653D1D" w:rsidP="00653D1D">
      <w:pPr>
        <w:pStyle w:val="NormalConseil"/>
        <w:spacing w:line="360" w:lineRule="auto"/>
        <w:ind w:left="567" w:hanging="567"/>
        <w:jc w:val="both"/>
        <w:rPr>
          <w:color w:val="000000"/>
        </w:rPr>
      </w:pPr>
      <w:r w:rsidRPr="00BB0D31">
        <w:tab/>
      </w:r>
      <w:r w:rsidRPr="00BB0D31">
        <w:rPr>
          <w:color w:val="000000"/>
        </w:rPr>
        <w:t>В текста на Съвета се установява, че оправомощаването на Комисията да приема делегирани актове се ограничава до период от 5 години, който се продължава мълчаливо, а девет месеца преди края на 5-годишния период Комисията изготвя доклад относно делегирането на правомощията.</w:t>
      </w:r>
    </w:p>
    <w:p w:rsidR="00653D1D" w:rsidRPr="00BB0D31" w:rsidRDefault="00653D1D" w:rsidP="00653D1D">
      <w:pPr>
        <w:pStyle w:val="NormalConseil"/>
        <w:spacing w:line="360" w:lineRule="auto"/>
        <w:ind w:left="1134" w:hanging="567"/>
        <w:jc w:val="both"/>
        <w:rPr>
          <w:i/>
          <w:iCs/>
          <w:color w:val="000000"/>
        </w:rPr>
      </w:pPr>
    </w:p>
    <w:p w:rsidR="00653D1D" w:rsidRPr="00BB0D31" w:rsidRDefault="00653D1D" w:rsidP="00653D1D">
      <w:pPr>
        <w:pStyle w:val="NormalConseil"/>
        <w:spacing w:line="360" w:lineRule="auto"/>
        <w:ind w:left="567" w:hanging="567"/>
        <w:jc w:val="both"/>
        <w:rPr>
          <w:color w:val="000000"/>
        </w:rPr>
      </w:pPr>
      <w:r w:rsidRPr="00BB0D31">
        <w:br w:type="page"/>
      </w:r>
      <w:r w:rsidRPr="00BB0D31">
        <w:rPr>
          <w:color w:val="000000"/>
        </w:rPr>
        <w:lastRenderedPageBreak/>
        <w:t>20.</w:t>
      </w:r>
      <w:r w:rsidRPr="00BB0D31">
        <w:tab/>
      </w:r>
      <w:r w:rsidRPr="00BB0D31">
        <w:rPr>
          <w:color w:val="000000"/>
          <w:u w:val="single"/>
        </w:rPr>
        <w:t>Докладване и преразглеждане</w:t>
      </w:r>
    </w:p>
    <w:p w:rsidR="00CC39CA" w:rsidRPr="00BB0D31" w:rsidRDefault="00653D1D" w:rsidP="00653D1D">
      <w:pPr>
        <w:pStyle w:val="NormalConseil"/>
        <w:spacing w:line="360" w:lineRule="auto"/>
        <w:ind w:left="567" w:hanging="567"/>
        <w:jc w:val="both"/>
        <w:rPr>
          <w:color w:val="000000"/>
        </w:rPr>
      </w:pPr>
      <w:r w:rsidRPr="00BB0D31">
        <w:tab/>
      </w:r>
      <w:r w:rsidRPr="00BB0D31">
        <w:rPr>
          <w:color w:val="000000"/>
        </w:rPr>
        <w:t>Беше добавена разпоредба, която изисква от Комисията до представи до 2021 г. доклад за оценка на постиженията на системата eCall и степента на нейното навлизане, да проучи евентуалното включване в обхвана на регламента на други категории превозни средства и да направи оценка на необходимостта от платформа с открит достъп.</w:t>
      </w:r>
    </w:p>
    <w:p w:rsidR="00653D1D" w:rsidRPr="00BB0D31" w:rsidRDefault="00653D1D" w:rsidP="00653D1D">
      <w:pPr>
        <w:pStyle w:val="NormalConseil"/>
        <w:spacing w:line="360" w:lineRule="auto"/>
        <w:jc w:val="both"/>
        <w:rPr>
          <w:i/>
          <w:iCs/>
          <w:color w:val="000000"/>
        </w:rPr>
      </w:pPr>
    </w:p>
    <w:p w:rsidR="00CC39CA" w:rsidRPr="00BB0D31" w:rsidRDefault="00653D1D" w:rsidP="00653D1D">
      <w:pPr>
        <w:pStyle w:val="NormalConseil"/>
        <w:spacing w:line="360" w:lineRule="auto"/>
        <w:ind w:left="567" w:hanging="567"/>
        <w:jc w:val="both"/>
        <w:rPr>
          <w:color w:val="000000"/>
          <w:u w:val="single"/>
        </w:rPr>
      </w:pPr>
      <w:r w:rsidRPr="00BB0D31">
        <w:rPr>
          <w:color w:val="000000"/>
        </w:rPr>
        <w:t>21.</w:t>
      </w:r>
      <w:r w:rsidRPr="00BB0D31">
        <w:tab/>
      </w:r>
      <w:r w:rsidRPr="00BB0D31">
        <w:rPr>
          <w:color w:val="000000"/>
          <w:u w:val="single"/>
        </w:rPr>
        <w:t>Дата на прилагане</w:t>
      </w:r>
    </w:p>
    <w:p w:rsidR="00CC39CA" w:rsidRPr="00BB0D31" w:rsidRDefault="00653D1D" w:rsidP="00653D1D">
      <w:pPr>
        <w:pStyle w:val="NormalConseil"/>
        <w:spacing w:line="360" w:lineRule="auto"/>
        <w:ind w:left="567"/>
        <w:jc w:val="both"/>
        <w:rPr>
          <w:color w:val="000000"/>
        </w:rPr>
      </w:pPr>
      <w:r w:rsidRPr="00BB0D31">
        <w:rPr>
          <w:color w:val="000000"/>
        </w:rPr>
        <w:t>Датата на прилагане беше определена във връзка с предвиденото в Решение 585/2004/ЕС за въвеждането на оперативно съвместимата в целия Съюз услуга eCall. За начална дата на прилагане беше определен 31 март 2018 г.</w:t>
      </w:r>
    </w:p>
    <w:p w:rsidR="00653D1D" w:rsidRPr="00BB0D31" w:rsidRDefault="00653D1D" w:rsidP="00653D1D">
      <w:pPr>
        <w:pStyle w:val="NormalConseil"/>
        <w:spacing w:line="360" w:lineRule="auto"/>
        <w:jc w:val="both"/>
        <w:rPr>
          <w:i/>
          <w:iCs/>
          <w:color w:val="000000"/>
        </w:rPr>
      </w:pPr>
    </w:p>
    <w:p w:rsidR="00CC39CA" w:rsidRPr="00BB0D31" w:rsidRDefault="00653D1D" w:rsidP="00653D1D">
      <w:pPr>
        <w:pStyle w:val="NormalConseil"/>
        <w:spacing w:line="360" w:lineRule="auto"/>
        <w:jc w:val="both"/>
        <w:rPr>
          <w:color w:val="000000"/>
        </w:rPr>
      </w:pPr>
      <w:r w:rsidRPr="00BB0D31">
        <w:rPr>
          <w:color w:val="000000"/>
        </w:rPr>
        <w:t>22.</w:t>
      </w:r>
      <w:r w:rsidRPr="00BB0D31">
        <w:tab/>
      </w:r>
      <w:r w:rsidRPr="00BB0D31">
        <w:rPr>
          <w:color w:val="000000"/>
          <w:u w:val="single"/>
        </w:rPr>
        <w:t>Изменение на приложението</w:t>
      </w:r>
    </w:p>
    <w:p w:rsidR="00CC39CA" w:rsidRPr="00BB0D31" w:rsidRDefault="00653D1D" w:rsidP="00CC39CA">
      <w:pPr>
        <w:pStyle w:val="NormalConseil"/>
        <w:spacing w:line="360" w:lineRule="auto"/>
        <w:jc w:val="both"/>
        <w:rPr>
          <w:color w:val="000000"/>
        </w:rPr>
      </w:pPr>
      <w:r w:rsidRPr="00BB0D31">
        <w:tab/>
      </w:r>
      <w:r w:rsidRPr="00BB0D31">
        <w:rPr>
          <w:color w:val="000000"/>
        </w:rPr>
        <w:t>Съветът внесе в приложението промени с цел по-добро отразяване на разпоредбите в членовете.</w:t>
      </w:r>
    </w:p>
    <w:p w:rsidR="00653D1D" w:rsidRPr="00BB0D31" w:rsidRDefault="00653D1D" w:rsidP="00653D1D">
      <w:pPr>
        <w:pStyle w:val="NormalConseil"/>
        <w:spacing w:line="360" w:lineRule="auto"/>
        <w:jc w:val="both"/>
        <w:rPr>
          <w:i/>
          <w:iCs/>
          <w:color w:val="000000"/>
        </w:rPr>
      </w:pPr>
    </w:p>
    <w:p w:rsidR="00653D1D" w:rsidRPr="00BB0D31" w:rsidRDefault="00653D1D" w:rsidP="00653D1D">
      <w:pPr>
        <w:pStyle w:val="NormalConseil"/>
        <w:spacing w:line="360" w:lineRule="auto"/>
        <w:jc w:val="both"/>
        <w:rPr>
          <w:color w:val="000000"/>
        </w:rPr>
      </w:pPr>
      <w:r w:rsidRPr="00BB0D31">
        <w:rPr>
          <w:color w:val="000000"/>
        </w:rPr>
        <w:t>23.</w:t>
      </w:r>
      <w:r w:rsidRPr="00BB0D31">
        <w:tab/>
      </w:r>
      <w:r w:rsidRPr="00BB0D31">
        <w:rPr>
          <w:color w:val="000000"/>
          <w:u w:val="single"/>
        </w:rPr>
        <w:t>Съображения</w:t>
      </w:r>
    </w:p>
    <w:p w:rsidR="00CC39CA" w:rsidRPr="00BB0D31" w:rsidRDefault="00653D1D" w:rsidP="00653D1D">
      <w:pPr>
        <w:pStyle w:val="NormalConseil"/>
        <w:spacing w:line="360" w:lineRule="auto"/>
        <w:ind w:left="567" w:hanging="1134"/>
        <w:jc w:val="both"/>
      </w:pPr>
      <w:r w:rsidRPr="00BB0D31">
        <w:tab/>
        <w:t>Съветът измени съображенията, за да съответстват на изменените постановителни части на регламента и да отговорят на някои опасения на Европейския парламент.</w:t>
      </w:r>
    </w:p>
    <w:p w:rsidR="00653D1D" w:rsidRPr="00BB0D31" w:rsidRDefault="00653D1D" w:rsidP="00653D1D">
      <w:pPr>
        <w:spacing w:line="240" w:lineRule="auto"/>
        <w:ind w:left="1134"/>
      </w:pPr>
    </w:p>
    <w:p w:rsidR="00CC39CA" w:rsidRPr="00BB0D31" w:rsidRDefault="00CC39CA" w:rsidP="00653D1D">
      <w:pPr>
        <w:ind w:left="567"/>
      </w:pPr>
    </w:p>
    <w:p w:rsidR="00653D1D" w:rsidRPr="00BB0D31" w:rsidRDefault="00653D1D" w:rsidP="00653D1D">
      <w:pPr>
        <w:pStyle w:val="EntInstit"/>
        <w:jc w:val="left"/>
      </w:pPr>
      <w:r w:rsidRPr="00BB0D31">
        <w:br w:type="page"/>
        <w:t>IV.</w:t>
      </w:r>
      <w:r w:rsidRPr="00BB0D31">
        <w:tab/>
      </w:r>
      <w:r w:rsidRPr="00BB0D31">
        <w:rPr>
          <w:u w:val="single"/>
        </w:rPr>
        <w:t>ЗАКЛЮЧЕНИЕ</w:t>
      </w:r>
    </w:p>
    <w:p w:rsidR="00653D1D" w:rsidRPr="00BB0D31" w:rsidRDefault="00653D1D" w:rsidP="00653D1D"/>
    <w:p w:rsidR="00CC39CA" w:rsidRPr="00BB0D31" w:rsidRDefault="00653D1D" w:rsidP="00653D1D">
      <w:pPr>
        <w:ind w:left="567"/>
      </w:pPr>
      <w:r w:rsidRPr="00BB0D31">
        <w:t>При определянето на своята позиция Съветът взе изцяло предвид предложението на Комисията и позицията на Европейския парламент на първо четене.</w:t>
      </w:r>
    </w:p>
    <w:p w:rsidR="00653D1D" w:rsidRPr="00BB0D31" w:rsidRDefault="00653D1D" w:rsidP="00653D1D">
      <w:pPr>
        <w:pStyle w:val="Text1"/>
      </w:pPr>
      <w:r w:rsidRPr="00BB0D31">
        <w:t>По отношение на измененията, предложени от Европейския парламент, Съветът отбелязва, че голяма част от тях — по дух, частично или изцяло — вече са включени в неговата позиция.</w:t>
      </w:r>
    </w:p>
    <w:p w:rsidR="00FC4670" w:rsidRPr="008A59A2" w:rsidRDefault="00FC4670" w:rsidP="007516C8">
      <w:pPr>
        <w:pStyle w:val="FinalLine"/>
      </w:pPr>
    </w:p>
    <w:sectPr w:rsidR="00FC4670" w:rsidRPr="008A59A2" w:rsidSect="00B96832">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C8" w:rsidRDefault="007516C8" w:rsidP="007516C8">
      <w:pPr>
        <w:spacing w:before="0" w:after="0" w:line="240" w:lineRule="auto"/>
      </w:pPr>
      <w:r>
        <w:separator/>
      </w:r>
    </w:p>
  </w:endnote>
  <w:endnote w:type="continuationSeparator" w:id="0">
    <w:p w:rsidR="007516C8" w:rsidRDefault="007516C8" w:rsidP="007516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CE" w:rsidRPr="00B96832" w:rsidRDefault="00C037CE" w:rsidP="00B96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96832" w:rsidRPr="00D94637" w:rsidTr="00B96832">
      <w:trPr>
        <w:jc w:val="center"/>
      </w:trPr>
      <w:tc>
        <w:tcPr>
          <w:tcW w:w="5000" w:type="pct"/>
          <w:gridSpan w:val="7"/>
          <w:shd w:val="clear" w:color="auto" w:fill="auto"/>
          <w:tcMar>
            <w:top w:w="57" w:type="dxa"/>
          </w:tcMar>
        </w:tcPr>
        <w:p w:rsidR="00B96832" w:rsidRPr="00D94637" w:rsidRDefault="00B96832" w:rsidP="00D94637">
          <w:pPr>
            <w:pStyle w:val="FooterText"/>
            <w:pBdr>
              <w:top w:val="single" w:sz="4" w:space="1" w:color="auto"/>
            </w:pBdr>
            <w:spacing w:before="200"/>
            <w:rPr>
              <w:sz w:val="2"/>
              <w:szCs w:val="2"/>
            </w:rPr>
          </w:pPr>
          <w:bookmarkStart w:id="2" w:name="FOOTER_STANDARD"/>
        </w:p>
      </w:tc>
    </w:tr>
    <w:tr w:rsidR="00B96832" w:rsidRPr="00B310DC" w:rsidTr="00B96832">
      <w:trPr>
        <w:jc w:val="center"/>
      </w:trPr>
      <w:tc>
        <w:tcPr>
          <w:tcW w:w="2500" w:type="pct"/>
          <w:gridSpan w:val="2"/>
          <w:shd w:val="clear" w:color="auto" w:fill="auto"/>
          <w:tcMar>
            <w:top w:w="0" w:type="dxa"/>
          </w:tcMar>
        </w:tcPr>
        <w:p w:rsidR="00B96832" w:rsidRPr="00AD7BF2" w:rsidRDefault="00B96832" w:rsidP="004F54B2">
          <w:pPr>
            <w:pStyle w:val="FooterText"/>
          </w:pPr>
          <w:r>
            <w:t>5130/3/15</w:t>
          </w:r>
          <w:r w:rsidRPr="002511D8">
            <w:t xml:space="preserve"> </w:t>
          </w:r>
          <w:r>
            <w:t>REV 3 ADD 1</w:t>
          </w:r>
        </w:p>
      </w:tc>
      <w:tc>
        <w:tcPr>
          <w:tcW w:w="625" w:type="pct"/>
          <w:shd w:val="clear" w:color="auto" w:fill="auto"/>
          <w:tcMar>
            <w:top w:w="0" w:type="dxa"/>
          </w:tcMar>
        </w:tcPr>
        <w:p w:rsidR="00B96832" w:rsidRPr="00AD7BF2" w:rsidRDefault="00B96832" w:rsidP="00D94637">
          <w:pPr>
            <w:pStyle w:val="FooterText"/>
            <w:jc w:val="center"/>
          </w:pPr>
        </w:p>
      </w:tc>
      <w:tc>
        <w:tcPr>
          <w:tcW w:w="1287" w:type="pct"/>
          <w:gridSpan w:val="3"/>
          <w:shd w:val="clear" w:color="auto" w:fill="auto"/>
          <w:tcMar>
            <w:top w:w="0" w:type="dxa"/>
          </w:tcMar>
        </w:tcPr>
        <w:p w:rsidR="00B96832" w:rsidRPr="002511D8" w:rsidRDefault="00B96832" w:rsidP="00D94637">
          <w:pPr>
            <w:pStyle w:val="FooterText"/>
            <w:jc w:val="center"/>
          </w:pPr>
          <w:r>
            <w:t>ss/ns</w:t>
          </w:r>
        </w:p>
      </w:tc>
      <w:tc>
        <w:tcPr>
          <w:tcW w:w="588" w:type="pct"/>
          <w:shd w:val="clear" w:color="auto" w:fill="auto"/>
          <w:tcMar>
            <w:top w:w="0" w:type="dxa"/>
          </w:tcMar>
        </w:tcPr>
        <w:p w:rsidR="00B96832" w:rsidRPr="00B310DC" w:rsidRDefault="00B96832"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B96832" w:rsidRPr="00D94637" w:rsidTr="00B96832">
      <w:trPr>
        <w:jc w:val="center"/>
      </w:trPr>
      <w:tc>
        <w:tcPr>
          <w:tcW w:w="1774" w:type="pct"/>
          <w:shd w:val="clear" w:color="auto" w:fill="auto"/>
        </w:tcPr>
        <w:p w:rsidR="00B96832" w:rsidRPr="00AD7BF2" w:rsidRDefault="00B96832" w:rsidP="00D94637">
          <w:pPr>
            <w:pStyle w:val="FooterText"/>
            <w:spacing w:before="40"/>
          </w:pPr>
        </w:p>
      </w:tc>
      <w:tc>
        <w:tcPr>
          <w:tcW w:w="1455" w:type="pct"/>
          <w:gridSpan w:val="3"/>
          <w:shd w:val="clear" w:color="auto" w:fill="auto"/>
        </w:tcPr>
        <w:p w:rsidR="00B96832" w:rsidRPr="00AD7BF2" w:rsidRDefault="00B96832" w:rsidP="00D204D6">
          <w:pPr>
            <w:pStyle w:val="FooterText"/>
            <w:spacing w:before="40"/>
            <w:jc w:val="center"/>
          </w:pPr>
          <w:r>
            <w:t>DPG</w:t>
          </w:r>
        </w:p>
      </w:tc>
      <w:tc>
        <w:tcPr>
          <w:tcW w:w="1147" w:type="pct"/>
          <w:shd w:val="clear" w:color="auto" w:fill="auto"/>
        </w:tcPr>
        <w:p w:rsidR="00B96832" w:rsidRPr="00D94637" w:rsidRDefault="00B96832" w:rsidP="00D94637">
          <w:pPr>
            <w:pStyle w:val="FooterText"/>
            <w:jc w:val="right"/>
            <w:rPr>
              <w:b/>
              <w:position w:val="-4"/>
              <w:sz w:val="36"/>
            </w:rPr>
          </w:pPr>
        </w:p>
      </w:tc>
      <w:tc>
        <w:tcPr>
          <w:tcW w:w="625" w:type="pct"/>
          <w:gridSpan w:val="2"/>
          <w:shd w:val="clear" w:color="auto" w:fill="auto"/>
        </w:tcPr>
        <w:p w:rsidR="00B96832" w:rsidRPr="00D94637" w:rsidRDefault="00B96832" w:rsidP="00D94637">
          <w:pPr>
            <w:pStyle w:val="FooterText"/>
            <w:jc w:val="right"/>
            <w:rPr>
              <w:sz w:val="16"/>
            </w:rPr>
          </w:pPr>
          <w:r>
            <w:rPr>
              <w:b/>
              <w:position w:val="-4"/>
              <w:sz w:val="36"/>
            </w:rPr>
            <w:t>BG</w:t>
          </w:r>
        </w:p>
      </w:tc>
    </w:tr>
    <w:bookmarkEnd w:id="2"/>
  </w:tbl>
  <w:p w:rsidR="007516C8" w:rsidRPr="00B96832" w:rsidRDefault="007516C8" w:rsidP="00B9683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96832" w:rsidRPr="00D94637" w:rsidTr="00B96832">
      <w:trPr>
        <w:jc w:val="center"/>
      </w:trPr>
      <w:tc>
        <w:tcPr>
          <w:tcW w:w="5000" w:type="pct"/>
          <w:gridSpan w:val="7"/>
          <w:shd w:val="clear" w:color="auto" w:fill="auto"/>
          <w:tcMar>
            <w:top w:w="57" w:type="dxa"/>
          </w:tcMar>
        </w:tcPr>
        <w:p w:rsidR="00B96832" w:rsidRPr="00D94637" w:rsidRDefault="00B96832" w:rsidP="00D94637">
          <w:pPr>
            <w:pStyle w:val="FooterText"/>
            <w:pBdr>
              <w:top w:val="single" w:sz="4" w:space="1" w:color="auto"/>
            </w:pBdr>
            <w:spacing w:before="200"/>
            <w:rPr>
              <w:sz w:val="2"/>
              <w:szCs w:val="2"/>
            </w:rPr>
          </w:pPr>
        </w:p>
      </w:tc>
    </w:tr>
    <w:tr w:rsidR="00B96832" w:rsidRPr="00B310DC" w:rsidTr="00B96832">
      <w:trPr>
        <w:jc w:val="center"/>
      </w:trPr>
      <w:tc>
        <w:tcPr>
          <w:tcW w:w="2500" w:type="pct"/>
          <w:gridSpan w:val="2"/>
          <w:shd w:val="clear" w:color="auto" w:fill="auto"/>
          <w:tcMar>
            <w:top w:w="0" w:type="dxa"/>
          </w:tcMar>
        </w:tcPr>
        <w:p w:rsidR="00B96832" w:rsidRPr="00AD7BF2" w:rsidRDefault="00B96832" w:rsidP="004F54B2">
          <w:pPr>
            <w:pStyle w:val="FooterText"/>
          </w:pPr>
          <w:r>
            <w:t>5130/3/15</w:t>
          </w:r>
          <w:r w:rsidRPr="002511D8">
            <w:t xml:space="preserve"> </w:t>
          </w:r>
          <w:r>
            <w:t>REV 3 ADD 1</w:t>
          </w:r>
        </w:p>
      </w:tc>
      <w:tc>
        <w:tcPr>
          <w:tcW w:w="625" w:type="pct"/>
          <w:shd w:val="clear" w:color="auto" w:fill="auto"/>
          <w:tcMar>
            <w:top w:w="0" w:type="dxa"/>
          </w:tcMar>
        </w:tcPr>
        <w:p w:rsidR="00B96832" w:rsidRPr="00AD7BF2" w:rsidRDefault="00B96832" w:rsidP="00D94637">
          <w:pPr>
            <w:pStyle w:val="FooterText"/>
            <w:jc w:val="center"/>
          </w:pPr>
        </w:p>
      </w:tc>
      <w:tc>
        <w:tcPr>
          <w:tcW w:w="1287" w:type="pct"/>
          <w:gridSpan w:val="3"/>
          <w:shd w:val="clear" w:color="auto" w:fill="auto"/>
          <w:tcMar>
            <w:top w:w="0" w:type="dxa"/>
          </w:tcMar>
        </w:tcPr>
        <w:p w:rsidR="00B96832" w:rsidRPr="002511D8" w:rsidRDefault="00B96832" w:rsidP="00D94637">
          <w:pPr>
            <w:pStyle w:val="FooterText"/>
            <w:jc w:val="center"/>
          </w:pPr>
          <w:r>
            <w:t>ss/ns</w:t>
          </w:r>
        </w:p>
      </w:tc>
      <w:tc>
        <w:tcPr>
          <w:tcW w:w="588" w:type="pct"/>
          <w:shd w:val="clear" w:color="auto" w:fill="auto"/>
          <w:tcMar>
            <w:top w:w="0" w:type="dxa"/>
          </w:tcMar>
        </w:tcPr>
        <w:p w:rsidR="00B96832" w:rsidRPr="00B310DC" w:rsidRDefault="00B9683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B96832" w:rsidRPr="00D94637" w:rsidTr="00B96832">
      <w:trPr>
        <w:jc w:val="center"/>
      </w:trPr>
      <w:tc>
        <w:tcPr>
          <w:tcW w:w="1774" w:type="pct"/>
          <w:shd w:val="clear" w:color="auto" w:fill="auto"/>
        </w:tcPr>
        <w:p w:rsidR="00B96832" w:rsidRPr="00AD7BF2" w:rsidRDefault="00B96832" w:rsidP="00D94637">
          <w:pPr>
            <w:pStyle w:val="FooterText"/>
            <w:spacing w:before="40"/>
          </w:pPr>
        </w:p>
      </w:tc>
      <w:tc>
        <w:tcPr>
          <w:tcW w:w="1455" w:type="pct"/>
          <w:gridSpan w:val="3"/>
          <w:shd w:val="clear" w:color="auto" w:fill="auto"/>
        </w:tcPr>
        <w:p w:rsidR="00B96832" w:rsidRPr="00AD7BF2" w:rsidRDefault="00B96832" w:rsidP="00D204D6">
          <w:pPr>
            <w:pStyle w:val="FooterText"/>
            <w:spacing w:before="40"/>
            <w:jc w:val="center"/>
          </w:pPr>
          <w:r>
            <w:t>DPG</w:t>
          </w:r>
        </w:p>
      </w:tc>
      <w:tc>
        <w:tcPr>
          <w:tcW w:w="1147" w:type="pct"/>
          <w:shd w:val="clear" w:color="auto" w:fill="auto"/>
        </w:tcPr>
        <w:p w:rsidR="00B96832" w:rsidRPr="00D94637" w:rsidRDefault="00B96832" w:rsidP="00D94637">
          <w:pPr>
            <w:pStyle w:val="FooterText"/>
            <w:jc w:val="right"/>
            <w:rPr>
              <w:b/>
              <w:position w:val="-4"/>
              <w:sz w:val="36"/>
            </w:rPr>
          </w:pPr>
        </w:p>
      </w:tc>
      <w:tc>
        <w:tcPr>
          <w:tcW w:w="625" w:type="pct"/>
          <w:gridSpan w:val="2"/>
          <w:shd w:val="clear" w:color="auto" w:fill="auto"/>
        </w:tcPr>
        <w:p w:rsidR="00B96832" w:rsidRPr="00D94637" w:rsidRDefault="00B96832" w:rsidP="00D94637">
          <w:pPr>
            <w:pStyle w:val="FooterText"/>
            <w:jc w:val="right"/>
            <w:rPr>
              <w:sz w:val="16"/>
            </w:rPr>
          </w:pPr>
          <w:r>
            <w:rPr>
              <w:b/>
              <w:position w:val="-4"/>
              <w:sz w:val="36"/>
            </w:rPr>
            <w:t>BG</w:t>
          </w:r>
        </w:p>
      </w:tc>
    </w:tr>
  </w:tbl>
  <w:p w:rsidR="007516C8" w:rsidRPr="00B96832" w:rsidRDefault="007516C8" w:rsidP="00B9683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C8" w:rsidRDefault="007516C8" w:rsidP="007516C8">
      <w:pPr>
        <w:spacing w:before="0" w:after="0" w:line="240" w:lineRule="auto"/>
      </w:pPr>
      <w:r>
        <w:separator/>
      </w:r>
    </w:p>
  </w:footnote>
  <w:footnote w:type="continuationSeparator" w:id="0">
    <w:p w:rsidR="007516C8" w:rsidRDefault="007516C8" w:rsidP="007516C8">
      <w:pPr>
        <w:spacing w:before="0" w:after="0" w:line="240" w:lineRule="auto"/>
      </w:pPr>
      <w:r>
        <w:continuationSeparator/>
      </w:r>
    </w:p>
  </w:footnote>
  <w:footnote w:id="1">
    <w:p w:rsidR="00653D1D" w:rsidRDefault="00653D1D" w:rsidP="00CC39CA">
      <w:pPr>
        <w:pStyle w:val="FootnoteText"/>
      </w:pPr>
      <w:r>
        <w:rPr>
          <w:b/>
          <w:vertAlign w:val="superscript"/>
        </w:rPr>
        <w:footnoteRef/>
      </w:r>
      <w:r>
        <w:t xml:space="preserve"> </w:t>
      </w:r>
      <w:r>
        <w:tab/>
        <w:t xml:space="preserve">Решение № 585/2014/ЕС на Европейския парламент и на Съвета от 15 май 2014 г. за въвеждането на оперативно съвместимата в целия Съюз услуга eCall (ОВ L 164, 3.6.2014 г., стр. 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CE" w:rsidRPr="00B96832" w:rsidRDefault="00C037CE" w:rsidP="00B96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CE" w:rsidRPr="00B96832" w:rsidRDefault="00C037CE" w:rsidP="00B9683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7CE" w:rsidRPr="00B96832" w:rsidRDefault="00C037CE" w:rsidP="00B9683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C8" w:rsidRPr="00B96832" w:rsidRDefault="007516C8" w:rsidP="00B96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7784b885-2f04-45e7-8238-5a6e04ff0fa4&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amp;#1048;&amp;#1047;&amp;#1051;&amp;#1054;&amp;#1046;&amp;#1045;&amp;#1053;&amp;#1048;&amp;#1045; &amp;#1053;&amp;#1040; &amp;#1052;&amp;#1054;&amp;#1058;&amp;#1048;&amp;#1042;&amp;#1048;&amp;#1058;&amp;#1045; &amp;#1053;&amp;#1040; &amp;#1057;&amp;#1066;&amp;#1042;&amp;#1045;&amp;#1058;&amp;#1040;&quot; /&gt;_x000d__x000a_    &lt;/basicdatatype&gt;_x000d__x000a_  &lt;/metadata&gt;_x000d__x000a_  &lt;metadata key=&quot;md_HeadingText&quot; translate=&quot;false&quot;&gt;_x000d__x000a_    &lt;headingtext text=&quot;&amp;#1048;&amp;#1047;&amp;#1051;&amp;#1054;&amp;#1046;&amp;#1045;&amp;#1053;&amp;#1048;&amp;#1045; &amp;#1053;&amp;#1040; &amp;#1052;&amp;#1054;&amp;#1058;&amp;#1048;&amp;#1042;&amp;#1048;&amp;#1058;&amp;#1045; &amp;#1053;&amp;#1040; &amp;#1057;&amp;#1066;&amp;#1042;&amp;#1045;&amp;#1058;&amp;#1040;&quot;&gt;_x000d__x000a_      &lt;formattedtext&gt;_x000d__x000a_        &lt;xaml text=&quot;&amp;#1048;&amp;#1047;&amp;#1051;&amp;#1054;&amp;#1046;&amp;#1045;&amp;#1053;&amp;#1048;&amp;#1045; &amp;#1053;&amp;#1040; &amp;#1052;&amp;#1054;&amp;#1058;&amp;#1048;&amp;#1042;&amp;#1048;&amp;#1058;&amp;#1045; &amp;#1053;&amp;#1040; &amp;#1057;&amp;#1066;&amp;#1042;&amp;#1045;&amp;#1058;&amp;#1040;&quot;&gt;&amp;lt;FlowDocument xmlns=&quot;http://schemas.microsoft.com/winfx/2006/xaml/presentation&quot;&amp;gt;&amp;lt;Paragraph&amp;gt;&amp;#1048;&amp;#1047;&amp;#1051;&amp;#1054;&amp;#1046;&amp;#1045;&amp;#1053;&amp;#1048;&amp;#1045; &amp;#1053;&amp;#1040; &amp;#1052;&amp;#1054;&amp;#1058;&amp;#1048;&amp;#1042;&amp;#1048;&amp;#1058;&amp;#1045;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3-04&lt;/text&gt;_x000d__x000a_  &lt;/metadata&gt;_x000d__x000a_  &lt;metadata key=&quot;md_Prefix&quot; translate=&quot;false&quot;&gt;_x000d__x000a_    &lt;text&gt;&lt;/text&gt;_x000d__x000a_  &lt;/metadata&gt;_x000d__x000a_  &lt;metadata key=&quot;md_DocumentNumber&quot; translate=&quot;false&quot;&gt;_x000d__x000a_    &lt;text&gt;5130&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3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3&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ENT 8&lt;/text&gt;_x000d__x000a_      &lt;text&gt;MI 12&lt;/text&gt;_x000d__x000a_      &lt;text&gt;CODEC 23&lt;/text&gt;_x000d__x000a_      &lt;text&gt;PARLNAT 13&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165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0;&amp;#1079;&amp;#1080;&amp;#1089;&amp;#1082;&amp;#1074;&amp;#1072;&amp;#1085;&amp;#1080;&amp;#1103;&amp;#1090;&amp;#1072; &amp;#1079;&amp;#1072; &amp;#1086;&amp;#1076;&amp;#1086;&amp;#1073;&amp;#1088;&amp;#1103;&amp;#1074;&amp;#1072;&amp;#1085;&amp;#1077; &amp;#1085;&amp;#1072; &amp;#1090;&amp;#1080;&amp;#1087;&amp;#1072; &amp;#1087;&amp;#1086; &amp;#1086;&amp;#1090;&amp;#1085;&amp;#1086;&amp;#1096;&amp;#1077;&amp;#1085;&amp;#1080;&amp;#1077; &amp;#1085;&amp;#1072; &amp;#1074;&amp;#1098;&amp;#1074;&amp;#1077;&amp;#1078;&amp;#1076;&amp;#1072;&amp;#1085;&amp;#1077;&amp;#1090;&amp;#1086; &amp;#1085;&amp;#1072; &amp;#1073;&amp;#1086;&amp;#1088;&amp;#1076;&amp;#1086;&amp;#1074;&amp;#1072;&amp;#1090;&amp;#1072; &amp;#1089;&amp;#1080;&amp;#1089;&amp;#1090;&amp;#1077;&amp;#1084;&amp;#1072; eCall, &amp;#1086;&amp;#1089;&amp;#1085;&amp;#1086;&amp;#1074;&amp;#1072;&amp;#1074;&amp;#1072;&amp;#1097;&amp;#1072; &amp;#1089;&amp;#1077; &amp;#1085;&amp;#1072; &amp;#1091;&amp;#1089;&amp;#1083;&amp;#1091;&amp;#1075;&amp;#1072;&amp;#1090;&amp;#1072; 112, &amp;#1080; &amp;#1079;&amp;#1072; &amp;#1080;&amp;#1079;&amp;#1084;&amp;#1077;&amp;#1085;&amp;#1077;&amp;#1085;&amp;#1080;&amp;#1077; &amp;#1085;&amp;#1072; &amp;#1044;&amp;#1080;&amp;#1088;&amp;#1077;&amp;#1082;&amp;#1090;&amp;#1080;&amp;#1074;&amp;#1072; 2007/46/&amp;#1045;&amp;#1054; &amp;#8212; &amp;#1048;&amp;#1079;&amp;#1103;&amp;#1074;&amp;#1083;&amp;#1077;&amp;#1085;&amp;#1080;&amp;#1077; &amp;#1085;&amp;#1072; &amp;#1084;&amp;#1086;&amp;#1090;&amp;#1080;&amp;#1074;&amp;#1080;&amp;#1090;&amp;#1077; &amp;#1085;&amp;#1072; &amp;#1057;&amp;#1098;&amp;#1074;&amp;#1077;&amp;#1090;&amp;#1072; &amp;#8212; &amp;#1055;&amp;#1088;&amp;#1080;&amp;#1077;&amp;#1090;&amp;#1086; &amp;#1086;&amp;#1090; &amp;#1057;&amp;#1098;&amp;#1074;&amp;#1077;&amp;#1090;&amp;#1072; &amp;#1085;&amp;#1072; 2 &amp;#1084;&amp;#1072;&amp;#1088;&amp;#1090; 2015 &amp;#1075;.&quot;&gt;&amp;lt;FlowDocument FontFamily=&quot;Times New Roman&quot; FontSize=&quot;16&quot; PageWidth=&quot;377&quot; PagePadding=&quot;0,0,0,0&quot; AllowDrop=&quot;False&quot; xmlns=&quot;http://schemas.microsoft.com/winfx/2006/xaml/presentation&quot;&amp;gt;&amp;lt;Paragraph&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86;&amp;#1090;&amp;#1085;&amp;#1086;&amp;#1089;&amp;#1085;&amp;#1086; &amp;#1080;&amp;#1079;&amp;#1080;&amp;#1089;&amp;#1082;&amp;#1074;&amp;#1072;&amp;#1085;&amp;#1080;&amp;#1103;&amp;#1090;&amp;#1072; &amp;#1079;&amp;#1072; &amp;#1086;&amp;#1076;&amp;#1086;&amp;#1073;&amp;#1088;&amp;#1103;&amp;#1074;&amp;#1072;&amp;#1085;&amp;#1077; &amp;#1085;&amp;#1072; &amp;#1090;&amp;#1080;&amp;#1087;&amp;#1072; &amp;#1087;&amp;#1086; &amp;#1086;&amp;#1090;&amp;#1085;&amp;#1086;&amp;#1096;&amp;#1077;&amp;#1085;&amp;#1080;&amp;#1077; &amp;#1085;&amp;#1072; &amp;#1074;&amp;#1098;&amp;#1074;&amp;#1077;&amp;#1078;&amp;#1076;&amp;#1072;&amp;#1085;&amp;#1077;&amp;#1090;&amp;#1086; &amp;#1085;&amp;#1072; &amp;#1073;&amp;#1086;&amp;#1088;&amp;#1076;&amp;#1086;&amp;#1074;&amp;#1072;&amp;#1090;&amp;#1072; &amp;#1089;&amp;#1080;&amp;#1089;&amp;#1090;&amp;#1077;&amp;#1084;&amp;#1072; eCall, &amp;#1086;&amp;#1089;&amp;#1085;&amp;#1086;&amp;#1074;&amp;#1072;&amp;#1074;&amp;#1072;&amp;#1097;&amp;#1072; &amp;#1089;&amp;#1077; &amp;#1085;&amp;#1072; &amp;#1091;&amp;#1089;&amp;#1083;&amp;#1091;&amp;#1075;&amp;#1072;&amp;#1090;&amp;#1072; 112, &amp;#1080; &amp;#1079;&amp;#1072; &amp;#1080;&amp;#1079;&amp;#1084;&amp;#1077;&amp;#1085;&amp;#1077;&amp;#1085;&amp;#1080;&amp;#1077; &amp;#1085;&amp;#1072; &amp;#1044;&amp;#1080;&amp;#1088;&amp;#1077;&amp;#1082;&amp;#1090;&amp;#1080;&amp;#1074;&amp;#1072; 2007/46/&amp;#1045;&amp;#1054;&amp;lt;/Paragraph&amp;gt;&amp;lt;Paragraph&amp;gt;&amp;#8212; &amp;#1048;&amp;#1079;&amp;#1103;&amp;#1074;&amp;#1083;&amp;#1077;&amp;#1085;&amp;#1080;&amp;#1077; &amp;#1085;&amp;#1072; &amp;#1084;&amp;#1086;&amp;#1090;&amp;#1080;&amp;#1074;&amp;#1080;&amp;#1090;&amp;#1077; &amp;#1085;&amp;#1072; &amp;#1057;&amp;#1098;&amp;#1074;&amp;#1077;&amp;#1090;&amp;#1072;&amp;lt;LineBreak /&amp;gt;&amp;#8212; &amp;#1055;&amp;#1088;&amp;#1080;&amp;#1077;&amp;#1090;&amp;#1086; &amp;#1086;&amp;#1090; &amp;#1057;&amp;#1098;&amp;#1074;&amp;#1077;&amp;#1090;&amp;#1072; &amp;#1085;&amp;#1072; 2 &amp;#1084;&amp;#1072;&amp;#1088;&amp;#1090; 2015 &amp;#107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ss/n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3&quot; technicalblockguid=&quot;f0fe1c18-1646-4ad8-8818-d55d9e7d33a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19&lt;/text&gt;_x000d__x000a_  &lt;/metadata&gt;_x000d__x000a_  &lt;metadata key=&quot;md_Prefix&quot;&gt;_x000d__x000a_    &lt;text&gt;&lt;/text&gt;_x000d__x000a_  &lt;/metadata&gt;_x000d__x000a_  &lt;metadata key=&quot;md_DocumentNumber&quot;&gt;_x000d__x000a_    &lt;text&gt;5130&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T 8&lt;/text&gt;_x000d__x000a_      &lt;text&gt;MI 12&lt;/text&gt;_x000d__x000a_      &lt;text&gt;CODEC 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16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REGULATION OF THE EUROPEAN PARLIAMENT AND OF THE COUNCIL concerning type-approval requirements for the deployment of the eCall in-vehicle system based on the 112 service and amending Directive 2007/46/EC &amp;#8211; Draft Statement of the Council's reasons&quot;&gt;&amp;lt;FlowDocument FontFamily=&quot;Times New Roman&quot; FontSize=&quot;16&quot; PageWidth=&quot;377&quot; PagePadding=&quot;0,0,0,0&quot; AllowDrop=&quot;False&quot; xmlns=&quot;http://schemas.microsoft.com/winfx/2006/xaml/presentation&quot;&amp;gt;&amp;lt;Paragraph FontFamily=&quot;Georgia&quot;&amp;gt;&amp;lt;Run FontFamily=&quot;Times New Roman&quot;&amp;gt;Position of the Council at first reading with view to the adoption of a REGULATION OF THE EUROPEAN PARLIAMENT AND OF THE COUNCIL concerning type&amp;#8209;approval requirements for the deployment of the eCall in&amp;#8209;vehicle system based on the 112 service and amending Directive 2007/46/EC&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G 3 A&lt;/text&gt;_x000d__x000a_  &lt;/metadata&gt;_x000d__x000a_  &lt;metadata key=&quot;md_Initials&quot;&gt;_x000d__x000a_    &lt;text&gt;DM,PA/c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7516C8"/>
    <w:rsid w:val="00096B04"/>
    <w:rsid w:val="000A6877"/>
    <w:rsid w:val="00130CD9"/>
    <w:rsid w:val="00182F2F"/>
    <w:rsid w:val="00286B20"/>
    <w:rsid w:val="00356F5F"/>
    <w:rsid w:val="003579D6"/>
    <w:rsid w:val="00414945"/>
    <w:rsid w:val="004A5CE6"/>
    <w:rsid w:val="00625999"/>
    <w:rsid w:val="00626237"/>
    <w:rsid w:val="006351BB"/>
    <w:rsid w:val="00653D1D"/>
    <w:rsid w:val="006E3BE6"/>
    <w:rsid w:val="0070173E"/>
    <w:rsid w:val="007161AD"/>
    <w:rsid w:val="007516C8"/>
    <w:rsid w:val="007A2254"/>
    <w:rsid w:val="008A4C8A"/>
    <w:rsid w:val="008A59A2"/>
    <w:rsid w:val="00901450"/>
    <w:rsid w:val="009B07D1"/>
    <w:rsid w:val="009F04EB"/>
    <w:rsid w:val="00A30641"/>
    <w:rsid w:val="00A84553"/>
    <w:rsid w:val="00A93207"/>
    <w:rsid w:val="00AF3113"/>
    <w:rsid w:val="00B54F86"/>
    <w:rsid w:val="00B96832"/>
    <w:rsid w:val="00BB0D31"/>
    <w:rsid w:val="00BE6E3D"/>
    <w:rsid w:val="00C037CE"/>
    <w:rsid w:val="00C45BA6"/>
    <w:rsid w:val="00CC39CA"/>
    <w:rsid w:val="00D13316"/>
    <w:rsid w:val="00D4033A"/>
    <w:rsid w:val="00E5767B"/>
    <w:rsid w:val="00E80814"/>
    <w:rsid w:val="00F6585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ootnote,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7516C8"/>
    <w:pPr>
      <w:spacing w:before="0" w:after="440"/>
      <w:ind w:left="-1134" w:right="-1134"/>
    </w:pPr>
    <w:rPr>
      <w:sz w:val="2"/>
    </w:rPr>
  </w:style>
  <w:style w:type="character" w:customStyle="1" w:styleId="TechnicalBlockChar">
    <w:name w:val="Technical Block Char"/>
    <w:basedOn w:val="DefaultParagraphFont"/>
    <w:link w:val="TechnicalBlock"/>
    <w:rsid w:val="007516C8"/>
    <w:rPr>
      <w:sz w:val="24"/>
      <w:szCs w:val="24"/>
      <w:lang w:val="bg-BG" w:eastAsia="bg-BG"/>
    </w:rPr>
  </w:style>
  <w:style w:type="character" w:customStyle="1" w:styleId="HeaderCouncilLargeChar">
    <w:name w:val="Header Council Large Char"/>
    <w:basedOn w:val="TechnicalBlockChar"/>
    <w:link w:val="HeaderCouncilLarge"/>
    <w:rsid w:val="007516C8"/>
    <w:rPr>
      <w:sz w:val="2"/>
      <w:szCs w:val="24"/>
      <w:lang w:val="bg-BG" w:eastAsia="bg-BG"/>
    </w:rPr>
  </w:style>
  <w:style w:type="paragraph" w:customStyle="1" w:styleId="FooterText">
    <w:name w:val="Footer Text"/>
    <w:basedOn w:val="Normal"/>
    <w:rsid w:val="007516C8"/>
    <w:pPr>
      <w:spacing w:before="0" w:after="0" w:line="240" w:lineRule="auto"/>
    </w:pPr>
  </w:style>
  <w:style w:type="paragraph" w:customStyle="1" w:styleId="EntInstit">
    <w:name w:val="EntInstit"/>
    <w:basedOn w:val="Normal"/>
    <w:rsid w:val="00653D1D"/>
    <w:pPr>
      <w:widowControl w:val="0"/>
      <w:spacing w:before="0" w:after="0" w:line="240" w:lineRule="auto"/>
      <w:jc w:val="right"/>
    </w:pPr>
    <w:rPr>
      <w:b/>
      <w:szCs w:val="20"/>
    </w:rPr>
  </w:style>
  <w:style w:type="paragraph" w:customStyle="1" w:styleId="NormalConseil">
    <w:name w:val="NormalConseil"/>
    <w:basedOn w:val="Normal"/>
    <w:rsid w:val="00653D1D"/>
    <w:pPr>
      <w:spacing w:before="0" w:after="0" w:line="240" w:lineRule="auto"/>
    </w:pPr>
    <w:rPr>
      <w:szCs w:val="20"/>
    </w:rPr>
  </w:style>
  <w:style w:type="character" w:customStyle="1" w:styleId="FootnoteTextChar">
    <w:name w:val="Footnote Text Char"/>
    <w:link w:val="FootnoteText"/>
    <w:rsid w:val="00653D1D"/>
    <w:rPr>
      <w:sz w:val="24"/>
      <w:lang w:val="bg-BG" w:eastAsia="bg-BG"/>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ootnote,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7516C8"/>
    <w:pPr>
      <w:spacing w:before="0" w:after="440"/>
      <w:ind w:left="-1134" w:right="-1134"/>
    </w:pPr>
    <w:rPr>
      <w:sz w:val="2"/>
    </w:rPr>
  </w:style>
  <w:style w:type="character" w:customStyle="1" w:styleId="TechnicalBlockChar">
    <w:name w:val="Technical Block Char"/>
    <w:basedOn w:val="DefaultParagraphFont"/>
    <w:link w:val="TechnicalBlock"/>
    <w:rsid w:val="007516C8"/>
    <w:rPr>
      <w:sz w:val="24"/>
      <w:szCs w:val="24"/>
      <w:lang w:val="bg-BG" w:eastAsia="bg-BG"/>
    </w:rPr>
  </w:style>
  <w:style w:type="character" w:customStyle="1" w:styleId="HeaderCouncilLargeChar">
    <w:name w:val="Header Council Large Char"/>
    <w:basedOn w:val="TechnicalBlockChar"/>
    <w:link w:val="HeaderCouncilLarge"/>
    <w:rsid w:val="007516C8"/>
    <w:rPr>
      <w:sz w:val="2"/>
      <w:szCs w:val="24"/>
      <w:lang w:val="bg-BG" w:eastAsia="bg-BG"/>
    </w:rPr>
  </w:style>
  <w:style w:type="paragraph" w:customStyle="1" w:styleId="FooterText">
    <w:name w:val="Footer Text"/>
    <w:basedOn w:val="Normal"/>
    <w:rsid w:val="007516C8"/>
    <w:pPr>
      <w:spacing w:before="0" w:after="0" w:line="240" w:lineRule="auto"/>
    </w:pPr>
  </w:style>
  <w:style w:type="paragraph" w:customStyle="1" w:styleId="EntInstit">
    <w:name w:val="EntInstit"/>
    <w:basedOn w:val="Normal"/>
    <w:rsid w:val="00653D1D"/>
    <w:pPr>
      <w:widowControl w:val="0"/>
      <w:spacing w:before="0" w:after="0" w:line="240" w:lineRule="auto"/>
      <w:jc w:val="right"/>
    </w:pPr>
    <w:rPr>
      <w:b/>
      <w:szCs w:val="20"/>
    </w:rPr>
  </w:style>
  <w:style w:type="paragraph" w:customStyle="1" w:styleId="NormalConseil">
    <w:name w:val="NormalConseil"/>
    <w:basedOn w:val="Normal"/>
    <w:rsid w:val="00653D1D"/>
    <w:pPr>
      <w:spacing w:before="0" w:after="0" w:line="240" w:lineRule="auto"/>
    </w:pPr>
    <w:rPr>
      <w:szCs w:val="20"/>
    </w:rPr>
  </w:style>
  <w:style w:type="character" w:customStyle="1" w:styleId="FootnoteTextChar">
    <w:name w:val="Footnote Text Char"/>
    <w:link w:val="FootnoteText"/>
    <w:rsid w:val="00653D1D"/>
    <w:rPr>
      <w:sz w:val="24"/>
      <w:lang w:val="bg-BG" w:eastAsia="bg-BG"/>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7</TotalTime>
  <Pages>6</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TSIOBBEL Caroline</dc:creator>
  <cp:lastModifiedBy>SOKOLOV Nikolay</cp:lastModifiedBy>
  <cp:revision>5</cp:revision>
  <cp:lastPrinted>2015-03-04T11:00:00Z</cp:lastPrinted>
  <dcterms:created xsi:type="dcterms:W3CDTF">2015-03-05T14:45:00Z</dcterms:created>
  <dcterms:modified xsi:type="dcterms:W3CDTF">2015-03-05T14:55:00Z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