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A8154DE2BAC48A2878697AE188148F7"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szCs w:val="22"/>
          <w:lang w:bidi="ar-SA"/>
        </w:rPr>
      </w:pPr>
      <w:r>
        <w:rPr>
          <w:noProof/>
        </w:rPr>
        <w:fldChar w:fldCharType="begin"/>
      </w:r>
      <w:r>
        <w:rPr>
          <w:noProof/>
        </w:rPr>
        <w:instrText xml:space="preserve"> TOC \o "1-3" \h \z \u </w:instrText>
      </w:r>
      <w:r>
        <w:rPr>
          <w:noProof/>
        </w:rPr>
        <w:fldChar w:fldCharType="separate"/>
      </w:r>
      <w:hyperlink w:anchor="_Toc423704967" w:history="1">
        <w:r>
          <w:rPr>
            <w:rStyle w:val="Hyperlink"/>
            <w:noProof/>
          </w:rPr>
          <w:t>1.</w:t>
        </w:r>
        <w:r>
          <w:rPr>
            <w:rFonts w:asciiTheme="minorHAnsi" w:eastAsiaTheme="minorEastAsia" w:hAnsiTheme="minorHAnsi" w:cstheme="minorBidi"/>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_Toc423704967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23704968" w:history="1">
        <w:r>
          <w:rPr>
            <w:rStyle w:val="Hyperlink"/>
            <w:noProof/>
          </w:rPr>
          <w:t>2.</w:t>
        </w:r>
        <w:r>
          <w:rPr>
            <w:rFonts w:asciiTheme="minorHAnsi" w:eastAsiaTheme="minorEastAsia" w:hAnsiTheme="minorHAnsi" w:cstheme="minorBidi"/>
            <w:noProof/>
            <w:sz w:val="22"/>
            <w:szCs w:val="22"/>
            <w:lang w:bidi="ar-SA"/>
          </w:rPr>
          <w:tab/>
        </w:r>
        <w:r>
          <w:rPr>
            <w:rStyle w:val="Hyperlink"/>
            <w:noProof/>
          </w:rPr>
          <w:t>Situation financière du Fonds au 31 décembre 2014</w:t>
        </w:r>
        <w:r>
          <w:rPr>
            <w:noProof/>
            <w:webHidden/>
          </w:rPr>
          <w:tab/>
        </w:r>
        <w:r>
          <w:rPr>
            <w:noProof/>
            <w:webHidden/>
          </w:rPr>
          <w:fldChar w:fldCharType="begin"/>
        </w:r>
        <w:r>
          <w:rPr>
            <w:noProof/>
            <w:webHidden/>
          </w:rPr>
          <w:instrText xml:space="preserve"> PAGEREF _Toc423704968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23704969" w:history="1">
        <w:r>
          <w:rPr>
            <w:rStyle w:val="Hyperlink"/>
            <w:noProof/>
          </w:rPr>
          <w:t>2.1.</w:t>
        </w:r>
        <w:r>
          <w:rPr>
            <w:rFonts w:asciiTheme="minorHAnsi" w:eastAsiaTheme="minorEastAsia" w:hAnsiTheme="minorHAnsi" w:cstheme="minorBidi"/>
            <w:noProof/>
            <w:sz w:val="22"/>
            <w:szCs w:val="22"/>
            <w:lang w:bidi="ar-SA"/>
          </w:rPr>
          <w:tab/>
        </w:r>
        <w:r>
          <w:rPr>
            <w:rStyle w:val="Hyperlink"/>
            <w:noProof/>
          </w:rPr>
          <w:t>Flux financiers du Fonds</w:t>
        </w:r>
        <w:r>
          <w:rPr>
            <w:noProof/>
            <w:webHidden/>
          </w:rPr>
          <w:tab/>
        </w:r>
        <w:r>
          <w:rPr>
            <w:noProof/>
            <w:webHidden/>
          </w:rPr>
          <w:fldChar w:fldCharType="begin"/>
        </w:r>
        <w:r>
          <w:rPr>
            <w:noProof/>
            <w:webHidden/>
          </w:rPr>
          <w:instrText xml:space="preserve"> PAGEREF _Toc423704969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23704970" w:history="1">
        <w:r>
          <w:rPr>
            <w:rStyle w:val="Hyperlink"/>
            <w:noProof/>
          </w:rPr>
          <w:t>2.2.</w:t>
        </w:r>
        <w:r>
          <w:rPr>
            <w:rFonts w:asciiTheme="minorHAnsi" w:eastAsiaTheme="minorEastAsia" w:hAnsiTheme="minorHAnsi" w:cstheme="minorBidi"/>
            <w:noProof/>
            <w:sz w:val="22"/>
            <w:szCs w:val="22"/>
            <w:lang w:bidi="ar-SA"/>
          </w:rPr>
          <w:tab/>
        </w:r>
        <w:r>
          <w:rPr>
            <w:rStyle w:val="Hyperlink"/>
            <w:noProof/>
          </w:rPr>
          <w:t>Principales opérations</w:t>
        </w:r>
        <w:r>
          <w:rPr>
            <w:noProof/>
            <w:webHidden/>
          </w:rPr>
          <w:tab/>
        </w:r>
        <w:r>
          <w:rPr>
            <w:noProof/>
            <w:webHidden/>
          </w:rPr>
          <w:fldChar w:fldCharType="begin"/>
        </w:r>
        <w:r>
          <w:rPr>
            <w:noProof/>
            <w:webHidden/>
          </w:rPr>
          <w:instrText xml:space="preserve"> PAGEREF _Toc423704970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23704971" w:history="1">
        <w:r>
          <w:rPr>
            <w:rStyle w:val="Hyperlink"/>
            <w:noProof/>
          </w:rPr>
          <w:t>2.3.</w:t>
        </w:r>
        <w:r>
          <w:rPr>
            <w:rFonts w:asciiTheme="minorHAnsi" w:eastAsiaTheme="minorEastAsia" w:hAnsiTheme="minorHAnsi" w:cstheme="minorBidi"/>
            <w:noProof/>
            <w:sz w:val="22"/>
            <w:szCs w:val="22"/>
            <w:lang w:bidi="ar-SA"/>
          </w:rPr>
          <w:tab/>
        </w:r>
        <w:r>
          <w:rPr>
            <w:rStyle w:val="Hyperlink"/>
            <w:noProof/>
          </w:rPr>
          <w:t>Principales opérations postérieures à la date de clôture</w:t>
        </w:r>
        <w:r>
          <w:rPr>
            <w:noProof/>
            <w:webHidden/>
          </w:rPr>
          <w:tab/>
        </w:r>
        <w:r>
          <w:rPr>
            <w:noProof/>
            <w:webHidden/>
          </w:rPr>
          <w:fldChar w:fldCharType="begin"/>
        </w:r>
        <w:r>
          <w:rPr>
            <w:noProof/>
            <w:webHidden/>
          </w:rPr>
          <w:instrText xml:space="preserve"> PAGEREF _Toc423704971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23704972" w:history="1">
        <w:r>
          <w:rPr>
            <w:rStyle w:val="Hyperlink"/>
            <w:noProof/>
          </w:rPr>
          <w:t>2.4.</w:t>
        </w:r>
        <w:r>
          <w:rPr>
            <w:rFonts w:asciiTheme="minorHAnsi" w:eastAsiaTheme="minorEastAsia" w:hAnsiTheme="minorHAnsi" w:cstheme="minorBidi"/>
            <w:noProof/>
            <w:sz w:val="22"/>
            <w:szCs w:val="22"/>
            <w:lang w:bidi="ar-SA"/>
          </w:rPr>
          <w:tab/>
        </w:r>
        <w:r>
          <w:rPr>
            <w:rStyle w:val="Hyperlink"/>
            <w:noProof/>
          </w:rPr>
          <w:t>Reddition des comptes</w:t>
        </w:r>
        <w:r>
          <w:rPr>
            <w:noProof/>
            <w:webHidden/>
          </w:rPr>
          <w:tab/>
        </w:r>
        <w:r>
          <w:rPr>
            <w:noProof/>
            <w:webHidden/>
          </w:rPr>
          <w:fldChar w:fldCharType="begin"/>
        </w:r>
        <w:r>
          <w:rPr>
            <w:noProof/>
            <w:webHidden/>
          </w:rPr>
          <w:instrText xml:space="preserve"> PAGEREF _Toc423704972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23704973" w:history="1">
        <w:r>
          <w:rPr>
            <w:rStyle w:val="Hyperlink"/>
            <w:iCs/>
            <w:noProof/>
          </w:rPr>
          <w:t>2.4.1.</w:t>
        </w:r>
        <w:r>
          <w:rPr>
            <w:rFonts w:asciiTheme="minorHAnsi" w:eastAsiaTheme="minorEastAsia" w:hAnsiTheme="minorHAnsi" w:cstheme="minorBidi"/>
            <w:noProof/>
            <w:sz w:val="22"/>
            <w:szCs w:val="22"/>
            <w:lang w:bidi="ar-SA"/>
          </w:rPr>
          <w:tab/>
        </w:r>
        <w:r>
          <w:rPr>
            <w:rStyle w:val="Hyperlink"/>
            <w:noProof/>
          </w:rPr>
          <w:t>Base d'établissement des comptes</w:t>
        </w:r>
        <w:r>
          <w:rPr>
            <w:noProof/>
            <w:webHidden/>
          </w:rPr>
          <w:tab/>
        </w:r>
        <w:r>
          <w:rPr>
            <w:noProof/>
            <w:webHidden/>
          </w:rPr>
          <w:fldChar w:fldCharType="begin"/>
        </w:r>
        <w:r>
          <w:rPr>
            <w:noProof/>
            <w:webHidden/>
          </w:rPr>
          <w:instrText xml:space="preserve"> PAGEREF _Toc423704973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23704974" w:history="1">
        <w:r>
          <w:rPr>
            <w:rStyle w:val="Hyperlink"/>
            <w:iCs/>
            <w:noProof/>
          </w:rPr>
          <w:t>2.4.2.</w:t>
        </w:r>
        <w:r>
          <w:rPr>
            <w:rFonts w:asciiTheme="minorHAnsi" w:eastAsiaTheme="minorEastAsia" w:hAnsiTheme="minorHAnsi" w:cstheme="minorBidi"/>
            <w:noProof/>
            <w:sz w:val="22"/>
            <w:szCs w:val="22"/>
            <w:lang w:bidi="ar-SA"/>
          </w:rPr>
          <w:tab/>
        </w:r>
        <w:r>
          <w:rPr>
            <w:rStyle w:val="Hyperlink"/>
            <w:noProof/>
          </w:rPr>
          <w:t>États financiers pré-consolidés du Fonds au 31 décembre 2014</w:t>
        </w:r>
        <w:r>
          <w:rPr>
            <w:noProof/>
            <w:webHidden/>
          </w:rPr>
          <w:tab/>
        </w:r>
        <w:r>
          <w:rPr>
            <w:noProof/>
            <w:webHidden/>
          </w:rPr>
          <w:fldChar w:fldCharType="begin"/>
        </w:r>
        <w:r>
          <w:rPr>
            <w:noProof/>
            <w:webHidden/>
          </w:rPr>
          <w:instrText xml:space="preserve"> PAGEREF _Toc423704974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23704975" w:history="1">
        <w:r>
          <w:rPr>
            <w:rStyle w:val="Hyperlink"/>
            <w:noProof/>
          </w:rPr>
          <w:t>3.</w:t>
        </w:r>
        <w:r>
          <w:rPr>
            <w:rFonts w:asciiTheme="minorHAnsi" w:eastAsiaTheme="minorEastAsia" w:hAnsiTheme="minorHAnsi" w:cstheme="minorBidi"/>
            <w:noProof/>
            <w:sz w:val="22"/>
            <w:szCs w:val="22"/>
            <w:lang w:bidi="ar-SA"/>
          </w:rPr>
          <w:tab/>
        </w:r>
        <w:r>
          <w:rPr>
            <w:rStyle w:val="Hyperlink"/>
            <w:noProof/>
          </w:rPr>
          <w:t>Versements du Fonds et en faveur du Fonds</w:t>
        </w:r>
        <w:r>
          <w:rPr>
            <w:noProof/>
            <w:webHidden/>
          </w:rPr>
          <w:tab/>
        </w:r>
        <w:r>
          <w:rPr>
            <w:noProof/>
            <w:webHidden/>
          </w:rPr>
          <w:fldChar w:fldCharType="begin"/>
        </w:r>
        <w:r>
          <w:rPr>
            <w:noProof/>
            <w:webHidden/>
          </w:rPr>
          <w:instrText xml:space="preserve"> PAGEREF _Toc423704975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23704976" w:history="1">
        <w:r>
          <w:rPr>
            <w:rStyle w:val="Hyperlink"/>
            <w:noProof/>
          </w:rPr>
          <w:t>3.1.</w:t>
        </w:r>
        <w:r>
          <w:rPr>
            <w:rFonts w:asciiTheme="minorHAnsi" w:eastAsiaTheme="minorEastAsia" w:hAnsiTheme="minorHAnsi" w:cstheme="minorBidi"/>
            <w:noProof/>
            <w:sz w:val="22"/>
            <w:szCs w:val="22"/>
            <w:lang w:bidi="ar-SA"/>
          </w:rPr>
          <w:tab/>
        </w:r>
        <w:r>
          <w:rPr>
            <w:rStyle w:val="Hyperlink"/>
            <w:noProof/>
          </w:rPr>
          <w:t>Base juridique des versements du budget général au Fonds</w:t>
        </w:r>
        <w:r>
          <w:rPr>
            <w:noProof/>
            <w:webHidden/>
          </w:rPr>
          <w:tab/>
        </w:r>
        <w:r>
          <w:rPr>
            <w:noProof/>
            <w:webHidden/>
          </w:rPr>
          <w:fldChar w:fldCharType="begin"/>
        </w:r>
        <w:r>
          <w:rPr>
            <w:noProof/>
            <w:webHidden/>
          </w:rPr>
          <w:instrText xml:space="preserve"> PAGEREF _Toc423704976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23704977" w:history="1">
        <w:r>
          <w:rPr>
            <w:rStyle w:val="Hyperlink"/>
            <w:noProof/>
          </w:rPr>
          <w:t>3.2.</w:t>
        </w:r>
        <w:r>
          <w:rPr>
            <w:rFonts w:asciiTheme="minorHAnsi" w:eastAsiaTheme="minorEastAsia" w:hAnsiTheme="minorHAnsi" w:cstheme="minorBidi"/>
            <w:noProof/>
            <w:sz w:val="22"/>
            <w:szCs w:val="22"/>
            <w:lang w:bidi="ar-SA"/>
          </w:rPr>
          <w:tab/>
        </w:r>
        <w:r>
          <w:rPr>
            <w:rStyle w:val="Hyperlink"/>
            <w:noProof/>
          </w:rPr>
          <w:t>Versements du budget général, ou en faveur du budget général, au cours de l'exercice</w:t>
        </w:r>
        <w:r>
          <w:rPr>
            <w:noProof/>
            <w:webHidden/>
          </w:rPr>
          <w:tab/>
        </w:r>
        <w:r>
          <w:rPr>
            <w:noProof/>
            <w:webHidden/>
          </w:rPr>
          <w:fldChar w:fldCharType="begin"/>
        </w:r>
        <w:r>
          <w:rPr>
            <w:noProof/>
            <w:webHidden/>
          </w:rPr>
          <w:instrText xml:space="preserve"> PAGEREF _Toc423704977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23704978" w:history="1">
        <w:r>
          <w:rPr>
            <w:rStyle w:val="Hyperlink"/>
            <w:noProof/>
          </w:rPr>
          <w:t>3.2.1.</w:t>
        </w:r>
        <w:r>
          <w:rPr>
            <w:rFonts w:asciiTheme="minorHAnsi" w:eastAsiaTheme="minorEastAsia" w:hAnsiTheme="minorHAnsi" w:cstheme="minorBidi"/>
            <w:noProof/>
            <w:sz w:val="22"/>
            <w:szCs w:val="22"/>
            <w:lang w:bidi="ar-SA"/>
          </w:rPr>
          <w:tab/>
        </w:r>
        <w:r>
          <w:rPr>
            <w:rStyle w:val="Hyperlink"/>
            <w:noProof/>
          </w:rPr>
          <w:t>Provisionnement du Fonds</w:t>
        </w:r>
        <w:r>
          <w:rPr>
            <w:noProof/>
            <w:webHidden/>
          </w:rPr>
          <w:tab/>
        </w:r>
        <w:r>
          <w:rPr>
            <w:noProof/>
            <w:webHidden/>
          </w:rPr>
          <w:fldChar w:fldCharType="begin"/>
        </w:r>
        <w:r>
          <w:rPr>
            <w:noProof/>
            <w:webHidden/>
          </w:rPr>
          <w:instrText xml:space="preserve"> PAGEREF _Toc423704978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23704979" w:history="1">
        <w:r>
          <w:rPr>
            <w:rStyle w:val="Hyperlink"/>
            <w:noProof/>
          </w:rPr>
          <w:t>3.2.2.</w:t>
        </w:r>
        <w:r>
          <w:rPr>
            <w:rFonts w:asciiTheme="minorHAnsi" w:eastAsiaTheme="minorEastAsia" w:hAnsiTheme="minorHAnsi" w:cstheme="minorBidi"/>
            <w:noProof/>
            <w:sz w:val="22"/>
            <w:szCs w:val="22"/>
            <w:lang w:bidi="ar-SA"/>
          </w:rPr>
          <w:tab/>
        </w:r>
        <w:r>
          <w:rPr>
            <w:rStyle w:val="Hyperlink"/>
            <w:noProof/>
          </w:rPr>
          <w:t>Intérêts tirés du placement des actifs liquides du Fonds</w:t>
        </w:r>
        <w:r>
          <w:rPr>
            <w:noProof/>
            <w:webHidden/>
          </w:rPr>
          <w:tab/>
        </w:r>
        <w:r>
          <w:rPr>
            <w:noProof/>
            <w:webHidden/>
          </w:rPr>
          <w:fldChar w:fldCharType="begin"/>
        </w:r>
        <w:r>
          <w:rPr>
            <w:noProof/>
            <w:webHidden/>
          </w:rPr>
          <w:instrText xml:space="preserve"> PAGEREF _Toc423704979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23704980" w:history="1">
        <w:r>
          <w:rPr>
            <w:rStyle w:val="Hyperlink"/>
            <w:noProof/>
          </w:rPr>
          <w:t>3.2.3.</w:t>
        </w:r>
        <w:r>
          <w:rPr>
            <w:rFonts w:asciiTheme="minorHAnsi" w:eastAsiaTheme="minorEastAsia" w:hAnsiTheme="minorHAnsi" w:cstheme="minorBidi"/>
            <w:noProof/>
            <w:sz w:val="22"/>
            <w:szCs w:val="22"/>
            <w:lang w:bidi="ar-SA"/>
          </w:rPr>
          <w:tab/>
        </w:r>
        <w:r>
          <w:rPr>
            <w:rStyle w:val="Hyperlink"/>
            <w:noProof/>
          </w:rPr>
          <w:t>Produits d'opérations financières</w:t>
        </w:r>
        <w:r>
          <w:rPr>
            <w:noProof/>
            <w:webHidden/>
          </w:rPr>
          <w:tab/>
        </w:r>
        <w:r>
          <w:rPr>
            <w:noProof/>
            <w:webHidden/>
          </w:rPr>
          <w:fldChar w:fldCharType="begin"/>
        </w:r>
        <w:r>
          <w:rPr>
            <w:noProof/>
            <w:webHidden/>
          </w:rPr>
          <w:instrText xml:space="preserve"> PAGEREF _Toc423704980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23704981" w:history="1">
        <w:r>
          <w:rPr>
            <w:rStyle w:val="Hyperlink"/>
            <w:noProof/>
          </w:rPr>
          <w:t>3.2.4.</w:t>
        </w:r>
        <w:r>
          <w:rPr>
            <w:rFonts w:asciiTheme="minorHAnsi" w:eastAsiaTheme="minorEastAsia" w:hAnsiTheme="minorHAnsi" w:cstheme="minorBidi"/>
            <w:noProof/>
            <w:sz w:val="22"/>
            <w:szCs w:val="22"/>
            <w:lang w:bidi="ar-SA"/>
          </w:rPr>
          <w:tab/>
        </w:r>
        <w:r>
          <w:rPr>
            <w:rStyle w:val="Hyperlink"/>
            <w:noProof/>
          </w:rPr>
          <w:t>Produits et charges opérationnels</w:t>
        </w:r>
        <w:r>
          <w:rPr>
            <w:noProof/>
            <w:webHidden/>
          </w:rPr>
          <w:tab/>
        </w:r>
        <w:r>
          <w:rPr>
            <w:noProof/>
            <w:webHidden/>
          </w:rPr>
          <w:fldChar w:fldCharType="begin"/>
        </w:r>
        <w:r>
          <w:rPr>
            <w:noProof/>
            <w:webHidden/>
          </w:rPr>
          <w:instrText xml:space="preserve"> PAGEREF _Toc423704981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23704982" w:history="1">
        <w:r>
          <w:rPr>
            <w:rStyle w:val="Hyperlink"/>
            <w:noProof/>
          </w:rPr>
          <w:t>4.</w:t>
        </w:r>
        <w:r>
          <w:rPr>
            <w:rFonts w:asciiTheme="minorHAnsi" w:eastAsiaTheme="minorEastAsia" w:hAnsiTheme="minorHAnsi" w:cstheme="minorBidi"/>
            <w:noProof/>
            <w:sz w:val="22"/>
            <w:szCs w:val="22"/>
            <w:lang w:bidi="ar-SA"/>
          </w:rPr>
          <w:tab/>
        </w:r>
        <w:r>
          <w:rPr>
            <w:rStyle w:val="Hyperlink"/>
            <w:noProof/>
          </w:rPr>
          <w:t>Passif du Fonds</w:t>
        </w:r>
        <w:r>
          <w:rPr>
            <w:noProof/>
            <w:webHidden/>
          </w:rPr>
          <w:tab/>
        </w:r>
        <w:r>
          <w:rPr>
            <w:noProof/>
            <w:webHidden/>
          </w:rPr>
          <w:fldChar w:fldCharType="begin"/>
        </w:r>
        <w:r>
          <w:rPr>
            <w:noProof/>
            <w:webHidden/>
          </w:rPr>
          <w:instrText xml:space="preserve"> PAGEREF _Toc423704982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23704983" w:history="1">
        <w:r>
          <w:rPr>
            <w:rStyle w:val="Hyperlink"/>
            <w:noProof/>
          </w:rPr>
          <w:t>4.1.</w:t>
        </w:r>
        <w:r>
          <w:rPr>
            <w:rFonts w:asciiTheme="minorHAnsi" w:eastAsiaTheme="minorEastAsia" w:hAnsiTheme="minorHAnsi" w:cstheme="minorBidi"/>
            <w:noProof/>
            <w:sz w:val="22"/>
            <w:szCs w:val="22"/>
            <w:lang w:bidi="ar-SA"/>
          </w:rPr>
          <w:tab/>
        </w:r>
        <w:r>
          <w:rPr>
            <w:rStyle w:val="Hyperlink"/>
            <w:noProof/>
          </w:rPr>
          <w:t>Défauts de paiement</w:t>
        </w:r>
        <w:r>
          <w:rPr>
            <w:noProof/>
            <w:webHidden/>
          </w:rPr>
          <w:tab/>
        </w:r>
        <w:r>
          <w:rPr>
            <w:noProof/>
            <w:webHidden/>
          </w:rPr>
          <w:fldChar w:fldCharType="begin"/>
        </w:r>
        <w:r>
          <w:rPr>
            <w:noProof/>
            <w:webHidden/>
          </w:rPr>
          <w:instrText xml:space="preserve"> PAGEREF _Toc423704983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23704984" w:history="1">
        <w:r>
          <w:rPr>
            <w:rStyle w:val="Hyperlink"/>
            <w:noProof/>
          </w:rPr>
          <w:t>4.2.</w:t>
        </w:r>
        <w:r>
          <w:rPr>
            <w:rFonts w:asciiTheme="minorHAnsi" w:eastAsiaTheme="minorEastAsia" w:hAnsiTheme="minorHAnsi" w:cstheme="minorBidi"/>
            <w:noProof/>
            <w:sz w:val="22"/>
            <w:szCs w:val="22"/>
            <w:lang w:bidi="ar-SA"/>
          </w:rPr>
          <w:tab/>
        </w:r>
        <w:r>
          <w:rPr>
            <w:rStyle w:val="Hyperlink"/>
            <w:noProof/>
          </w:rPr>
          <w:t>Rémunération de la BEI</w:t>
        </w:r>
        <w:r>
          <w:rPr>
            <w:noProof/>
            <w:webHidden/>
          </w:rPr>
          <w:tab/>
        </w:r>
        <w:r>
          <w:rPr>
            <w:noProof/>
            <w:webHidden/>
          </w:rPr>
          <w:fldChar w:fldCharType="begin"/>
        </w:r>
        <w:r>
          <w:rPr>
            <w:noProof/>
            <w:webHidden/>
          </w:rPr>
          <w:instrText xml:space="preserve"> PAGEREF _Toc423704984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Calibri" w:hAnsi="Calibri"/>
          <w:noProof/>
          <w:sz w:val="22"/>
          <w:szCs w:val="22"/>
        </w:rPr>
      </w:pPr>
      <w:r>
        <w:rPr>
          <w:noProof/>
        </w:rPr>
        <w:fldChar w:fldCharType="end"/>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720" w:footer="720" w:gutter="0"/>
          <w:paperSrc w:first="15" w:other="15"/>
          <w:cols w:space="720"/>
          <w:docGrid w:linePitch="326"/>
        </w:sectPr>
      </w:pPr>
    </w:p>
    <w:p>
      <w:pPr>
        <w:pStyle w:val="ManualHeading1"/>
        <w:rPr>
          <w:noProof/>
        </w:rPr>
      </w:pPr>
      <w:bookmarkStart w:id="2" w:name="_Toc323019492"/>
      <w:bookmarkStart w:id="3" w:name="_Toc354050118"/>
      <w:bookmarkStart w:id="4" w:name="_Toc358294843"/>
      <w:bookmarkStart w:id="5" w:name="_Toc415838340"/>
      <w:bookmarkStart w:id="6" w:name="_Toc416963777"/>
      <w:bookmarkStart w:id="7" w:name="_Toc423704967"/>
      <w:r>
        <w:t>1.</w:t>
      </w:r>
      <w:r>
        <w:tab/>
      </w:r>
      <w:r>
        <w:rPr>
          <w:noProof/>
        </w:rPr>
        <w:t>Introduction</w:t>
      </w:r>
      <w:bookmarkEnd w:id="2"/>
      <w:bookmarkEnd w:id="3"/>
      <w:bookmarkEnd w:id="4"/>
      <w:bookmarkEnd w:id="5"/>
      <w:bookmarkEnd w:id="6"/>
      <w:bookmarkEnd w:id="7"/>
    </w:p>
    <w:p>
      <w:pPr>
        <w:rPr>
          <w:rFonts w:ascii="EUAlbertina_Bold" w:hAnsi="EUAlbertina_Bold" w:cs="EUAlbertina_Bold"/>
          <w:b/>
          <w:bCs/>
          <w:noProof/>
          <w:sz w:val="19"/>
          <w:szCs w:val="19"/>
        </w:rPr>
      </w:pPr>
      <w:r>
        <w:rPr>
          <w:noProof/>
        </w:rPr>
        <w:t>Le règlement (CE, Euratom) n° 480/2009 du Conseil du 25 mai 2009</w:t>
      </w:r>
      <w:r>
        <w:rPr>
          <w:rStyle w:val="FootnoteReference"/>
          <w:noProof/>
        </w:rPr>
        <w:footnoteReference w:id="1"/>
      </w:r>
      <w:r>
        <w:rPr>
          <w:noProof/>
        </w:rPr>
        <w:t xml:space="preserve"> (version codifiée) (ci-après, le «règlement») a institué un Fonds de garantie relatif aux actions extérieures (ci-après, le «Fonds») afin de rembourser les créanciers de l’Union européenne en cas de défaillance du bénéficiaire d’un prêt accordé ou garanti par celle-ci. Conformément à l’article 7 du règlement, la Commission a confié la gestion financière du Fonds à la Banque européenne d’investissement (ci-après la «BEI» ou la «Banque») dans le cadre d’une convention signée entre la Communauté et la BEI le 23 novembre 1994 à Bruxelles et le 25 novembre 1994 à Luxembourg (ci-après, la «convention») et modifiée ensuite par les avenants des 17 et 23 septembre 1996, 8 mai 2002, 25 février 2008, 20 octobre 2010 et 9 novembre 2010. </w:t>
      </w:r>
    </w:p>
    <w:p>
      <w:pPr>
        <w:rPr>
          <w:noProof/>
        </w:rPr>
      </w:pPr>
      <w:r>
        <w:rPr>
          <w:noProof/>
        </w:rPr>
        <w:t xml:space="preserve">L’article 8 du règlement dispose que pour chaque exercice, la Commission adresse au Parlement européen, au Conseil et à la Cour des comptes un rapport sur la situation du Fonds et sa gestion au plus tard le 31 mai de l’exercice suivant. </w:t>
      </w:r>
    </w:p>
    <w:p>
      <w:pPr>
        <w:rPr>
          <w:noProof/>
        </w:rPr>
      </w:pPr>
      <w:r>
        <w:rPr>
          <w:noProof/>
        </w:rPr>
        <w:t>Le présent rapport, qui est accompagné d'un document de travail des services de la Commission, a pour objet de fournir ces informations. Il se fonde sur les données transmises par la BEI conformément à la convention.</w:t>
      </w:r>
    </w:p>
    <w:p>
      <w:pPr>
        <w:pStyle w:val="ManualHeading1"/>
        <w:rPr>
          <w:noProof/>
        </w:rPr>
      </w:pPr>
      <w:r>
        <w:rPr>
          <w:noProof/>
        </w:rPr>
        <w:br w:type="page"/>
      </w:r>
      <w:bookmarkStart w:id="8" w:name="_Toc323019493"/>
      <w:bookmarkStart w:id="9" w:name="_Toc354050119"/>
      <w:bookmarkStart w:id="10" w:name="_Toc358294844"/>
      <w:bookmarkStart w:id="11" w:name="_Toc415838341"/>
      <w:bookmarkStart w:id="12" w:name="_Toc416963778"/>
      <w:bookmarkStart w:id="13" w:name="_Toc423704968"/>
      <w:r>
        <w:t>2.</w:t>
      </w:r>
      <w:r>
        <w:tab/>
      </w:r>
      <w:r>
        <w:rPr>
          <w:noProof/>
        </w:rPr>
        <w:t xml:space="preserve">Situation financière du Fonds au 31 décembre </w:t>
      </w:r>
      <w:bookmarkEnd w:id="8"/>
      <w:bookmarkEnd w:id="9"/>
      <w:bookmarkEnd w:id="10"/>
      <w:r>
        <w:rPr>
          <w:noProof/>
        </w:rPr>
        <w:t>2014</w:t>
      </w:r>
      <w:bookmarkEnd w:id="11"/>
      <w:bookmarkEnd w:id="12"/>
      <w:bookmarkEnd w:id="13"/>
    </w:p>
    <w:p>
      <w:pPr>
        <w:rPr>
          <w:noProof/>
        </w:rPr>
      </w:pPr>
      <w:r>
        <w:rPr>
          <w:noProof/>
        </w:rPr>
        <w:t xml:space="preserve">La situation financière du Fonds correspond à la somme de tous les flux financiers enregistrés depuis sa création en 1994. </w:t>
      </w:r>
    </w:p>
    <w:p>
      <w:pPr>
        <w:pStyle w:val="ManualHeading2"/>
        <w:rPr>
          <w:noProof/>
        </w:rPr>
      </w:pPr>
      <w:bookmarkStart w:id="14" w:name="_Toc323019494"/>
      <w:bookmarkStart w:id="15" w:name="_Toc354050120"/>
      <w:bookmarkStart w:id="16" w:name="_Toc358294845"/>
      <w:bookmarkStart w:id="17" w:name="_Toc415838342"/>
      <w:bookmarkStart w:id="18" w:name="_Toc416963779"/>
      <w:bookmarkStart w:id="19" w:name="_Toc423704969"/>
      <w:r>
        <w:t>2.1.</w:t>
      </w:r>
      <w:r>
        <w:tab/>
      </w:r>
      <w:r>
        <w:rPr>
          <w:noProof/>
        </w:rPr>
        <w:t>Flux financiers du Fonds</w:t>
      </w:r>
      <w:bookmarkEnd w:id="14"/>
      <w:bookmarkEnd w:id="15"/>
      <w:bookmarkEnd w:id="16"/>
      <w:bookmarkEnd w:id="17"/>
      <w:bookmarkEnd w:id="18"/>
      <w:bookmarkEnd w:id="19"/>
    </w:p>
    <w:p>
      <w:pPr>
        <w:rPr>
          <w:noProof/>
        </w:rPr>
      </w:pPr>
      <w:r>
        <w:rPr>
          <w:noProof/>
        </w:rPr>
        <w:t>Le Fonds a atteint un total de 2 137 753 047,57 EUR (voir l'annexe du document de travail: états financiers du Fonds de garantie au 31 décembre 2014, communiqués par la BEI), qui correspond à la somme des mouvements enregistrés depuis sa création: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127"/>
        <w:gridCol w:w="2126"/>
        <w:gridCol w:w="2090"/>
      </w:tblGrid>
      <w:tr>
        <w:tc>
          <w:tcPr>
            <w:tcW w:w="2943" w:type="dxa"/>
            <w:shd w:val="clear" w:color="auto" w:fill="auto"/>
            <w:vAlign w:val="bottom"/>
          </w:tcPr>
          <w:p>
            <w:pPr>
              <w:rPr>
                <w:b/>
                <w:bCs/>
                <w:noProof/>
              </w:rPr>
            </w:pPr>
            <w:r>
              <w:rPr>
                <w:b/>
                <w:noProof/>
              </w:rPr>
              <w:t>Fonds de garantie</w:t>
            </w:r>
          </w:p>
        </w:tc>
        <w:tc>
          <w:tcPr>
            <w:tcW w:w="2127" w:type="dxa"/>
            <w:shd w:val="clear" w:color="auto" w:fill="auto"/>
            <w:vAlign w:val="bottom"/>
          </w:tcPr>
          <w:p>
            <w:pPr>
              <w:jc w:val="center"/>
              <w:rPr>
                <w:b/>
                <w:bCs/>
                <w:noProof/>
              </w:rPr>
            </w:pPr>
            <w:r>
              <w:rPr>
                <w:b/>
                <w:noProof/>
              </w:rPr>
              <w:t>Montant au 31.12.2014</w:t>
            </w:r>
          </w:p>
        </w:tc>
        <w:tc>
          <w:tcPr>
            <w:tcW w:w="2126" w:type="dxa"/>
            <w:vAlign w:val="bottom"/>
          </w:tcPr>
          <w:p>
            <w:pPr>
              <w:jc w:val="center"/>
              <w:rPr>
                <w:b/>
                <w:bCs/>
                <w:noProof/>
              </w:rPr>
            </w:pPr>
            <w:r>
              <w:rPr>
                <w:b/>
                <w:noProof/>
              </w:rPr>
              <w:t>Montant au 31.12.2013</w:t>
            </w:r>
          </w:p>
        </w:tc>
        <w:tc>
          <w:tcPr>
            <w:tcW w:w="2090" w:type="dxa"/>
            <w:shd w:val="clear" w:color="auto" w:fill="auto"/>
            <w:vAlign w:val="bottom"/>
          </w:tcPr>
          <w:p>
            <w:pPr>
              <w:jc w:val="center"/>
              <w:rPr>
                <w:b/>
                <w:bCs/>
                <w:noProof/>
              </w:rPr>
            </w:pPr>
            <w:r>
              <w:rPr>
                <w:b/>
                <w:noProof/>
              </w:rPr>
              <w:t>Différence</w:t>
            </w:r>
          </w:p>
        </w:tc>
      </w:tr>
      <w:tr>
        <w:tc>
          <w:tcPr>
            <w:tcW w:w="2943" w:type="dxa"/>
            <w:shd w:val="clear" w:color="auto" w:fill="auto"/>
            <w:vAlign w:val="bottom"/>
          </w:tcPr>
          <w:p>
            <w:pPr>
              <w:jc w:val="left"/>
              <w:rPr>
                <w:noProof/>
              </w:rPr>
            </w:pPr>
            <w:r>
              <w:rPr>
                <w:noProof/>
              </w:rPr>
              <w:t>Contributions du budget au Fonds</w:t>
            </w:r>
          </w:p>
        </w:tc>
        <w:tc>
          <w:tcPr>
            <w:tcW w:w="2127" w:type="dxa"/>
            <w:shd w:val="clear" w:color="auto" w:fill="auto"/>
          </w:tcPr>
          <w:p>
            <w:pPr>
              <w:jc w:val="right"/>
              <w:rPr>
                <w:noProof/>
              </w:rPr>
            </w:pPr>
            <w:r>
              <w:rPr>
                <w:noProof/>
              </w:rPr>
              <w:t xml:space="preserve"> 3 743 236 312,00 </w:t>
            </w:r>
          </w:p>
        </w:tc>
        <w:tc>
          <w:tcPr>
            <w:tcW w:w="2126" w:type="dxa"/>
          </w:tcPr>
          <w:p>
            <w:pPr>
              <w:jc w:val="right"/>
              <w:rPr>
                <w:noProof/>
              </w:rPr>
            </w:pPr>
            <w:r>
              <w:rPr>
                <w:noProof/>
              </w:rPr>
              <w:t xml:space="preserve"> 3 598 826 794,00 </w:t>
            </w:r>
          </w:p>
        </w:tc>
        <w:tc>
          <w:tcPr>
            <w:tcW w:w="2090" w:type="dxa"/>
            <w:shd w:val="clear" w:color="auto" w:fill="auto"/>
          </w:tcPr>
          <w:p>
            <w:pPr>
              <w:jc w:val="right"/>
              <w:rPr>
                <w:noProof/>
              </w:rPr>
            </w:pPr>
            <w:r>
              <w:rPr>
                <w:noProof/>
              </w:rPr>
              <w:t xml:space="preserve"> 144 409 518,00 </w:t>
            </w:r>
          </w:p>
        </w:tc>
      </w:tr>
      <w:tr>
        <w:tc>
          <w:tcPr>
            <w:tcW w:w="2943" w:type="dxa"/>
            <w:shd w:val="clear" w:color="auto" w:fill="auto"/>
            <w:vAlign w:val="bottom"/>
          </w:tcPr>
          <w:p>
            <w:pPr>
              <w:jc w:val="left"/>
              <w:rPr>
                <w:noProof/>
              </w:rPr>
            </w:pPr>
            <w:r>
              <w:rPr>
                <w:noProof/>
              </w:rPr>
              <w:t>Résultats nets des exercices successifs</w:t>
            </w:r>
          </w:p>
        </w:tc>
        <w:tc>
          <w:tcPr>
            <w:tcW w:w="2127" w:type="dxa"/>
            <w:shd w:val="clear" w:color="auto" w:fill="auto"/>
          </w:tcPr>
          <w:p>
            <w:pPr>
              <w:jc w:val="right"/>
              <w:rPr>
                <w:noProof/>
              </w:rPr>
            </w:pPr>
            <w:r>
              <w:rPr>
                <w:noProof/>
              </w:rPr>
              <w:t xml:space="preserve"> 908 051 618,54 </w:t>
            </w:r>
          </w:p>
        </w:tc>
        <w:tc>
          <w:tcPr>
            <w:tcW w:w="2126" w:type="dxa"/>
          </w:tcPr>
          <w:p>
            <w:pPr>
              <w:jc w:val="right"/>
              <w:rPr>
                <w:noProof/>
              </w:rPr>
            </w:pPr>
            <w:r>
              <w:rPr>
                <w:noProof/>
              </w:rPr>
              <w:t xml:space="preserve"> 878 284 248,11 </w:t>
            </w:r>
          </w:p>
        </w:tc>
        <w:tc>
          <w:tcPr>
            <w:tcW w:w="2090" w:type="dxa"/>
            <w:shd w:val="clear" w:color="auto" w:fill="auto"/>
          </w:tcPr>
          <w:p>
            <w:pPr>
              <w:jc w:val="right"/>
              <w:rPr>
                <w:noProof/>
              </w:rPr>
            </w:pPr>
            <w:r>
              <w:rPr>
                <w:noProof/>
              </w:rPr>
              <w:t xml:space="preserve"> 29 767 370,43 </w:t>
            </w:r>
          </w:p>
        </w:tc>
      </w:tr>
      <w:tr>
        <w:tc>
          <w:tcPr>
            <w:tcW w:w="2943" w:type="dxa"/>
            <w:shd w:val="clear" w:color="auto" w:fill="auto"/>
            <w:vAlign w:val="bottom"/>
          </w:tcPr>
          <w:p>
            <w:pPr>
              <w:jc w:val="left"/>
              <w:rPr>
                <w:noProof/>
              </w:rPr>
            </w:pPr>
            <w:r>
              <w:rPr>
                <w:noProof/>
              </w:rPr>
              <w:t>Recouvrements de versements effectués par le Fonds à la suite de défaillances</w:t>
            </w:r>
          </w:p>
        </w:tc>
        <w:tc>
          <w:tcPr>
            <w:tcW w:w="2127" w:type="dxa"/>
            <w:shd w:val="clear" w:color="auto" w:fill="auto"/>
          </w:tcPr>
          <w:p>
            <w:pPr>
              <w:jc w:val="right"/>
              <w:rPr>
                <w:noProof/>
              </w:rPr>
            </w:pPr>
            <w:r>
              <w:rPr>
                <w:noProof/>
              </w:rPr>
              <w:t xml:space="preserve"> 578 854 353,78 </w:t>
            </w:r>
          </w:p>
        </w:tc>
        <w:tc>
          <w:tcPr>
            <w:tcW w:w="2126" w:type="dxa"/>
          </w:tcPr>
          <w:p>
            <w:pPr>
              <w:jc w:val="right"/>
              <w:rPr>
                <w:noProof/>
              </w:rPr>
            </w:pPr>
            <w:r>
              <w:rPr>
                <w:noProof/>
              </w:rPr>
              <w:t xml:space="preserve"> 578 854 353,78 </w:t>
            </w:r>
          </w:p>
        </w:tc>
        <w:tc>
          <w:tcPr>
            <w:tcW w:w="2090" w:type="dxa"/>
            <w:shd w:val="clear" w:color="auto" w:fill="auto"/>
          </w:tcPr>
          <w:p>
            <w:pPr>
              <w:jc w:val="right"/>
              <w:rPr>
                <w:noProof/>
              </w:rPr>
            </w:pPr>
            <w:r>
              <w:rPr>
                <w:noProof/>
              </w:rPr>
              <w:t xml:space="preserve"> - </w:t>
            </w:r>
          </w:p>
        </w:tc>
      </w:tr>
      <w:tr>
        <w:tc>
          <w:tcPr>
            <w:tcW w:w="2943" w:type="dxa"/>
            <w:shd w:val="clear" w:color="auto" w:fill="auto"/>
          </w:tcPr>
          <w:p>
            <w:pPr>
              <w:jc w:val="left"/>
              <w:rPr>
                <w:noProof/>
              </w:rPr>
            </w:pPr>
            <w:r>
              <w:rPr>
                <w:noProof/>
              </w:rPr>
              <w:t>Autres comptes à recevoir (y compris les garanties appelées mais non encore versées et les frais de gestion de la BEI)</w:t>
            </w:r>
          </w:p>
        </w:tc>
        <w:tc>
          <w:tcPr>
            <w:tcW w:w="2127" w:type="dxa"/>
            <w:shd w:val="clear" w:color="auto" w:fill="auto"/>
          </w:tcPr>
          <w:p>
            <w:pPr>
              <w:jc w:val="right"/>
              <w:rPr>
                <w:noProof/>
              </w:rPr>
            </w:pPr>
            <w:r>
              <w:rPr>
                <w:noProof/>
              </w:rPr>
              <w:t xml:space="preserve"> 23 084 839,03 </w:t>
            </w:r>
          </w:p>
        </w:tc>
        <w:tc>
          <w:tcPr>
            <w:tcW w:w="2126" w:type="dxa"/>
          </w:tcPr>
          <w:p>
            <w:pPr>
              <w:jc w:val="right"/>
              <w:rPr>
                <w:noProof/>
              </w:rPr>
            </w:pPr>
            <w:r>
              <w:rPr>
                <w:noProof/>
              </w:rPr>
              <w:t xml:space="preserve"> 23 066 612,47 </w:t>
            </w:r>
          </w:p>
        </w:tc>
        <w:tc>
          <w:tcPr>
            <w:tcW w:w="2090" w:type="dxa"/>
            <w:shd w:val="clear" w:color="auto" w:fill="auto"/>
          </w:tcPr>
          <w:p>
            <w:pPr>
              <w:jc w:val="right"/>
              <w:rPr>
                <w:noProof/>
              </w:rPr>
            </w:pPr>
            <w:r>
              <w:rPr>
                <w:noProof/>
              </w:rPr>
              <w:t xml:space="preserve"> 18 226,56 </w:t>
            </w:r>
          </w:p>
        </w:tc>
      </w:tr>
      <w:tr>
        <w:tc>
          <w:tcPr>
            <w:tcW w:w="2943" w:type="dxa"/>
            <w:shd w:val="clear" w:color="auto" w:fill="auto"/>
            <w:vAlign w:val="bottom"/>
          </w:tcPr>
          <w:p>
            <w:pPr>
              <w:jc w:val="left"/>
              <w:rPr>
                <w:noProof/>
              </w:rPr>
            </w:pPr>
            <w:r>
              <w:rPr>
                <w:noProof/>
              </w:rPr>
              <w:t>Commissions perçues sur des recouvrements tardifs (en 2002)</w:t>
            </w:r>
          </w:p>
        </w:tc>
        <w:tc>
          <w:tcPr>
            <w:tcW w:w="2127" w:type="dxa"/>
            <w:shd w:val="clear" w:color="auto" w:fill="auto"/>
          </w:tcPr>
          <w:p>
            <w:pPr>
              <w:jc w:val="right"/>
              <w:rPr>
                <w:noProof/>
              </w:rPr>
            </w:pPr>
            <w:r>
              <w:rPr>
                <w:noProof/>
              </w:rPr>
              <w:t xml:space="preserve"> 5 090 662,91 </w:t>
            </w:r>
          </w:p>
        </w:tc>
        <w:tc>
          <w:tcPr>
            <w:tcW w:w="2126" w:type="dxa"/>
          </w:tcPr>
          <w:p>
            <w:pPr>
              <w:jc w:val="right"/>
              <w:rPr>
                <w:noProof/>
              </w:rPr>
            </w:pPr>
            <w:r>
              <w:rPr>
                <w:noProof/>
              </w:rPr>
              <w:t xml:space="preserve"> 5 090 662,91 </w:t>
            </w:r>
          </w:p>
        </w:tc>
        <w:tc>
          <w:tcPr>
            <w:tcW w:w="2090" w:type="dxa"/>
            <w:shd w:val="clear" w:color="auto" w:fill="auto"/>
          </w:tcPr>
          <w:p>
            <w:pPr>
              <w:jc w:val="right"/>
              <w:rPr>
                <w:noProof/>
              </w:rPr>
            </w:pPr>
            <w:r>
              <w:rPr>
                <w:noProof/>
              </w:rPr>
              <w:t xml:space="preserve"> - </w:t>
            </w:r>
          </w:p>
        </w:tc>
      </w:tr>
      <w:tr>
        <w:tc>
          <w:tcPr>
            <w:tcW w:w="2943" w:type="dxa"/>
            <w:shd w:val="clear" w:color="auto" w:fill="auto"/>
            <w:vAlign w:val="bottom"/>
          </w:tcPr>
          <w:p>
            <w:pPr>
              <w:jc w:val="left"/>
              <w:rPr>
                <w:noProof/>
              </w:rPr>
            </w:pPr>
            <w:r>
              <w:rPr>
                <w:noProof/>
              </w:rPr>
              <w:t>Appels de garantie (y compris les garanties appelées mais non encore versées)</w:t>
            </w:r>
          </w:p>
        </w:tc>
        <w:tc>
          <w:tcPr>
            <w:tcW w:w="2127" w:type="dxa"/>
            <w:shd w:val="clear" w:color="auto" w:fill="auto"/>
          </w:tcPr>
          <w:p>
            <w:pPr>
              <w:jc w:val="right"/>
              <w:rPr>
                <w:noProof/>
              </w:rPr>
            </w:pPr>
            <w:r>
              <w:rPr>
                <w:noProof/>
              </w:rPr>
              <w:t xml:space="preserve"> -644 939 881,42 </w:t>
            </w:r>
          </w:p>
        </w:tc>
        <w:tc>
          <w:tcPr>
            <w:tcW w:w="2126" w:type="dxa"/>
          </w:tcPr>
          <w:p>
            <w:pPr>
              <w:jc w:val="right"/>
              <w:rPr>
                <w:noProof/>
              </w:rPr>
            </w:pPr>
            <w:r>
              <w:rPr>
                <w:noProof/>
              </w:rPr>
              <w:t xml:space="preserve"> -584 704 389,46 </w:t>
            </w:r>
          </w:p>
        </w:tc>
        <w:tc>
          <w:tcPr>
            <w:tcW w:w="2090" w:type="dxa"/>
            <w:shd w:val="clear" w:color="auto" w:fill="auto"/>
          </w:tcPr>
          <w:p>
            <w:pPr>
              <w:jc w:val="right"/>
              <w:rPr>
                <w:noProof/>
              </w:rPr>
            </w:pPr>
            <w:r>
              <w:rPr>
                <w:noProof/>
              </w:rPr>
              <w:t xml:space="preserve"> -60 235 491,96 </w:t>
            </w:r>
          </w:p>
        </w:tc>
      </w:tr>
      <w:tr>
        <w:tc>
          <w:tcPr>
            <w:tcW w:w="2943" w:type="dxa"/>
            <w:shd w:val="clear" w:color="auto" w:fill="auto"/>
            <w:vAlign w:val="bottom"/>
          </w:tcPr>
          <w:p>
            <w:pPr>
              <w:jc w:val="left"/>
              <w:rPr>
                <w:noProof/>
              </w:rPr>
            </w:pPr>
            <w:r>
              <w:rPr>
                <w:noProof/>
              </w:rPr>
              <w:t>Reversements cumulatifs au budget (y compris les reversements exceptionnels dus à l'adhésion de nouveaux États membres)</w:t>
            </w:r>
          </w:p>
        </w:tc>
        <w:tc>
          <w:tcPr>
            <w:tcW w:w="2127" w:type="dxa"/>
            <w:shd w:val="clear" w:color="auto" w:fill="auto"/>
          </w:tcPr>
          <w:p>
            <w:pPr>
              <w:jc w:val="right"/>
              <w:rPr>
                <w:noProof/>
              </w:rPr>
            </w:pPr>
            <w:r>
              <w:rPr>
                <w:noProof/>
              </w:rPr>
              <w:t xml:space="preserve"> -2 531 726 712,72 </w:t>
            </w:r>
          </w:p>
        </w:tc>
        <w:tc>
          <w:tcPr>
            <w:tcW w:w="2126" w:type="dxa"/>
          </w:tcPr>
          <w:p>
            <w:pPr>
              <w:jc w:val="right"/>
              <w:rPr>
                <w:noProof/>
              </w:rPr>
            </w:pPr>
            <w:r>
              <w:rPr>
                <w:noProof/>
              </w:rPr>
              <w:t xml:space="preserve"> -2 531 726 712,72 </w:t>
            </w:r>
          </w:p>
        </w:tc>
        <w:tc>
          <w:tcPr>
            <w:tcW w:w="2090" w:type="dxa"/>
            <w:shd w:val="clear" w:color="auto" w:fill="auto"/>
          </w:tcPr>
          <w:p>
            <w:pPr>
              <w:jc w:val="right"/>
              <w:rPr>
                <w:noProof/>
              </w:rPr>
            </w:pPr>
            <w:r>
              <w:rPr>
                <w:noProof/>
              </w:rPr>
              <w:t xml:space="preserve"> - </w:t>
            </w:r>
          </w:p>
        </w:tc>
      </w:tr>
      <w:tr>
        <w:tc>
          <w:tcPr>
            <w:tcW w:w="2943" w:type="dxa"/>
            <w:shd w:val="clear" w:color="auto" w:fill="auto"/>
            <w:vAlign w:val="bottom"/>
          </w:tcPr>
          <w:p>
            <w:pPr>
              <w:jc w:val="left"/>
              <w:rPr>
                <w:noProof/>
              </w:rPr>
            </w:pPr>
            <w:r>
              <w:rPr>
                <w:noProof/>
              </w:rPr>
              <w:t>Ajustement de la valeur du portefeuille conformément aux IFRS</w:t>
            </w:r>
          </w:p>
        </w:tc>
        <w:tc>
          <w:tcPr>
            <w:tcW w:w="2127" w:type="dxa"/>
            <w:shd w:val="clear" w:color="auto" w:fill="auto"/>
          </w:tcPr>
          <w:p>
            <w:pPr>
              <w:jc w:val="right"/>
              <w:rPr>
                <w:noProof/>
              </w:rPr>
            </w:pPr>
            <w:r>
              <w:rPr>
                <w:noProof/>
              </w:rPr>
              <w:t xml:space="preserve"> 56 101 855,45 </w:t>
            </w:r>
          </w:p>
        </w:tc>
        <w:tc>
          <w:tcPr>
            <w:tcW w:w="2126" w:type="dxa"/>
          </w:tcPr>
          <w:p>
            <w:pPr>
              <w:jc w:val="right"/>
              <w:rPr>
                <w:noProof/>
              </w:rPr>
            </w:pPr>
            <w:r>
              <w:rPr>
                <w:noProof/>
              </w:rPr>
              <w:t xml:space="preserve"> 36 665 073,82 </w:t>
            </w:r>
          </w:p>
        </w:tc>
        <w:tc>
          <w:tcPr>
            <w:tcW w:w="2090" w:type="dxa"/>
            <w:shd w:val="clear" w:color="auto" w:fill="auto"/>
          </w:tcPr>
          <w:p>
            <w:pPr>
              <w:jc w:val="right"/>
              <w:rPr>
                <w:noProof/>
              </w:rPr>
            </w:pPr>
            <w:r>
              <w:rPr>
                <w:noProof/>
              </w:rPr>
              <w:t xml:space="preserve"> 19 436 781,63 </w:t>
            </w:r>
          </w:p>
        </w:tc>
      </w:tr>
      <w:tr>
        <w:tc>
          <w:tcPr>
            <w:tcW w:w="2943" w:type="dxa"/>
            <w:shd w:val="clear" w:color="auto" w:fill="auto"/>
            <w:vAlign w:val="bottom"/>
          </w:tcPr>
          <w:p>
            <w:pPr>
              <w:rPr>
                <w:b/>
                <w:bCs/>
                <w:noProof/>
              </w:rPr>
            </w:pPr>
            <w:r>
              <w:rPr>
                <w:b/>
                <w:noProof/>
              </w:rPr>
              <w:t>Valeur comptable du Fonds</w:t>
            </w:r>
          </w:p>
        </w:tc>
        <w:tc>
          <w:tcPr>
            <w:tcW w:w="2127" w:type="dxa"/>
            <w:shd w:val="clear" w:color="auto" w:fill="auto"/>
          </w:tcPr>
          <w:p>
            <w:pPr>
              <w:jc w:val="right"/>
              <w:rPr>
                <w:b/>
                <w:bCs/>
                <w:noProof/>
              </w:rPr>
            </w:pPr>
            <w:r>
              <w:rPr>
                <w:b/>
                <w:noProof/>
              </w:rPr>
              <w:t xml:space="preserve"> 2 137 753 047,57 </w:t>
            </w:r>
          </w:p>
        </w:tc>
        <w:tc>
          <w:tcPr>
            <w:tcW w:w="2126" w:type="dxa"/>
          </w:tcPr>
          <w:p>
            <w:pPr>
              <w:jc w:val="right"/>
              <w:rPr>
                <w:b/>
                <w:bCs/>
                <w:noProof/>
              </w:rPr>
            </w:pPr>
            <w:r>
              <w:rPr>
                <w:b/>
                <w:noProof/>
              </w:rPr>
              <w:t xml:space="preserve"> 2 004 356 642,91 </w:t>
            </w:r>
          </w:p>
        </w:tc>
        <w:tc>
          <w:tcPr>
            <w:tcW w:w="2090" w:type="dxa"/>
            <w:shd w:val="clear" w:color="auto" w:fill="auto"/>
          </w:tcPr>
          <w:p>
            <w:pPr>
              <w:jc w:val="right"/>
              <w:rPr>
                <w:b/>
                <w:bCs/>
                <w:noProof/>
              </w:rPr>
            </w:pPr>
            <w:r>
              <w:rPr>
                <w:b/>
                <w:noProof/>
              </w:rPr>
              <w:t xml:space="preserve"> 133 396 404,66 </w:t>
            </w:r>
          </w:p>
        </w:tc>
      </w:tr>
    </w:tbl>
    <w:p>
      <w:pPr>
        <w:rPr>
          <w:noProof/>
        </w:rPr>
      </w:pPr>
    </w:p>
    <w:p>
      <w:pPr>
        <w:rPr>
          <w:noProof/>
        </w:rPr>
      </w:pPr>
      <w:r>
        <w:rPr>
          <w:noProof/>
        </w:rPr>
        <w:t>La valeur comptable du Fonds a augmenté d'environ 133 millions d'EUR en 2014. Cette évolution est le résultat des facteurs suivants:</w:t>
      </w:r>
    </w:p>
    <w:p>
      <w:pPr>
        <w:rPr>
          <w:noProof/>
          <w:u w:val="single"/>
        </w:rPr>
      </w:pPr>
      <w:r>
        <w:rPr>
          <w:noProof/>
          <w:u w:val="single"/>
        </w:rPr>
        <w:t>Facteurs de hausse</w:t>
      </w:r>
    </w:p>
    <w:p>
      <w:pPr>
        <w:pStyle w:val="Bullet0"/>
        <w:numPr>
          <w:ilvl w:val="0"/>
          <w:numId w:val="14"/>
        </w:numPr>
        <w:rPr>
          <w:noProof/>
        </w:rPr>
      </w:pPr>
      <w:r>
        <w:rPr>
          <w:noProof/>
        </w:rPr>
        <w:t xml:space="preserve">la contribution du budget (montant du provisionnement), portée à 144,4 millions d'EUR pour atteindre le montant objectif de 9 %; </w:t>
      </w:r>
    </w:p>
    <w:p>
      <w:pPr>
        <w:pStyle w:val="Bullet0"/>
        <w:numPr>
          <w:ilvl w:val="0"/>
          <w:numId w:val="14"/>
        </w:numPr>
        <w:rPr>
          <w:noProof/>
        </w:rPr>
      </w:pPr>
      <w:r>
        <w:rPr>
          <w:noProof/>
        </w:rPr>
        <w:t>le produit net des opérations financières, qui s'est élevé à 30 millions d'EUR;</w:t>
      </w:r>
    </w:p>
    <w:p>
      <w:pPr>
        <w:pStyle w:val="Bullet0"/>
        <w:numPr>
          <w:ilvl w:val="0"/>
          <w:numId w:val="14"/>
        </w:numPr>
        <w:rPr>
          <w:noProof/>
        </w:rPr>
      </w:pPr>
      <w:r>
        <w:rPr>
          <w:noProof/>
        </w:rPr>
        <w:t xml:space="preserve"> l'augmentation de 19 millions d'EUR de la valeur du portefeuille, après réajustement en fonction du marché.</w:t>
      </w:r>
    </w:p>
    <w:p>
      <w:pPr>
        <w:rPr>
          <w:noProof/>
          <w:u w:val="single"/>
        </w:rPr>
      </w:pPr>
      <w:r>
        <w:rPr>
          <w:noProof/>
          <w:u w:val="single"/>
        </w:rPr>
        <w:t>Facteurs de baisse</w:t>
      </w:r>
    </w:p>
    <w:p>
      <w:pPr>
        <w:pStyle w:val="Bullet0"/>
        <w:numPr>
          <w:ilvl w:val="0"/>
          <w:numId w:val="14"/>
        </w:numPr>
        <w:rPr>
          <w:noProof/>
        </w:rPr>
      </w:pPr>
      <w:r>
        <w:rPr>
          <w:noProof/>
        </w:rPr>
        <w:t xml:space="preserve">l'intervention du Fonds pour couvrir les défauts de paiement de la Syrie, d’un montant total de 60 millions d'EUR, dont 22 millions étaient encore dus au 31 décembre 2014 (autres comptes à recevoir). </w:t>
      </w:r>
    </w:p>
    <w:p>
      <w:pPr>
        <w:pStyle w:val="ManualHeading2"/>
        <w:rPr>
          <w:noProof/>
        </w:rPr>
      </w:pPr>
      <w:bookmarkStart w:id="20" w:name="_Toc415838343"/>
      <w:bookmarkStart w:id="21" w:name="_Toc416963780"/>
      <w:bookmarkStart w:id="22" w:name="_Toc423704970"/>
      <w:r>
        <w:t>2.2.</w:t>
      </w:r>
      <w:r>
        <w:tab/>
      </w:r>
      <w:r>
        <w:rPr>
          <w:noProof/>
        </w:rPr>
        <w:t>Principales opérations</w:t>
      </w:r>
      <w:bookmarkEnd w:id="20"/>
      <w:bookmarkEnd w:id="21"/>
      <w:bookmarkEnd w:id="22"/>
    </w:p>
    <w:p>
      <w:pPr>
        <w:pStyle w:val="Point0number"/>
        <w:numPr>
          <w:ilvl w:val="0"/>
          <w:numId w:val="13"/>
        </w:numPr>
        <w:rPr>
          <w:noProof/>
        </w:rPr>
      </w:pPr>
      <w:r>
        <w:rPr>
          <w:noProof/>
        </w:rPr>
        <w:t>Depuis novembre 2011, la BEI est confrontée à des arriérés sur les prêts consentis à l'État syrien. En conséquence, et conformément à l'accord de garantie qu'elle a conclu avec l'UE, la Banque a fait appel au Fonds à 21 reprises au 31 décembre 2014, pour un montant total de 165 millions d'EUR (voir le point 4.1, «Défauts de paiement»).</w:t>
      </w:r>
    </w:p>
    <w:p>
      <w:pPr>
        <w:pStyle w:val="Point0number"/>
        <w:keepLines/>
        <w:numPr>
          <w:ilvl w:val="0"/>
          <w:numId w:val="13"/>
        </w:numPr>
        <w:ind w:left="851" w:hanging="851"/>
        <w:rPr>
          <w:noProof/>
        </w:rPr>
      </w:pPr>
      <w:r>
        <w:rPr>
          <w:noProof/>
        </w:rPr>
        <w:t>En février 2014, le montant de la contribution du budget au Fonds a été calculé suivant les articles 3 et 5 du règlement:</w:t>
      </w:r>
    </w:p>
    <w:p>
      <w:pPr>
        <w:pStyle w:val="Point0number"/>
        <w:numPr>
          <w:ilvl w:val="0"/>
          <w:numId w:val="0"/>
        </w:numPr>
        <w:ind w:left="851"/>
        <w:rPr>
          <w:noProof/>
        </w:rPr>
      </w:pPr>
      <w:r>
        <w:rPr>
          <w:noProof/>
        </w:rPr>
        <w:t>L'article 3 du règlement</w:t>
      </w:r>
      <w:r>
        <w:rPr>
          <w:rStyle w:val="FootnoteReference"/>
          <w:noProof/>
        </w:rPr>
        <w:footnoteReference w:id="2"/>
      </w:r>
      <w:r>
        <w:rPr>
          <w:noProof/>
        </w:rPr>
        <w:t xml:space="preserve"> fixe, pour le Fonds, un montant objectif égal à 9 % de l'encours en principal de l'ensemble des engagements découlant de chaque opération, majoré des intérêts dus et non payés.</w:t>
      </w:r>
    </w:p>
    <w:p>
      <w:pPr>
        <w:pStyle w:val="Point0number"/>
        <w:numPr>
          <w:ilvl w:val="0"/>
          <w:numId w:val="0"/>
        </w:numPr>
        <w:ind w:left="851"/>
        <w:rPr>
          <w:noProof/>
        </w:rPr>
      </w:pPr>
      <w:r>
        <w:rPr>
          <w:noProof/>
        </w:rPr>
        <w:t>L'article 5 du règlement précise que le montant du provisionnement à verser au Fonds au cours de l'exercice «n + 1» à partir du budget est calculé sur la base de la différence, à la fin de l'exercice «n - 1», entre le montant objectif et la valeur des avoirs nets du Fonds, calculée au début de l'exercice «n».</w:t>
      </w:r>
    </w:p>
    <w:p>
      <w:pPr>
        <w:pStyle w:val="Point0number"/>
        <w:numPr>
          <w:ilvl w:val="0"/>
          <w:numId w:val="0"/>
        </w:numPr>
        <w:ind w:left="851"/>
        <w:rPr>
          <w:noProof/>
        </w:rPr>
      </w:pPr>
      <w:r>
        <w:rPr>
          <w:noProof/>
        </w:rPr>
        <w:t>Pour atteindre l'objectif de 9 % de l'encours en principal de l'ensemble des engagements, la somme de 144,4 millions d'EUR a été inscrite au budget 2015 pour le provisionnement du Fonds. Au 31 décembre 2013, le montant objectif s'élevait à 2 124,8 millions d'EUR, soit 9 % de l'encours total des opérations garanties (23 609 millions d'EUR). La différence entre ce montant objectif et les avoirs nets du Fonds (1 980,4 millions d'EUR) au 31 décembre 2013 était donc de 144,4 millions d'EUR.</w:t>
      </w:r>
    </w:p>
    <w:p>
      <w:pPr>
        <w:pStyle w:val="Point0number"/>
        <w:numPr>
          <w:ilvl w:val="0"/>
          <w:numId w:val="0"/>
        </w:numPr>
        <w:ind w:left="851"/>
        <w:rPr>
          <w:noProof/>
        </w:rPr>
      </w:pPr>
      <w:r>
        <w:rPr>
          <w:noProof/>
        </w:rPr>
        <w:t xml:space="preserve">Cette somme a été demandée pour le provisionnement du Fonds en 2015 et approuvée par le Conseil et le Parlement européen en novembre 2014 dans le cadre de l'adoption du budget 2015. Elle a ensuite été comptabilisée en tant que créance sur le budget. </w:t>
      </w:r>
    </w:p>
    <w:p>
      <w:pPr>
        <w:pStyle w:val="Point0number"/>
        <w:numPr>
          <w:ilvl w:val="0"/>
          <w:numId w:val="13"/>
        </w:numPr>
        <w:rPr>
          <w:noProof/>
        </w:rPr>
      </w:pPr>
      <w:r>
        <w:rPr>
          <w:noProof/>
        </w:rPr>
        <w:t>En février 2014, la somme de 58,43 millions d'EUR a été transférée du budget vers le Fonds à titre de provisionnement pour 2014 (voir les explications au point 3.2.1 - Provisionnement du Fonds).</w:t>
      </w:r>
    </w:p>
    <w:p>
      <w:pPr>
        <w:pStyle w:val="ManualHeading2"/>
        <w:rPr>
          <w:noProof/>
        </w:rPr>
      </w:pPr>
      <w:bookmarkStart w:id="23" w:name="_Toc323019496"/>
      <w:bookmarkStart w:id="24" w:name="_Toc354050122"/>
      <w:bookmarkStart w:id="25" w:name="_Toc358294847"/>
      <w:bookmarkStart w:id="26" w:name="_Toc415838344"/>
      <w:bookmarkStart w:id="27" w:name="_Toc416963781"/>
      <w:bookmarkStart w:id="28" w:name="_Toc423704971"/>
      <w:r>
        <w:t>2.3.</w:t>
      </w:r>
      <w:r>
        <w:tab/>
      </w:r>
      <w:r>
        <w:rPr>
          <w:noProof/>
        </w:rPr>
        <w:t>Principales opérations postérieures à la date de clôture</w:t>
      </w:r>
      <w:bookmarkEnd w:id="23"/>
      <w:bookmarkEnd w:id="24"/>
      <w:bookmarkEnd w:id="25"/>
      <w:bookmarkEnd w:id="26"/>
      <w:bookmarkEnd w:id="27"/>
      <w:bookmarkEnd w:id="28"/>
    </w:p>
    <w:p>
      <w:pPr>
        <w:ind w:left="850"/>
        <w:rPr>
          <w:noProof/>
        </w:rPr>
      </w:pPr>
      <w:r>
        <w:rPr>
          <w:noProof/>
        </w:rPr>
        <w:t>En février 2015, la somme de 144,4 millions d'EUR a été transférée du budget vers le Fonds à titre de provisionnement pour 2015.</w:t>
      </w:r>
    </w:p>
    <w:p>
      <w:pPr>
        <w:pStyle w:val="ManualHeading2"/>
        <w:rPr>
          <w:noProof/>
        </w:rPr>
      </w:pPr>
      <w:bookmarkStart w:id="29" w:name="_Toc323019497"/>
      <w:bookmarkStart w:id="30" w:name="_Toc354050123"/>
      <w:bookmarkStart w:id="31" w:name="_Toc358294848"/>
      <w:bookmarkStart w:id="32" w:name="_Toc415838345"/>
      <w:bookmarkStart w:id="33" w:name="_Toc416963782"/>
      <w:bookmarkStart w:id="34" w:name="_Toc423704972"/>
      <w:r>
        <w:t>2.4.</w:t>
      </w:r>
      <w:r>
        <w:tab/>
      </w:r>
      <w:r>
        <w:rPr>
          <w:noProof/>
        </w:rPr>
        <w:t>Reddition des comptes</w:t>
      </w:r>
      <w:bookmarkEnd w:id="29"/>
      <w:bookmarkEnd w:id="30"/>
      <w:bookmarkEnd w:id="31"/>
      <w:bookmarkEnd w:id="32"/>
      <w:bookmarkEnd w:id="33"/>
      <w:bookmarkEnd w:id="34"/>
    </w:p>
    <w:p>
      <w:pPr>
        <w:pStyle w:val="ManualHeading3"/>
        <w:rPr>
          <w:iCs/>
          <w:noProof/>
        </w:rPr>
      </w:pPr>
      <w:bookmarkStart w:id="35" w:name="_Toc323019498"/>
      <w:bookmarkStart w:id="36" w:name="_Toc354050124"/>
      <w:bookmarkStart w:id="37" w:name="_Toc358294849"/>
      <w:bookmarkStart w:id="38" w:name="_Toc415838346"/>
      <w:bookmarkStart w:id="39" w:name="_Toc416963783"/>
      <w:bookmarkStart w:id="40" w:name="_Toc423704973"/>
      <w:r>
        <w:t>2.4.1.</w:t>
      </w:r>
      <w:r>
        <w:tab/>
      </w:r>
      <w:r>
        <w:rPr>
          <w:noProof/>
        </w:rPr>
        <w:t>Base d'établissement des comptes</w:t>
      </w:r>
      <w:bookmarkEnd w:id="35"/>
      <w:bookmarkEnd w:id="36"/>
      <w:bookmarkEnd w:id="37"/>
      <w:bookmarkEnd w:id="38"/>
      <w:bookmarkEnd w:id="39"/>
      <w:bookmarkEnd w:id="40"/>
    </w:p>
    <w:p>
      <w:pPr>
        <w:rPr>
          <w:noProof/>
        </w:rPr>
      </w:pPr>
      <w:r>
        <w:rPr>
          <w:noProof/>
        </w:rPr>
        <w:t>Les états financiers du Fonds (ainsi que ses états financiers pré-consolidés) ont été établis conformément aux règles comptables adoptées par le comptable de la Commission, notamment la «règle comptable nº 11 - Instruments financiers», comme il est expliqué dans le document de travail.</w:t>
      </w:r>
    </w:p>
    <w:p>
      <w:pPr>
        <w:pStyle w:val="ManualHeading3"/>
        <w:rPr>
          <w:iCs/>
          <w:noProof/>
        </w:rPr>
      </w:pPr>
      <w:bookmarkStart w:id="41" w:name="_Toc358294850"/>
      <w:bookmarkStart w:id="42" w:name="_Toc415838347"/>
      <w:bookmarkStart w:id="43" w:name="_Toc416963784"/>
      <w:bookmarkStart w:id="44" w:name="_Toc423704974"/>
      <w:bookmarkStart w:id="45" w:name="_Toc323019499"/>
      <w:bookmarkStart w:id="46" w:name="_Toc354050125"/>
      <w:r>
        <w:t>2.4.2.</w:t>
      </w:r>
      <w:r>
        <w:tab/>
      </w:r>
      <w:r>
        <w:rPr>
          <w:noProof/>
        </w:rPr>
        <w:t>États financiers pré-consolidés du Fonds au 31 décembre </w:t>
      </w:r>
      <w:bookmarkEnd w:id="41"/>
      <w:r>
        <w:rPr>
          <w:noProof/>
        </w:rPr>
        <w:t>2014</w:t>
      </w:r>
      <w:bookmarkEnd w:id="42"/>
      <w:bookmarkEnd w:id="43"/>
      <w:bookmarkEnd w:id="44"/>
    </w:p>
    <w:p>
      <w:pPr>
        <w:rPr>
          <w:noProof/>
        </w:rPr>
      </w:pPr>
      <w:r>
        <w:rPr>
          <w:noProof/>
        </w:rPr>
        <w:t>Les états financiers pré-consolidés du Fonds ont pour objet d'intégrer les opérations comptables ne figurant pas dans les états financiers du Fonds établis par la BEI (voir le document de travail), ce qui implique une différence entre la valeur totale des actifs du fonds selon les états financiers établis par la BEI (2 137 753 047,57 EUR) et la valeur totale des actifs du Fonds selon les états financiers pré-consolidés (2 016 490 714,57 EUR). Les états financiers pré-consolidés doivent intégrer tous les arriérés dus, ainsi que les intérêts courus sur les retards de paiement et autres éléments constatés d'avance</w:t>
      </w:r>
      <w:r>
        <w:rPr>
          <w:rStyle w:val="FootnoteReference"/>
          <w:noProof/>
        </w:rPr>
        <w:footnoteReference w:id="3"/>
      </w:r>
      <w:r>
        <w:rPr>
          <w:noProof/>
        </w:rPr>
        <w:t xml:space="preserve">, jusqu’au remboursement complet des montants dus au Fonds. On obtient ainsi un jeu complet d’états financiers pour le Fonds en fin d’exercice, qui peut ensuite être intégré aux états financiers consolidés de l’Union européenne. L'actif courant selon les états financiers pré-consolidés inclut une créance temporaire sur la BEI de 22 086 899 EUR correspondant à des appels de garantie non encore réglés, majorés des montants connexes, pour lesquels la BEI reste créancière de la Syrie jusqu’au règlement de l’appel de garantie. Le passif courant inclut une dette envers la BEI de 22 846 081 EUR pour des appels de garantie non encore réglés, majorés des sommes connexes. </w:t>
      </w:r>
    </w:p>
    <w:p>
      <w:pPr>
        <w:pStyle w:val="ManualHeading4"/>
        <w:rPr>
          <w:noProof/>
        </w:rPr>
      </w:pPr>
      <w:r>
        <w:tab/>
      </w:r>
      <w:r>
        <w:rPr>
          <w:noProof/>
        </w:rPr>
        <w:t>Fonds de garantie: Bilan pré-consolidé</w:t>
      </w:r>
    </w:p>
    <w:p>
      <w:pPr>
        <w:rPr>
          <w:noProof/>
        </w:rPr>
      </w:pPr>
      <w:r>
        <w:rPr>
          <w:noProof/>
        </w:rPr>
        <w:t>Le bilan pré-consolidé est le bilan établi en vue d'être intégré aux états financiers consolidés de l’UE. Les principaux postes sont expliqués dans les notes concernant le bilan.</w:t>
      </w:r>
    </w:p>
    <w:p>
      <w:pPr>
        <w:rPr>
          <w:noProof/>
        </w:rPr>
      </w:pPr>
      <w:r>
        <w:rPr>
          <w:noProof/>
        </w:rPr>
        <w:t>Bilan – Actif</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décembre 2014</w:t>
            </w:r>
          </w:p>
        </w:tc>
        <w:tc>
          <w:tcPr>
            <w:tcW w:w="2261" w:type="dxa"/>
            <w:tcBorders>
              <w:bottom w:val="single" w:sz="4" w:space="0" w:color="auto"/>
            </w:tcBorders>
            <w:shd w:val="clear" w:color="auto" w:fill="auto"/>
          </w:tcPr>
          <w:p>
            <w:pPr>
              <w:jc w:val="center"/>
              <w:rPr>
                <w:noProof/>
              </w:rPr>
            </w:pPr>
            <w:r>
              <w:rPr>
                <w:noProof/>
              </w:rPr>
              <w:t>31 décembre 2013</w:t>
            </w:r>
          </w:p>
        </w:tc>
      </w:tr>
      <w:tr>
        <w:tc>
          <w:tcPr>
            <w:tcW w:w="3936" w:type="dxa"/>
            <w:shd w:val="pct20" w:color="auto" w:fill="auto"/>
          </w:tcPr>
          <w:p>
            <w:pPr>
              <w:rPr>
                <w:shadow/>
                <w:noProof/>
              </w:rPr>
            </w:pPr>
            <w:r>
              <w:rPr>
                <w:shadow/>
                <w:noProof/>
              </w:rPr>
              <w:t>ACTIF NON COURANT</w:t>
            </w:r>
          </w:p>
        </w:tc>
        <w:tc>
          <w:tcPr>
            <w:tcW w:w="2268" w:type="dxa"/>
            <w:shd w:val="pct20" w:color="auto" w:fill="auto"/>
          </w:tcPr>
          <w:p>
            <w:pPr>
              <w:jc w:val="right"/>
              <w:rPr>
                <w:shadow/>
                <w:noProof/>
              </w:rPr>
            </w:pPr>
            <w:r>
              <w:rPr>
                <w:shadow/>
                <w:noProof/>
              </w:rPr>
              <w:t>1 499 128 901</w:t>
            </w:r>
          </w:p>
        </w:tc>
        <w:tc>
          <w:tcPr>
            <w:tcW w:w="2261" w:type="dxa"/>
            <w:shd w:val="pct20" w:color="auto" w:fill="auto"/>
          </w:tcPr>
          <w:p>
            <w:pPr>
              <w:jc w:val="right"/>
              <w:rPr>
                <w:shadow/>
                <w:noProof/>
              </w:rPr>
            </w:pPr>
            <w:r>
              <w:rPr>
                <w:shadow/>
                <w:noProof/>
              </w:rPr>
              <w:t>1 432 206 953</w:t>
            </w:r>
          </w:p>
        </w:tc>
      </w:tr>
      <w:tr>
        <w:tc>
          <w:tcPr>
            <w:tcW w:w="3936" w:type="dxa"/>
            <w:tcBorders>
              <w:bottom w:val="single" w:sz="4" w:space="0" w:color="auto"/>
            </w:tcBorders>
            <w:shd w:val="clear" w:color="auto" w:fill="auto"/>
          </w:tcPr>
          <w:p>
            <w:pPr>
              <w:rPr>
                <w:noProof/>
              </w:rPr>
            </w:pPr>
            <w:r>
              <w:rPr>
                <w:noProof/>
              </w:rPr>
              <w:t>Actifs financiers disponibles à la vente</w:t>
            </w:r>
          </w:p>
        </w:tc>
        <w:tc>
          <w:tcPr>
            <w:tcW w:w="2268" w:type="dxa"/>
            <w:tcBorders>
              <w:bottom w:val="single" w:sz="4" w:space="0" w:color="auto"/>
            </w:tcBorders>
            <w:shd w:val="clear" w:color="auto" w:fill="auto"/>
          </w:tcPr>
          <w:p>
            <w:pPr>
              <w:jc w:val="right"/>
              <w:rPr>
                <w:noProof/>
              </w:rPr>
            </w:pPr>
            <w:r>
              <w:rPr>
                <w:noProof/>
              </w:rPr>
              <w:t>1 499 128 901</w:t>
            </w:r>
          </w:p>
        </w:tc>
        <w:tc>
          <w:tcPr>
            <w:tcW w:w="2261" w:type="dxa"/>
            <w:tcBorders>
              <w:bottom w:val="single" w:sz="4" w:space="0" w:color="auto"/>
            </w:tcBorders>
            <w:shd w:val="clear" w:color="auto" w:fill="auto"/>
          </w:tcPr>
          <w:p>
            <w:pPr>
              <w:jc w:val="right"/>
              <w:rPr>
                <w:noProof/>
              </w:rPr>
            </w:pPr>
            <w:r>
              <w:rPr>
                <w:noProof/>
              </w:rPr>
              <w:t>1 432 206 953</w:t>
            </w:r>
          </w:p>
        </w:tc>
      </w:tr>
      <w:tr>
        <w:tc>
          <w:tcPr>
            <w:tcW w:w="3936" w:type="dxa"/>
            <w:shd w:val="pct20" w:color="auto" w:fill="auto"/>
          </w:tcPr>
          <w:p>
            <w:pPr>
              <w:rPr>
                <w:noProof/>
              </w:rPr>
            </w:pPr>
            <w:r>
              <w:rPr>
                <w:noProof/>
              </w:rPr>
              <w:t>ACTIF COURANT</w:t>
            </w:r>
          </w:p>
        </w:tc>
        <w:tc>
          <w:tcPr>
            <w:tcW w:w="2268" w:type="dxa"/>
            <w:shd w:val="pct20" w:color="auto" w:fill="auto"/>
          </w:tcPr>
          <w:p>
            <w:pPr>
              <w:jc w:val="right"/>
              <w:rPr>
                <w:noProof/>
              </w:rPr>
            </w:pPr>
            <w:r>
              <w:rPr>
                <w:noProof/>
              </w:rPr>
              <w:t>517 361 813</w:t>
            </w:r>
          </w:p>
        </w:tc>
        <w:tc>
          <w:tcPr>
            <w:tcW w:w="2261" w:type="dxa"/>
            <w:shd w:val="pct20" w:color="auto" w:fill="auto"/>
          </w:tcPr>
          <w:p>
            <w:pPr>
              <w:jc w:val="right"/>
              <w:rPr>
                <w:noProof/>
              </w:rPr>
            </w:pPr>
            <w:r>
              <w:rPr>
                <w:noProof/>
              </w:rPr>
              <w:t>621 219 474</w:t>
            </w:r>
          </w:p>
        </w:tc>
      </w:tr>
      <w:tr>
        <w:tc>
          <w:tcPr>
            <w:tcW w:w="3936" w:type="dxa"/>
            <w:shd w:val="clear" w:color="auto" w:fill="auto"/>
          </w:tcPr>
          <w:p>
            <w:pPr>
              <w:rPr>
                <w:noProof/>
              </w:rPr>
            </w:pPr>
            <w:r>
              <w:rPr>
                <w:noProof/>
              </w:rPr>
              <w:t>Actifs financiers disponibles à la vente</w:t>
            </w:r>
          </w:p>
        </w:tc>
        <w:tc>
          <w:tcPr>
            <w:tcW w:w="2268" w:type="dxa"/>
            <w:shd w:val="clear" w:color="auto" w:fill="auto"/>
          </w:tcPr>
          <w:p>
            <w:pPr>
              <w:jc w:val="right"/>
              <w:rPr>
                <w:noProof/>
              </w:rPr>
            </w:pPr>
            <w:r>
              <w:rPr>
                <w:noProof/>
              </w:rPr>
              <w:t>346 281 423</w:t>
            </w:r>
          </w:p>
        </w:tc>
        <w:tc>
          <w:tcPr>
            <w:tcW w:w="2261" w:type="dxa"/>
            <w:shd w:val="clear" w:color="auto" w:fill="auto"/>
          </w:tcPr>
          <w:p>
            <w:pPr>
              <w:jc w:val="right"/>
              <w:rPr>
                <w:noProof/>
              </w:rPr>
            </w:pPr>
            <w:r>
              <w:rPr>
                <w:noProof/>
              </w:rPr>
              <w:t>361 614 283</w:t>
            </w:r>
          </w:p>
        </w:tc>
      </w:tr>
      <w:tr>
        <w:tc>
          <w:tcPr>
            <w:tcW w:w="3936" w:type="dxa"/>
            <w:shd w:val="clear" w:color="auto" w:fill="auto"/>
          </w:tcPr>
          <w:p>
            <w:pPr>
              <w:rPr>
                <w:noProof/>
              </w:rPr>
            </w:pPr>
            <w:r>
              <w:rPr>
                <w:noProof/>
              </w:rPr>
              <w:t>Sommes à recevoir</w:t>
            </w:r>
          </w:p>
        </w:tc>
        <w:tc>
          <w:tcPr>
            <w:tcW w:w="2268" w:type="dxa"/>
            <w:shd w:val="clear" w:color="auto" w:fill="auto"/>
          </w:tcPr>
          <w:p>
            <w:pPr>
              <w:jc w:val="right"/>
              <w:rPr>
                <w:noProof/>
              </w:rPr>
            </w:pPr>
            <w:r>
              <w:rPr>
                <w:noProof/>
              </w:rPr>
              <w:t>23 147 185</w:t>
            </w:r>
          </w:p>
        </w:tc>
        <w:tc>
          <w:tcPr>
            <w:tcW w:w="2261" w:type="dxa"/>
            <w:shd w:val="clear" w:color="auto" w:fill="auto"/>
          </w:tcPr>
          <w:p>
            <w:pPr>
              <w:jc w:val="right"/>
              <w:rPr>
                <w:noProof/>
              </w:rPr>
            </w:pPr>
            <w:r>
              <w:rPr>
                <w:noProof/>
              </w:rPr>
              <w:t>107 502 078</w:t>
            </w:r>
          </w:p>
        </w:tc>
      </w:tr>
      <w:tr>
        <w:tc>
          <w:tcPr>
            <w:tcW w:w="3936" w:type="dxa"/>
            <w:tcBorders>
              <w:bottom w:val="single" w:sz="4" w:space="0" w:color="auto"/>
            </w:tcBorders>
            <w:shd w:val="clear" w:color="auto" w:fill="auto"/>
          </w:tcPr>
          <w:p>
            <w:pPr>
              <w:rPr>
                <w:noProof/>
              </w:rPr>
            </w:pPr>
            <w:r>
              <w:rPr>
                <w:noProof/>
              </w:rPr>
              <w:t>Trésorerie et équivalents de trésorerie</w:t>
            </w:r>
          </w:p>
        </w:tc>
        <w:tc>
          <w:tcPr>
            <w:tcW w:w="2268" w:type="dxa"/>
            <w:tcBorders>
              <w:bottom w:val="single" w:sz="4" w:space="0" w:color="auto"/>
            </w:tcBorders>
            <w:shd w:val="clear" w:color="auto" w:fill="auto"/>
          </w:tcPr>
          <w:p>
            <w:pPr>
              <w:jc w:val="right"/>
              <w:rPr>
                <w:noProof/>
              </w:rPr>
            </w:pPr>
            <w:r>
              <w:rPr>
                <w:noProof/>
              </w:rPr>
              <w:t>147 933 205</w:t>
            </w:r>
          </w:p>
        </w:tc>
        <w:tc>
          <w:tcPr>
            <w:tcW w:w="2261" w:type="dxa"/>
            <w:tcBorders>
              <w:bottom w:val="single" w:sz="4" w:space="0" w:color="auto"/>
            </w:tcBorders>
            <w:shd w:val="clear" w:color="auto" w:fill="auto"/>
          </w:tcPr>
          <w:p>
            <w:pPr>
              <w:jc w:val="right"/>
              <w:rPr>
                <w:noProof/>
              </w:rPr>
            </w:pPr>
            <w:r>
              <w:rPr>
                <w:noProof/>
              </w:rPr>
              <w:t>152 103 112</w:t>
            </w:r>
          </w:p>
        </w:tc>
      </w:tr>
      <w:tr>
        <w:tc>
          <w:tcPr>
            <w:tcW w:w="3936" w:type="dxa"/>
            <w:shd w:val="pct20" w:color="auto" w:fill="auto"/>
          </w:tcPr>
          <w:p>
            <w:pPr>
              <w:rPr>
                <w:noProof/>
              </w:rPr>
            </w:pPr>
            <w:r>
              <w:rPr>
                <w:noProof/>
              </w:rPr>
              <w:t>TOTAL DE L'ACTIF</w:t>
            </w:r>
          </w:p>
        </w:tc>
        <w:tc>
          <w:tcPr>
            <w:tcW w:w="2268" w:type="dxa"/>
            <w:shd w:val="pct20" w:color="auto" w:fill="auto"/>
          </w:tcPr>
          <w:p>
            <w:pPr>
              <w:jc w:val="right"/>
              <w:rPr>
                <w:noProof/>
              </w:rPr>
            </w:pPr>
            <w:r>
              <w:rPr>
                <w:noProof/>
              </w:rPr>
              <w:t>2 016 490 714</w:t>
            </w:r>
          </w:p>
        </w:tc>
        <w:tc>
          <w:tcPr>
            <w:tcW w:w="2261" w:type="dxa"/>
            <w:shd w:val="pct20" w:color="auto" w:fill="auto"/>
          </w:tcPr>
          <w:p>
            <w:pPr>
              <w:jc w:val="right"/>
              <w:rPr>
                <w:noProof/>
              </w:rPr>
            </w:pPr>
            <w:r>
              <w:rPr>
                <w:noProof/>
              </w:rPr>
              <w:t>2 053 426 427</w:t>
            </w:r>
          </w:p>
        </w:tc>
      </w:tr>
    </w:tbl>
    <w:p>
      <w:pPr>
        <w:rPr>
          <w:noProof/>
        </w:rPr>
      </w:pPr>
    </w:p>
    <w:p>
      <w:pPr>
        <w:rPr>
          <w:noProof/>
        </w:rPr>
      </w:pPr>
      <w:r>
        <w:rPr>
          <w:noProof/>
        </w:rPr>
        <w:t>Bilan – Passif</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31 décembre 2014</w:t>
            </w:r>
          </w:p>
        </w:tc>
        <w:tc>
          <w:tcPr>
            <w:tcW w:w="2261" w:type="dxa"/>
            <w:tcBorders>
              <w:bottom w:val="single" w:sz="4" w:space="0" w:color="auto"/>
            </w:tcBorders>
            <w:shd w:val="clear" w:color="auto" w:fill="auto"/>
          </w:tcPr>
          <w:p>
            <w:pPr>
              <w:jc w:val="center"/>
              <w:rPr>
                <w:noProof/>
              </w:rPr>
            </w:pPr>
            <w:r>
              <w:rPr>
                <w:noProof/>
              </w:rPr>
              <w:t>31 décembre 2013</w:t>
            </w:r>
          </w:p>
        </w:tc>
      </w:tr>
      <w:tr>
        <w:tc>
          <w:tcPr>
            <w:tcW w:w="3936" w:type="dxa"/>
            <w:shd w:val="pct20" w:color="auto" w:fill="auto"/>
          </w:tcPr>
          <w:p>
            <w:pPr>
              <w:rPr>
                <w:shadow/>
                <w:noProof/>
              </w:rPr>
            </w:pPr>
            <w:r>
              <w:rPr>
                <w:shadow/>
                <w:noProof/>
              </w:rPr>
              <w:t>RESSOURCES DU CONTRIBUTEUR</w:t>
            </w:r>
          </w:p>
        </w:tc>
        <w:tc>
          <w:tcPr>
            <w:tcW w:w="2268" w:type="dxa"/>
            <w:shd w:val="pct20" w:color="auto" w:fill="auto"/>
          </w:tcPr>
          <w:p>
            <w:pPr>
              <w:jc w:val="right"/>
              <w:rPr>
                <w:shadow/>
                <w:noProof/>
              </w:rPr>
            </w:pPr>
            <w:r>
              <w:rPr>
                <w:shadow/>
                <w:noProof/>
              </w:rPr>
              <w:t>1 991 699 974</w:t>
            </w:r>
          </w:p>
        </w:tc>
        <w:tc>
          <w:tcPr>
            <w:tcW w:w="2261" w:type="dxa"/>
            <w:shd w:val="pct20" w:color="auto" w:fill="auto"/>
          </w:tcPr>
          <w:p>
            <w:pPr>
              <w:jc w:val="right"/>
              <w:rPr>
                <w:shadow/>
                <w:noProof/>
              </w:rPr>
            </w:pPr>
            <w:r>
              <w:rPr>
                <w:shadow/>
                <w:noProof/>
              </w:rPr>
              <w:t>2 029 113 846</w:t>
            </w:r>
          </w:p>
        </w:tc>
      </w:tr>
      <w:tr>
        <w:tc>
          <w:tcPr>
            <w:tcW w:w="3936" w:type="dxa"/>
            <w:shd w:val="clear" w:color="auto" w:fill="auto"/>
          </w:tcPr>
          <w:p>
            <w:pPr>
              <w:rPr>
                <w:noProof/>
              </w:rPr>
            </w:pPr>
            <w:r>
              <w:rPr>
                <w:noProof/>
              </w:rPr>
              <w:t>Contribution de la Commission européenne</w:t>
            </w:r>
          </w:p>
        </w:tc>
        <w:tc>
          <w:tcPr>
            <w:tcW w:w="2268" w:type="dxa"/>
            <w:shd w:val="clear" w:color="auto" w:fill="auto"/>
          </w:tcPr>
          <w:p>
            <w:pPr>
              <w:jc w:val="right"/>
              <w:rPr>
                <w:noProof/>
              </w:rPr>
            </w:pPr>
            <w:r>
              <w:rPr>
                <w:noProof/>
              </w:rPr>
              <w:t>1 067 100 081</w:t>
            </w:r>
          </w:p>
        </w:tc>
        <w:tc>
          <w:tcPr>
            <w:tcW w:w="2261" w:type="dxa"/>
            <w:shd w:val="clear" w:color="auto" w:fill="auto"/>
          </w:tcPr>
          <w:p>
            <w:pPr>
              <w:jc w:val="right"/>
              <w:rPr>
                <w:noProof/>
              </w:rPr>
            </w:pPr>
            <w:r>
              <w:rPr>
                <w:noProof/>
              </w:rPr>
              <w:t>1 008 667 787</w:t>
            </w:r>
          </w:p>
        </w:tc>
      </w:tr>
      <w:tr>
        <w:tc>
          <w:tcPr>
            <w:tcW w:w="3936" w:type="dxa"/>
            <w:shd w:val="clear" w:color="auto" w:fill="auto"/>
          </w:tcPr>
          <w:p>
            <w:pPr>
              <w:rPr>
                <w:noProof/>
              </w:rPr>
            </w:pPr>
            <w:r>
              <w:rPr>
                <w:noProof/>
              </w:rPr>
              <w:t>Réserve de juste valeur</w:t>
            </w:r>
          </w:p>
        </w:tc>
        <w:tc>
          <w:tcPr>
            <w:tcW w:w="2268" w:type="dxa"/>
            <w:shd w:val="clear" w:color="auto" w:fill="auto"/>
          </w:tcPr>
          <w:p>
            <w:pPr>
              <w:jc w:val="right"/>
              <w:rPr>
                <w:noProof/>
              </w:rPr>
            </w:pPr>
            <w:r>
              <w:rPr>
                <w:noProof/>
              </w:rPr>
              <w:t>56 101 855</w:t>
            </w:r>
          </w:p>
        </w:tc>
        <w:tc>
          <w:tcPr>
            <w:tcW w:w="2261" w:type="dxa"/>
            <w:shd w:val="clear" w:color="auto" w:fill="auto"/>
          </w:tcPr>
          <w:p>
            <w:pPr>
              <w:jc w:val="right"/>
              <w:rPr>
                <w:noProof/>
              </w:rPr>
            </w:pPr>
            <w:r>
              <w:rPr>
                <w:noProof/>
              </w:rPr>
              <w:t>36 665 074</w:t>
            </w:r>
          </w:p>
        </w:tc>
      </w:tr>
      <w:tr>
        <w:tc>
          <w:tcPr>
            <w:tcW w:w="3936" w:type="dxa"/>
            <w:tcBorders>
              <w:bottom w:val="single" w:sz="4" w:space="0" w:color="auto"/>
            </w:tcBorders>
            <w:shd w:val="clear" w:color="auto" w:fill="auto"/>
          </w:tcPr>
          <w:p>
            <w:pPr>
              <w:rPr>
                <w:noProof/>
              </w:rPr>
            </w:pPr>
            <w:r>
              <w:rPr>
                <w:noProof/>
              </w:rPr>
              <w:t>Bénéfices non distribués</w:t>
            </w:r>
          </w:p>
        </w:tc>
        <w:tc>
          <w:tcPr>
            <w:tcW w:w="2268" w:type="dxa"/>
            <w:tcBorders>
              <w:bottom w:val="single" w:sz="4" w:space="0" w:color="auto"/>
            </w:tcBorders>
            <w:shd w:val="clear" w:color="auto" w:fill="auto"/>
          </w:tcPr>
          <w:p>
            <w:pPr>
              <w:jc w:val="right"/>
              <w:rPr>
                <w:noProof/>
              </w:rPr>
            </w:pPr>
            <w:r>
              <w:rPr>
                <w:noProof/>
              </w:rPr>
              <w:t>868 498 038</w:t>
            </w:r>
          </w:p>
        </w:tc>
        <w:tc>
          <w:tcPr>
            <w:tcW w:w="2261" w:type="dxa"/>
            <w:tcBorders>
              <w:bottom w:val="single" w:sz="4" w:space="0" w:color="auto"/>
            </w:tcBorders>
            <w:shd w:val="clear" w:color="auto" w:fill="auto"/>
          </w:tcPr>
          <w:p>
            <w:pPr>
              <w:jc w:val="right"/>
              <w:rPr>
                <w:noProof/>
              </w:rPr>
            </w:pPr>
            <w:r>
              <w:rPr>
                <w:noProof/>
              </w:rPr>
              <w:t>983 780 985</w:t>
            </w:r>
          </w:p>
        </w:tc>
      </w:tr>
      <w:tr>
        <w:tc>
          <w:tcPr>
            <w:tcW w:w="3936" w:type="dxa"/>
            <w:shd w:val="pct20" w:color="auto" w:fill="auto"/>
          </w:tcPr>
          <w:p>
            <w:pPr>
              <w:rPr>
                <w:noProof/>
              </w:rPr>
            </w:pPr>
            <w:r>
              <w:rPr>
                <w:shadow/>
                <w:noProof/>
              </w:rPr>
              <w:t>PASSIF NON COURANT</w:t>
            </w:r>
          </w:p>
        </w:tc>
        <w:tc>
          <w:tcPr>
            <w:tcW w:w="2268" w:type="dxa"/>
            <w:shd w:val="pct20" w:color="auto" w:fill="auto"/>
          </w:tcPr>
          <w:p>
            <w:pPr>
              <w:jc w:val="right"/>
              <w:rPr>
                <w:noProof/>
              </w:rPr>
            </w:pPr>
            <w:r>
              <w:rPr>
                <w:noProof/>
              </w:rPr>
              <w:t>-</w:t>
            </w:r>
          </w:p>
        </w:tc>
        <w:tc>
          <w:tcPr>
            <w:tcW w:w="2261" w:type="dxa"/>
            <w:shd w:val="pct20" w:color="auto" w:fill="auto"/>
          </w:tcPr>
          <w:p>
            <w:pPr>
              <w:jc w:val="right"/>
              <w:rPr>
                <w:noProof/>
              </w:rPr>
            </w:pPr>
            <w:r>
              <w:rPr>
                <w:noProof/>
              </w:rPr>
              <w:t>-</w:t>
            </w:r>
          </w:p>
        </w:tc>
      </w:tr>
      <w:tr>
        <w:tc>
          <w:tcPr>
            <w:tcW w:w="3936" w:type="dxa"/>
            <w:tcBorders>
              <w:bottom w:val="single" w:sz="4" w:space="0" w:color="auto"/>
            </w:tcBorders>
            <w:shd w:val="clear" w:color="auto" w:fill="auto"/>
          </w:tcPr>
          <w:p>
            <w:pPr>
              <w:rPr>
                <w:noProof/>
              </w:rPr>
            </w:pPr>
          </w:p>
        </w:tc>
        <w:tc>
          <w:tcPr>
            <w:tcW w:w="2268" w:type="dxa"/>
            <w:tcBorders>
              <w:bottom w:val="single" w:sz="4" w:space="0" w:color="auto"/>
            </w:tcBorders>
            <w:shd w:val="clear" w:color="auto" w:fill="auto"/>
          </w:tcPr>
          <w:p>
            <w:pPr>
              <w:jc w:val="right"/>
              <w:rPr>
                <w:noProof/>
              </w:rPr>
            </w:pPr>
          </w:p>
        </w:tc>
        <w:tc>
          <w:tcPr>
            <w:tcW w:w="2261" w:type="dxa"/>
            <w:tcBorders>
              <w:bottom w:val="single" w:sz="4" w:space="0" w:color="auto"/>
            </w:tcBorders>
            <w:shd w:val="clear" w:color="auto" w:fill="auto"/>
          </w:tcPr>
          <w:p>
            <w:pPr>
              <w:jc w:val="right"/>
              <w:rPr>
                <w:noProof/>
              </w:rPr>
            </w:pPr>
          </w:p>
        </w:tc>
      </w:tr>
      <w:tr>
        <w:tc>
          <w:tcPr>
            <w:tcW w:w="3936" w:type="dxa"/>
            <w:shd w:val="pct20" w:color="auto" w:fill="auto"/>
          </w:tcPr>
          <w:p>
            <w:pPr>
              <w:rPr>
                <w:noProof/>
              </w:rPr>
            </w:pPr>
            <w:r>
              <w:rPr>
                <w:shadow/>
                <w:noProof/>
              </w:rPr>
              <w:t>PASSIF COURANT</w:t>
            </w:r>
          </w:p>
        </w:tc>
        <w:tc>
          <w:tcPr>
            <w:tcW w:w="2268" w:type="dxa"/>
            <w:shd w:val="pct20" w:color="auto" w:fill="auto"/>
          </w:tcPr>
          <w:p>
            <w:pPr>
              <w:jc w:val="right"/>
              <w:rPr>
                <w:noProof/>
              </w:rPr>
            </w:pPr>
            <w:r>
              <w:rPr>
                <w:noProof/>
              </w:rPr>
              <w:t>24 790 740</w:t>
            </w:r>
          </w:p>
        </w:tc>
        <w:tc>
          <w:tcPr>
            <w:tcW w:w="2261" w:type="dxa"/>
            <w:shd w:val="pct20" w:color="auto" w:fill="auto"/>
          </w:tcPr>
          <w:p>
            <w:pPr>
              <w:jc w:val="right"/>
              <w:rPr>
                <w:noProof/>
              </w:rPr>
            </w:pPr>
            <w:r>
              <w:rPr>
                <w:noProof/>
              </w:rPr>
              <w:t>24 312 581</w:t>
            </w:r>
          </w:p>
        </w:tc>
      </w:tr>
      <w:tr>
        <w:tc>
          <w:tcPr>
            <w:tcW w:w="3936" w:type="dxa"/>
            <w:tcBorders>
              <w:bottom w:val="single" w:sz="4" w:space="0" w:color="auto"/>
            </w:tcBorders>
            <w:shd w:val="clear" w:color="auto" w:fill="auto"/>
          </w:tcPr>
          <w:p>
            <w:pPr>
              <w:rPr>
                <w:noProof/>
              </w:rPr>
            </w:pPr>
            <w:r>
              <w:rPr>
                <w:noProof/>
              </w:rPr>
              <w:t>Sommes à verser</w:t>
            </w:r>
          </w:p>
        </w:tc>
        <w:tc>
          <w:tcPr>
            <w:tcW w:w="2268" w:type="dxa"/>
            <w:tcBorders>
              <w:bottom w:val="single" w:sz="4" w:space="0" w:color="auto"/>
            </w:tcBorders>
            <w:shd w:val="clear" w:color="auto" w:fill="auto"/>
          </w:tcPr>
          <w:p>
            <w:pPr>
              <w:jc w:val="right"/>
              <w:rPr>
                <w:noProof/>
              </w:rPr>
            </w:pPr>
            <w:r>
              <w:rPr>
                <w:noProof/>
              </w:rPr>
              <w:t>24 790 740</w:t>
            </w:r>
          </w:p>
        </w:tc>
        <w:tc>
          <w:tcPr>
            <w:tcW w:w="2261" w:type="dxa"/>
            <w:tcBorders>
              <w:bottom w:val="single" w:sz="4" w:space="0" w:color="auto"/>
            </w:tcBorders>
            <w:shd w:val="clear" w:color="auto" w:fill="auto"/>
          </w:tcPr>
          <w:p>
            <w:pPr>
              <w:jc w:val="right"/>
              <w:rPr>
                <w:noProof/>
              </w:rPr>
            </w:pPr>
            <w:r>
              <w:rPr>
                <w:noProof/>
              </w:rPr>
              <w:t>24 312 581</w:t>
            </w:r>
          </w:p>
        </w:tc>
      </w:tr>
      <w:tr>
        <w:tc>
          <w:tcPr>
            <w:tcW w:w="3936" w:type="dxa"/>
            <w:shd w:val="pct20" w:color="auto" w:fill="auto"/>
          </w:tcPr>
          <w:p>
            <w:pPr>
              <w:jc w:val="left"/>
              <w:rPr>
                <w:noProof/>
              </w:rPr>
            </w:pPr>
            <w:r>
              <w:rPr>
                <w:shadow/>
                <w:noProof/>
              </w:rPr>
              <w:t>TOTAL RESSOURCES DU CONTRIBUTEUR + PASSIF</w:t>
            </w:r>
          </w:p>
        </w:tc>
        <w:tc>
          <w:tcPr>
            <w:tcW w:w="2268" w:type="dxa"/>
            <w:shd w:val="pct20" w:color="auto" w:fill="auto"/>
          </w:tcPr>
          <w:p>
            <w:pPr>
              <w:jc w:val="right"/>
              <w:rPr>
                <w:noProof/>
              </w:rPr>
            </w:pPr>
            <w:r>
              <w:rPr>
                <w:noProof/>
              </w:rPr>
              <w:t>2 016 490 714</w:t>
            </w:r>
          </w:p>
        </w:tc>
        <w:tc>
          <w:tcPr>
            <w:tcW w:w="2261" w:type="dxa"/>
            <w:shd w:val="pct20" w:color="auto" w:fill="auto"/>
          </w:tcPr>
          <w:p>
            <w:pPr>
              <w:jc w:val="right"/>
              <w:rPr>
                <w:noProof/>
              </w:rPr>
            </w:pPr>
            <w:r>
              <w:rPr>
                <w:noProof/>
              </w:rPr>
              <w:t>2 053 426 427</w:t>
            </w:r>
          </w:p>
        </w:tc>
      </w:tr>
    </w:tbl>
    <w:p>
      <w:pPr>
        <w:rPr>
          <w:noProof/>
          <w:u w:val="single"/>
        </w:rPr>
      </w:pPr>
    </w:p>
    <w:p>
      <w:pPr>
        <w:rPr>
          <w:noProof/>
        </w:rPr>
      </w:pPr>
      <w:r>
        <w:rPr>
          <w:noProof/>
        </w:rPr>
        <w:br w:type="page"/>
        <w:t>Notes concernant le bilan</w:t>
      </w:r>
    </w:p>
    <w:p>
      <w:pPr>
        <w:pStyle w:val="ListBullet"/>
        <w:rPr>
          <w:noProof/>
        </w:rPr>
      </w:pPr>
      <w:r>
        <w:rPr>
          <w:noProof/>
        </w:rPr>
        <w:t xml:space="preserve">Le poste «sommes à recevoir» comprend les montants appelés mais non encore versés (paiement en janvier - mars 2015), majorés des montants connexes. </w:t>
      </w:r>
    </w:p>
    <w:p>
      <w:pPr>
        <w:pStyle w:val="ListBullet"/>
        <w:rPr>
          <w:noProof/>
        </w:rPr>
      </w:pPr>
      <w:r>
        <w:rPr>
          <w:noProof/>
        </w:rPr>
        <w:t>La différence entre les «bénéfices non distribués» en capitaux propres et la situation financière du Fonds présentée dans le document de travail s’explique par les remboursements successifs au Fonds des appels et des pénalités.</w:t>
      </w:r>
    </w:p>
    <w:p>
      <w:pPr>
        <w:pStyle w:val="ListBullet"/>
        <w:rPr>
          <w:noProof/>
        </w:rPr>
      </w:pPr>
      <w:r>
        <w:rPr>
          <w:noProof/>
        </w:rPr>
        <w:t>Le poste «sommes à verser» comprend les appels de garanties non versés à la date de clôture du bilan, majorés des sommes connexes, la régularisation des frais de recouvrement dus à la BEI, les commissions de gestion dues à la BEI et les honoraires d’audit.</w:t>
      </w:r>
    </w:p>
    <w:p>
      <w:pPr>
        <w:pStyle w:val="ManualHeading4"/>
        <w:rPr>
          <w:noProof/>
        </w:rPr>
      </w:pPr>
      <w:r>
        <w:tab/>
      </w:r>
      <w:r>
        <w:rPr>
          <w:noProof/>
        </w:rPr>
        <w:t>Fonds de garantie: Compte de résultat économique pré-consolidé</w:t>
      </w:r>
    </w:p>
    <w:p>
      <w:pPr>
        <w:rPr>
          <w:noProof/>
        </w:rPr>
      </w:pPr>
      <w:r>
        <w:rPr>
          <w:noProof/>
        </w:rPr>
        <w:t xml:space="preserve">Comme le bilan, le compte de résultat économique pré-consolidé est établi en vue d'être intégré aux états financiers consolidés de l’UE.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43"/>
        <w:gridCol w:w="1701"/>
      </w:tblGrid>
      <w:tr>
        <w:tc>
          <w:tcPr>
            <w:tcW w:w="4786" w:type="dxa"/>
            <w:shd w:val="clear" w:color="auto" w:fill="auto"/>
          </w:tcPr>
          <w:p>
            <w:pPr>
              <w:jc w:val="center"/>
              <w:rPr>
                <w:noProof/>
              </w:rPr>
            </w:pPr>
          </w:p>
        </w:tc>
        <w:tc>
          <w:tcPr>
            <w:tcW w:w="1843" w:type="dxa"/>
            <w:shd w:val="clear" w:color="auto" w:fill="auto"/>
          </w:tcPr>
          <w:p>
            <w:pPr>
              <w:jc w:val="center"/>
              <w:rPr>
                <w:noProof/>
              </w:rPr>
            </w:pPr>
            <w:r>
              <w:rPr>
                <w:noProof/>
              </w:rPr>
              <w:t>2014</w:t>
            </w:r>
          </w:p>
        </w:tc>
        <w:tc>
          <w:tcPr>
            <w:tcW w:w="1701" w:type="dxa"/>
            <w:shd w:val="clear" w:color="auto" w:fill="auto"/>
          </w:tcPr>
          <w:p>
            <w:pPr>
              <w:jc w:val="center"/>
              <w:rPr>
                <w:noProof/>
              </w:rPr>
            </w:pPr>
            <w:r>
              <w:rPr>
                <w:noProof/>
              </w:rPr>
              <w:t>2013</w:t>
            </w:r>
          </w:p>
        </w:tc>
      </w:tr>
      <w:tr>
        <w:tc>
          <w:tcPr>
            <w:tcW w:w="4786" w:type="dxa"/>
            <w:shd w:val="clear" w:color="auto" w:fill="auto"/>
          </w:tcPr>
          <w:p>
            <w:pPr>
              <w:rPr>
                <w:shadow/>
                <w:noProof/>
              </w:rPr>
            </w:pPr>
            <w:r>
              <w:rPr>
                <w:shadow/>
                <w:noProof/>
              </w:rPr>
              <w:t>Produits opérationnels</w:t>
            </w:r>
          </w:p>
        </w:tc>
        <w:tc>
          <w:tcPr>
            <w:tcW w:w="1843" w:type="dxa"/>
            <w:shd w:val="clear" w:color="auto" w:fill="auto"/>
          </w:tcPr>
          <w:p>
            <w:pPr>
              <w:jc w:val="right"/>
              <w:rPr>
                <w:shadow/>
                <w:noProof/>
              </w:rPr>
            </w:pPr>
            <w:r>
              <w:rPr>
                <w:shadow/>
                <w:noProof/>
              </w:rPr>
              <w:t>263 355</w:t>
            </w:r>
          </w:p>
        </w:tc>
        <w:tc>
          <w:tcPr>
            <w:tcW w:w="1701" w:type="dxa"/>
            <w:shd w:val="clear" w:color="auto" w:fill="auto"/>
          </w:tcPr>
          <w:p>
            <w:pPr>
              <w:jc w:val="right"/>
              <w:rPr>
                <w:shadow/>
                <w:noProof/>
              </w:rPr>
            </w:pPr>
            <w:r>
              <w:rPr>
                <w:shadow/>
                <w:noProof/>
              </w:rPr>
              <w:t>-</w:t>
            </w:r>
          </w:p>
        </w:tc>
      </w:tr>
      <w:tr>
        <w:tc>
          <w:tcPr>
            <w:tcW w:w="4786" w:type="dxa"/>
            <w:tcBorders>
              <w:bottom w:val="single" w:sz="4" w:space="0" w:color="auto"/>
            </w:tcBorders>
            <w:shd w:val="clear" w:color="auto" w:fill="auto"/>
          </w:tcPr>
          <w:p>
            <w:pPr>
              <w:rPr>
                <w:noProof/>
              </w:rPr>
            </w:pPr>
            <w:r>
              <w:rPr>
                <w:shadow/>
                <w:noProof/>
              </w:rPr>
              <w:t>Charges opérationnelles</w:t>
            </w:r>
          </w:p>
        </w:tc>
        <w:tc>
          <w:tcPr>
            <w:tcW w:w="1843" w:type="dxa"/>
            <w:tcBorders>
              <w:bottom w:val="single" w:sz="4" w:space="0" w:color="auto"/>
            </w:tcBorders>
            <w:shd w:val="clear" w:color="auto" w:fill="auto"/>
          </w:tcPr>
          <w:p>
            <w:pPr>
              <w:jc w:val="right"/>
              <w:rPr>
                <w:noProof/>
              </w:rPr>
            </w:pPr>
            <w:r>
              <w:rPr>
                <w:noProof/>
              </w:rPr>
              <w:t>(1 516 968)</w:t>
            </w:r>
          </w:p>
        </w:tc>
        <w:tc>
          <w:tcPr>
            <w:tcW w:w="1701" w:type="dxa"/>
            <w:tcBorders>
              <w:bottom w:val="single" w:sz="4" w:space="0" w:color="auto"/>
            </w:tcBorders>
            <w:shd w:val="clear" w:color="auto" w:fill="auto"/>
          </w:tcPr>
          <w:p>
            <w:pPr>
              <w:jc w:val="right"/>
              <w:rPr>
                <w:noProof/>
              </w:rPr>
            </w:pPr>
            <w:r>
              <w:rPr>
                <w:noProof/>
              </w:rPr>
              <w:t>(1 671 934)</w:t>
            </w:r>
          </w:p>
        </w:tc>
      </w:tr>
      <w:tr>
        <w:tc>
          <w:tcPr>
            <w:tcW w:w="4786" w:type="dxa"/>
            <w:shd w:val="pct20" w:color="auto" w:fill="auto"/>
          </w:tcPr>
          <w:p>
            <w:pPr>
              <w:rPr>
                <w:noProof/>
              </w:rPr>
            </w:pPr>
            <w:r>
              <w:rPr>
                <w:shadow/>
                <w:noProof/>
              </w:rPr>
              <w:t>RÉSULTAT OPÉRATIONNEL</w:t>
            </w:r>
          </w:p>
        </w:tc>
        <w:tc>
          <w:tcPr>
            <w:tcW w:w="1843" w:type="dxa"/>
            <w:shd w:val="pct20" w:color="auto" w:fill="auto"/>
          </w:tcPr>
          <w:p>
            <w:pPr>
              <w:jc w:val="right"/>
              <w:rPr>
                <w:noProof/>
              </w:rPr>
            </w:pPr>
            <w:r>
              <w:rPr>
                <w:noProof/>
              </w:rPr>
              <w:t>(1 253 614)</w:t>
            </w:r>
          </w:p>
        </w:tc>
        <w:tc>
          <w:tcPr>
            <w:tcW w:w="1701" w:type="dxa"/>
            <w:shd w:val="pct20" w:color="auto" w:fill="auto"/>
          </w:tcPr>
          <w:p>
            <w:pPr>
              <w:jc w:val="right"/>
              <w:rPr>
                <w:shadow/>
                <w:noProof/>
              </w:rPr>
            </w:pPr>
            <w:r>
              <w:rPr>
                <w:noProof/>
              </w:rPr>
              <w:t>(1 671 934)</w:t>
            </w:r>
          </w:p>
        </w:tc>
      </w:tr>
      <w:tr>
        <w:tc>
          <w:tcPr>
            <w:tcW w:w="4786" w:type="dxa"/>
            <w:shd w:val="clear" w:color="auto" w:fill="auto"/>
          </w:tcPr>
          <w:p>
            <w:pPr>
              <w:rPr>
                <w:noProof/>
              </w:rPr>
            </w:pPr>
            <w:r>
              <w:rPr>
                <w:noProof/>
              </w:rPr>
              <w:t>Produits financiers</w:t>
            </w:r>
          </w:p>
        </w:tc>
        <w:tc>
          <w:tcPr>
            <w:tcW w:w="1843" w:type="dxa"/>
            <w:shd w:val="clear" w:color="auto" w:fill="auto"/>
          </w:tcPr>
          <w:p>
            <w:pPr>
              <w:jc w:val="right"/>
              <w:rPr>
                <w:noProof/>
              </w:rPr>
            </w:pPr>
            <w:r>
              <w:rPr>
                <w:noProof/>
              </w:rPr>
              <w:t>35 209 330</w:t>
            </w:r>
          </w:p>
        </w:tc>
        <w:tc>
          <w:tcPr>
            <w:tcW w:w="1701" w:type="dxa"/>
            <w:shd w:val="clear" w:color="auto" w:fill="auto"/>
          </w:tcPr>
          <w:p>
            <w:pPr>
              <w:jc w:val="right"/>
              <w:rPr>
                <w:noProof/>
              </w:rPr>
            </w:pPr>
            <w:r>
              <w:rPr>
                <w:noProof/>
              </w:rPr>
              <w:t>35 234 728</w:t>
            </w:r>
          </w:p>
        </w:tc>
      </w:tr>
      <w:tr>
        <w:tc>
          <w:tcPr>
            <w:tcW w:w="4786" w:type="dxa"/>
            <w:tcBorders>
              <w:bottom w:val="single" w:sz="4" w:space="0" w:color="auto"/>
            </w:tcBorders>
            <w:shd w:val="clear" w:color="auto" w:fill="auto"/>
          </w:tcPr>
          <w:p>
            <w:pPr>
              <w:rPr>
                <w:noProof/>
              </w:rPr>
            </w:pPr>
            <w:r>
              <w:rPr>
                <w:noProof/>
              </w:rPr>
              <w:t>Coûts financiers</w:t>
            </w:r>
          </w:p>
        </w:tc>
        <w:tc>
          <w:tcPr>
            <w:tcW w:w="1843" w:type="dxa"/>
            <w:tcBorders>
              <w:bottom w:val="single" w:sz="4" w:space="0" w:color="auto"/>
            </w:tcBorders>
            <w:shd w:val="clear" w:color="auto" w:fill="auto"/>
          </w:tcPr>
          <w:p>
            <w:pPr>
              <w:jc w:val="right"/>
              <w:rPr>
                <w:noProof/>
              </w:rPr>
            </w:pPr>
            <w:r>
              <w:rPr>
                <w:noProof/>
              </w:rPr>
              <w:t>(149 238 663)</w:t>
            </w:r>
          </w:p>
        </w:tc>
        <w:tc>
          <w:tcPr>
            <w:tcW w:w="1701" w:type="dxa"/>
            <w:tcBorders>
              <w:bottom w:val="single" w:sz="4" w:space="0" w:color="auto"/>
            </w:tcBorders>
            <w:shd w:val="clear" w:color="auto" w:fill="auto"/>
          </w:tcPr>
          <w:p>
            <w:pPr>
              <w:jc w:val="right"/>
              <w:rPr>
                <w:noProof/>
              </w:rPr>
            </w:pPr>
            <w:r>
              <w:rPr>
                <w:noProof/>
              </w:rPr>
              <w:t>-</w:t>
            </w:r>
          </w:p>
        </w:tc>
      </w:tr>
      <w:tr>
        <w:tc>
          <w:tcPr>
            <w:tcW w:w="4786" w:type="dxa"/>
            <w:shd w:val="pct20" w:color="auto" w:fill="auto"/>
          </w:tcPr>
          <w:p>
            <w:pPr>
              <w:rPr>
                <w:noProof/>
              </w:rPr>
            </w:pPr>
            <w:r>
              <w:rPr>
                <w:noProof/>
              </w:rPr>
              <w:t>RÉSULTAT FINANCIER</w:t>
            </w:r>
          </w:p>
        </w:tc>
        <w:tc>
          <w:tcPr>
            <w:tcW w:w="1843" w:type="dxa"/>
            <w:shd w:val="pct20" w:color="auto" w:fill="auto"/>
          </w:tcPr>
          <w:p>
            <w:pPr>
              <w:jc w:val="right"/>
              <w:rPr>
                <w:noProof/>
              </w:rPr>
            </w:pPr>
            <w:r>
              <w:rPr>
                <w:noProof/>
              </w:rPr>
              <w:t>(114 029 333)</w:t>
            </w:r>
          </w:p>
        </w:tc>
        <w:tc>
          <w:tcPr>
            <w:tcW w:w="1701" w:type="dxa"/>
            <w:shd w:val="pct20" w:color="auto" w:fill="auto"/>
          </w:tcPr>
          <w:p>
            <w:pPr>
              <w:jc w:val="right"/>
              <w:rPr>
                <w:noProof/>
              </w:rPr>
            </w:pPr>
            <w:r>
              <w:rPr>
                <w:noProof/>
              </w:rPr>
              <w:t>35 234 728</w:t>
            </w:r>
          </w:p>
        </w:tc>
      </w:tr>
      <w:tr>
        <w:tc>
          <w:tcPr>
            <w:tcW w:w="4786" w:type="dxa"/>
            <w:tcBorders>
              <w:bottom w:val="single" w:sz="4" w:space="0" w:color="auto"/>
            </w:tcBorders>
            <w:shd w:val="clear" w:color="auto" w:fill="auto"/>
          </w:tcPr>
          <w:p>
            <w:pPr>
              <w:rPr>
                <w:noProof/>
              </w:rPr>
            </w:pPr>
          </w:p>
        </w:tc>
        <w:tc>
          <w:tcPr>
            <w:tcW w:w="1843" w:type="dxa"/>
            <w:tcBorders>
              <w:bottom w:val="single" w:sz="4" w:space="0" w:color="auto"/>
            </w:tcBorders>
            <w:shd w:val="clear" w:color="auto" w:fill="auto"/>
          </w:tcPr>
          <w:p>
            <w:pPr>
              <w:jc w:val="right"/>
              <w:rPr>
                <w:noProof/>
              </w:rPr>
            </w:pPr>
          </w:p>
        </w:tc>
        <w:tc>
          <w:tcPr>
            <w:tcW w:w="1701" w:type="dxa"/>
            <w:tcBorders>
              <w:bottom w:val="single" w:sz="4" w:space="0" w:color="auto"/>
            </w:tcBorders>
            <w:shd w:val="clear" w:color="auto" w:fill="auto"/>
          </w:tcPr>
          <w:p>
            <w:pPr>
              <w:jc w:val="right"/>
              <w:rPr>
                <w:noProof/>
              </w:rPr>
            </w:pPr>
          </w:p>
        </w:tc>
      </w:tr>
      <w:tr>
        <w:tc>
          <w:tcPr>
            <w:tcW w:w="4786" w:type="dxa"/>
            <w:shd w:val="pct20" w:color="auto" w:fill="auto"/>
          </w:tcPr>
          <w:p>
            <w:pPr>
              <w:rPr>
                <w:noProof/>
              </w:rPr>
            </w:pPr>
            <w:r>
              <w:rPr>
                <w:noProof/>
              </w:rPr>
              <w:t>RÉSULTAT ÉCONOMIQUE DE L'EXERCICE</w:t>
            </w:r>
          </w:p>
        </w:tc>
        <w:tc>
          <w:tcPr>
            <w:tcW w:w="1843" w:type="dxa"/>
            <w:shd w:val="pct20" w:color="auto" w:fill="auto"/>
          </w:tcPr>
          <w:p>
            <w:pPr>
              <w:jc w:val="right"/>
              <w:rPr>
                <w:noProof/>
              </w:rPr>
            </w:pPr>
            <w:r>
              <w:rPr>
                <w:noProof/>
              </w:rPr>
              <w:t>(115 282 947)</w:t>
            </w:r>
          </w:p>
        </w:tc>
        <w:tc>
          <w:tcPr>
            <w:tcW w:w="1701" w:type="dxa"/>
            <w:shd w:val="pct20" w:color="auto" w:fill="auto"/>
          </w:tcPr>
          <w:p>
            <w:pPr>
              <w:jc w:val="right"/>
              <w:rPr>
                <w:noProof/>
              </w:rPr>
            </w:pPr>
            <w:r>
              <w:rPr>
                <w:noProof/>
              </w:rPr>
              <w:t>35 562 793</w:t>
            </w:r>
          </w:p>
        </w:tc>
      </w:tr>
    </w:tbl>
    <w:p>
      <w:pPr>
        <w:rPr>
          <w:noProof/>
          <w:u w:val="single"/>
        </w:rPr>
      </w:pPr>
      <w:bookmarkStart w:id="47" w:name="RANGE!A1:C28"/>
      <w:bookmarkStart w:id="48" w:name="_Toc323019504"/>
      <w:bookmarkStart w:id="49" w:name="_Toc354050130"/>
      <w:bookmarkStart w:id="50" w:name="_Toc358294851"/>
      <w:bookmarkStart w:id="51" w:name="_Toc415838348"/>
      <w:bookmarkStart w:id="52" w:name="_Toc416963785"/>
      <w:bookmarkEnd w:id="45"/>
      <w:bookmarkEnd w:id="46"/>
      <w:bookmarkEnd w:id="47"/>
      <w:r>
        <w:rPr>
          <w:noProof/>
          <w:u w:val="single"/>
        </w:rPr>
        <w:t>Notes concernant le compte de résultat économique:</w:t>
      </w:r>
    </w:p>
    <w:p>
      <w:pPr>
        <w:pStyle w:val="ListBullet"/>
        <w:rPr>
          <w:noProof/>
        </w:rPr>
      </w:pPr>
      <w:r>
        <w:rPr>
          <w:noProof/>
        </w:rPr>
        <w:t>Le poste «coûts financiers» se compose des pertes de valeur sur prêts subrogés liées aux défauts de paiement (voir point 4.1).</w:t>
      </w:r>
    </w:p>
    <w:p>
      <w:pPr>
        <w:pStyle w:val="ManualHeading1"/>
        <w:rPr>
          <w:noProof/>
        </w:rPr>
      </w:pPr>
      <w:bookmarkStart w:id="53" w:name="_Toc423704975"/>
      <w:r>
        <w:t>3.</w:t>
      </w:r>
      <w:r>
        <w:tab/>
      </w:r>
      <w:r>
        <w:rPr>
          <w:noProof/>
        </w:rPr>
        <w:t>Versements du Fonds et en faveur du Fonds</w:t>
      </w:r>
      <w:bookmarkEnd w:id="48"/>
      <w:bookmarkEnd w:id="49"/>
      <w:bookmarkEnd w:id="50"/>
      <w:bookmarkEnd w:id="51"/>
      <w:bookmarkEnd w:id="52"/>
      <w:bookmarkEnd w:id="53"/>
    </w:p>
    <w:p>
      <w:pPr>
        <w:rPr>
          <w:noProof/>
        </w:rPr>
      </w:pPr>
      <w:r>
        <w:rPr>
          <w:noProof/>
        </w:rPr>
        <w:t>Le présent point explique les flux financiers entrant ou sortant du Fonds.</w:t>
      </w:r>
    </w:p>
    <w:p>
      <w:pPr>
        <w:pStyle w:val="ManualHeading2"/>
        <w:rPr>
          <w:noProof/>
        </w:rPr>
      </w:pPr>
      <w:bookmarkStart w:id="54" w:name="_Toc323019505"/>
      <w:bookmarkStart w:id="55" w:name="_Toc354050131"/>
      <w:bookmarkStart w:id="56" w:name="_Toc358294852"/>
      <w:bookmarkStart w:id="57" w:name="_Toc415838349"/>
      <w:bookmarkStart w:id="58" w:name="_Toc416963786"/>
      <w:bookmarkStart w:id="59" w:name="_Toc423704976"/>
      <w:r>
        <w:t>3.1.</w:t>
      </w:r>
      <w:r>
        <w:tab/>
      </w:r>
      <w:r>
        <w:rPr>
          <w:noProof/>
        </w:rPr>
        <w:t>Base juridique des versements du budget général au Fonds</w:t>
      </w:r>
      <w:bookmarkEnd w:id="54"/>
      <w:bookmarkEnd w:id="55"/>
      <w:bookmarkEnd w:id="56"/>
      <w:bookmarkEnd w:id="57"/>
      <w:bookmarkEnd w:id="58"/>
      <w:bookmarkEnd w:id="59"/>
    </w:p>
    <w:p>
      <w:pPr>
        <w:rPr>
          <w:noProof/>
        </w:rPr>
      </w:pPr>
      <w:r>
        <w:rPr>
          <w:noProof/>
        </w:rPr>
        <w:t xml:space="preserve">Le règlement nº 480/2009 du Conseil instituant le Fonds de garantie assure une meilleure utilisation des ressources budgétaires en provisionnant le Fonds sur la base des montants constatés pour l'encours des prêts garantis. L'augmentation du montant des passifs exigibles entraîne un accroissement de la contribution du budget de l’UE nécessaire au respect du montant objectif défini pour le Fonds. </w:t>
      </w:r>
    </w:p>
    <w:p>
      <w:pPr>
        <w:rPr>
          <w:noProof/>
        </w:rPr>
      </w:pPr>
      <w:r>
        <w:rPr>
          <w:noProof/>
        </w:rPr>
        <w:t xml:space="preserve">Le montant objectif est de 9 % de l'encours des prêts et des prêts garantis, comprenant tous les types d'opérations couvertes (prêts BEI, AMF et EURATOM) en dehors de l'UE. La différence entre le montant objectif et la valeur des avoirs nets du Fonds se traduira par un versement en faveur du Fonds à partir de la ligne budgétaire 01.03.06 «Provisionnement du Fonds de garantie» ou, en cas d'excédent, par un versement du Fonds au budget. </w:t>
      </w:r>
    </w:p>
    <w:p>
      <w:pPr>
        <w:pStyle w:val="ManualHeading2"/>
        <w:rPr>
          <w:noProof/>
        </w:rPr>
      </w:pPr>
      <w:bookmarkStart w:id="60" w:name="_Toc415838350"/>
      <w:bookmarkStart w:id="61" w:name="_Toc416963787"/>
      <w:bookmarkStart w:id="62" w:name="_Toc423704977"/>
      <w:bookmarkStart w:id="63" w:name="_Toc323019506"/>
      <w:bookmarkStart w:id="64" w:name="_Toc354050132"/>
      <w:bookmarkStart w:id="65" w:name="_Toc358294853"/>
      <w:r>
        <w:t>3.2.</w:t>
      </w:r>
      <w:r>
        <w:tab/>
      </w:r>
      <w:r>
        <w:rPr>
          <w:noProof/>
        </w:rPr>
        <w:t>Versements du budget général, ou en faveur du budget général, au cours de l'exercice</w:t>
      </w:r>
      <w:bookmarkEnd w:id="60"/>
      <w:bookmarkEnd w:id="61"/>
      <w:bookmarkEnd w:id="62"/>
    </w:p>
    <w:p>
      <w:pPr>
        <w:pStyle w:val="ManualHeading3"/>
        <w:rPr>
          <w:noProof/>
        </w:rPr>
      </w:pPr>
      <w:bookmarkStart w:id="66" w:name="_Toc323019507"/>
      <w:bookmarkStart w:id="67" w:name="_Toc354050133"/>
      <w:bookmarkStart w:id="68" w:name="_Toc358294854"/>
      <w:bookmarkStart w:id="69" w:name="_Toc415838351"/>
      <w:bookmarkStart w:id="70" w:name="_Toc416963788"/>
      <w:bookmarkStart w:id="71" w:name="_Toc423704978"/>
      <w:bookmarkEnd w:id="63"/>
      <w:bookmarkEnd w:id="64"/>
      <w:bookmarkEnd w:id="65"/>
      <w:r>
        <w:t>3.2.1.</w:t>
      </w:r>
      <w:r>
        <w:tab/>
      </w:r>
      <w:r>
        <w:rPr>
          <w:noProof/>
        </w:rPr>
        <w:t>Provisionnement du Fonds</w:t>
      </w:r>
      <w:bookmarkEnd w:id="66"/>
      <w:bookmarkEnd w:id="67"/>
      <w:bookmarkEnd w:id="68"/>
      <w:bookmarkEnd w:id="69"/>
      <w:bookmarkEnd w:id="70"/>
      <w:bookmarkEnd w:id="71"/>
    </w:p>
    <w:p>
      <w:pPr>
        <w:rPr>
          <w:noProof/>
        </w:rPr>
      </w:pPr>
      <w:r>
        <w:rPr>
          <w:noProof/>
        </w:rPr>
        <w:t>Sur la base des 23 099 millions d’EUR d’encours d'opérations garanties au 31.12.2012, un montant de 58,43 millions d'EUR a été inscrit sur la ligne 01 03 06 «Provisionnement du Fonds de garantie» dans l’état des dépenses du budget général de l’Union européenne pour 2014. Cette somme a été transférée du budget vers le Fonds en une seule opération en février 2014.</w:t>
      </w:r>
    </w:p>
    <w:p>
      <w:pPr>
        <w:pStyle w:val="ManualHeading3"/>
        <w:rPr>
          <w:noProof/>
        </w:rPr>
      </w:pPr>
      <w:bookmarkStart w:id="72" w:name="_Toc323019508"/>
      <w:bookmarkStart w:id="73" w:name="_Toc354050134"/>
      <w:bookmarkStart w:id="74" w:name="_Toc358294855"/>
      <w:bookmarkStart w:id="75" w:name="_Toc415838352"/>
      <w:bookmarkStart w:id="76" w:name="_Toc416963789"/>
      <w:bookmarkStart w:id="77" w:name="_Toc423704979"/>
      <w:r>
        <w:t>3.2.2.</w:t>
      </w:r>
      <w:r>
        <w:tab/>
      </w:r>
      <w:r>
        <w:rPr>
          <w:noProof/>
        </w:rPr>
        <w:t>Intérêts tirés du placement des actifs liquides du Fonds</w:t>
      </w:r>
      <w:bookmarkEnd w:id="72"/>
      <w:bookmarkEnd w:id="73"/>
      <w:bookmarkEnd w:id="74"/>
      <w:bookmarkEnd w:id="75"/>
      <w:bookmarkEnd w:id="76"/>
      <w:bookmarkEnd w:id="77"/>
    </w:p>
    <w:p>
      <w:pPr>
        <w:pStyle w:val="ManualHeading4"/>
        <w:rPr>
          <w:noProof/>
        </w:rPr>
      </w:pPr>
      <w:bookmarkStart w:id="78" w:name="_Toc323019509"/>
      <w:r>
        <w:tab/>
      </w:r>
      <w:r>
        <w:rPr>
          <w:noProof/>
        </w:rPr>
        <w:t>Politique d'investissement</w:t>
      </w:r>
    </w:p>
    <w:p>
      <w:pPr>
        <w:rPr>
          <w:noProof/>
        </w:rPr>
      </w:pPr>
      <w:r>
        <w:rPr>
          <w:noProof/>
        </w:rPr>
        <w:t>Les actifs liquides du Fonds sont investis conformément aux principes de gestion énoncés dans l'annexe de la convention, telle que modifiée</w:t>
      </w:r>
      <w:r>
        <w:rPr>
          <w:rStyle w:val="FootnoteReference"/>
          <w:noProof/>
        </w:rPr>
        <w:footnoteReference w:id="4"/>
      </w:r>
      <w:r>
        <w:rPr>
          <w:noProof/>
        </w:rPr>
        <w:t>. Un cinquième du Fonds (20 %) doit donc être placé dans des investissements à court terme (un an au maximum), notamment des titres à taux variable, indépendamment de leur échéance, et des titres à taux fixe à échéance résiduelle d'un an maximum, quelle que soit leur échéance initiale. Pour maintenir un équilibre entre les différents instruments censés assurer la liquidité requise, une somme d'au moins 100 millions d'EUR reste placée sur le marché monétaire, sous forme notamment de dépôts bancaires.</w:t>
      </w:r>
    </w:p>
    <w:p>
      <w:pPr>
        <w:rPr>
          <w:noProof/>
        </w:rPr>
      </w:pPr>
      <w:r>
        <w:rPr>
          <w:noProof/>
        </w:rPr>
        <w:t>La liste des banques habilitées à recevoir des dépôts est proposée par la BEI et avalisée par la Commission. Elle est révisée régulièrement en fonction de l'évolution de la notation des banques. Toutes les banques qui y figurent ont reçu de l'agence Moody's une note supérieure ou égale à «P1» (ou une note équivalente de Standard &amp; Poor's ou de Fitch) pour les placements à court terme. Les placements auprès de ces banques sont soumis à des règles visant à assurer un rendement compétitif et à éviter toute concentration des risques.</w:t>
      </w:r>
    </w:p>
    <w:p>
      <w:pPr>
        <w:rPr>
          <w:noProof/>
        </w:rPr>
      </w:pPr>
      <w:r>
        <w:rPr>
          <w:noProof/>
        </w:rPr>
        <w:t>Jusqu'à 80 % des actifs du Fonds peuvent être placés dans un portefeuille d'obligations dont l'échéance résiduelle ne dépasse pas 10 ans et 6 mois à compter de la date de paiement. La durée moyenne de placement de l’ensemble des actifs du Fonds ne peut excéder cinq ans. Les placements en obligations doivent respecter certains critères concernant notamment la liquidité, la notation de crédit, l’éligibilité des contreparties et les limites de concentration. Afin d'assurer une bonne diversification des risques, le montant total investi dans les obligations d'un même émetteur ne doit pas excéder 10 % du montant nominal total du portefeuille.</w:t>
      </w:r>
    </w:p>
    <w:p>
      <w:pPr>
        <w:pStyle w:val="ManualHeading4"/>
        <w:rPr>
          <w:noProof/>
        </w:rPr>
      </w:pPr>
      <w:r>
        <w:tab/>
      </w:r>
      <w:r>
        <w:rPr>
          <w:noProof/>
        </w:rPr>
        <w:t>Rendement</w:t>
      </w:r>
    </w:p>
    <w:p>
      <w:pPr>
        <w:rPr>
          <w:noProof/>
          <w:sz w:val="22"/>
          <w:szCs w:val="22"/>
        </w:rPr>
      </w:pPr>
      <w:r>
        <w:rPr>
          <w:noProof/>
        </w:rPr>
        <w:t>Le Fonds affiche pour 2014 un rendement absolu de + 2,55 %, soit 0,19 % de plus que son indice de référence. L'indice de référence est établi principalement à partir d'indices iBoxx (notamment des indices basés sur des titres de dette souveraine en EUR de la zone euro et des placements garantis en EUR) et EURIBID pour l'exposition à court terme.</w:t>
      </w:r>
      <w:r>
        <w:rPr>
          <w:i/>
          <w:noProof/>
        </w:rPr>
        <w:t xml:space="preserve"> </w:t>
      </w:r>
    </w:p>
    <w:p>
      <w:pPr>
        <w:rPr>
          <w:noProof/>
        </w:rPr>
      </w:pPr>
      <w:r>
        <w:rPr>
          <w:noProof/>
        </w:rPr>
        <w:t>Les prévisions initiales de croissance et d'inflation ont été revues à la baisse en 2014, particulièrement dans la zone euro. Dans le même temps, la BCE s'est efforcée, par sa politique monétaire accommodante et ses annonces, de ramener les prévisions d'inflation à son niveau cible, soit une inflation inférieure à 2 points de pourcentage, mais proche de cette valeur. Dans ce contexte, les taux de référence pour l'euro ont baissé et ont atteint des niveaux négatifs pour les échéances allant jusqu'à 5 ans environ. Les performances financières du Fonds en 2014 ont été favorisées par la diminution des rendements et l'augmentation correspondante de la valeur des titres à revenu fixes détenus dans le portefeuille (pour plus de détails, voir le point 2.4.2 – «Performance» du document de travail).</w:t>
      </w:r>
    </w:p>
    <w:p>
      <w:pPr>
        <w:pStyle w:val="ManualHeading3"/>
        <w:rPr>
          <w:noProof/>
        </w:rPr>
      </w:pPr>
      <w:bookmarkStart w:id="79" w:name="_Toc416963790"/>
      <w:bookmarkStart w:id="80" w:name="_Toc423704980"/>
      <w:r>
        <w:tab/>
      </w:r>
      <w:r>
        <w:rPr>
          <w:noProof/>
        </w:rPr>
        <w:t>3.2.3.</w:t>
      </w:r>
      <w:r>
        <w:rPr>
          <w:noProof/>
        </w:rPr>
        <w:tab/>
      </w:r>
      <w:bookmarkStart w:id="81" w:name="_Toc323019511"/>
      <w:bookmarkEnd w:id="78"/>
      <w:r>
        <w:rPr>
          <w:noProof/>
        </w:rPr>
        <w:t>Produits d'opérations financières</w:t>
      </w:r>
      <w:bookmarkEnd w:id="79"/>
      <w:bookmarkEnd w:id="81"/>
      <w:bookmarkEnd w:id="80"/>
    </w:p>
    <w:p>
      <w:pPr>
        <w:rPr>
          <w:noProof/>
        </w:rPr>
      </w:pPr>
      <w:r>
        <w:rPr>
          <w:noProof/>
        </w:rPr>
        <w:t>En 2014, les intérêts tirés de la trésorerie, des équivalents de trésorerie</w:t>
      </w:r>
      <w:bookmarkStart w:id="82" w:name="OLE_LINK1"/>
      <w:r>
        <w:rPr>
          <w:noProof/>
        </w:rPr>
        <w:t>, des titres et des produits à recevoir sur prêts subrogés se sont montés au total</w:t>
      </w:r>
      <w:bookmarkEnd w:id="82"/>
      <w:r>
        <w:rPr>
          <w:noProof/>
        </w:rPr>
        <w:t xml:space="preserve"> à 35 209 330 EUR, répartis comme suit: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701"/>
        <w:gridCol w:w="1701"/>
      </w:tblGrid>
      <w:tr>
        <w:trPr>
          <w:trHeight w:val="454"/>
        </w:trPr>
        <w:tc>
          <w:tcPr>
            <w:tcW w:w="5104" w:type="dxa"/>
            <w:shd w:val="clear" w:color="auto" w:fill="auto"/>
            <w:vAlign w:val="center"/>
          </w:tcPr>
          <w:p>
            <w:pPr>
              <w:spacing w:before="0" w:after="0"/>
              <w:contextualSpacing/>
              <w:rPr>
                <w:b/>
                <w:noProof/>
              </w:rPr>
            </w:pPr>
            <w:r>
              <w:rPr>
                <w:b/>
                <w:noProof/>
              </w:rPr>
              <w:t>Description:</w:t>
            </w:r>
          </w:p>
        </w:tc>
        <w:tc>
          <w:tcPr>
            <w:tcW w:w="1701" w:type="dxa"/>
            <w:shd w:val="clear" w:color="auto" w:fill="auto"/>
            <w:vAlign w:val="center"/>
          </w:tcPr>
          <w:p>
            <w:pPr>
              <w:spacing w:before="0" w:after="0"/>
              <w:contextualSpacing/>
              <w:jc w:val="center"/>
              <w:rPr>
                <w:b/>
                <w:bCs/>
                <w:noProof/>
              </w:rPr>
            </w:pPr>
            <w:r>
              <w:rPr>
                <w:b/>
                <w:noProof/>
                <w:color w:val="000000"/>
              </w:rPr>
              <w:t>2014</w:t>
            </w:r>
          </w:p>
        </w:tc>
        <w:tc>
          <w:tcPr>
            <w:tcW w:w="1701" w:type="dxa"/>
            <w:vAlign w:val="center"/>
          </w:tcPr>
          <w:p>
            <w:pPr>
              <w:spacing w:before="0" w:after="0"/>
              <w:contextualSpacing/>
              <w:jc w:val="center"/>
              <w:rPr>
                <w:b/>
                <w:bCs/>
                <w:noProof/>
              </w:rPr>
            </w:pPr>
            <w:r>
              <w:rPr>
                <w:b/>
                <w:noProof/>
              </w:rPr>
              <w:t>2013</w:t>
            </w:r>
          </w:p>
        </w:tc>
      </w:tr>
      <w:tr>
        <w:trPr>
          <w:trHeight w:val="454"/>
        </w:trPr>
        <w:tc>
          <w:tcPr>
            <w:tcW w:w="5104" w:type="dxa"/>
            <w:shd w:val="clear" w:color="auto" w:fill="auto"/>
            <w:vAlign w:val="center"/>
          </w:tcPr>
          <w:p>
            <w:pPr>
              <w:spacing w:before="0" w:after="0"/>
              <w:contextualSpacing/>
              <w:rPr>
                <w:b/>
                <w:noProof/>
              </w:rPr>
            </w:pPr>
            <w:r>
              <w:rPr>
                <w:b/>
                <w:noProof/>
              </w:rPr>
              <w:t>Intérêts sur trésorerie et équivalents de trésorerie</w:t>
            </w:r>
          </w:p>
        </w:tc>
        <w:tc>
          <w:tcPr>
            <w:tcW w:w="1701" w:type="dxa"/>
            <w:shd w:val="clear" w:color="auto" w:fill="auto"/>
            <w:vAlign w:val="center"/>
          </w:tcPr>
          <w:p>
            <w:pPr>
              <w:spacing w:before="0" w:after="0"/>
              <w:contextualSpacing/>
              <w:jc w:val="right"/>
              <w:rPr>
                <w:b/>
                <w:bCs/>
                <w:noProof/>
              </w:rPr>
            </w:pPr>
            <w:r>
              <w:rPr>
                <w:b/>
                <w:noProof/>
                <w:color w:val="000000"/>
              </w:rPr>
              <w:t>267 136,21</w:t>
            </w:r>
          </w:p>
        </w:tc>
        <w:tc>
          <w:tcPr>
            <w:tcW w:w="1701" w:type="dxa"/>
            <w:vAlign w:val="center"/>
          </w:tcPr>
          <w:p>
            <w:pPr>
              <w:spacing w:before="0" w:after="0"/>
              <w:contextualSpacing/>
              <w:jc w:val="right"/>
              <w:rPr>
                <w:b/>
                <w:bCs/>
                <w:noProof/>
              </w:rPr>
            </w:pPr>
            <w:r>
              <w:rPr>
                <w:b/>
                <w:noProof/>
              </w:rPr>
              <w:t>208 412,77</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Intérêts reçus sur les dépôts à court terme</w:t>
            </w:r>
          </w:p>
        </w:tc>
        <w:tc>
          <w:tcPr>
            <w:tcW w:w="1701" w:type="dxa"/>
            <w:shd w:val="clear" w:color="auto" w:fill="auto"/>
            <w:vAlign w:val="center"/>
          </w:tcPr>
          <w:p>
            <w:pPr>
              <w:spacing w:before="0" w:after="0"/>
              <w:ind w:left="142"/>
              <w:contextualSpacing/>
              <w:jc w:val="right"/>
              <w:rPr>
                <w:noProof/>
                <w:sz w:val="22"/>
                <w:szCs w:val="22"/>
              </w:rPr>
            </w:pPr>
            <w:r>
              <w:rPr>
                <w:noProof/>
                <w:sz w:val="22"/>
              </w:rPr>
              <w:t>266 031,63</w:t>
            </w:r>
          </w:p>
        </w:tc>
        <w:tc>
          <w:tcPr>
            <w:tcW w:w="1701" w:type="dxa"/>
            <w:vAlign w:val="center"/>
          </w:tcPr>
          <w:p>
            <w:pPr>
              <w:spacing w:before="0" w:after="0"/>
              <w:ind w:left="142"/>
              <w:contextualSpacing/>
              <w:jc w:val="right"/>
              <w:rPr>
                <w:noProof/>
                <w:sz w:val="22"/>
                <w:szCs w:val="22"/>
              </w:rPr>
            </w:pPr>
            <w:r>
              <w:rPr>
                <w:noProof/>
                <w:sz w:val="22"/>
              </w:rPr>
              <w:t>205 694,91</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Variation des intérêts courus sur les dépôts à court terme</w:t>
            </w:r>
          </w:p>
        </w:tc>
        <w:tc>
          <w:tcPr>
            <w:tcW w:w="1701" w:type="dxa"/>
            <w:shd w:val="clear" w:color="auto" w:fill="auto"/>
            <w:vAlign w:val="center"/>
          </w:tcPr>
          <w:p>
            <w:pPr>
              <w:spacing w:before="0" w:after="0"/>
              <w:ind w:left="142"/>
              <w:contextualSpacing/>
              <w:jc w:val="right"/>
              <w:rPr>
                <w:noProof/>
                <w:sz w:val="22"/>
                <w:szCs w:val="22"/>
              </w:rPr>
            </w:pPr>
            <w:r>
              <w:rPr>
                <w:noProof/>
                <w:sz w:val="22"/>
              </w:rPr>
              <w:t>-2 802,56</w:t>
            </w:r>
          </w:p>
        </w:tc>
        <w:tc>
          <w:tcPr>
            <w:tcW w:w="1701" w:type="dxa"/>
            <w:vAlign w:val="center"/>
          </w:tcPr>
          <w:p>
            <w:pPr>
              <w:spacing w:before="0" w:after="0"/>
              <w:ind w:left="142"/>
              <w:contextualSpacing/>
              <w:jc w:val="right"/>
              <w:rPr>
                <w:noProof/>
                <w:sz w:val="22"/>
                <w:szCs w:val="22"/>
              </w:rPr>
            </w:pPr>
            <w:r>
              <w:rPr>
                <w:noProof/>
                <w:sz w:val="22"/>
              </w:rPr>
              <w:t xml:space="preserve">-10 794,39 </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Intérêts de comptes courants bancaires</w:t>
            </w:r>
          </w:p>
        </w:tc>
        <w:tc>
          <w:tcPr>
            <w:tcW w:w="1701" w:type="dxa"/>
            <w:shd w:val="clear" w:color="auto" w:fill="auto"/>
            <w:vAlign w:val="center"/>
          </w:tcPr>
          <w:p>
            <w:pPr>
              <w:spacing w:before="0" w:after="0"/>
              <w:contextualSpacing/>
              <w:jc w:val="right"/>
              <w:rPr>
                <w:bCs/>
                <w:noProof/>
                <w:sz w:val="22"/>
                <w:szCs w:val="22"/>
              </w:rPr>
            </w:pPr>
            <w:r>
              <w:rPr>
                <w:noProof/>
                <w:color w:val="000000"/>
                <w:sz w:val="22"/>
              </w:rPr>
              <w:t>3 907,14</w:t>
            </w:r>
          </w:p>
        </w:tc>
        <w:tc>
          <w:tcPr>
            <w:tcW w:w="1701" w:type="dxa"/>
            <w:vAlign w:val="center"/>
          </w:tcPr>
          <w:p>
            <w:pPr>
              <w:spacing w:before="0" w:after="0"/>
              <w:contextualSpacing/>
              <w:jc w:val="right"/>
              <w:rPr>
                <w:bCs/>
                <w:noProof/>
                <w:sz w:val="22"/>
                <w:szCs w:val="22"/>
              </w:rPr>
            </w:pPr>
            <w:r>
              <w:rPr>
                <w:noProof/>
                <w:sz w:val="22"/>
              </w:rPr>
              <w:t>13 512,25</w:t>
            </w:r>
          </w:p>
        </w:tc>
      </w:tr>
      <w:tr>
        <w:trPr>
          <w:trHeight w:val="454"/>
        </w:trPr>
        <w:tc>
          <w:tcPr>
            <w:tcW w:w="5104" w:type="dxa"/>
            <w:shd w:val="clear" w:color="auto" w:fill="auto"/>
            <w:vAlign w:val="center"/>
          </w:tcPr>
          <w:p>
            <w:pPr>
              <w:spacing w:before="0" w:after="0"/>
              <w:contextualSpacing/>
              <w:rPr>
                <w:noProof/>
              </w:rPr>
            </w:pPr>
            <w:r>
              <w:rPr>
                <w:b/>
                <w:noProof/>
              </w:rPr>
              <w:t>Intérêts sur actifs DAV</w:t>
            </w:r>
          </w:p>
        </w:tc>
        <w:tc>
          <w:tcPr>
            <w:tcW w:w="1701" w:type="dxa"/>
            <w:shd w:val="clear" w:color="auto" w:fill="auto"/>
            <w:vAlign w:val="center"/>
          </w:tcPr>
          <w:p>
            <w:pPr>
              <w:spacing w:before="0" w:after="0"/>
              <w:contextualSpacing/>
              <w:jc w:val="right"/>
              <w:rPr>
                <w:b/>
                <w:bCs/>
                <w:noProof/>
              </w:rPr>
            </w:pPr>
            <w:r>
              <w:rPr>
                <w:b/>
                <w:noProof/>
                <w:color w:val="000000"/>
              </w:rPr>
              <w:t xml:space="preserve">29 274 967,00 </w:t>
            </w:r>
          </w:p>
        </w:tc>
        <w:tc>
          <w:tcPr>
            <w:tcW w:w="1701" w:type="dxa"/>
            <w:vAlign w:val="center"/>
          </w:tcPr>
          <w:p>
            <w:pPr>
              <w:spacing w:before="0" w:after="0"/>
              <w:contextualSpacing/>
              <w:jc w:val="right"/>
              <w:rPr>
                <w:b/>
                <w:bCs/>
                <w:noProof/>
              </w:rPr>
            </w:pPr>
            <w:r>
              <w:rPr>
                <w:b/>
                <w:noProof/>
              </w:rPr>
              <w:t>31 299 159,53</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Intérêts reçus – portefeuille de titres DAV</w:t>
            </w:r>
          </w:p>
        </w:tc>
        <w:tc>
          <w:tcPr>
            <w:tcW w:w="1701" w:type="dxa"/>
            <w:shd w:val="clear" w:color="auto" w:fill="auto"/>
            <w:vAlign w:val="center"/>
          </w:tcPr>
          <w:p>
            <w:pPr>
              <w:spacing w:before="0" w:after="0"/>
              <w:ind w:left="142"/>
              <w:contextualSpacing/>
              <w:jc w:val="right"/>
              <w:rPr>
                <w:noProof/>
                <w:sz w:val="22"/>
                <w:szCs w:val="22"/>
              </w:rPr>
            </w:pPr>
            <w:r>
              <w:rPr>
                <w:noProof/>
                <w:sz w:val="22"/>
              </w:rPr>
              <w:t>32 894 240,86</w:t>
            </w:r>
          </w:p>
        </w:tc>
        <w:tc>
          <w:tcPr>
            <w:tcW w:w="1701" w:type="dxa"/>
            <w:vAlign w:val="center"/>
          </w:tcPr>
          <w:p>
            <w:pPr>
              <w:spacing w:before="0" w:after="0"/>
              <w:ind w:left="142"/>
              <w:contextualSpacing/>
              <w:jc w:val="right"/>
              <w:rPr>
                <w:noProof/>
                <w:sz w:val="22"/>
                <w:szCs w:val="22"/>
              </w:rPr>
            </w:pPr>
            <w:r>
              <w:rPr>
                <w:noProof/>
                <w:sz w:val="22"/>
              </w:rPr>
              <w:t>36 599 210,68</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Variation des intérêts courus – portefeuille de titres DAV</w:t>
            </w:r>
          </w:p>
        </w:tc>
        <w:tc>
          <w:tcPr>
            <w:tcW w:w="1701" w:type="dxa"/>
            <w:shd w:val="clear" w:color="auto" w:fill="auto"/>
            <w:vAlign w:val="center"/>
          </w:tcPr>
          <w:p>
            <w:pPr>
              <w:spacing w:before="0" w:after="0"/>
              <w:contextualSpacing/>
              <w:jc w:val="right"/>
              <w:rPr>
                <w:noProof/>
                <w:sz w:val="22"/>
                <w:szCs w:val="22"/>
              </w:rPr>
            </w:pPr>
            <w:r>
              <w:rPr>
                <w:noProof/>
                <w:sz w:val="22"/>
              </w:rPr>
              <w:t>-2 303 550,35</w:t>
            </w:r>
          </w:p>
        </w:tc>
        <w:tc>
          <w:tcPr>
            <w:tcW w:w="1701" w:type="dxa"/>
            <w:shd w:val="clear" w:color="auto" w:fill="auto"/>
            <w:vAlign w:val="center"/>
          </w:tcPr>
          <w:p>
            <w:pPr>
              <w:spacing w:before="0" w:after="0"/>
              <w:contextualSpacing/>
              <w:jc w:val="right"/>
              <w:rPr>
                <w:noProof/>
                <w:sz w:val="22"/>
                <w:szCs w:val="22"/>
              </w:rPr>
            </w:pPr>
            <w:r>
              <w:rPr>
                <w:noProof/>
                <w:sz w:val="22"/>
              </w:rPr>
              <w:t>-2 642 922,24</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Prime / Décote</w:t>
            </w:r>
          </w:p>
        </w:tc>
        <w:tc>
          <w:tcPr>
            <w:tcW w:w="1701" w:type="dxa"/>
            <w:shd w:val="clear" w:color="auto" w:fill="auto"/>
            <w:vAlign w:val="center"/>
          </w:tcPr>
          <w:p>
            <w:pPr>
              <w:spacing w:before="0" w:after="0"/>
              <w:ind w:left="142"/>
              <w:contextualSpacing/>
              <w:jc w:val="right"/>
              <w:rPr>
                <w:noProof/>
                <w:sz w:val="22"/>
                <w:szCs w:val="22"/>
              </w:rPr>
            </w:pPr>
            <w:r>
              <w:rPr>
                <w:noProof/>
                <w:sz w:val="22"/>
              </w:rPr>
              <w:t>-1 315 723,51</w:t>
            </w:r>
          </w:p>
        </w:tc>
        <w:tc>
          <w:tcPr>
            <w:tcW w:w="1701" w:type="dxa"/>
            <w:vAlign w:val="center"/>
          </w:tcPr>
          <w:p>
            <w:pPr>
              <w:spacing w:before="0" w:after="0"/>
              <w:ind w:left="142"/>
              <w:contextualSpacing/>
              <w:jc w:val="right"/>
              <w:rPr>
                <w:noProof/>
                <w:sz w:val="22"/>
                <w:szCs w:val="22"/>
              </w:rPr>
            </w:pPr>
            <w:r>
              <w:rPr>
                <w:noProof/>
                <w:sz w:val="22"/>
              </w:rPr>
              <w:t xml:space="preserve"> -2 657 128,91</w:t>
            </w:r>
          </w:p>
        </w:tc>
      </w:tr>
      <w:tr>
        <w:trPr>
          <w:trHeight w:val="454"/>
        </w:trPr>
        <w:tc>
          <w:tcPr>
            <w:tcW w:w="5104" w:type="dxa"/>
            <w:shd w:val="clear" w:color="auto" w:fill="auto"/>
            <w:vAlign w:val="center"/>
          </w:tcPr>
          <w:p>
            <w:pPr>
              <w:spacing w:before="0" w:after="0"/>
              <w:contextualSpacing/>
              <w:rPr>
                <w:b/>
                <w:noProof/>
              </w:rPr>
            </w:pPr>
            <w:r>
              <w:rPr>
                <w:b/>
                <w:noProof/>
              </w:rPr>
              <w:t>Produit de prêts de titres</w:t>
            </w:r>
          </w:p>
        </w:tc>
        <w:tc>
          <w:tcPr>
            <w:tcW w:w="1701" w:type="dxa"/>
            <w:shd w:val="clear" w:color="auto" w:fill="auto"/>
            <w:vAlign w:val="center"/>
          </w:tcPr>
          <w:p>
            <w:pPr>
              <w:spacing w:before="0" w:after="0"/>
              <w:contextualSpacing/>
              <w:jc w:val="right"/>
              <w:rPr>
                <w:b/>
                <w:bCs/>
                <w:noProof/>
              </w:rPr>
            </w:pPr>
            <w:r>
              <w:rPr>
                <w:b/>
                <w:noProof/>
                <w:color w:val="000000"/>
              </w:rPr>
              <w:t>99 651,26</w:t>
            </w:r>
          </w:p>
        </w:tc>
        <w:tc>
          <w:tcPr>
            <w:tcW w:w="1701" w:type="dxa"/>
            <w:vAlign w:val="center"/>
          </w:tcPr>
          <w:p>
            <w:pPr>
              <w:spacing w:before="0" w:after="0"/>
              <w:contextualSpacing/>
              <w:jc w:val="right"/>
              <w:rPr>
                <w:b/>
                <w:bCs/>
                <w:noProof/>
              </w:rPr>
            </w:pPr>
            <w:r>
              <w:rPr>
                <w:b/>
                <w:noProof/>
              </w:rPr>
              <w:t xml:space="preserve"> 83 827,76</w:t>
            </w:r>
          </w:p>
        </w:tc>
      </w:tr>
      <w:tr>
        <w:trPr>
          <w:trHeight w:val="454"/>
        </w:trPr>
        <w:tc>
          <w:tcPr>
            <w:tcW w:w="5104" w:type="dxa"/>
            <w:shd w:val="clear" w:color="auto" w:fill="auto"/>
            <w:vAlign w:val="center"/>
          </w:tcPr>
          <w:p>
            <w:pPr>
              <w:spacing w:before="0" w:after="0"/>
              <w:contextualSpacing/>
              <w:rPr>
                <w:noProof/>
              </w:rPr>
            </w:pPr>
            <w:r>
              <w:rPr>
                <w:b/>
                <w:noProof/>
              </w:rPr>
              <w:t>Plus-values réalisées sur la vente d'actifs financiers</w:t>
            </w:r>
          </w:p>
        </w:tc>
        <w:tc>
          <w:tcPr>
            <w:tcW w:w="1701" w:type="dxa"/>
            <w:shd w:val="clear" w:color="auto" w:fill="auto"/>
            <w:vAlign w:val="center"/>
          </w:tcPr>
          <w:p>
            <w:pPr>
              <w:spacing w:before="0" w:after="0"/>
              <w:contextualSpacing/>
              <w:jc w:val="right"/>
              <w:rPr>
                <w:b/>
                <w:bCs/>
                <w:noProof/>
              </w:rPr>
            </w:pPr>
            <w:r>
              <w:rPr>
                <w:b/>
                <w:noProof/>
                <w:color w:val="000000"/>
              </w:rPr>
              <w:t>1 162 566,88</w:t>
            </w:r>
          </w:p>
        </w:tc>
        <w:tc>
          <w:tcPr>
            <w:tcW w:w="1701" w:type="dxa"/>
            <w:vAlign w:val="center"/>
          </w:tcPr>
          <w:p>
            <w:pPr>
              <w:spacing w:before="0" w:after="0"/>
              <w:contextualSpacing/>
              <w:jc w:val="right"/>
              <w:rPr>
                <w:b/>
                <w:bCs/>
                <w:noProof/>
              </w:rPr>
            </w:pPr>
            <w:r>
              <w:rPr>
                <w:b/>
                <w:noProof/>
              </w:rPr>
              <w:t xml:space="preserve"> 1 364 029,81</w:t>
            </w:r>
          </w:p>
        </w:tc>
      </w:tr>
      <w:tr>
        <w:trPr>
          <w:trHeight w:val="454"/>
        </w:trPr>
        <w:tc>
          <w:tcPr>
            <w:tcW w:w="5104" w:type="dxa"/>
            <w:shd w:val="clear" w:color="auto" w:fill="auto"/>
            <w:vAlign w:val="center"/>
          </w:tcPr>
          <w:p>
            <w:pPr>
              <w:spacing w:before="0" w:after="0"/>
              <w:contextualSpacing/>
              <w:rPr>
                <w:b/>
                <w:noProof/>
              </w:rPr>
            </w:pPr>
            <w:r>
              <w:rPr>
                <w:b/>
                <w:noProof/>
              </w:rPr>
              <w:t>Intérêts courus sur prêts subrogés</w:t>
            </w:r>
          </w:p>
        </w:tc>
        <w:tc>
          <w:tcPr>
            <w:tcW w:w="1701" w:type="dxa"/>
            <w:shd w:val="clear" w:color="auto" w:fill="auto"/>
            <w:vAlign w:val="center"/>
          </w:tcPr>
          <w:p>
            <w:pPr>
              <w:spacing w:before="0" w:after="0"/>
              <w:contextualSpacing/>
              <w:jc w:val="right"/>
              <w:rPr>
                <w:b/>
                <w:noProof/>
              </w:rPr>
            </w:pPr>
            <w:r>
              <w:rPr>
                <w:b/>
                <w:noProof/>
                <w:color w:val="000000"/>
              </w:rPr>
              <w:t>4 405 009,00</w:t>
            </w:r>
          </w:p>
        </w:tc>
        <w:tc>
          <w:tcPr>
            <w:tcW w:w="1701" w:type="dxa"/>
            <w:vAlign w:val="center"/>
          </w:tcPr>
          <w:p>
            <w:pPr>
              <w:spacing w:before="0" w:after="0"/>
              <w:contextualSpacing/>
              <w:jc w:val="right"/>
              <w:rPr>
                <w:b/>
                <w:noProof/>
              </w:rPr>
            </w:pPr>
            <w:r>
              <w:rPr>
                <w:b/>
                <w:noProof/>
              </w:rPr>
              <w:t>2 279 297,84</w:t>
            </w:r>
          </w:p>
        </w:tc>
      </w:tr>
      <w:tr>
        <w:trPr>
          <w:trHeight w:val="454"/>
        </w:trPr>
        <w:tc>
          <w:tcPr>
            <w:tcW w:w="5104" w:type="dxa"/>
            <w:shd w:val="clear" w:color="auto" w:fill="auto"/>
            <w:vAlign w:val="center"/>
          </w:tcPr>
          <w:p>
            <w:pPr>
              <w:spacing w:before="0" w:after="0"/>
              <w:contextualSpacing/>
              <w:rPr>
                <w:b/>
                <w:noProof/>
              </w:rPr>
            </w:pPr>
            <w:r>
              <w:rPr>
                <w:b/>
                <w:noProof/>
              </w:rPr>
              <w:t>Intérêts tirés du placement d'actifs liquides du Fonds</w:t>
            </w:r>
          </w:p>
        </w:tc>
        <w:tc>
          <w:tcPr>
            <w:tcW w:w="1701" w:type="dxa"/>
            <w:shd w:val="clear" w:color="auto" w:fill="auto"/>
            <w:vAlign w:val="center"/>
          </w:tcPr>
          <w:p>
            <w:pPr>
              <w:spacing w:before="0" w:after="0"/>
              <w:contextualSpacing/>
              <w:jc w:val="right"/>
              <w:rPr>
                <w:b/>
                <w:bCs/>
                <w:noProof/>
              </w:rPr>
            </w:pPr>
            <w:r>
              <w:rPr>
                <w:b/>
                <w:noProof/>
                <w:color w:val="000000"/>
              </w:rPr>
              <w:t xml:space="preserve">35 209 330,35 </w:t>
            </w:r>
          </w:p>
        </w:tc>
        <w:tc>
          <w:tcPr>
            <w:tcW w:w="1701" w:type="dxa"/>
            <w:vAlign w:val="center"/>
          </w:tcPr>
          <w:p>
            <w:pPr>
              <w:spacing w:before="0" w:after="0"/>
              <w:contextualSpacing/>
              <w:jc w:val="right"/>
              <w:rPr>
                <w:b/>
                <w:bCs/>
                <w:noProof/>
              </w:rPr>
            </w:pPr>
            <w:r>
              <w:rPr>
                <w:b/>
                <w:noProof/>
              </w:rPr>
              <w:t>35 234 727,71</w:t>
            </w:r>
          </w:p>
        </w:tc>
      </w:tr>
    </w:tbl>
    <w:p>
      <w:pPr>
        <w:rPr>
          <w:noProof/>
        </w:rPr>
      </w:pPr>
    </w:p>
    <w:p>
      <w:pPr>
        <w:rPr>
          <w:noProof/>
        </w:rPr>
      </w:pPr>
      <w:r>
        <w:rPr>
          <w:noProof/>
        </w:rPr>
        <w:br w:type="page"/>
      </w:r>
    </w:p>
    <w:p>
      <w:pPr>
        <w:pStyle w:val="ManualHeading3"/>
        <w:rPr>
          <w:noProof/>
        </w:rPr>
      </w:pPr>
      <w:bookmarkStart w:id="83" w:name="_Toc416963791"/>
      <w:bookmarkStart w:id="84" w:name="_Toc423704981"/>
      <w:r>
        <w:t>3.2.4.</w:t>
      </w:r>
      <w:r>
        <w:tab/>
      </w:r>
      <w:r>
        <w:rPr>
          <w:noProof/>
        </w:rPr>
        <w:t>Produits et charges opérationnels</w:t>
      </w:r>
      <w:bookmarkEnd w:id="83"/>
      <w:bookmarkEnd w:id="84"/>
    </w:p>
    <w:p>
      <w:pPr>
        <w:rPr>
          <w:noProof/>
        </w:rPr>
      </w:pPr>
      <w:r>
        <w:rPr>
          <w:noProof/>
        </w:rPr>
        <w:t>Le résultat opérationnel s'est élevé à - 1 253 614 EUR, dont 844 873 EUR de frais de gestion de la BEI, 170 678 EUR d'autres charges opérationnelles, 39 500 EUR de frais d’audit externe, 263 355 EUR de gains de change latents sur prêts subrogés et 461 918 EUR de frais de recouvrement dus à la BEI.</w:t>
      </w:r>
    </w:p>
    <w:p>
      <w:pPr>
        <w:pStyle w:val="ManualHeading1"/>
        <w:rPr>
          <w:noProof/>
        </w:rPr>
      </w:pPr>
      <w:bookmarkStart w:id="85" w:name="_Toc323019513"/>
      <w:bookmarkStart w:id="86" w:name="_Toc354050135"/>
      <w:bookmarkStart w:id="87" w:name="_Toc358294856"/>
      <w:bookmarkStart w:id="88" w:name="_Toc415838353"/>
      <w:bookmarkStart w:id="89" w:name="_Toc416963792"/>
      <w:bookmarkStart w:id="90" w:name="_Toc423704982"/>
      <w:r>
        <w:t>4.</w:t>
      </w:r>
      <w:r>
        <w:tab/>
      </w:r>
      <w:r>
        <w:rPr>
          <w:noProof/>
        </w:rPr>
        <w:t>Passif du Fonds</w:t>
      </w:r>
      <w:bookmarkEnd w:id="85"/>
      <w:bookmarkEnd w:id="86"/>
      <w:bookmarkEnd w:id="87"/>
      <w:bookmarkEnd w:id="88"/>
      <w:bookmarkEnd w:id="89"/>
      <w:bookmarkEnd w:id="90"/>
    </w:p>
    <w:p>
      <w:pPr>
        <w:rPr>
          <w:noProof/>
        </w:rPr>
      </w:pPr>
      <w:r>
        <w:rPr>
          <w:noProof/>
        </w:rPr>
        <w:t>Le passif du Fonds correspond à l’ensemble de ses engagements financiers.</w:t>
      </w:r>
    </w:p>
    <w:p>
      <w:pPr>
        <w:pStyle w:val="ManualHeading2"/>
        <w:rPr>
          <w:noProof/>
        </w:rPr>
      </w:pPr>
      <w:bookmarkStart w:id="91" w:name="_Toc323019514"/>
      <w:bookmarkStart w:id="92" w:name="_Toc354050136"/>
      <w:bookmarkStart w:id="93" w:name="_Toc358294857"/>
      <w:bookmarkStart w:id="94" w:name="_Toc415838354"/>
      <w:bookmarkStart w:id="95" w:name="_Toc416963793"/>
      <w:bookmarkStart w:id="96" w:name="_Toc423704983"/>
      <w:r>
        <w:t>4.1.</w:t>
      </w:r>
      <w:r>
        <w:tab/>
      </w:r>
      <w:r>
        <w:rPr>
          <w:noProof/>
        </w:rPr>
        <w:t>Défauts de paiement</w:t>
      </w:r>
      <w:bookmarkEnd w:id="91"/>
      <w:bookmarkEnd w:id="92"/>
      <w:bookmarkEnd w:id="93"/>
      <w:bookmarkEnd w:id="94"/>
      <w:bookmarkEnd w:id="95"/>
      <w:bookmarkEnd w:id="96"/>
    </w:p>
    <w:p>
      <w:pPr>
        <w:pStyle w:val="Bullet0"/>
        <w:numPr>
          <w:ilvl w:val="0"/>
          <w:numId w:val="14"/>
        </w:numPr>
        <w:rPr>
          <w:noProof/>
        </w:rPr>
      </w:pPr>
      <w:r>
        <w:rPr>
          <w:noProof/>
        </w:rPr>
        <w:t>Appels au Fonds de garantie à la suite de défauts de paiement</w:t>
      </w:r>
    </w:p>
    <w:p>
      <w:pPr>
        <w:rPr>
          <w:noProof/>
        </w:rPr>
      </w:pPr>
      <w:r>
        <w:rPr>
          <w:noProof/>
        </w:rPr>
        <w:t>Face à la détérioration de la situation en Syrie, le Conseil affaires étrangères, le Parlement européen et le Conseil ont pris en 2011 certaines décisions concernant ce pays. Ils ont notamment demandé à la BEI de ne plus décaisser de fonds dans le cadre des accords de prêts en cours et suspendu ses contrats d’assistance technique à des projets souverains en Syrie. Ces initiatives ont ensuite été formalisées par la décision 2011/782/PESC du Conseil du 1</w:t>
      </w:r>
      <w:r>
        <w:rPr>
          <w:noProof/>
          <w:vertAlign w:val="superscript"/>
        </w:rPr>
        <w:t>er</w:t>
      </w:r>
      <w:r>
        <w:rPr>
          <w:noProof/>
        </w:rPr>
        <w:t> décembre 2011 et par le règlement (UE) nº 36/2012 du Conseil du 18 janvier 2012.</w:t>
      </w:r>
    </w:p>
    <w:p>
      <w:pPr>
        <w:rPr>
          <w:noProof/>
        </w:rPr>
      </w:pPr>
      <w:r>
        <w:rPr>
          <w:noProof/>
        </w:rPr>
        <w:t>Aucune nouvelle opération de financement n’a donc été engagée par la BEI depuis mai 2011 et tous les décaissements et services d’assistance technique en faveur de la République arabe syrienne sont suspendus depuis novembre 2011 jusqu'à nouvel ordre.</w:t>
      </w:r>
    </w:p>
    <w:p>
      <w:pPr>
        <w:rPr>
          <w:noProof/>
        </w:rPr>
      </w:pPr>
      <w:r>
        <w:rPr>
          <w:noProof/>
        </w:rPr>
        <w:t>Alors que la Syrie avait, au cours des années précédentes, assuré dans les délais l'intégralité du service des prêts consentis par la Banque, celle-ci fait face depuis novembre 2011 à des arriérés de paiement sur les prêts consentis à l'État syrien. En conséquence, et conformément à l'accord de garantie conclu entre l'UE et la BEI, la Banque a fait appel au Fonds de garantie de l'UE à 21 reprises au 31 décembre 2014, pour un montant total de 165 millions d'EUR. Le versement des trois derniers appels de garantie (22 millions d’EUR) devant avoir lieu au premier trimestre 2015.</w:t>
      </w:r>
    </w:p>
    <w:p>
      <w:pPr>
        <w:pStyle w:val="Bullet0"/>
        <w:numPr>
          <w:ilvl w:val="0"/>
          <w:numId w:val="14"/>
        </w:numPr>
        <w:rPr>
          <w:noProof/>
        </w:rPr>
      </w:pPr>
      <w:r>
        <w:rPr>
          <w:noProof/>
        </w:rPr>
        <w:t>Événements postérieurs à la date de clôture</w:t>
      </w:r>
    </w:p>
    <w:p>
      <w:pPr>
        <w:rPr>
          <w:noProof/>
        </w:rPr>
      </w:pPr>
      <w:r>
        <w:rPr>
          <w:noProof/>
        </w:rPr>
        <w:t xml:space="preserve">Fin février 2015, un autre appel de garantie a été lancé à la suite de défauts de paiement de la Syrie, pour un montant total de 7,9 millions d’EUR. </w:t>
      </w:r>
    </w:p>
    <w:p>
      <w:pPr>
        <w:pStyle w:val="ManualHeading2"/>
        <w:rPr>
          <w:noProof/>
        </w:rPr>
      </w:pPr>
      <w:bookmarkStart w:id="97" w:name="_Toc323019515"/>
      <w:bookmarkStart w:id="98" w:name="_Toc354050137"/>
      <w:bookmarkStart w:id="99" w:name="_Toc358294858"/>
      <w:bookmarkStart w:id="100" w:name="_Toc415838355"/>
      <w:bookmarkStart w:id="101" w:name="_Toc416963794"/>
      <w:bookmarkStart w:id="102" w:name="_Toc423704984"/>
      <w:r>
        <w:t>4.2.</w:t>
      </w:r>
      <w:r>
        <w:tab/>
      </w:r>
      <w:r>
        <w:rPr>
          <w:noProof/>
        </w:rPr>
        <w:t>Rémunération de la BEI</w:t>
      </w:r>
      <w:bookmarkEnd w:id="97"/>
      <w:bookmarkEnd w:id="98"/>
      <w:bookmarkEnd w:id="99"/>
      <w:bookmarkEnd w:id="100"/>
      <w:bookmarkEnd w:id="101"/>
      <w:bookmarkEnd w:id="102"/>
    </w:p>
    <w:p>
      <w:pPr>
        <w:rPr>
          <w:noProof/>
        </w:rPr>
      </w:pPr>
      <w:r>
        <w:rPr>
          <w:noProof/>
        </w:rPr>
        <w:t>La rémunération de la BEI est constituée de frais de gestion et de frais de recouvrement. Les frais de gestion correspondent à la gestion du Fonds. Les frais de recouvrement correspondent aux efforts de recouvrement de créances déployés par la BEI en cas de défaut de paiement couvert par la garantie de l’UE pour les opérations de financement de la Banque hors de l’Union.</w:t>
      </w:r>
    </w:p>
    <w:p>
      <w:pPr>
        <w:rPr>
          <w:noProof/>
        </w:rPr>
      </w:pPr>
      <w:r>
        <w:rPr>
          <w:noProof/>
        </w:rPr>
        <w:br w:type="page"/>
        <w:t>Frais de gestion</w:t>
      </w:r>
    </w:p>
    <w:p>
      <w:pPr>
        <w:rPr>
          <w:noProof/>
        </w:rPr>
      </w:pPr>
      <w:r>
        <w:rPr>
          <w:noProof/>
        </w:rPr>
        <w:t>Conformément au deuxième avenant à la convention, signé les 26 avril et 8 mai 2002, la rémunération de la Banque est calculée en appliquant des taux de commission annuels dégressifs aux différentes tranches d'actifs du Fonds. Elle est calculée à partir de l'actif annuel moyen du Fonds.</w:t>
      </w:r>
    </w:p>
    <w:p>
      <w:pPr>
        <w:rPr>
          <w:noProof/>
        </w:rPr>
      </w:pPr>
      <w:r>
        <w:rPr>
          <w:noProof/>
        </w:rPr>
        <w:t>La rémunération de la Banque, fixée pour l'exercice 2014 à 844 873 EUR, a été inscrite au compte de résultat économique et comptabilisée en compte de régularisation au passif du bilan.</w:t>
      </w:r>
      <w:bookmarkStart w:id="103" w:name="_CopyToNewDocument_"/>
      <w:bookmarkEnd w:id="103"/>
      <w:r>
        <w:rPr>
          <w:noProof/>
        </w:rPr>
        <w:t xml:space="preserve"> </w:t>
      </w:r>
    </w:p>
    <w:p>
      <w:pPr>
        <w:rPr>
          <w:rFonts w:ascii="Calibri" w:hAnsi="Calibri"/>
          <w:noProof/>
          <w:color w:val="000000"/>
          <w:sz w:val="22"/>
          <w:szCs w:val="22"/>
        </w:rPr>
      </w:pPr>
      <w:r>
        <w:rPr>
          <w:noProof/>
        </w:rPr>
        <w:t xml:space="preserve">Les frais de recouvrement dus à la BEI sont calculés conformément à l'accord de recouvrement signé entre la Commission et la Banque en juillet 2014. Fin 2014, le montant cumulé des frais de recouvrement était de 1 060 285 EUR. </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15</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JO L 145 du 10.6.2009, p. 10. </w:t>
      </w:r>
    </w:p>
  </w:footnote>
  <w:footnote w:id="2">
    <w:p>
      <w:pPr>
        <w:pStyle w:val="FootnoteText"/>
      </w:pPr>
      <w:r>
        <w:rPr>
          <w:rStyle w:val="FootnoteReference"/>
        </w:rPr>
        <w:footnoteRef/>
      </w:r>
      <w:r>
        <w:tab/>
        <w:t>Le règlement dispose que les opérations relatives aux pays en voie d’adhésion couvertes par le Fonds continuent à bénéficier de la garantie de l'UE après la date d’adhésion. Toutefois, comme elles cessent d'être des actions extérieures de l'UE à compter de cette date, ces opérations sont couvertes, non plus par le Fonds, mais directement par le budget général de l'Union.</w:t>
      </w:r>
    </w:p>
  </w:footnote>
  <w:footnote w:id="3">
    <w:p>
      <w:pPr>
        <w:pStyle w:val="FootnoteText"/>
      </w:pPr>
      <w:r>
        <w:rPr>
          <w:rStyle w:val="FootnoteReference"/>
        </w:rPr>
        <w:footnoteRef/>
      </w:r>
      <w:r>
        <w:tab/>
        <w:t>Les autres éléments constatés d'avance incluent les écarts de taux de change et les frais de recouvrement dus à la BEI.</w:t>
      </w:r>
    </w:p>
  </w:footnote>
  <w:footnote w:id="4">
    <w:p>
      <w:pPr>
        <w:pStyle w:val="FootnoteText"/>
      </w:pPr>
      <w:r>
        <w:rPr>
          <w:rStyle w:val="FootnoteReference"/>
        </w:rPr>
        <w:footnoteRef/>
      </w:r>
      <w:r>
        <w:tab/>
        <w:t>Convention modifiée par l'avenant nº 1 des 17 et 23 septembre 1996, l'avenant nº 2 des 26 avril et 8 mai 2002, l'avenant nº 3 du 25 février 2008 et l'avenant n° 4 du 9 novembre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3ABA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FFC572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EC82E3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DC48C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4D4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690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6A4E8"/>
    <w:lvl w:ilvl="0">
      <w:start w:val="1"/>
      <w:numFmt w:val="decimal"/>
      <w:pStyle w:val="ListNumber"/>
      <w:lvlText w:val="%1."/>
      <w:lvlJc w:val="left"/>
      <w:pPr>
        <w:tabs>
          <w:tab w:val="num" w:pos="360"/>
        </w:tabs>
        <w:ind w:left="360" w:hanging="360"/>
      </w:pPr>
      <w:rPr>
        <w:rFonts w:cs="Times New Roman"/>
      </w:rPr>
    </w:lvl>
  </w:abstractNum>
  <w:abstractNum w:abstractNumId="7">
    <w:nsid w:val="0CB477BA"/>
    <w:multiLevelType w:val="multilevel"/>
    <w:tmpl w:val="9E247306"/>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212747"/>
    <w:multiLevelType w:val="multilevel"/>
    <w:tmpl w:val="FBD0F48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F076C74"/>
    <w:multiLevelType w:val="multilevel"/>
    <w:tmpl w:val="CC8EDB14"/>
    <w:name w:val="Point"/>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16">
    <w:nsid w:val="43001DEE"/>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3B26268"/>
    <w:multiLevelType w:val="singleLevel"/>
    <w:tmpl w:val="491E6360"/>
    <w:name w:val="Heading"/>
    <w:lvl w:ilvl="0">
      <w:start w:val="1"/>
      <w:numFmt w:val="decimal"/>
      <w:lvlRestart w:val="0"/>
      <w:lvlText w:val="(%1)"/>
      <w:lvlJc w:val="left"/>
      <w:pPr>
        <w:tabs>
          <w:tab w:val="num" w:pos="709"/>
        </w:tabs>
        <w:ind w:left="709" w:hanging="709"/>
      </w:pPr>
      <w:rPr>
        <w:rFonts w:cs="Times New Roman"/>
      </w:r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D2B5511"/>
    <w:multiLevelType w:val="singleLevel"/>
    <w:tmpl w:val="74A09970"/>
    <w:name w:val="0.645225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8"/>
  </w:num>
  <w:num w:numId="2">
    <w:abstractNumId w:val="10"/>
  </w:num>
  <w:num w:numId="3">
    <w:abstractNumId w:val="21"/>
  </w:num>
  <w:num w:numId="4">
    <w:abstractNumId w:val="20"/>
  </w:num>
  <w:num w:numId="5">
    <w:abstractNumId w:val="17"/>
  </w:num>
  <w:num w:numId="6">
    <w:abstractNumId w:val="24"/>
  </w:num>
  <w:num w:numId="7">
    <w:abstractNumId w:val="26"/>
  </w:num>
  <w:num w:numId="8">
    <w:abstractNumId w:val="13"/>
  </w:num>
  <w:num w:numId="9">
    <w:abstractNumId w:val="12"/>
  </w:num>
  <w:num w:numId="10">
    <w:abstractNumId w:val="22"/>
  </w:num>
  <w:num w:numId="11">
    <w:abstractNumId w:val="14"/>
  </w:num>
  <w:num w:numId="12">
    <w:abstractNumId w:val="19"/>
  </w:num>
  <w:num w:numId="13">
    <w:abstractNumId w:val="11"/>
  </w:num>
  <w:num w:numId="14">
    <w:abstractNumId w:val="9"/>
  </w:num>
  <w:num w:numId="15">
    <w:abstractNumId w:val="25"/>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6"/>
  </w:num>
  <w:num w:numId="24">
    <w:abstractNumId w:val="7"/>
  </w:num>
  <w:num w:numId="25">
    <w:abstractNumId w:val="7"/>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A8154DE2BAC48A2878697AE188148F7"/>
    <w:docVar w:name="LW_CROSSREFERENCE" w:val="&lt;UNUSED&gt;"/>
    <w:docVar w:name="LW_DocType" w:val="NORMAL"/>
    <w:docVar w:name="LW_EMISSION" w:val="16.7.2015"/>
    <w:docVar w:name="LW_EMISSION_ISODATE" w:val="2015-07-1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43"/>
    <w:docVar w:name="LW_REF.INTERNE" w:val="&lt;UNUSED&gt;"/>
    <w:docVar w:name="LW_SOUS.TITRE.OBJ.CP" w:val="&lt;UNUSED&gt;"/>
    <w:docVar w:name="LW_SUPERTITRE" w:val="&lt;UNUSED&gt;"/>
    <w:docVar w:name="LW_TITRE.OBJ.CP" w:val="CONCERNANT LE FONDS DE GARANTIE ET LA GESTION DE CELUI-CI EN 2014"/>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7"/>
      </w:numPr>
    </w:pPr>
  </w:style>
  <w:style w:type="paragraph" w:customStyle="1" w:styleId="Point0number">
    <w:name w:val="Point 0 (number)"/>
    <w:basedOn w:val="Normal"/>
    <w:pPr>
      <w:numPr>
        <w:numId w:val="7"/>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7"/>
      </w:numPr>
    </w:pPr>
  </w:style>
  <w:style w:type="paragraph" w:customStyle="1" w:styleId="Point1number">
    <w:name w:val="Point 1 (number)"/>
    <w:basedOn w:val="Normal"/>
    <w:pPr>
      <w:numPr>
        <w:ilvl w:val="2"/>
        <w:numId w:val="7"/>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semiHidden/>
    <w:rPr>
      <w:lang w:eastAsia="fr-FR"/>
    </w:rPr>
  </w:style>
  <w:style w:type="character" w:customStyle="1" w:styleId="Heading4Char">
    <w:name w:val="Heading 4 Char"/>
    <w:link w:val="Heading4"/>
    <w:rPr>
      <w:bCs/>
      <w:sz w:val="24"/>
      <w:szCs w:val="28"/>
      <w:lang w:eastAsia="fr-FR"/>
    </w:rPr>
  </w:style>
  <w:style w:type="character" w:customStyle="1" w:styleId="FooterChar">
    <w:name w:val="Footer Char"/>
    <w:link w:val="Footer"/>
    <w:uiPriority w:val="99"/>
    <w:rPr>
      <w:sz w:val="24"/>
      <w:szCs w:val="24"/>
      <w:lang w:eastAsia="fr-FR"/>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315">
      <w:bodyDiv w:val="1"/>
      <w:marLeft w:val="0"/>
      <w:marRight w:val="0"/>
      <w:marTop w:val="0"/>
      <w:marBottom w:val="0"/>
      <w:divBdr>
        <w:top w:val="none" w:sz="0" w:space="0" w:color="auto"/>
        <w:left w:val="none" w:sz="0" w:space="0" w:color="auto"/>
        <w:bottom w:val="none" w:sz="0" w:space="0" w:color="auto"/>
        <w:right w:val="none" w:sz="0" w:space="0" w:color="auto"/>
      </w:divBdr>
    </w:div>
    <w:div w:id="154536141">
      <w:bodyDiv w:val="1"/>
      <w:marLeft w:val="0"/>
      <w:marRight w:val="0"/>
      <w:marTop w:val="0"/>
      <w:marBottom w:val="0"/>
      <w:divBdr>
        <w:top w:val="none" w:sz="0" w:space="0" w:color="auto"/>
        <w:left w:val="none" w:sz="0" w:space="0" w:color="auto"/>
        <w:bottom w:val="none" w:sz="0" w:space="0" w:color="auto"/>
        <w:right w:val="none" w:sz="0" w:space="0" w:color="auto"/>
      </w:divBdr>
    </w:div>
    <w:div w:id="287206346">
      <w:bodyDiv w:val="1"/>
      <w:marLeft w:val="0"/>
      <w:marRight w:val="0"/>
      <w:marTop w:val="0"/>
      <w:marBottom w:val="0"/>
      <w:divBdr>
        <w:top w:val="none" w:sz="0" w:space="0" w:color="auto"/>
        <w:left w:val="none" w:sz="0" w:space="0" w:color="auto"/>
        <w:bottom w:val="none" w:sz="0" w:space="0" w:color="auto"/>
        <w:right w:val="none" w:sz="0" w:space="0" w:color="auto"/>
      </w:divBdr>
    </w:div>
    <w:div w:id="571963191">
      <w:bodyDiv w:val="1"/>
      <w:marLeft w:val="0"/>
      <w:marRight w:val="0"/>
      <w:marTop w:val="0"/>
      <w:marBottom w:val="0"/>
      <w:divBdr>
        <w:top w:val="none" w:sz="0" w:space="0" w:color="auto"/>
        <w:left w:val="none" w:sz="0" w:space="0" w:color="auto"/>
        <w:bottom w:val="none" w:sz="0" w:space="0" w:color="auto"/>
        <w:right w:val="none" w:sz="0" w:space="0" w:color="auto"/>
      </w:divBdr>
    </w:div>
    <w:div w:id="593324760">
      <w:bodyDiv w:val="1"/>
      <w:marLeft w:val="0"/>
      <w:marRight w:val="0"/>
      <w:marTop w:val="0"/>
      <w:marBottom w:val="0"/>
      <w:divBdr>
        <w:top w:val="none" w:sz="0" w:space="0" w:color="auto"/>
        <w:left w:val="none" w:sz="0" w:space="0" w:color="auto"/>
        <w:bottom w:val="none" w:sz="0" w:space="0" w:color="auto"/>
        <w:right w:val="none" w:sz="0" w:space="0" w:color="auto"/>
      </w:divBdr>
    </w:div>
    <w:div w:id="1042828534">
      <w:bodyDiv w:val="1"/>
      <w:marLeft w:val="0"/>
      <w:marRight w:val="0"/>
      <w:marTop w:val="0"/>
      <w:marBottom w:val="0"/>
      <w:divBdr>
        <w:top w:val="none" w:sz="0" w:space="0" w:color="auto"/>
        <w:left w:val="none" w:sz="0" w:space="0" w:color="auto"/>
        <w:bottom w:val="none" w:sz="0" w:space="0" w:color="auto"/>
        <w:right w:val="none" w:sz="0" w:space="0" w:color="auto"/>
      </w:divBdr>
    </w:div>
    <w:div w:id="1199899282">
      <w:bodyDiv w:val="1"/>
      <w:marLeft w:val="0"/>
      <w:marRight w:val="0"/>
      <w:marTop w:val="0"/>
      <w:marBottom w:val="0"/>
      <w:divBdr>
        <w:top w:val="none" w:sz="0" w:space="0" w:color="auto"/>
        <w:left w:val="none" w:sz="0" w:space="0" w:color="auto"/>
        <w:bottom w:val="none" w:sz="0" w:space="0" w:color="auto"/>
        <w:right w:val="none" w:sz="0" w:space="0" w:color="auto"/>
      </w:divBdr>
    </w:div>
    <w:div w:id="1219515736">
      <w:bodyDiv w:val="1"/>
      <w:marLeft w:val="0"/>
      <w:marRight w:val="0"/>
      <w:marTop w:val="0"/>
      <w:marBottom w:val="0"/>
      <w:divBdr>
        <w:top w:val="none" w:sz="0" w:space="0" w:color="auto"/>
        <w:left w:val="none" w:sz="0" w:space="0" w:color="auto"/>
        <w:bottom w:val="none" w:sz="0" w:space="0" w:color="auto"/>
        <w:right w:val="none" w:sz="0" w:space="0" w:color="auto"/>
      </w:divBdr>
    </w:div>
    <w:div w:id="1228687047">
      <w:bodyDiv w:val="1"/>
      <w:marLeft w:val="0"/>
      <w:marRight w:val="0"/>
      <w:marTop w:val="0"/>
      <w:marBottom w:val="0"/>
      <w:divBdr>
        <w:top w:val="none" w:sz="0" w:space="0" w:color="auto"/>
        <w:left w:val="none" w:sz="0" w:space="0" w:color="auto"/>
        <w:bottom w:val="none" w:sz="0" w:space="0" w:color="auto"/>
        <w:right w:val="none" w:sz="0" w:space="0" w:color="auto"/>
      </w:divBdr>
    </w:div>
    <w:div w:id="1236281064">
      <w:bodyDiv w:val="1"/>
      <w:marLeft w:val="0"/>
      <w:marRight w:val="0"/>
      <w:marTop w:val="0"/>
      <w:marBottom w:val="0"/>
      <w:divBdr>
        <w:top w:val="none" w:sz="0" w:space="0" w:color="auto"/>
        <w:left w:val="none" w:sz="0" w:space="0" w:color="auto"/>
        <w:bottom w:val="none" w:sz="0" w:space="0" w:color="auto"/>
        <w:right w:val="none" w:sz="0" w:space="0" w:color="auto"/>
      </w:divBdr>
    </w:div>
    <w:div w:id="1283414360">
      <w:bodyDiv w:val="1"/>
      <w:marLeft w:val="0"/>
      <w:marRight w:val="0"/>
      <w:marTop w:val="0"/>
      <w:marBottom w:val="0"/>
      <w:divBdr>
        <w:top w:val="none" w:sz="0" w:space="0" w:color="auto"/>
        <w:left w:val="none" w:sz="0" w:space="0" w:color="auto"/>
        <w:bottom w:val="none" w:sz="0" w:space="0" w:color="auto"/>
        <w:right w:val="none" w:sz="0" w:space="0" w:color="auto"/>
      </w:divBdr>
    </w:div>
    <w:div w:id="1477989874">
      <w:bodyDiv w:val="1"/>
      <w:marLeft w:val="0"/>
      <w:marRight w:val="0"/>
      <w:marTop w:val="0"/>
      <w:marBottom w:val="0"/>
      <w:divBdr>
        <w:top w:val="none" w:sz="0" w:space="0" w:color="auto"/>
        <w:left w:val="none" w:sz="0" w:space="0" w:color="auto"/>
        <w:bottom w:val="none" w:sz="0" w:space="0" w:color="auto"/>
        <w:right w:val="none" w:sz="0" w:space="0" w:color="auto"/>
      </w:divBdr>
    </w:div>
    <w:div w:id="1576280807">
      <w:bodyDiv w:val="1"/>
      <w:marLeft w:val="0"/>
      <w:marRight w:val="0"/>
      <w:marTop w:val="0"/>
      <w:marBottom w:val="0"/>
      <w:divBdr>
        <w:top w:val="none" w:sz="0" w:space="0" w:color="auto"/>
        <w:left w:val="none" w:sz="0" w:space="0" w:color="auto"/>
        <w:bottom w:val="none" w:sz="0" w:space="0" w:color="auto"/>
        <w:right w:val="none" w:sz="0" w:space="0" w:color="auto"/>
      </w:divBdr>
    </w:div>
    <w:div w:id="1591739440">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772168232">
      <w:bodyDiv w:val="1"/>
      <w:marLeft w:val="0"/>
      <w:marRight w:val="0"/>
      <w:marTop w:val="0"/>
      <w:marBottom w:val="0"/>
      <w:divBdr>
        <w:top w:val="none" w:sz="0" w:space="0" w:color="auto"/>
        <w:left w:val="none" w:sz="0" w:space="0" w:color="auto"/>
        <w:bottom w:val="none" w:sz="0" w:space="0" w:color="auto"/>
        <w:right w:val="none" w:sz="0" w:space="0" w:color="auto"/>
      </w:divBdr>
    </w:div>
    <w:div w:id="1784960793">
      <w:bodyDiv w:val="1"/>
      <w:marLeft w:val="0"/>
      <w:marRight w:val="0"/>
      <w:marTop w:val="0"/>
      <w:marBottom w:val="0"/>
      <w:divBdr>
        <w:top w:val="none" w:sz="0" w:space="0" w:color="auto"/>
        <w:left w:val="none" w:sz="0" w:space="0" w:color="auto"/>
        <w:bottom w:val="none" w:sz="0" w:space="0" w:color="auto"/>
        <w:right w:val="none" w:sz="0" w:space="0" w:color="auto"/>
      </w:divBdr>
    </w:div>
    <w:div w:id="1877502957">
      <w:bodyDiv w:val="1"/>
      <w:marLeft w:val="0"/>
      <w:marRight w:val="0"/>
      <w:marTop w:val="0"/>
      <w:marBottom w:val="0"/>
      <w:divBdr>
        <w:top w:val="none" w:sz="0" w:space="0" w:color="auto"/>
        <w:left w:val="none" w:sz="0" w:space="0" w:color="auto"/>
        <w:bottom w:val="none" w:sz="0" w:space="0" w:color="auto"/>
        <w:right w:val="none" w:sz="0" w:space="0" w:color="auto"/>
      </w:divBdr>
    </w:div>
    <w:div w:id="1882089300">
      <w:bodyDiv w:val="1"/>
      <w:marLeft w:val="0"/>
      <w:marRight w:val="0"/>
      <w:marTop w:val="0"/>
      <w:marBottom w:val="0"/>
      <w:divBdr>
        <w:top w:val="none" w:sz="0" w:space="0" w:color="auto"/>
        <w:left w:val="none" w:sz="0" w:space="0" w:color="auto"/>
        <w:bottom w:val="none" w:sz="0" w:space="0" w:color="auto"/>
        <w:right w:val="none" w:sz="0" w:space="0" w:color="auto"/>
      </w:divBdr>
    </w:div>
    <w:div w:id="1965887953">
      <w:bodyDiv w:val="1"/>
      <w:marLeft w:val="0"/>
      <w:marRight w:val="0"/>
      <w:marTop w:val="0"/>
      <w:marBottom w:val="0"/>
      <w:divBdr>
        <w:top w:val="none" w:sz="0" w:space="0" w:color="auto"/>
        <w:left w:val="none" w:sz="0" w:space="0" w:color="auto"/>
        <w:bottom w:val="none" w:sz="0" w:space="0" w:color="auto"/>
        <w:right w:val="none" w:sz="0" w:space="0" w:color="auto"/>
      </w:divBdr>
    </w:div>
    <w:div w:id="2140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F02F-6F14-4B84-B7CC-D3C7B9E3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3473</Words>
  <Characters>17261</Characters>
  <Application>Microsoft Office Word</Application>
  <DocSecurity>0</DocSecurity>
  <Lines>493</Lines>
  <Paragraphs>314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20420</CharactersWithSpaces>
  <SharedDoc>false</SharedDoc>
  <HLinks>
    <vt:vector size="108" baseType="variant">
      <vt:variant>
        <vt:i4>1376307</vt:i4>
      </vt:variant>
      <vt:variant>
        <vt:i4>104</vt:i4>
      </vt:variant>
      <vt:variant>
        <vt:i4>0</vt:i4>
      </vt:variant>
      <vt:variant>
        <vt:i4>5</vt:i4>
      </vt:variant>
      <vt:variant>
        <vt:lpwstr/>
      </vt:variant>
      <vt:variant>
        <vt:lpwstr>_Toc416963794</vt:lpwstr>
      </vt:variant>
      <vt:variant>
        <vt:i4>1376307</vt:i4>
      </vt:variant>
      <vt:variant>
        <vt:i4>98</vt:i4>
      </vt:variant>
      <vt:variant>
        <vt:i4>0</vt:i4>
      </vt:variant>
      <vt:variant>
        <vt:i4>5</vt:i4>
      </vt:variant>
      <vt:variant>
        <vt:lpwstr/>
      </vt:variant>
      <vt:variant>
        <vt:lpwstr>_Toc416963793</vt:lpwstr>
      </vt:variant>
      <vt:variant>
        <vt:i4>1376307</vt:i4>
      </vt:variant>
      <vt:variant>
        <vt:i4>92</vt:i4>
      </vt:variant>
      <vt:variant>
        <vt:i4>0</vt:i4>
      </vt:variant>
      <vt:variant>
        <vt:i4>5</vt:i4>
      </vt:variant>
      <vt:variant>
        <vt:lpwstr/>
      </vt:variant>
      <vt:variant>
        <vt:lpwstr>_Toc416963792</vt:lpwstr>
      </vt:variant>
      <vt:variant>
        <vt:i4>1376307</vt:i4>
      </vt:variant>
      <vt:variant>
        <vt:i4>86</vt:i4>
      </vt:variant>
      <vt:variant>
        <vt:i4>0</vt:i4>
      </vt:variant>
      <vt:variant>
        <vt:i4>5</vt:i4>
      </vt:variant>
      <vt:variant>
        <vt:lpwstr/>
      </vt:variant>
      <vt:variant>
        <vt:lpwstr>_Toc416963791</vt:lpwstr>
      </vt:variant>
      <vt:variant>
        <vt:i4>1376307</vt:i4>
      </vt:variant>
      <vt:variant>
        <vt:i4>80</vt:i4>
      </vt:variant>
      <vt:variant>
        <vt:i4>0</vt:i4>
      </vt:variant>
      <vt:variant>
        <vt:i4>5</vt:i4>
      </vt:variant>
      <vt:variant>
        <vt:lpwstr/>
      </vt:variant>
      <vt:variant>
        <vt:lpwstr>_Toc416963790</vt:lpwstr>
      </vt:variant>
      <vt:variant>
        <vt:i4>1310771</vt:i4>
      </vt:variant>
      <vt:variant>
        <vt:i4>74</vt:i4>
      </vt:variant>
      <vt:variant>
        <vt:i4>0</vt:i4>
      </vt:variant>
      <vt:variant>
        <vt:i4>5</vt:i4>
      </vt:variant>
      <vt:variant>
        <vt:lpwstr/>
      </vt:variant>
      <vt:variant>
        <vt:lpwstr>_Toc416963789</vt:lpwstr>
      </vt:variant>
      <vt:variant>
        <vt:i4>1310771</vt:i4>
      </vt:variant>
      <vt:variant>
        <vt:i4>68</vt:i4>
      </vt:variant>
      <vt:variant>
        <vt:i4>0</vt:i4>
      </vt:variant>
      <vt:variant>
        <vt:i4>5</vt:i4>
      </vt:variant>
      <vt:variant>
        <vt:lpwstr/>
      </vt:variant>
      <vt:variant>
        <vt:lpwstr>_Toc416963788</vt:lpwstr>
      </vt:variant>
      <vt:variant>
        <vt:i4>1310771</vt:i4>
      </vt:variant>
      <vt:variant>
        <vt:i4>62</vt:i4>
      </vt:variant>
      <vt:variant>
        <vt:i4>0</vt:i4>
      </vt:variant>
      <vt:variant>
        <vt:i4>5</vt:i4>
      </vt:variant>
      <vt:variant>
        <vt:lpwstr/>
      </vt:variant>
      <vt:variant>
        <vt:lpwstr>_Toc416963787</vt:lpwstr>
      </vt:variant>
      <vt:variant>
        <vt:i4>1310771</vt:i4>
      </vt:variant>
      <vt:variant>
        <vt:i4>56</vt:i4>
      </vt:variant>
      <vt:variant>
        <vt:i4>0</vt:i4>
      </vt:variant>
      <vt:variant>
        <vt:i4>5</vt:i4>
      </vt:variant>
      <vt:variant>
        <vt:lpwstr/>
      </vt:variant>
      <vt:variant>
        <vt:lpwstr>_Toc416963786</vt:lpwstr>
      </vt:variant>
      <vt:variant>
        <vt:i4>1310771</vt:i4>
      </vt:variant>
      <vt:variant>
        <vt:i4>50</vt:i4>
      </vt:variant>
      <vt:variant>
        <vt:i4>0</vt:i4>
      </vt:variant>
      <vt:variant>
        <vt:i4>5</vt:i4>
      </vt:variant>
      <vt:variant>
        <vt:lpwstr/>
      </vt:variant>
      <vt:variant>
        <vt:lpwstr>_Toc416963785</vt:lpwstr>
      </vt:variant>
      <vt:variant>
        <vt:i4>1310771</vt:i4>
      </vt:variant>
      <vt:variant>
        <vt:i4>44</vt:i4>
      </vt:variant>
      <vt:variant>
        <vt:i4>0</vt:i4>
      </vt:variant>
      <vt:variant>
        <vt:i4>5</vt:i4>
      </vt:variant>
      <vt:variant>
        <vt:lpwstr/>
      </vt:variant>
      <vt:variant>
        <vt:lpwstr>_Toc416963784</vt:lpwstr>
      </vt:variant>
      <vt:variant>
        <vt:i4>1310771</vt:i4>
      </vt:variant>
      <vt:variant>
        <vt:i4>38</vt:i4>
      </vt:variant>
      <vt:variant>
        <vt:i4>0</vt:i4>
      </vt:variant>
      <vt:variant>
        <vt:i4>5</vt:i4>
      </vt:variant>
      <vt:variant>
        <vt:lpwstr/>
      </vt:variant>
      <vt:variant>
        <vt:lpwstr>_Toc416963783</vt:lpwstr>
      </vt:variant>
      <vt:variant>
        <vt:i4>1310771</vt:i4>
      </vt:variant>
      <vt:variant>
        <vt:i4>32</vt:i4>
      </vt:variant>
      <vt:variant>
        <vt:i4>0</vt:i4>
      </vt:variant>
      <vt:variant>
        <vt:i4>5</vt:i4>
      </vt:variant>
      <vt:variant>
        <vt:lpwstr/>
      </vt:variant>
      <vt:variant>
        <vt:lpwstr>_Toc416963782</vt:lpwstr>
      </vt:variant>
      <vt:variant>
        <vt:i4>1310771</vt:i4>
      </vt:variant>
      <vt:variant>
        <vt:i4>26</vt:i4>
      </vt:variant>
      <vt:variant>
        <vt:i4>0</vt:i4>
      </vt:variant>
      <vt:variant>
        <vt:i4>5</vt:i4>
      </vt:variant>
      <vt:variant>
        <vt:lpwstr/>
      </vt:variant>
      <vt:variant>
        <vt:lpwstr>_Toc416963781</vt:lpwstr>
      </vt:variant>
      <vt:variant>
        <vt:i4>1310771</vt:i4>
      </vt:variant>
      <vt:variant>
        <vt:i4>20</vt:i4>
      </vt:variant>
      <vt:variant>
        <vt:i4>0</vt:i4>
      </vt:variant>
      <vt:variant>
        <vt:i4>5</vt:i4>
      </vt:variant>
      <vt:variant>
        <vt:lpwstr/>
      </vt:variant>
      <vt:variant>
        <vt:lpwstr>_Toc416963780</vt:lpwstr>
      </vt:variant>
      <vt:variant>
        <vt:i4>1769523</vt:i4>
      </vt:variant>
      <vt:variant>
        <vt:i4>14</vt:i4>
      </vt:variant>
      <vt:variant>
        <vt:i4>0</vt:i4>
      </vt:variant>
      <vt:variant>
        <vt:i4>5</vt:i4>
      </vt:variant>
      <vt:variant>
        <vt:lpwstr/>
      </vt:variant>
      <vt:variant>
        <vt:lpwstr>_Toc416963779</vt:lpwstr>
      </vt:variant>
      <vt:variant>
        <vt:i4>1769523</vt:i4>
      </vt:variant>
      <vt:variant>
        <vt:i4>8</vt:i4>
      </vt:variant>
      <vt:variant>
        <vt:i4>0</vt:i4>
      </vt:variant>
      <vt:variant>
        <vt:i4>5</vt:i4>
      </vt:variant>
      <vt:variant>
        <vt:lpwstr/>
      </vt:variant>
      <vt:variant>
        <vt:lpwstr>_Toc416963778</vt:lpwstr>
      </vt:variant>
      <vt:variant>
        <vt:i4>1769523</vt:i4>
      </vt:variant>
      <vt:variant>
        <vt:i4>2</vt:i4>
      </vt:variant>
      <vt:variant>
        <vt:i4>0</vt:i4>
      </vt:variant>
      <vt:variant>
        <vt:i4>5</vt:i4>
      </vt:variant>
      <vt:variant>
        <vt:lpwstr/>
      </vt:variant>
      <vt:variant>
        <vt:lpwstr>_Toc416963777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2015-06-16T13:20:00Z</cp:lastPrinted>
  <dcterms:created xsi:type="dcterms:W3CDTF">2015-06-19T10:52:00Z</dcterms:created>
  <dcterms:modified xsi:type="dcterms:W3CDTF">2015-07-16T07:32:00Z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