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379CB42D5684E32A5B3E912D546E461" style="width:450.4pt;height:420.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noProof/>
        </w:rPr>
      </w:pPr>
      <w:r>
        <w:rPr>
          <w:noProof/>
        </w:rPr>
        <w:t xml:space="preserve">Sous l'effet de la crise financière, la Grèce enregistre des taux de croissance durablement négatifs, connaît de graves problèmes de liquidités et ne dispose pas de fonds publics suffisants pour financer les investissements indispensables afin de stimuler la croissance et la création d’emplois. Par conséquent, à titre exceptionnel et compte tenu de la situation inédite qui en a résulté en Grèce, la Commission propose, dans sa communication intitulée «Un nouveau départ pour l’emploi et la croissance en Grèce», trois mesures pour garantir que les financements de l’Union européenne disponibles au titre du Fonds européen de développement régional (FEDER), du Fonds social européen (FSE), du Fonds de cohésion (FC) et du Fonds européen pour les affaires maritimes et la pêche (FEAMP) sont effectivement utilisés pour des investissements sur le terrain et parviennent aux bénéficiaires dans les plus brefs délais. Dans ce contexte, la Commission propose d’augmenter le niveau du préfinancement initial des fonds disponibles pour la période 2014-2020 en ce qui concerne les programmes relevant de la politique de cohésion au titre de l’objectif «Investissement pour la croissance et l’emploi» et les programmes bénéficiant d’un soutien au titre du FEAMP afin de donner une impulsion immédiate à l’investissement. En outre, afin d'optimiser les financements disponibles dans le cadre de la politique de cohésion pour financer des opérations au titre des programmes adoptés pour la période 2007-2013, elle propose d’augmenter les taux de cofinancement maximaux et de relever le plafond applicable aux paiements au profit des programmes à la fin de la période de programmation.  </w:t>
      </w:r>
    </w:p>
    <w:p>
      <w:pPr>
        <w:pStyle w:val="ManualHeading1"/>
        <w:rPr>
          <w:noProof/>
        </w:rPr>
      </w:pPr>
      <w:r>
        <w:rPr>
          <w:noProof/>
        </w:rPr>
        <w:t>2.</w:t>
      </w:r>
      <w:r>
        <w:rPr>
          <w:noProof/>
        </w:rPr>
        <w:tab/>
        <w:t>BASE JURIDIQUE, SUBSIDIARITÉ ET PROPORTIONNALITÉ</w:t>
      </w:r>
    </w:p>
    <w:p>
      <w:pPr>
        <w:rPr>
          <w:rFonts w:eastAsia="Arial Unicode MS"/>
          <w:noProof/>
        </w:rPr>
      </w:pPr>
      <w:r>
        <w:rPr>
          <w:noProof/>
        </w:rPr>
        <w:t xml:space="preserve">Il est proposé d’introduire un nouveau paragraphe à l’article 134 du règlement (UE) n° 1303/2013 en vue d'augmenter le préfinancement initial des programmes opérationnels relevant de la politique de cohésion pour la période 2014-2020 au titre de l’objectif «Investissement pour la croissance et l’emploi» et des programmes financés par le FEAMP en Grèce. Il est également proposé d’ajouter trois nouveaux paragraphes à l’article 152 du règlement (UE) n° 1303/2013 pour que le plafond applicable au total cumulé des préfinancements et des paiements intermédiaires puisse atteindre 100 % et pour porter à 100 % le taux de cofinancement des programmes opérationnels 2007-2013 en ce qui concerne les objectifs «convergence» et «compétitivité régionale et emploi» en Grèce. </w:t>
      </w:r>
    </w:p>
    <w:p>
      <w:pPr>
        <w:pStyle w:val="ManualHeading1"/>
        <w:rPr>
          <w:noProof/>
        </w:rPr>
      </w:pPr>
      <w:r>
        <w:rPr>
          <w:noProof/>
        </w:rPr>
        <w:t>3.</w:t>
      </w:r>
      <w:r>
        <w:rPr>
          <w:noProof/>
        </w:rPr>
        <w:tab/>
        <w:t>RÉSULTATS DES ÉVALUATIONS EX POST, DES CONSULTATIONS DES PARTIES INTÉRESSÉES ET DES ANALYSES D’IMPACT</w:t>
      </w:r>
    </w:p>
    <w:p>
      <w:pPr>
        <w:pBdr>
          <w:top w:val="nil"/>
          <w:left w:val="nil"/>
          <w:bottom w:val="nil"/>
          <w:right w:val="nil"/>
          <w:between w:val="nil"/>
          <w:bar w:val="nil"/>
        </w:pBdr>
        <w:spacing w:before="0" w:after="240"/>
        <w:rPr>
          <w:rFonts w:eastAsia="Arial Unicode MS"/>
          <w:noProof/>
        </w:rPr>
      </w:pPr>
      <w:r>
        <w:rPr>
          <w:noProof/>
        </w:rPr>
        <w:t>Aucune partie prenante externe n’a été consultée.</w:t>
      </w:r>
    </w:p>
    <w:p>
      <w:pPr>
        <w:pStyle w:val="ManualHeading1"/>
        <w:rPr>
          <w:noProof/>
        </w:rPr>
      </w:pPr>
      <w:r>
        <w:rPr>
          <w:noProof/>
        </w:rPr>
        <w:t>4.</w:t>
      </w:r>
      <w:r>
        <w:rPr>
          <w:noProof/>
        </w:rPr>
        <w:tab/>
        <w:t>INCIDENCE BUDGÉTAIRE</w:t>
      </w:r>
    </w:p>
    <w:p>
      <w:pPr>
        <w:rPr>
          <w:noProof/>
        </w:rPr>
      </w:pPr>
      <w:r>
        <w:rPr>
          <w:noProof/>
        </w:rPr>
        <w:t>La modification proposée n'entraîne aucun changement dans les plafonds annuels du cadre financier pluriannuel établis pour les engagements et les paiements à l'annexe du règlement (UE) n° 1311/2013. La proposition, neutre du point de vue budgétaire, consiste à verser anticipativement des crédits de paiement sur l'ensemble de la période 2014-2020.</w:t>
      </w:r>
    </w:p>
    <w:p>
      <w:pPr>
        <w:rPr>
          <w:noProof/>
        </w:rPr>
      </w:pPr>
      <w:r>
        <w:rPr>
          <w:noProof/>
        </w:rPr>
        <w:t>La ventilation annuelle des crédits d’engagement pour le Fonds européen de développement régional, le Fonds social européen et le Fonds de cohésion reste inchangée.</w:t>
      </w:r>
    </w:p>
    <w:p>
      <w:pPr>
        <w:rPr>
          <w:noProof/>
        </w:rPr>
      </w:pPr>
      <w:r>
        <w:rPr>
          <w:noProof/>
        </w:rPr>
        <w:t>Les crédits de paiement supplémentaires nécessaires afin de couvrir les conséquences immédiates d’une augmentation des taux de cofinancement pour la période 2007-2013 et de la suppression du plafond applicable aux paiements s’élèvent à 500 millions d'EUR en 2015 et, pour le préfinancement initial supplémentaire en 2015, à 500 millions d'EUR.</w:t>
      </w:r>
    </w:p>
    <w:p>
      <w:pPr>
        <w:rPr>
          <w:noProof/>
        </w:rPr>
      </w:pPr>
      <w:r>
        <w:rPr>
          <w:noProof/>
        </w:rPr>
        <w:t>Ces crédits de paiement supplémentaires peuvent potentiellement être couverts par les crédits de paiement prévus pour les paiements intermédiaires au profit des programmes 2014-2020, suivant l'importance des demandes de paiement intermédiaire présentées en 2015. La présentation des demandes de paiement pourrait être perturbée par les retards intervenus dans la désignation, par les États membres, des autorités responsables des programmes, à laquelle est subordonnée la présentation des demandes de paiement intermédiaire. La Commission suivra l’évolution de la situation et fera, si nécessaire, des propositions appropriées.</w:t>
      </w:r>
    </w:p>
    <w:p>
      <w:pPr>
        <w:rPr>
          <w:noProof/>
        </w:rPr>
      </w:pPr>
      <w:r>
        <w:rPr>
          <w:noProof/>
        </w:rPr>
        <w:t>Le préfinancement supplémentaire d’un montant de 500 millions d’EUR pour 2016 n’avait toutefois pas été prévu dans le projet de budget 2016. De même, l’incidence en 2016 de l’augmentation des taux de cofinancement maximaux et du plafond des paiements au profit des programmes 2007-2013 n'avait pas été prise en considération. La Commission devrait donc proposer de couvrir les besoins en paiements supplémentaires par la voie d’une lettre rectificative au projet de budget 2016, qui tiendra compte des prévisions révisées des États membres, de l’adoption en cours des programmes et de l'état de la situation en ce qui concerne la désignation des autorités responsables des programmes.</w:t>
      </w:r>
    </w:p>
    <w:p>
      <w:pPr>
        <w:rPr>
          <w:rFonts w:eastAsia="Arial Unicode MS"/>
          <w:noProof/>
        </w:rPr>
      </w:pPr>
      <w:r>
        <w:rPr>
          <w:noProof/>
        </w:rPr>
        <w:t>L’incidence estimée en 2017 sera prise en considération dans le cadre de la prochaine procédure budgétaire.</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prévoit des dispositions sur l'établissement de rapports relatifs à la mise en œuvre de ces mesures exceptionnelles.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2015/0160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 1303/2013 du Parlement européen et du Conseil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en ce qui concerne des mesures spécifiques pour la Grèce</w:t>
      </w:r>
    </w:p>
    <w:p>
      <w:pPr>
        <w:pStyle w:val="Institutionquiagit"/>
        <w:rPr>
          <w:noProof/>
        </w:rPr>
      </w:pPr>
      <w:r>
        <w:rPr>
          <w:noProof/>
        </w:rPr>
        <w:t>LE PARLEMENT EUROPÉEN ET LE CONSEIL DE L'UNION EUROPÉENNE,</w:t>
      </w:r>
    </w:p>
    <w:p>
      <w:pPr>
        <w:rPr>
          <w:noProof/>
        </w:rPr>
      </w:pPr>
      <w:r>
        <w:rPr>
          <w:noProof/>
        </w:rPr>
        <w:t xml:space="preserve">vu le traité sur le fonctionnement de l’Union européenne, et notamment son article 177, </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 xml:space="preserve">, </w:t>
      </w:r>
    </w:p>
    <w:p>
      <w:pPr>
        <w:rPr>
          <w:noProof/>
        </w:rPr>
      </w:pPr>
      <w:r>
        <w:rPr>
          <w:noProof/>
        </w:rPr>
        <w:t>vu l’avis du Comité des régions</w:t>
      </w:r>
      <w:r>
        <w:rPr>
          <w:rStyle w:val="FootnoteReference"/>
          <w:noProof/>
        </w:rPr>
        <w:footnoteReference w:id="2"/>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Grèce a été touchée par les conséquences de la crise financière d'une manière tout à fait particulière. Cette crise a entraîné la persistance de taux de croissance du PIB négatifs dans le pays pendant plusieurs années, occasionnant à son tour de graves problèmes de liquidité et une insuffisance de fonds publics disponibles pour financer les investissements publics nécessaires afin de favoriser une reprise durable. Cela a engendré une situation exceptionnelle à laquelle il convient de remédier par des mesures spécifiques.</w:t>
      </w:r>
    </w:p>
    <w:p>
      <w:pPr>
        <w:pStyle w:val="ManualConsidrant"/>
        <w:rPr>
          <w:noProof/>
        </w:rPr>
      </w:pPr>
      <w:r>
        <w:t>(2)</w:t>
      </w:r>
      <w:r>
        <w:tab/>
      </w:r>
      <w:r>
        <w:rPr>
          <w:noProof/>
        </w:rPr>
        <w:t xml:space="preserve">Il est essentiel que le manque de liquidités et de fonds publics en Grèce n’entrave pas les investissements au titre des programmes soutenus par le Fonds européen de développement régional, le Fonds social européen et le Fonds de cohésion (ci-après «les Fonds») et par le Fonds européen pour les affaires maritimes et la pêche (ci-après le «FEAMP»). </w:t>
      </w:r>
    </w:p>
    <w:p>
      <w:pPr>
        <w:pStyle w:val="ManualConsidrant"/>
        <w:rPr>
          <w:noProof/>
        </w:rPr>
      </w:pPr>
      <w:r>
        <w:t>(3)</w:t>
      </w:r>
      <w:r>
        <w:tab/>
      </w:r>
      <w:r>
        <w:rPr>
          <w:noProof/>
        </w:rPr>
        <w:t>Afin de garantir que la Grèce dispose des moyens financiers suffisants pour commencer à mettre en œuvre en 2015 et 2016 les programmes 2014-2020 soutenus par les Fonds et le FEAMP, il convient d’augmenter le niveau du préfinancement initial versé à ses programmes opérationnels au titre de l’objectif «Investissement pour la croissance et l’emploi» et à des programmes soutenus par le FEAMP en payant un préfinancement initial supplémentaire pendant ces deux années.</w:t>
      </w:r>
    </w:p>
    <w:p>
      <w:pPr>
        <w:pStyle w:val="ManualConsidrant"/>
        <w:rPr>
          <w:noProof/>
        </w:rPr>
      </w:pPr>
      <w:r>
        <w:t>(4)</w:t>
      </w:r>
      <w:r>
        <w:tab/>
      </w:r>
      <w:r>
        <w:rPr>
          <w:noProof/>
        </w:rPr>
        <w:t xml:space="preserve">En vue de garantir que le montant du préfinancement initial supplémentaire est effectivement utilisé et parvient dans les plus brefs délais aux bénéficiaires des Fonds et du FEAMP, afin de permettre à ces derniers de réaliser les investissements prévus et d'être rapidement remboursés après avoir présenté leurs demandes de paiement, le montant du préfinancement supplémentaire devrait être remboursé à la Commission s'il ne s'accompagne pas d’un niveau approprié de demandes de paiement présentées à la Commission dans un délai donné. </w:t>
      </w:r>
    </w:p>
    <w:p>
      <w:pPr>
        <w:pStyle w:val="ManualConsidrant"/>
        <w:rPr>
          <w:noProof/>
        </w:rPr>
      </w:pPr>
      <w:r>
        <w:t>(5)</w:t>
      </w:r>
      <w:r>
        <w:tab/>
      </w:r>
      <w:r>
        <w:rPr>
          <w:noProof/>
        </w:rPr>
        <w:t xml:space="preserve">Afin d’optimiser les moyens disponibles pour financer des opérations dans le cadre de programmes opérationnels pour la réalisation des objectifs «convergence» et «compétitivité régionale et emploi» soutenus par les Fonds, adoptés pour la période 2007-2013 en Grèce, il convient d'augmenter les taux de cofinancement maximaux et de relever le plafond applicable aux paiements en faveur des programmes à la fin de la période de programmation. Afin de garantir que les ressources mises ainsi à disposition sont effectivement utilisées pour financer des investissements sur le terrain, il importe de prévoir un mécanisme pour l'établissement de rapports. </w:t>
      </w:r>
    </w:p>
    <w:p>
      <w:pPr>
        <w:pStyle w:val="ManualConsidrant"/>
        <w:rPr>
          <w:noProof/>
        </w:rPr>
      </w:pPr>
      <w:r>
        <w:t>(6)</w:t>
      </w:r>
      <w:r>
        <w:tab/>
      </w:r>
      <w:r>
        <w:rPr>
          <w:noProof/>
        </w:rPr>
        <w:t>Compte tenu du caractère urgent du soutien nécessaire, il y a lieu que le présent règlement entre en vigueur immédiatement.</w:t>
      </w:r>
    </w:p>
    <w:p>
      <w:pPr>
        <w:pStyle w:val="ManualConsidrant"/>
        <w:rPr>
          <w:noProof/>
        </w:rPr>
      </w:pPr>
      <w:r>
        <w:t>(7)</w:t>
      </w:r>
      <w:r>
        <w:tab/>
      </w:r>
      <w:r>
        <w:rPr>
          <w:noProof/>
        </w:rPr>
        <w:t>Il convient dès lors de modifier le règlement (UE) n° 1303/2013,</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n° 1303/2013 est modifié comme suit:</w:t>
      </w:r>
    </w:p>
    <w:p>
      <w:pPr>
        <w:rPr>
          <w:noProof/>
        </w:rPr>
      </w:pPr>
      <w:r>
        <w:rPr>
          <w:noProof/>
        </w:rPr>
        <w:t xml:space="preserve">1. À l’article 134, le paragraphe 1 </w:t>
      </w:r>
      <w:r>
        <w:rPr>
          <w:i/>
          <w:noProof/>
        </w:rPr>
        <w:t>bis</w:t>
      </w:r>
      <w:r>
        <w:rPr>
          <w:noProof/>
        </w:rPr>
        <w:t xml:space="preserve"> suivant est ajouté:</w:t>
      </w:r>
    </w:p>
    <w:p>
      <w:pPr>
        <w:ind w:left="720" w:hanging="720"/>
        <w:rPr>
          <w:noProof/>
        </w:rPr>
      </w:pPr>
      <w:r>
        <w:rPr>
          <w:noProof/>
        </w:rPr>
        <w:t xml:space="preserve">«1 </w:t>
      </w:r>
      <w:r>
        <w:rPr>
          <w:i/>
          <w:noProof/>
        </w:rPr>
        <w:t>bis</w:t>
      </w:r>
      <w:r>
        <w:rPr>
          <w:noProof/>
        </w:rPr>
        <w:tab/>
        <w:t>Outre les tranches prévues au paragraphe 1, points b) et c), un préfinancement initial supplémentaire correspondant à 3,5 % du montant de l’intervention des Fonds et du FEAMP pour l’ensemble de la période de programmation est versé au profit des programmes opérationnels en Grèce chaque année en 2015 et en 2016.</w:t>
      </w:r>
    </w:p>
    <w:p>
      <w:pPr>
        <w:ind w:left="720"/>
        <w:rPr>
          <w:noProof/>
        </w:rPr>
      </w:pPr>
      <w:r>
        <w:rPr>
          <w:noProof/>
        </w:rPr>
        <w:t>Le préfinancement initial supplémentaire ne s’applique ni aux programmes relevant de l’objectif «Coopération territoriale européenne» ni à la dotation spécifique allouée à l’«Initiative pour l’emploi des jeunes».</w:t>
      </w:r>
    </w:p>
    <w:p>
      <w:pPr>
        <w:ind w:left="720"/>
        <w:rPr>
          <w:noProof/>
        </w:rPr>
      </w:pPr>
      <w:r>
        <w:rPr>
          <w:noProof/>
        </w:rPr>
        <w:t>Si, au 31 décembre 2016, le montant total du préfinancement initial supplémentaire versé, par Fonds, sur la base du présent paragraphe en 2015 et 2016 pour le programme opérationnel n'est pas, le cas échéant, couvert par des demandes de paiement présentées par l’autorité de certification pour ce programme, la Grèce rembourse à la Commission le montant total du préfinancement initial supplémentaire versé, par Fonds, au titre de ce programme. Ces remboursements ne constituent pas une correction financière et ne réduisent pas le soutien accordé par les Fonds ou le FEAMP au programme opérationnel. Les montants remboursés constituent des recettes affectées internes conformément à l'article 21, paragraphe 3, point c), du règlement financier.»</w:t>
      </w:r>
    </w:p>
    <w:p>
      <w:pPr>
        <w:rPr>
          <w:noProof/>
        </w:rPr>
      </w:pPr>
      <w:r>
        <w:rPr>
          <w:noProof/>
        </w:rPr>
        <w:t>2)</w:t>
      </w:r>
      <w:r>
        <w:rPr>
          <w:noProof/>
        </w:rPr>
        <w:tab/>
        <w:t>À l’article 152, les paragraphes 4, 5 et 6 suivants sont ajoutés:</w:t>
      </w:r>
    </w:p>
    <w:p>
      <w:pPr>
        <w:ind w:left="720" w:hanging="720"/>
        <w:rPr>
          <w:noProof/>
        </w:rPr>
      </w:pPr>
      <w:r>
        <w:rPr>
          <w:noProof/>
        </w:rPr>
        <w:t>«4.</w:t>
      </w:r>
      <w:r>
        <w:rPr>
          <w:noProof/>
        </w:rPr>
        <w:tab/>
        <w:t xml:space="preserve">Par dérogation à l’article 79, paragraphe 1, du règlement (CE) n° 1083/2006, le plafond applicable au total cumulé du préfinancement et des paiements intermédiaires s’élève à 100 % de la contribution des Fonds à des programmes opérationnels pour les objectifs “convergence” et “compétitivité régionale et emploi” en Grèce. </w:t>
      </w:r>
    </w:p>
    <w:p>
      <w:pPr>
        <w:ind w:left="720" w:hanging="720"/>
        <w:rPr>
          <w:noProof/>
        </w:rPr>
      </w:pPr>
      <w:r>
        <w:rPr>
          <w:noProof/>
        </w:rPr>
        <w:t>5.</w:t>
      </w:r>
      <w:r>
        <w:rPr>
          <w:noProof/>
        </w:rPr>
        <w:tab/>
        <w:t xml:space="preserve">Par dérogation à l'article 53, paragraphe 2, et à l’article 77, paragraphe 1, du règlement (CE) n° 1083/2006 et nonobstant les décisions de la Commission fixant le taux maximal et le montant maximal de la contribution des Fonds à chaque programme opérationnel grec et à chaque axe prioritaire, les paiements intermédiaires et les paiements du solde final sont calculés en appliquant un taux de cofinancement maximal de 100 % aux dépenses éligibles indiquées dans chaque état des dépenses certifié par l’autorité de certification en ce qui concerne les programmes opérationnels grecs pour la réalisation des objectifs “convergence” et “compétitivité régionale et emploi” au titre de chaque axe prioritaire. Les dispositions de l’article 77, deuxième alinéa, du règlement (CE) n° 1083/2006 ne s’appliquent pas aux programmes opérationnels en Grèce. </w:t>
      </w:r>
    </w:p>
    <w:p>
      <w:pPr>
        <w:ind w:left="720" w:hanging="720"/>
        <w:rPr>
          <w:noProof/>
        </w:rPr>
      </w:pPr>
      <w:r>
        <w:rPr>
          <w:noProof/>
        </w:rPr>
        <w:t xml:space="preserve">6. </w:t>
      </w:r>
      <w:r>
        <w:rPr>
          <w:noProof/>
        </w:rPr>
        <w:tab/>
        <w:t xml:space="preserve">La Grèce met en place un mécanisme pour garantir que les montants supplémentaires mis à disposition à la suite des mesures prévues aux paragraphes 4 et 5 sont utilisés uniquement pour des paiements au profit des bénéficiaires et pour des opérations au titre de ses programmes opérationnels. </w:t>
      </w:r>
    </w:p>
    <w:p>
      <w:pPr>
        <w:ind w:left="720"/>
        <w:rPr>
          <w:noProof/>
        </w:rPr>
      </w:pPr>
      <w:r>
        <w:rPr>
          <w:noProof/>
        </w:rPr>
        <w:t>La Grèce présente à la Commission un rapport sur la mise en œuvre des paragraphes 4 et 5 d’ici la fin de 2016 et apporte des précisions supplémentaires dans le rapport final d'exécution, qui doit être présenté en vertu de l’article 89 paragraphe 1, point a), du règlement (CE) n° 1083/2006.»</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 xml:space="preserve">Par le Parlement européen </w:t>
      </w:r>
      <w:r>
        <w:rPr>
          <w:noProof/>
        </w:rPr>
        <w:tab/>
        <w:t>Par le Conseil</w:t>
      </w:r>
    </w:p>
    <w:p>
      <w:pPr>
        <w:pStyle w:val="Personnequisigne"/>
        <w:rPr>
          <w:noProof/>
        </w:rPr>
        <w:sectPr>
          <w:pgSz w:w="11907" w:h="16839"/>
          <w:pgMar w:top="1134" w:right="1417" w:bottom="1134" w:left="1417" w:header="709" w:footer="709" w:gutter="0"/>
          <w:cols w:space="708"/>
          <w:docGrid w:linePitch="360"/>
        </w:sectPr>
      </w:pPr>
      <w:r>
        <w:rPr>
          <w:noProof/>
        </w:rPr>
        <w:t>Le président</w:t>
      </w:r>
      <w:r>
        <w:rPr>
          <w:noProof/>
        </w:rPr>
        <w:tab/>
        <w:t>Le président</w:t>
      </w:r>
    </w:p>
    <w:p>
      <w:pPr>
        <w:pStyle w:val="Fichefinanciretitre"/>
        <w:rPr>
          <w:noProof/>
        </w:rPr>
      </w:pPr>
      <w:r>
        <w:rPr>
          <w:noProof/>
        </w:rPr>
        <w:t xml:space="preserve">FICHE FINANCIÈRE LÉGISLATIVE </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b/>
          <w:noProof/>
          <w:u w:val="single"/>
        </w:rPr>
      </w:pPr>
      <w:r>
        <w:rPr>
          <w:b/>
          <w:noProof/>
          <w:u w:val="single"/>
        </w:rPr>
        <w:t>FICHE FINANCIÈRE LÉGISLATIVE</w:t>
      </w:r>
    </w:p>
    <w:p>
      <w:pPr>
        <w:pStyle w:val="ManualHeading1"/>
        <w:rPr>
          <w:noProof/>
        </w:rPr>
      </w:pPr>
      <w:r>
        <w:rPr>
          <w:noProof/>
        </w:rPr>
        <w:t>1.</w:t>
      </w:r>
      <w:r>
        <w:rPr>
          <w:noProof/>
        </w:rPr>
        <w:tab/>
        <w:t xml:space="preserve">CADRE DE LA PROPOSITION/DE L’INITIATIVE </w:t>
      </w:r>
    </w:p>
    <w:p>
      <w:pPr>
        <w:pStyle w:val="ManualHeading2"/>
        <w:rPr>
          <w:noProof/>
        </w:rPr>
      </w:pPr>
      <w:r>
        <w:rPr>
          <w:noProof/>
        </w:rPr>
        <w:t>1.1.</w:t>
      </w:r>
      <w:r>
        <w:rPr>
          <w:noProof/>
        </w:rPr>
        <w:tab/>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w:t>
      </w:r>
    </w:p>
    <w:p>
      <w:pPr>
        <w:pStyle w:val="Text1"/>
        <w:pBdr>
          <w:top w:val="single" w:sz="4" w:space="1" w:color="auto"/>
          <w:left w:val="single" w:sz="4" w:space="4" w:color="auto"/>
          <w:bottom w:val="single" w:sz="4" w:space="1" w:color="auto"/>
          <w:right w:val="single" w:sz="4" w:space="4" w:color="auto"/>
        </w:pBdr>
        <w:rPr>
          <w:noProof/>
        </w:rPr>
      </w:pPr>
      <w:r>
        <w:rPr>
          <w:noProof/>
        </w:rPr>
        <w:t>RÈGLEMENT DU PARLEMENT EUROPÉEN ET DU CONSEIL</w:t>
      </w:r>
    </w:p>
    <w:p>
      <w:pPr>
        <w:pStyle w:val="Text1"/>
        <w:pBdr>
          <w:top w:val="single" w:sz="4" w:space="1" w:color="auto"/>
          <w:left w:val="single" w:sz="4" w:space="4" w:color="auto"/>
          <w:bottom w:val="single" w:sz="4" w:space="1" w:color="auto"/>
          <w:right w:val="single" w:sz="4" w:space="4" w:color="auto"/>
        </w:pBdr>
        <w:rPr>
          <w:noProof/>
        </w:rPr>
      </w:pPr>
      <w:r>
        <w:rPr>
          <w:noProof/>
        </w:rPr>
        <w:t xml:space="preserve">modifiant le règlement (UE) n° 1303/2013 du Parlement européen et du Conseil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en ce qui concerne des mesures spécifiques pour la Grèce </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noProof/>
          <w:szCs w:val="24"/>
        </w:rPr>
      </w:pPr>
      <w:r>
        <w:rPr>
          <w:noProof/>
        </w:rPr>
        <w:t>1.2.</w:t>
      </w:r>
      <w:r>
        <w:rPr>
          <w:noProof/>
        </w:rPr>
        <w:tab/>
        <w:t>Domaine(s) politique(s) concerné(s) dans la structure ABM/ABB</w:t>
      </w:r>
      <w:r>
        <w:rPr>
          <w:rStyle w:val="FootnoteReference"/>
          <w:noProof/>
        </w:rPr>
        <w:footnoteReference w:id="3"/>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4 Emploi, affaires sociales et inclusion</w:t>
      </w:r>
    </w:p>
    <w:p>
      <w:pPr>
        <w:pStyle w:val="Text1"/>
        <w:pBdr>
          <w:top w:val="single" w:sz="4" w:space="1" w:color="auto"/>
          <w:left w:val="single" w:sz="4" w:space="4" w:color="auto"/>
          <w:bottom w:val="single" w:sz="4" w:space="1" w:color="auto"/>
          <w:right w:val="single" w:sz="4" w:space="4" w:color="auto"/>
        </w:pBdr>
        <w:rPr>
          <w:noProof/>
        </w:rPr>
      </w:pPr>
      <w:r>
        <w:rPr>
          <w:noProof/>
        </w:rPr>
        <w:t>04 02 17 - Achèvement du Fonds social européen — Convergence (2007-2013)</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19 - Achèvement du Fonds social européen — Compétitivité régionale et emploi (2007-2013)</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60 – Fonds social européen – Régions moins développées – Objectif «Investissement pour la croissance et l’emploi»</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04 02 61 – Fonds social européen – Régions en transition – Objectif «Investissement pour la croissance et l’emploi»</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04 02 62 – Fonds social européen – Régions plus développées – Objectif «Investissement pour la croissance et l’emploi»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11 Affaires maritimes et pêche</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11 06 60 – Promouvoir une pêche et une aquaculture durables et compétitives ainsi que le développement territorial équilibré et solidaire des zones tributaires de la pêche, et favoriser la mise en œuvre de la politique commune de la pêche</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Politique régionale et urbaine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16 - Achèvement du Fonds européen de développement régional (FEDER) — Convergence</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03 18 – Achèvement du Fonds européen de développement régional (FEDER) — Compétitivité régionale et emploi</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60 – Fonds européen de développement régional (FEDER) – Régions moins développées – Objectif «Investissement pour la croissance et l’emploi»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61 – Fonds européen de développement régional (FEDER) – Régions en transition – Objectif «Investissement pour la croissance et l’emploi»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13 03 62 – Fonds européen de développement régional (FEDER) – Régions plus développées – Objectif «Investissement pour la croissance et l’emploi»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13 04 02 – Achèvement du Fonds de cohésion (2007-2013)</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sz w:val="23"/>
        </w:rPr>
        <w:t>13 04 60 – Fonds de cohésion — Objectif «investissement pour la croissance et l’emploi»</w:t>
      </w:r>
    </w:p>
    <w:p>
      <w:pPr>
        <w:pStyle w:val="ManualHeading2"/>
        <w:rPr>
          <w:bCs/>
          <w:noProof/>
          <w:szCs w:val="24"/>
        </w:rPr>
      </w:pPr>
      <w:r>
        <w:rPr>
          <w:noProof/>
        </w:rPr>
        <w:t>1.3.</w:t>
      </w:r>
      <w:r>
        <w:rPr>
          <w:noProof/>
        </w:rPr>
        <w:tab/>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4"/>
      </w:r>
      <w:r>
        <w:rPr>
          <w:noProof/>
          <w:sz w:val="22"/>
        </w:rPr>
        <w:t xml:space="preserve"> </w:t>
      </w:r>
    </w:p>
    <w:p>
      <w:pPr>
        <w:pStyle w:val="Text1"/>
        <w:rPr>
          <w:noProof/>
          <w:sz w:val="22"/>
        </w:rPr>
      </w:pPr>
      <w:r>
        <w:rPr>
          <w:noProof/>
          <w:sz w:val="22"/>
        </w:rPr>
        <w:sym w:font="Wingdings" w:char="F07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rPr>
          <w:noProof/>
        </w:rPr>
        <w:t>1.4.</w:t>
      </w:r>
      <w:r>
        <w:rPr>
          <w:noProof/>
        </w:rPr>
        <w:tab/>
        <w:t>Objectif(s)</w:t>
      </w:r>
    </w:p>
    <w:p>
      <w:pPr>
        <w:pStyle w:val="ManualHeading3"/>
        <w:rPr>
          <w:noProof/>
        </w:rPr>
      </w:pPr>
      <w:r>
        <w:rPr>
          <w:noProof/>
        </w:rPr>
        <w:t>1.4.1.</w:t>
      </w:r>
      <w:r>
        <w:rPr>
          <w:noProof/>
        </w:rPr>
        <w:tab/>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bCs/>
          <w:noProof/>
          <w:szCs w:val="24"/>
        </w:rPr>
      </w:pPr>
      <w:r>
        <w:rPr>
          <w:noProof/>
        </w:rPr>
        <w:t>1.4.2.</w:t>
      </w:r>
      <w:r>
        <w:rPr>
          <w:noProof/>
        </w:rPr>
        <w:tab/>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bCs/>
          <w:noProof/>
          <w:szCs w:val="24"/>
        </w:rPr>
      </w:pPr>
      <w:r>
        <w:rPr>
          <w:noProof/>
        </w:rPr>
        <w:br w:type="page"/>
        <w:t>1.4.3.</w:t>
      </w:r>
      <w:r>
        <w:rPr>
          <w:noProof/>
        </w:rPr>
        <w:tab/>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bCs/>
          <w:noProof/>
          <w:szCs w:val="24"/>
        </w:rPr>
      </w:pPr>
      <w:r>
        <w:rPr>
          <w:noProof/>
        </w:rPr>
        <w:t>1.4.4.</w:t>
      </w:r>
      <w:r>
        <w:rPr>
          <w:noProof/>
        </w:rPr>
        <w:tab/>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2"/>
        <w:rPr>
          <w:bCs/>
          <w:noProof/>
          <w:szCs w:val="24"/>
        </w:rPr>
      </w:pPr>
      <w:r>
        <w:rPr>
          <w:noProof/>
        </w:rPr>
        <w:t>1.5.</w:t>
      </w:r>
      <w:r>
        <w:rPr>
          <w:noProof/>
        </w:rPr>
        <w:tab/>
        <w:t xml:space="preserve">Justification(s) de la proposition/de l'initiative </w:t>
      </w:r>
    </w:p>
    <w:p>
      <w:pPr>
        <w:pStyle w:val="ManualHeading3"/>
        <w:rPr>
          <w:noProof/>
        </w:rPr>
      </w:pPr>
      <w:r>
        <w:rPr>
          <w:noProof/>
        </w:rPr>
        <w:t>1.5.1.</w:t>
      </w:r>
      <w:r>
        <w:rPr>
          <w:noProof/>
        </w:rPr>
        <w:tab/>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bCs/>
          <w:noProof/>
          <w:szCs w:val="24"/>
        </w:rPr>
      </w:pPr>
      <w:r>
        <w:rPr>
          <w:noProof/>
        </w:rPr>
        <w:t>1.5.2.</w:t>
      </w:r>
      <w:r>
        <w:rPr>
          <w:noProof/>
        </w:rPr>
        <w:tab/>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bCs/>
          <w:noProof/>
          <w:szCs w:val="24"/>
        </w:rPr>
      </w:pPr>
      <w:r>
        <w:rPr>
          <w:noProof/>
        </w:rPr>
        <w:t>1.5.3.</w:t>
      </w:r>
      <w:r>
        <w:rPr>
          <w:noProof/>
        </w:rPr>
        <w:tab/>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bCs/>
          <w:noProof/>
          <w:szCs w:val="24"/>
        </w:rPr>
      </w:pPr>
      <w:r>
        <w:rPr>
          <w:noProof/>
        </w:rPr>
        <w:t>1.5.4.</w:t>
      </w:r>
      <w:r>
        <w:rPr>
          <w:noProof/>
        </w:rPr>
        <w:tab/>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2"/>
        <w:rPr>
          <w:bCs/>
          <w:noProof/>
          <w:szCs w:val="24"/>
        </w:rPr>
      </w:pPr>
      <w:r>
        <w:rPr>
          <w:noProof/>
        </w:rPr>
        <w:br w:type="page"/>
        <w:t>1.6.</w:t>
      </w:r>
      <w:r>
        <w:rPr>
          <w:noProof/>
        </w:rPr>
        <w:tab/>
        <w:t xml:space="preserve">Durée et incidence financière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78"/>
      </w:r>
      <w:r>
        <w:rPr>
          <w:noProof/>
        </w:rPr>
        <w:tab/>
        <w:t>Proposition/initiative en vigueur à partir du 1.1.2015 jusqu'au 31.12.2023</w:t>
      </w:r>
    </w:p>
    <w:p>
      <w:pPr>
        <w:pStyle w:val="ListDash2"/>
        <w:rPr>
          <w:noProof/>
        </w:rPr>
      </w:pPr>
      <w:r>
        <w:rPr>
          <w:noProof/>
        </w:rPr>
        <w:sym w:font="Wingdings" w:char="F078"/>
      </w:r>
      <w:r>
        <w:rPr>
          <w:noProof/>
        </w:rPr>
        <w:tab/>
        <w:t>Incidence financière de 2015 à 2020</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rPr>
          <w:noProof/>
        </w:rPr>
        <w:t>1.7.</w:t>
      </w:r>
      <w:r>
        <w:rPr>
          <w:noProof/>
        </w:rPr>
        <w:tab/>
        <w:t>Mode(s) de gestion prévu(s)</w:t>
      </w:r>
      <w:r>
        <w:rPr>
          <w:rStyle w:val="FootnoteReference"/>
          <w:noProof/>
        </w:rPr>
        <w:footnoteReference w:id="5"/>
      </w:r>
      <w:r>
        <w:rPr>
          <w:rStyle w:val="FootnoteReference"/>
          <w:noProof/>
        </w:rPr>
        <w:t xml:space="preserve"> </w:t>
      </w:r>
    </w:p>
    <w:p>
      <w:pPr>
        <w:pStyle w:val="Text1"/>
        <w:rPr>
          <w:noProof/>
        </w:rPr>
      </w:pPr>
      <w:r>
        <w:rPr>
          <w:noProof/>
        </w:rPr>
        <w:sym w:font="Wingdings" w:char="F0A8"/>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7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r>
        <w:rPr>
          <w:noProof/>
        </w:rPr>
        <w:t>s.o.</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2.</w:t>
      </w:r>
      <w:r>
        <w:rPr>
          <w:noProof/>
        </w:rPr>
        <w:tab/>
        <w:t xml:space="preserve">MESURES DE GESTION </w:t>
      </w:r>
    </w:p>
    <w:p>
      <w:pPr>
        <w:pStyle w:val="ManualHeading2"/>
        <w:rPr>
          <w:noProof/>
        </w:rPr>
      </w:pPr>
      <w:r>
        <w:rPr>
          <w:noProof/>
        </w:rPr>
        <w:t>2.1.</w:t>
      </w:r>
      <w:r>
        <w:rPr>
          <w:noProof/>
        </w:rPr>
        <w:tab/>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2"/>
        <w:rPr>
          <w:bCs/>
          <w:noProof/>
          <w:szCs w:val="24"/>
        </w:rPr>
      </w:pPr>
      <w:r>
        <w:rPr>
          <w:noProof/>
        </w:rPr>
        <w:t>2.2.</w:t>
      </w:r>
      <w:r>
        <w:rPr>
          <w:noProof/>
        </w:rPr>
        <w:tab/>
        <w:t xml:space="preserve">Système de gestion et de contrôle </w:t>
      </w:r>
    </w:p>
    <w:p>
      <w:pPr>
        <w:pStyle w:val="ManualHeading3"/>
        <w:rPr>
          <w:noProof/>
          <w:lang w:val="pt-PT"/>
        </w:rPr>
      </w:pPr>
      <w:r>
        <w:rPr>
          <w:noProof/>
          <w:lang w:val="pt-PT"/>
        </w:rPr>
        <w:t>2.2.1.</w:t>
      </w:r>
      <w:r>
        <w:rPr>
          <w:noProof/>
          <w:lang w:val="pt-PT"/>
        </w:rPr>
        <w:tab/>
        <w:t xml:space="preserve">Risque(s) identifié(s) </w:t>
      </w:r>
    </w:p>
    <w:p>
      <w:pPr>
        <w:pStyle w:val="Text1"/>
        <w:pBdr>
          <w:top w:val="single" w:sz="4" w:space="1" w:color="auto"/>
          <w:left w:val="single" w:sz="4" w:space="4" w:color="auto"/>
          <w:bottom w:val="single" w:sz="4" w:space="1" w:color="auto"/>
          <w:right w:val="single" w:sz="4" w:space="4" w:color="auto"/>
        </w:pBdr>
        <w:rPr>
          <w:noProof/>
          <w:lang w:val="pt-PT"/>
        </w:rPr>
      </w:pPr>
      <w:r>
        <w:rPr>
          <w:noProof/>
          <w:lang w:val="pt-PT"/>
        </w:rPr>
        <w:t>s.o.</w:t>
      </w:r>
    </w:p>
    <w:p>
      <w:pPr>
        <w:pStyle w:val="ManualHeading3"/>
        <w:rPr>
          <w:bCs/>
          <w:noProof/>
          <w:szCs w:val="24"/>
        </w:rPr>
      </w:pPr>
      <w:r>
        <w:rPr>
          <w:noProof/>
        </w:rPr>
        <w:t>2.2.2.</w:t>
      </w:r>
      <w:r>
        <w:rPr>
          <w:noProof/>
        </w:rPr>
        <w:tab/>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3"/>
        <w:rPr>
          <w:noProof/>
        </w:rPr>
      </w:pPr>
      <w:r>
        <w:rPr>
          <w:noProof/>
        </w:rPr>
        <w:t>2.2.3.</w:t>
      </w:r>
      <w:r>
        <w:rPr>
          <w:noProof/>
        </w:rPr>
        <w:tab/>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pStyle w:val="ManualHeading2"/>
        <w:rPr>
          <w:bCs/>
          <w:noProof/>
          <w:szCs w:val="24"/>
        </w:rPr>
      </w:pPr>
      <w:r>
        <w:rPr>
          <w:noProof/>
        </w:rPr>
        <w:t>2.3.</w:t>
      </w:r>
      <w:r>
        <w:rPr>
          <w:noProof/>
        </w:rPr>
        <w:tab/>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s.o.</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rPr>
          <w:noProof/>
        </w:rPr>
        <w:t>3.</w:t>
      </w:r>
      <w:r>
        <w:rPr>
          <w:noProof/>
        </w:rPr>
        <w:tab/>
        <w:t xml:space="preserve">INCIDENCE FINANCIÈRE ESTIMÉE DE LA PROPOSITION/DE L'INITIATIVE </w:t>
      </w:r>
    </w:p>
    <w:p>
      <w:pPr>
        <w:pStyle w:val="ManualHeading2"/>
        <w:rPr>
          <w:noProof/>
        </w:rPr>
      </w:pPr>
      <w:r>
        <w:rPr>
          <w:noProof/>
        </w:rPr>
        <w:t>3.1.</w:t>
      </w:r>
      <w:r>
        <w:rPr>
          <w:noProof/>
        </w:rPr>
        <w:tab/>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3840"/>
        <w:gridCol w:w="1080"/>
        <w:gridCol w:w="956"/>
        <w:gridCol w:w="1080"/>
        <w:gridCol w:w="956"/>
        <w:gridCol w:w="1448"/>
      </w:tblGrid>
      <w:tr>
        <w:tc>
          <w:tcPr>
            <w:tcW w:w="1200" w:type="dxa"/>
            <w:vMerge w:val="restart"/>
            <w:vAlign w:val="center"/>
          </w:tcPr>
          <w:p>
            <w:pPr>
              <w:spacing w:before="60" w:after="60"/>
              <w:jc w:val="center"/>
              <w:rPr>
                <w:noProof/>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200" w:type="dxa"/>
            <w:vMerge/>
            <w:vAlign w:val="center"/>
          </w:tcPr>
          <w:p>
            <w:pPr>
              <w:jc w:val="center"/>
              <w:rPr>
                <w:noProof/>
              </w:rPr>
            </w:pPr>
          </w:p>
        </w:tc>
        <w:tc>
          <w:tcPr>
            <w:tcW w:w="3840" w:type="dxa"/>
            <w:vAlign w:val="center"/>
          </w:tcPr>
          <w:p>
            <w:pPr>
              <w:rPr>
                <w:noProof/>
              </w:rPr>
            </w:pPr>
            <w:r>
              <w:rPr>
                <w:noProof/>
                <w:sz w:val="20"/>
              </w:rPr>
              <w:t>Numéro</w:t>
            </w:r>
            <w:r>
              <w:rPr>
                <w:noProof/>
              </w:rPr>
              <w:br/>
            </w:r>
            <w:r>
              <w:rPr>
                <w:noProof/>
                <w:sz w:val="20"/>
              </w:rPr>
              <w:t>[Libellé………………………...……………]</w:t>
            </w:r>
          </w:p>
        </w:tc>
        <w:tc>
          <w:tcPr>
            <w:tcW w:w="1080" w:type="dxa"/>
            <w:vAlign w:val="center"/>
          </w:tcPr>
          <w:p>
            <w:pPr>
              <w:jc w:val="center"/>
              <w:rPr>
                <w:noProof/>
              </w:rPr>
            </w:pPr>
            <w:r>
              <w:rPr>
                <w:noProof/>
                <w:sz w:val="18"/>
              </w:rPr>
              <w:t>CD/CND</w:t>
            </w:r>
            <w:r>
              <w:rPr>
                <w:rStyle w:val="FootnoteReference"/>
                <w:noProof/>
                <w:sz w:val="18"/>
              </w:rPr>
              <w:footnoteReference w:id="6"/>
            </w:r>
          </w:p>
        </w:tc>
        <w:tc>
          <w:tcPr>
            <w:tcW w:w="956" w:type="dxa"/>
            <w:vAlign w:val="center"/>
          </w:tcPr>
          <w:p>
            <w:pPr>
              <w:jc w:val="center"/>
              <w:rPr>
                <w:noProof/>
              </w:rPr>
            </w:pPr>
            <w:r>
              <w:rPr>
                <w:noProof/>
                <w:sz w:val="18"/>
              </w:rPr>
              <w:t>de pays AELE</w:t>
            </w:r>
            <w:r>
              <w:rPr>
                <w:rStyle w:val="FootnoteReference"/>
                <w:noProof/>
                <w:sz w:val="18"/>
              </w:rPr>
              <w:footnoteReference w:id="7"/>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8"/>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200" w:type="dxa"/>
            <w:shd w:val="clear" w:color="auto" w:fill="auto"/>
            <w:vAlign w:val="center"/>
          </w:tcPr>
          <w:p>
            <w:pPr>
              <w:jc w:val="center"/>
              <w:rPr>
                <w:noProof/>
                <w:color w:val="0000FF"/>
              </w:rPr>
            </w:pPr>
            <w:r>
              <w:rPr>
                <w:noProof/>
              </w:rPr>
              <w:t xml:space="preserve">1 </w:t>
            </w:r>
            <w:r>
              <w:rPr>
                <w:noProof/>
                <w:spacing w:val="-10"/>
                <w:szCs w:val="24"/>
              </w:rPr>
              <w:t>Croissance intelligente et inclusive</w:t>
            </w:r>
          </w:p>
        </w:tc>
        <w:tc>
          <w:tcPr>
            <w:tcW w:w="3840" w:type="dxa"/>
            <w:vAlign w:val="center"/>
          </w:tcPr>
          <w:p>
            <w:pPr>
              <w:spacing w:after="60"/>
              <w:rPr>
                <w:noProof/>
              </w:rPr>
            </w:pPr>
            <w:r>
              <w:rPr>
                <w:noProof/>
              </w:rPr>
              <w:t>04 02 17 - Achèvement du Fonds social européen — Convergence (2007-2013)</w:t>
            </w:r>
          </w:p>
          <w:p>
            <w:pPr>
              <w:spacing w:after="60"/>
              <w:rPr>
                <w:noProof/>
              </w:rPr>
            </w:pPr>
          </w:p>
          <w:p>
            <w:pPr>
              <w:spacing w:after="60"/>
              <w:rPr>
                <w:noProof/>
              </w:rPr>
            </w:pPr>
            <w:r>
              <w:rPr>
                <w:noProof/>
              </w:rPr>
              <w:t>04 02 19 - Achèvement du Fonds social européen — Compétitivité régionale et emploi (2007-2013)</w:t>
            </w:r>
          </w:p>
          <w:p>
            <w:pPr>
              <w:spacing w:after="60"/>
              <w:rPr>
                <w:noProof/>
              </w:rPr>
            </w:pPr>
          </w:p>
          <w:p>
            <w:pPr>
              <w:spacing w:after="60"/>
              <w:rPr>
                <w:noProof/>
              </w:rPr>
            </w:pPr>
            <w:r>
              <w:rPr>
                <w:noProof/>
              </w:rPr>
              <w:t>04 02 60 – Fonds social européen – Régions moins développées – Objectif «Investissement pour la croissance et l’emploi»</w:t>
            </w:r>
          </w:p>
          <w:p>
            <w:pPr>
              <w:spacing w:after="60"/>
              <w:rPr>
                <w:noProof/>
              </w:rPr>
            </w:pPr>
          </w:p>
          <w:p>
            <w:pPr>
              <w:spacing w:after="60"/>
              <w:rPr>
                <w:noProof/>
              </w:rPr>
            </w:pPr>
            <w:r>
              <w:rPr>
                <w:noProof/>
              </w:rPr>
              <w:t>04 02 61 – Fonds social européen – Régions en transition – Objectif «Investissement pour la croissance et l’emploi»</w:t>
            </w:r>
          </w:p>
          <w:p>
            <w:pPr>
              <w:spacing w:after="60"/>
              <w:rPr>
                <w:noProof/>
              </w:rPr>
            </w:pPr>
          </w:p>
          <w:p>
            <w:pPr>
              <w:spacing w:after="60"/>
              <w:rPr>
                <w:noProof/>
              </w:rPr>
            </w:pPr>
            <w:r>
              <w:rPr>
                <w:noProof/>
              </w:rPr>
              <w:t xml:space="preserve">04 02 62 – Fonds social européen – Régions plus développées – Objectif «Investissement pour la croissance et l’emploi» </w:t>
            </w:r>
          </w:p>
          <w:p>
            <w:pPr>
              <w:spacing w:after="60"/>
              <w:rPr>
                <w:noProof/>
              </w:rPr>
            </w:pPr>
          </w:p>
          <w:p>
            <w:pPr>
              <w:spacing w:after="60"/>
              <w:rPr>
                <w:noProof/>
              </w:rPr>
            </w:pPr>
            <w:r>
              <w:rPr>
                <w:noProof/>
              </w:rPr>
              <w:t>13 03 16 - Achèvement du Fonds européen de développement régional (FEDER) — Convergence</w:t>
            </w:r>
          </w:p>
          <w:p>
            <w:pPr>
              <w:spacing w:after="60"/>
              <w:rPr>
                <w:noProof/>
              </w:rPr>
            </w:pPr>
          </w:p>
          <w:p>
            <w:pPr>
              <w:spacing w:after="60"/>
              <w:rPr>
                <w:noProof/>
              </w:rPr>
            </w:pPr>
            <w:r>
              <w:rPr>
                <w:noProof/>
              </w:rPr>
              <w:t>13 03 18 – Achèvement du Fonds européen de développement régional (FEDER) — Compétitivité régionale et emploi</w:t>
            </w:r>
          </w:p>
          <w:p>
            <w:pPr>
              <w:spacing w:after="60"/>
              <w:rPr>
                <w:noProof/>
              </w:rPr>
            </w:pPr>
          </w:p>
          <w:p>
            <w:pPr>
              <w:spacing w:after="60"/>
              <w:rPr>
                <w:noProof/>
              </w:rPr>
            </w:pPr>
            <w:r>
              <w:rPr>
                <w:noProof/>
              </w:rPr>
              <w:t xml:space="preserve">13 03 60 – Fonds européen de développement régional (FEDER) – Régions moins développées – Objectif «Investissement pour la croissance et l’emploi» </w:t>
            </w:r>
          </w:p>
          <w:p>
            <w:pPr>
              <w:spacing w:after="60"/>
              <w:rPr>
                <w:noProof/>
              </w:rPr>
            </w:pPr>
          </w:p>
          <w:p>
            <w:pPr>
              <w:spacing w:after="60"/>
              <w:rPr>
                <w:noProof/>
              </w:rPr>
            </w:pPr>
            <w:r>
              <w:rPr>
                <w:noProof/>
              </w:rPr>
              <w:t xml:space="preserve">13 03 61 – Fonds européen de développement régional (FEDER) – Régions en transition – Objectif «Investissement pour la croissance et l’emploi» </w:t>
            </w:r>
          </w:p>
          <w:p>
            <w:pPr>
              <w:spacing w:after="60"/>
              <w:rPr>
                <w:noProof/>
              </w:rPr>
            </w:pPr>
          </w:p>
          <w:p>
            <w:pPr>
              <w:spacing w:after="60"/>
              <w:rPr>
                <w:noProof/>
              </w:rPr>
            </w:pPr>
            <w:r>
              <w:rPr>
                <w:noProof/>
              </w:rPr>
              <w:t xml:space="preserve">13 03 62 – Fonds européen de développement régional (FEDER) – Régions plus développées – Objectif «Investissement pour la croissance et l’emploi» </w:t>
            </w:r>
          </w:p>
          <w:p>
            <w:pPr>
              <w:spacing w:after="60"/>
              <w:rPr>
                <w:noProof/>
              </w:rPr>
            </w:pPr>
          </w:p>
          <w:p>
            <w:pPr>
              <w:spacing w:after="60"/>
              <w:rPr>
                <w:noProof/>
              </w:rPr>
            </w:pPr>
            <w:r>
              <w:rPr>
                <w:noProof/>
              </w:rPr>
              <w:t>13 04 02 – Achèvement du Fonds de cohésion (2007-2013)</w:t>
            </w:r>
          </w:p>
          <w:p>
            <w:pPr>
              <w:spacing w:after="60"/>
              <w:rPr>
                <w:noProof/>
              </w:rPr>
            </w:pPr>
          </w:p>
          <w:p>
            <w:pPr>
              <w:spacing w:after="60"/>
              <w:rPr>
                <w:noProof/>
              </w:rPr>
            </w:pPr>
            <w:r>
              <w:rPr>
                <w:noProof/>
              </w:rPr>
              <w:t>13 04 60 – Fonds de cohésion — Objectif «investissement pour la croissance et l’emploi»</w:t>
            </w:r>
          </w:p>
          <w:p>
            <w:pPr>
              <w:spacing w:after="60"/>
              <w:rPr>
                <w:noProof/>
              </w:rPr>
            </w:pPr>
          </w:p>
        </w:tc>
        <w:tc>
          <w:tcPr>
            <w:tcW w:w="1080" w:type="dxa"/>
            <w:vAlign w:val="center"/>
          </w:tcPr>
          <w:p>
            <w:pPr>
              <w:jc w:val="center"/>
              <w:rPr>
                <w:noProof/>
                <w:color w:val="0000FF"/>
              </w:rPr>
            </w:pPr>
            <w:r>
              <w:rPr>
                <w:noProof/>
              </w:rPr>
              <w:t>CD</w:t>
            </w:r>
          </w:p>
        </w:tc>
        <w:tc>
          <w:tcPr>
            <w:tcW w:w="956" w:type="dxa"/>
            <w:vAlign w:val="center"/>
          </w:tcPr>
          <w:p>
            <w:pPr>
              <w:jc w:val="center"/>
              <w:rPr>
                <w:noProof/>
              </w:rPr>
            </w:pPr>
            <w:r>
              <w:rPr>
                <w:noProof/>
              </w:rPr>
              <w:t>NON</w:t>
            </w:r>
          </w:p>
        </w:tc>
        <w:tc>
          <w:tcPr>
            <w:tcW w:w="1080" w:type="dxa"/>
            <w:vAlign w:val="center"/>
          </w:tcPr>
          <w:p>
            <w:pPr>
              <w:jc w:val="center"/>
              <w:rPr>
                <w:noProof/>
              </w:rPr>
            </w:pPr>
            <w:r>
              <w:rPr>
                <w:noProof/>
              </w:rPr>
              <w:t>NON</w:t>
            </w:r>
          </w:p>
        </w:tc>
        <w:tc>
          <w:tcPr>
            <w:tcW w:w="956" w:type="dxa"/>
            <w:vAlign w:val="center"/>
          </w:tcPr>
          <w:p>
            <w:pPr>
              <w:jc w:val="center"/>
              <w:rPr>
                <w:noProof/>
              </w:rPr>
            </w:pPr>
            <w:r>
              <w:rPr>
                <w:noProof/>
              </w:rPr>
              <w:t>NON</w:t>
            </w:r>
          </w:p>
        </w:tc>
        <w:tc>
          <w:tcPr>
            <w:tcW w:w="1448" w:type="dxa"/>
            <w:vAlign w:val="center"/>
          </w:tcPr>
          <w:p>
            <w:pPr>
              <w:jc w:val="center"/>
              <w:rPr>
                <w:noProof/>
              </w:rPr>
            </w:pPr>
            <w:r>
              <w:rPr>
                <w:noProof/>
              </w:rPr>
              <w:t>NON</w:t>
            </w:r>
          </w:p>
        </w:tc>
      </w:tr>
      <w:tr>
        <w:tc>
          <w:tcPr>
            <w:tcW w:w="1200" w:type="dxa"/>
            <w:shd w:val="clear" w:color="auto" w:fill="auto"/>
            <w:vAlign w:val="center"/>
          </w:tcPr>
          <w:p>
            <w:pPr>
              <w:jc w:val="center"/>
              <w:rPr>
                <w:noProof/>
              </w:rPr>
            </w:pPr>
            <w:r>
              <w:rPr>
                <w:noProof/>
              </w:rPr>
              <w:t xml:space="preserve">2 </w:t>
            </w:r>
            <w:r>
              <w:rPr>
                <w:noProof/>
                <w:spacing w:val="-10"/>
              </w:rPr>
              <w:t>Croissance durable: ressources naturelles</w:t>
            </w:r>
          </w:p>
        </w:tc>
        <w:tc>
          <w:tcPr>
            <w:tcW w:w="3840" w:type="dxa"/>
            <w:vAlign w:val="center"/>
          </w:tcPr>
          <w:p>
            <w:pPr>
              <w:pStyle w:val="Text1"/>
              <w:pBdr>
                <w:top w:val="single" w:sz="4" w:space="1" w:color="auto"/>
                <w:left w:val="single" w:sz="4" w:space="4" w:color="auto"/>
                <w:bottom w:val="single" w:sz="4" w:space="1" w:color="auto"/>
                <w:right w:val="single" w:sz="4" w:space="4" w:color="auto"/>
              </w:pBdr>
              <w:rPr>
                <w:noProof/>
              </w:rPr>
            </w:pPr>
            <w:r>
              <w:rPr>
                <w:noProof/>
                <w:color w:val="1F497D"/>
              </w:rPr>
              <w:t>11 06 60 – Promouvoir une pêche et une aquaculture durables et compétitives ainsi que le développement territorial équilibré et solidaire des zones tributaires de la pêche, et favoriser la mise en œuvre de la politique commune de la pêche</w:t>
            </w:r>
          </w:p>
          <w:p>
            <w:pPr>
              <w:spacing w:after="60"/>
              <w:rPr>
                <w:noProof/>
              </w:rPr>
            </w:pPr>
          </w:p>
        </w:tc>
        <w:tc>
          <w:tcPr>
            <w:tcW w:w="1080" w:type="dxa"/>
            <w:vAlign w:val="center"/>
          </w:tcPr>
          <w:p>
            <w:pPr>
              <w:jc w:val="center"/>
              <w:rPr>
                <w:noProof/>
              </w:rPr>
            </w:pPr>
            <w:r>
              <w:rPr>
                <w:noProof/>
              </w:rPr>
              <w:t>CD</w:t>
            </w:r>
          </w:p>
        </w:tc>
        <w:tc>
          <w:tcPr>
            <w:tcW w:w="956" w:type="dxa"/>
            <w:vAlign w:val="center"/>
          </w:tcPr>
          <w:p>
            <w:pPr>
              <w:jc w:val="center"/>
              <w:rPr>
                <w:noProof/>
              </w:rPr>
            </w:pPr>
            <w:r>
              <w:rPr>
                <w:noProof/>
              </w:rPr>
              <w:t>NON</w:t>
            </w:r>
          </w:p>
        </w:tc>
        <w:tc>
          <w:tcPr>
            <w:tcW w:w="1080" w:type="dxa"/>
            <w:vAlign w:val="center"/>
          </w:tcPr>
          <w:p>
            <w:pPr>
              <w:jc w:val="center"/>
              <w:rPr>
                <w:noProof/>
              </w:rPr>
            </w:pPr>
            <w:r>
              <w:rPr>
                <w:noProof/>
              </w:rPr>
              <w:t>NON</w:t>
            </w:r>
          </w:p>
        </w:tc>
        <w:tc>
          <w:tcPr>
            <w:tcW w:w="956" w:type="dxa"/>
            <w:vAlign w:val="center"/>
          </w:tcPr>
          <w:p>
            <w:pPr>
              <w:jc w:val="center"/>
              <w:rPr>
                <w:noProof/>
              </w:rPr>
            </w:pPr>
            <w:r>
              <w:rPr>
                <w:noProof/>
              </w:rPr>
              <w:t>NON</w:t>
            </w:r>
          </w:p>
        </w:tc>
        <w:tc>
          <w:tcPr>
            <w:tcW w:w="1448" w:type="dxa"/>
            <w:vAlign w:val="center"/>
          </w:tcPr>
          <w:p>
            <w:pPr>
              <w:jc w:val="center"/>
              <w:rPr>
                <w:noProof/>
              </w:rPr>
            </w:pPr>
            <w:r>
              <w:rPr>
                <w:noProof/>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Numéro</w:t>
            </w:r>
            <w:r>
              <w:rPr>
                <w:noProof/>
              </w:rPr>
              <w:br/>
            </w:r>
            <w:r>
              <w:rPr>
                <w:noProof/>
                <w:sz w:val="20"/>
              </w:rP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rPr>
              <w:t>OUI/NON</w:t>
            </w:r>
          </w:p>
        </w:tc>
        <w:tc>
          <w:tcPr>
            <w:tcW w:w="1080" w:type="dxa"/>
            <w:vAlign w:val="center"/>
          </w:tcPr>
          <w:p>
            <w:pPr>
              <w:jc w:val="center"/>
              <w:rPr>
                <w:noProof/>
                <w:color w:val="0000FF"/>
                <w:sz w:val="18"/>
              </w:rPr>
            </w:pPr>
            <w:r>
              <w:rPr>
                <w:noProof/>
              </w:rPr>
              <w:t>OUI/NON</w:t>
            </w:r>
          </w:p>
        </w:tc>
        <w:tc>
          <w:tcPr>
            <w:tcW w:w="956" w:type="dxa"/>
            <w:vAlign w:val="center"/>
          </w:tcPr>
          <w:p>
            <w:pPr>
              <w:jc w:val="center"/>
              <w:rPr>
                <w:noProof/>
                <w:color w:val="0000FF"/>
                <w:sz w:val="18"/>
              </w:rPr>
            </w:pPr>
            <w:r>
              <w:rPr>
                <w:noProof/>
              </w:rPr>
              <w:t>OUI/NON</w:t>
            </w:r>
          </w:p>
        </w:tc>
        <w:tc>
          <w:tcPr>
            <w:tcW w:w="1448" w:type="dxa"/>
            <w:vAlign w:val="center"/>
          </w:tcPr>
          <w:p>
            <w:pPr>
              <w:jc w:val="center"/>
              <w:rPr>
                <w:noProof/>
              </w:rPr>
            </w:pPr>
            <w:r>
              <w:rPr>
                <w:noProof/>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rPr>
          <w:noProof/>
        </w:rPr>
        <w:t>3.2.</w:t>
      </w:r>
      <w:r>
        <w:rPr>
          <w:noProof/>
        </w:rPr>
        <w:tab/>
        <w:t xml:space="preserve">Incidence estimée sur les dépenses </w:t>
      </w:r>
    </w:p>
    <w:p>
      <w:pPr>
        <w:rPr>
          <w:noProof/>
        </w:rPr>
      </w:pPr>
      <w:r>
        <w:rPr>
          <w:noProof/>
        </w:rPr>
        <w:t>La modification proposée n'entraîne aucun changement dans les plafonds annuels du cadre financier pluriannuel établis pour les engagements et les paiements à l'annexe du règlement (UE) nº 1311/2013.</w:t>
      </w:r>
    </w:p>
    <w:p>
      <w:pPr>
        <w:rPr>
          <w:rFonts w:cs="Tahoma"/>
          <w:noProof/>
          <w:color w:val="0F243E"/>
        </w:rPr>
      </w:pPr>
      <w:r>
        <w:rPr>
          <w:noProof/>
          <w:color w:val="0F243E"/>
        </w:rPr>
        <w:t>La ventilation annuelle des crédits d’engagement pour l’IEJ reste inchangée.</w:t>
      </w:r>
    </w:p>
    <w:p>
      <w:pPr>
        <w:rPr>
          <w:rFonts w:cs="Tahoma"/>
          <w:noProof/>
          <w:color w:val="0F243E"/>
        </w:rPr>
      </w:pPr>
      <w:r>
        <w:rPr>
          <w:noProof/>
          <w:color w:val="0F243E"/>
        </w:rPr>
        <w:t>Le besoin accru de crédits de paiement pour le préfinancement initial au titre de l’IEJ en 2015 sera couvert par les crédits afférents au FSE et à l’IEJ inscrits au TITRE 04 (Emploi, affaires sociales et inclusion) du budget 2015.</w:t>
      </w:r>
    </w:p>
    <w:p>
      <w:pPr>
        <w:rPr>
          <w:noProof/>
        </w:rPr>
      </w:pPr>
    </w:p>
    <w:p>
      <w:pPr>
        <w:pStyle w:val="Text1"/>
        <w:rPr>
          <w:noProof/>
        </w:rPr>
      </w:pPr>
    </w:p>
    <w:p>
      <w:pPr>
        <w:pStyle w:val="ManualHeading3"/>
        <w:rPr>
          <w:noProof/>
          <w:u w:val="single"/>
        </w:rPr>
      </w:pPr>
      <w:r>
        <w:rPr>
          <w:noProof/>
        </w:rPr>
        <w:t>3.2.1.</w:t>
      </w:r>
      <w:r>
        <w:rPr>
          <w:noProof/>
        </w:rPr>
        <w:tab/>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rPr>
              <w:t>Rubrique du cadre financier</w:t>
            </w:r>
            <w:r>
              <w:rPr>
                <w:noProof/>
              </w:rPr>
              <w:br/>
            </w:r>
            <w:r>
              <w:rPr>
                <w:b/>
                <w:noProof/>
              </w:rPr>
              <w:t xml:space="preserve">pluriannuel </w:t>
            </w:r>
          </w:p>
        </w:tc>
        <w:tc>
          <w:tcPr>
            <w:tcW w:w="1080" w:type="dxa"/>
            <w:vAlign w:val="center"/>
          </w:tcPr>
          <w:p>
            <w:pPr>
              <w:spacing w:before="60" w:after="60"/>
              <w:jc w:val="center"/>
              <w:rPr>
                <w:noProof/>
              </w:rPr>
            </w:pPr>
            <w:r>
              <w:rPr>
                <w:noProof/>
                <w:sz w:val="22"/>
              </w:rPr>
              <w:t>Numéro</w:t>
            </w:r>
          </w:p>
          <w:p>
            <w:pPr>
              <w:spacing w:before="60" w:after="60"/>
              <w:jc w:val="center"/>
              <w:rPr>
                <w:noProof/>
              </w:rPr>
            </w:pPr>
            <w:r>
              <w:rPr>
                <w:noProof/>
                <w:sz w:val="22"/>
              </w:rPr>
              <w:t>1</w:t>
            </w:r>
          </w:p>
        </w:tc>
        <w:tc>
          <w:tcPr>
            <w:tcW w:w="7817" w:type="dxa"/>
            <w:vAlign w:val="center"/>
          </w:tcPr>
          <w:p>
            <w:pPr>
              <w:spacing w:before="60" w:after="60"/>
              <w:rPr>
                <w:noProof/>
              </w:rPr>
            </w:pPr>
            <w:r>
              <w:rPr>
                <w:noProof/>
              </w:rPr>
              <w:t>Croissance intelligente et inclusive</w:t>
            </w:r>
          </w:p>
        </w:tc>
      </w:tr>
    </w:tbl>
    <w:p>
      <w:pPr>
        <w:rPr>
          <w:noProof/>
          <w:sz w:val="16"/>
        </w:rPr>
      </w:pP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026"/>
        <w:gridCol w:w="1320"/>
        <w:gridCol w:w="1032"/>
        <w:gridCol w:w="945"/>
        <w:gridCol w:w="1250"/>
        <w:gridCol w:w="720"/>
        <w:gridCol w:w="1216"/>
        <w:gridCol w:w="931"/>
      </w:tblGrid>
      <w:tr>
        <w:tc>
          <w:tcPr>
            <w:tcW w:w="3960" w:type="dxa"/>
            <w:vAlign w:val="center"/>
          </w:tcPr>
          <w:p>
            <w:pPr>
              <w:jc w:val="center"/>
              <w:rPr>
                <w:noProof/>
              </w:rPr>
            </w:pPr>
            <w:r>
              <w:rPr>
                <w:noProof/>
                <w:sz w:val="22"/>
              </w:rPr>
              <w:t xml:space="preserve">DG: </w:t>
            </w:r>
            <w:r>
              <w:rPr>
                <w:noProof/>
              </w:rPr>
              <w:t xml:space="preserve">EMPL, REGIO </w:t>
            </w:r>
          </w:p>
        </w:tc>
        <w:tc>
          <w:tcPr>
            <w:tcW w:w="1560" w:type="dxa"/>
            <w:gridSpan w:val="2"/>
          </w:tcPr>
          <w:p>
            <w:pPr>
              <w:rPr>
                <w:noProof/>
                <w:sz w:val="20"/>
              </w:rPr>
            </w:pPr>
          </w:p>
        </w:tc>
        <w:tc>
          <w:tcPr>
            <w:tcW w:w="534" w:type="dxa"/>
          </w:tcPr>
          <w:p>
            <w:pPr>
              <w:jc w:val="center"/>
              <w:rPr>
                <w:noProof/>
                <w:sz w:val="20"/>
              </w:rPr>
            </w:pPr>
          </w:p>
        </w:tc>
        <w:tc>
          <w:tcPr>
            <w:tcW w:w="1026" w:type="dxa"/>
          </w:tcPr>
          <w:p>
            <w:pPr>
              <w:rPr>
                <w:noProof/>
              </w:rPr>
            </w:pPr>
            <w:r>
              <w:rPr>
                <w:noProof/>
              </w:rPr>
              <w:t>2014</w:t>
            </w:r>
          </w:p>
        </w:tc>
        <w:tc>
          <w:tcPr>
            <w:tcW w:w="1320" w:type="dxa"/>
          </w:tcPr>
          <w:p>
            <w:pPr>
              <w:rPr>
                <w:noProof/>
              </w:rPr>
            </w:pPr>
            <w:r>
              <w:rPr>
                <w:noProof/>
              </w:rPr>
              <w:t>2015</w:t>
            </w:r>
          </w:p>
        </w:tc>
        <w:tc>
          <w:tcPr>
            <w:tcW w:w="1032" w:type="dxa"/>
          </w:tcPr>
          <w:p>
            <w:pPr>
              <w:rPr>
                <w:noProof/>
              </w:rPr>
            </w:pPr>
            <w:r>
              <w:rPr>
                <w:noProof/>
              </w:rPr>
              <w:t>2016</w:t>
            </w:r>
          </w:p>
        </w:tc>
        <w:tc>
          <w:tcPr>
            <w:tcW w:w="945" w:type="dxa"/>
          </w:tcPr>
          <w:p>
            <w:pPr>
              <w:rPr>
                <w:noProof/>
              </w:rPr>
            </w:pPr>
            <w:r>
              <w:rPr>
                <w:noProof/>
              </w:rPr>
              <w:t>2017</w:t>
            </w:r>
          </w:p>
        </w:tc>
        <w:tc>
          <w:tcPr>
            <w:tcW w:w="1250" w:type="dxa"/>
          </w:tcPr>
          <w:p>
            <w:pPr>
              <w:rPr>
                <w:noProof/>
              </w:rPr>
            </w:pPr>
            <w:r>
              <w:rPr>
                <w:noProof/>
              </w:rPr>
              <w:t>2018</w:t>
            </w:r>
            <w:r>
              <w:rPr>
                <w:rStyle w:val="FootnoteReference"/>
                <w:noProof/>
              </w:rPr>
              <w:footnoteReference w:id="9"/>
            </w:r>
          </w:p>
        </w:tc>
        <w:tc>
          <w:tcPr>
            <w:tcW w:w="720" w:type="dxa"/>
          </w:tcPr>
          <w:p>
            <w:pPr>
              <w:rPr>
                <w:noProof/>
              </w:rPr>
            </w:pPr>
            <w:r>
              <w:rPr>
                <w:noProof/>
              </w:rPr>
              <w:t>2019</w:t>
            </w:r>
          </w:p>
        </w:tc>
        <w:tc>
          <w:tcPr>
            <w:tcW w:w="1216" w:type="dxa"/>
          </w:tcPr>
          <w:p>
            <w:pPr>
              <w:rPr>
                <w:noProof/>
              </w:rPr>
            </w:pPr>
            <w:r>
              <w:rPr>
                <w:noProof/>
              </w:rPr>
              <w:t>2020</w:t>
            </w:r>
          </w:p>
        </w:tc>
        <w:tc>
          <w:tcPr>
            <w:tcW w:w="931"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1026" w:type="dxa"/>
            <w:vAlign w:val="center"/>
          </w:tcPr>
          <w:p>
            <w:pPr>
              <w:rPr>
                <w:noProof/>
                <w:sz w:val="20"/>
              </w:rPr>
            </w:pPr>
          </w:p>
        </w:tc>
        <w:tc>
          <w:tcPr>
            <w:tcW w:w="1320" w:type="dxa"/>
            <w:vAlign w:val="center"/>
          </w:tcPr>
          <w:p>
            <w:pPr>
              <w:rPr>
                <w:noProof/>
                <w:sz w:val="20"/>
              </w:rPr>
            </w:pPr>
          </w:p>
        </w:tc>
        <w:tc>
          <w:tcPr>
            <w:tcW w:w="1032" w:type="dxa"/>
            <w:vAlign w:val="center"/>
          </w:tcPr>
          <w:p>
            <w:pPr>
              <w:rPr>
                <w:noProof/>
                <w:sz w:val="20"/>
              </w:rPr>
            </w:pPr>
          </w:p>
        </w:tc>
        <w:tc>
          <w:tcPr>
            <w:tcW w:w="945" w:type="dxa"/>
            <w:vAlign w:val="center"/>
          </w:tcPr>
          <w:p>
            <w:pPr>
              <w:rPr>
                <w:noProof/>
                <w:sz w:val="20"/>
              </w:rPr>
            </w:pPr>
          </w:p>
        </w:tc>
        <w:tc>
          <w:tcPr>
            <w:tcW w:w="1250" w:type="dxa"/>
            <w:vAlign w:val="center"/>
          </w:tcPr>
          <w:p>
            <w:pPr>
              <w:rPr>
                <w:noProof/>
                <w:sz w:val="20"/>
              </w:rPr>
            </w:pPr>
          </w:p>
        </w:tc>
        <w:tc>
          <w:tcPr>
            <w:tcW w:w="720" w:type="dxa"/>
            <w:vAlign w:val="center"/>
          </w:tcPr>
          <w:p>
            <w:pPr>
              <w:rPr>
                <w:noProof/>
                <w:sz w:val="20"/>
              </w:rPr>
            </w:pPr>
          </w:p>
        </w:tc>
        <w:tc>
          <w:tcPr>
            <w:tcW w:w="1216" w:type="dxa"/>
            <w:vAlign w:val="center"/>
          </w:tcPr>
          <w:p>
            <w:pPr>
              <w:rPr>
                <w:b/>
                <w:noProof/>
                <w:sz w:val="20"/>
              </w:rPr>
            </w:pPr>
          </w:p>
        </w:tc>
        <w:tc>
          <w:tcPr>
            <w:tcW w:w="931" w:type="dxa"/>
            <w:vAlign w:val="center"/>
          </w:tcPr>
          <w:p>
            <w:pPr>
              <w:rPr>
                <w:b/>
                <w:noProof/>
                <w:sz w:val="20"/>
              </w:rPr>
            </w:pPr>
          </w:p>
        </w:tc>
      </w:tr>
      <w:tr>
        <w:trPr>
          <w:trHeight w:val="277"/>
        </w:trPr>
        <w:tc>
          <w:tcPr>
            <w:tcW w:w="3960" w:type="dxa"/>
            <w:vMerge w:val="restart"/>
            <w:vAlign w:val="center"/>
          </w:tcPr>
          <w:p>
            <w:pPr>
              <w:spacing w:before="60"/>
              <w:rPr>
                <w:noProof/>
                <w:sz w:val="21"/>
              </w:rPr>
            </w:pPr>
            <w:r>
              <w:rPr>
                <w:noProof/>
                <w:sz w:val="21"/>
              </w:rPr>
              <w:t>1b: Cohésion économique, sociale et territoriale</w:t>
            </w:r>
          </w:p>
          <w:p>
            <w:pPr>
              <w:spacing w:before="60"/>
              <w:rPr>
                <w:noProof/>
              </w:rPr>
            </w:pPr>
            <w:r>
              <w:rPr>
                <w:noProof/>
                <w:sz w:val="21"/>
              </w:rPr>
              <w:t>Fonds européen de développement régional, Fonds social européen et Fonds de cohésion</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1032" w:type="dxa"/>
            <w:vAlign w:val="center"/>
          </w:tcPr>
          <w:p>
            <w:pPr>
              <w:spacing w:before="20" w:after="20"/>
              <w:jc w:val="right"/>
              <w:rPr>
                <w:noProof/>
                <w:sz w:val="20"/>
              </w:rPr>
            </w:pPr>
            <w:r>
              <w:rPr>
                <w:noProof/>
                <w:sz w:val="20"/>
              </w:rPr>
              <w:t>0</w:t>
            </w:r>
          </w:p>
        </w:tc>
        <w:tc>
          <w:tcPr>
            <w:tcW w:w="945" w:type="dxa"/>
            <w:vAlign w:val="center"/>
          </w:tcPr>
          <w:p>
            <w:pPr>
              <w:spacing w:before="20" w:after="20"/>
              <w:jc w:val="right"/>
              <w:rPr>
                <w:noProof/>
                <w:sz w:val="20"/>
              </w:rPr>
            </w:pPr>
            <w:r>
              <w:rPr>
                <w:noProof/>
                <w:sz w:val="20"/>
              </w:rPr>
              <w:t>0</w:t>
            </w:r>
          </w:p>
        </w:tc>
        <w:tc>
          <w:tcPr>
            <w:tcW w:w="1250" w:type="dxa"/>
            <w:vAlign w:val="center"/>
          </w:tcPr>
          <w:p>
            <w:pPr>
              <w:spacing w:before="20" w:after="20"/>
              <w:jc w:val="right"/>
              <w:rPr>
                <w:noProof/>
                <w:sz w:val="20"/>
              </w:rPr>
            </w:pPr>
            <w:r>
              <w:rPr>
                <w:noProof/>
                <w:sz w:val="20"/>
              </w:rPr>
              <w:t>0</w:t>
            </w:r>
          </w:p>
        </w:tc>
        <w:tc>
          <w:tcPr>
            <w:tcW w:w="720" w:type="dxa"/>
            <w:vAlign w:val="center"/>
          </w:tcPr>
          <w:p>
            <w:pPr>
              <w:spacing w:before="20" w:after="20"/>
              <w:jc w:val="right"/>
              <w:rPr>
                <w:noProof/>
                <w:sz w:val="20"/>
              </w:rPr>
            </w:pPr>
            <w:r>
              <w:rPr>
                <w:noProof/>
                <w:sz w:val="20"/>
              </w:rPr>
              <w:t>0</w:t>
            </w:r>
          </w:p>
        </w:tc>
        <w:tc>
          <w:tcPr>
            <w:tcW w:w="1216" w:type="dxa"/>
            <w:vAlign w:val="center"/>
          </w:tcPr>
          <w:p>
            <w:pPr>
              <w:spacing w:before="20" w:after="20"/>
              <w:jc w:val="right"/>
              <w:rPr>
                <w:b/>
                <w:noProof/>
                <w:sz w:val="20"/>
              </w:rPr>
            </w:pPr>
            <w:r>
              <w:rPr>
                <w:b/>
                <w:noProof/>
                <w:sz w:val="20"/>
              </w:rPr>
              <w:t>0</w:t>
            </w:r>
          </w:p>
        </w:tc>
        <w:tc>
          <w:tcPr>
            <w:tcW w:w="931"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1 000,000</w:t>
            </w:r>
          </w:p>
        </w:tc>
        <w:tc>
          <w:tcPr>
            <w:tcW w:w="1032" w:type="dxa"/>
            <w:vAlign w:val="center"/>
          </w:tcPr>
          <w:p>
            <w:pPr>
              <w:spacing w:before="20" w:after="20"/>
              <w:jc w:val="right"/>
              <w:rPr>
                <w:noProof/>
                <w:sz w:val="20"/>
              </w:rPr>
            </w:pPr>
            <w:r>
              <w:rPr>
                <w:noProof/>
                <w:sz w:val="20"/>
              </w:rPr>
              <w:t xml:space="preserve">1 000,000 </w:t>
            </w:r>
          </w:p>
        </w:tc>
        <w:tc>
          <w:tcPr>
            <w:tcW w:w="945" w:type="dxa"/>
            <w:vAlign w:val="center"/>
          </w:tcPr>
          <w:p>
            <w:pPr>
              <w:spacing w:before="20" w:after="20"/>
              <w:jc w:val="right"/>
              <w:rPr>
                <w:noProof/>
                <w:sz w:val="20"/>
              </w:rPr>
            </w:pPr>
          </w:p>
        </w:tc>
        <w:tc>
          <w:tcPr>
            <w:tcW w:w="1250" w:type="dxa"/>
            <w:vAlign w:val="center"/>
          </w:tcPr>
          <w:p>
            <w:pPr>
              <w:spacing w:before="20" w:after="20"/>
              <w:jc w:val="right"/>
              <w:rPr>
                <w:noProof/>
                <w:sz w:val="20"/>
              </w:rPr>
            </w:pPr>
            <w:r>
              <w:rPr>
                <w:b/>
                <w:noProof/>
                <w:sz w:val="20"/>
              </w:rPr>
              <w:t>-1 000,000</w:t>
            </w:r>
          </w:p>
        </w:tc>
        <w:tc>
          <w:tcPr>
            <w:tcW w:w="720" w:type="dxa"/>
            <w:vAlign w:val="center"/>
          </w:tcPr>
          <w:p>
            <w:pPr>
              <w:spacing w:before="20" w:after="20"/>
              <w:jc w:val="right"/>
              <w:rPr>
                <w:noProof/>
                <w:sz w:val="20"/>
              </w:rPr>
            </w:pPr>
            <w:r>
              <w:rPr>
                <w:noProof/>
                <w:sz w:val="20"/>
              </w:rPr>
              <w:t>0</w:t>
            </w:r>
          </w:p>
        </w:tc>
        <w:tc>
          <w:tcPr>
            <w:tcW w:w="1216" w:type="dxa"/>
            <w:vAlign w:val="center"/>
          </w:tcPr>
          <w:p>
            <w:pPr>
              <w:spacing w:before="20" w:after="20"/>
              <w:jc w:val="right"/>
              <w:rPr>
                <w:b/>
                <w:noProof/>
                <w:sz w:val="20"/>
              </w:rPr>
            </w:pPr>
            <w:r>
              <w:rPr>
                <w:b/>
                <w:noProof/>
                <w:sz w:val="20"/>
              </w:rPr>
              <w:t xml:space="preserve"> -1 000,000</w:t>
            </w:r>
          </w:p>
        </w:tc>
        <w:tc>
          <w:tcPr>
            <w:tcW w:w="931" w:type="dxa"/>
            <w:vAlign w:val="center"/>
          </w:tcPr>
          <w:p>
            <w:pPr>
              <w:spacing w:before="20" w:after="20"/>
              <w:jc w:val="right"/>
              <w:rPr>
                <w:b/>
                <w:noProof/>
                <w:sz w:val="20"/>
              </w:rPr>
            </w:pPr>
            <w:r>
              <w:rPr>
                <w:b/>
                <w:noProof/>
                <w:sz w:val="20"/>
              </w:rPr>
              <w:t>0</w:t>
            </w: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10"/>
            </w:r>
            <w:r>
              <w:rPr>
                <w:noProof/>
                <w:sz w:val="21"/>
              </w:rPr>
              <w:t xml:space="preserve"> </w:t>
            </w:r>
          </w:p>
          <w:p>
            <w:pPr>
              <w:spacing w:before="0" w:after="0"/>
              <w:rPr>
                <w:noProof/>
              </w:rPr>
            </w:pPr>
          </w:p>
        </w:tc>
        <w:tc>
          <w:tcPr>
            <w:tcW w:w="1026" w:type="dxa"/>
            <w:vAlign w:val="center"/>
          </w:tcPr>
          <w:p>
            <w:pPr>
              <w:rPr>
                <w:b/>
                <w:noProof/>
                <w:sz w:val="20"/>
              </w:rPr>
            </w:pPr>
          </w:p>
        </w:tc>
        <w:tc>
          <w:tcPr>
            <w:tcW w:w="1320" w:type="dxa"/>
            <w:vAlign w:val="center"/>
          </w:tcPr>
          <w:p>
            <w:pPr>
              <w:rPr>
                <w:b/>
                <w:noProof/>
                <w:sz w:val="20"/>
              </w:rPr>
            </w:pPr>
          </w:p>
        </w:tc>
        <w:tc>
          <w:tcPr>
            <w:tcW w:w="1032" w:type="dxa"/>
            <w:vAlign w:val="center"/>
          </w:tcPr>
          <w:p>
            <w:pPr>
              <w:rPr>
                <w:b/>
                <w:noProof/>
                <w:sz w:val="20"/>
              </w:rPr>
            </w:pPr>
          </w:p>
        </w:tc>
        <w:tc>
          <w:tcPr>
            <w:tcW w:w="945" w:type="dxa"/>
            <w:vAlign w:val="center"/>
          </w:tcPr>
          <w:p>
            <w:pPr>
              <w:rPr>
                <w:b/>
                <w:noProof/>
                <w:sz w:val="20"/>
              </w:rPr>
            </w:pPr>
          </w:p>
        </w:tc>
        <w:tc>
          <w:tcPr>
            <w:tcW w:w="1250" w:type="dxa"/>
            <w:vAlign w:val="center"/>
          </w:tcPr>
          <w:p>
            <w:pPr>
              <w:rPr>
                <w:b/>
                <w:noProof/>
                <w:sz w:val="20"/>
              </w:rPr>
            </w:pPr>
          </w:p>
        </w:tc>
        <w:tc>
          <w:tcPr>
            <w:tcW w:w="720" w:type="dxa"/>
            <w:vAlign w:val="center"/>
          </w:tcPr>
          <w:p>
            <w:pPr>
              <w:rPr>
                <w:b/>
                <w:noProof/>
                <w:sz w:val="20"/>
              </w:rPr>
            </w:pPr>
          </w:p>
        </w:tc>
        <w:tc>
          <w:tcPr>
            <w:tcW w:w="1216" w:type="dxa"/>
            <w:vAlign w:val="center"/>
          </w:tcPr>
          <w:p>
            <w:pPr>
              <w:rPr>
                <w:b/>
                <w:noProof/>
                <w:sz w:val="20"/>
              </w:rPr>
            </w:pPr>
          </w:p>
        </w:tc>
        <w:tc>
          <w:tcPr>
            <w:tcW w:w="931" w:type="dxa"/>
            <w:vAlign w:val="center"/>
          </w:tcPr>
          <w:p>
            <w:pPr>
              <w:rPr>
                <w:b/>
                <w:noProof/>
                <w:sz w:val="20"/>
              </w:rPr>
            </w:pPr>
          </w:p>
        </w:tc>
      </w:tr>
      <w:tr>
        <w:trPr>
          <w:trHeight w:val="319"/>
        </w:trPr>
        <w:tc>
          <w:tcPr>
            <w:tcW w:w="3960" w:type="dxa"/>
            <w:vAlign w:val="center"/>
          </w:tcPr>
          <w:p>
            <w:pPr>
              <w:spacing w:before="60" w:after="60"/>
              <w:rPr>
                <w:noProof/>
              </w:rPr>
            </w:pPr>
            <w:r>
              <w:rPr>
                <w:noProof/>
                <w:sz w:val="20"/>
              </w:rPr>
              <w:t>s.o.</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26" w:type="dxa"/>
            <w:vAlign w:val="center"/>
          </w:tcPr>
          <w:p>
            <w:pPr>
              <w:spacing w:before="40" w:after="40"/>
              <w:jc w:val="right"/>
              <w:rPr>
                <w:b/>
                <w:noProof/>
                <w:sz w:val="20"/>
              </w:rPr>
            </w:pPr>
          </w:p>
        </w:tc>
        <w:tc>
          <w:tcPr>
            <w:tcW w:w="1320" w:type="dxa"/>
            <w:vAlign w:val="center"/>
          </w:tcPr>
          <w:p>
            <w:pPr>
              <w:spacing w:before="40" w:after="40"/>
              <w:jc w:val="right"/>
              <w:rPr>
                <w:b/>
                <w:noProof/>
                <w:sz w:val="20"/>
              </w:rPr>
            </w:pPr>
          </w:p>
        </w:tc>
        <w:tc>
          <w:tcPr>
            <w:tcW w:w="1032" w:type="dxa"/>
            <w:vAlign w:val="center"/>
          </w:tcPr>
          <w:p>
            <w:pPr>
              <w:spacing w:before="40" w:after="40"/>
              <w:jc w:val="right"/>
              <w:rPr>
                <w:b/>
                <w:noProof/>
                <w:sz w:val="20"/>
              </w:rPr>
            </w:pPr>
          </w:p>
        </w:tc>
        <w:tc>
          <w:tcPr>
            <w:tcW w:w="945" w:type="dxa"/>
            <w:vAlign w:val="center"/>
          </w:tcPr>
          <w:p>
            <w:pPr>
              <w:spacing w:before="40" w:after="40"/>
              <w:jc w:val="right"/>
              <w:rPr>
                <w:b/>
                <w:noProof/>
                <w:sz w:val="20"/>
              </w:rPr>
            </w:pPr>
          </w:p>
        </w:tc>
        <w:tc>
          <w:tcPr>
            <w:tcW w:w="1250" w:type="dxa"/>
            <w:vAlign w:val="center"/>
          </w:tcPr>
          <w:p>
            <w:pPr>
              <w:spacing w:before="40" w:after="40"/>
              <w:jc w:val="right"/>
              <w:rPr>
                <w:b/>
                <w:noProof/>
                <w:sz w:val="20"/>
              </w:rPr>
            </w:pPr>
          </w:p>
        </w:tc>
        <w:tc>
          <w:tcPr>
            <w:tcW w:w="720" w:type="dxa"/>
            <w:vAlign w:val="center"/>
          </w:tcPr>
          <w:p>
            <w:pPr>
              <w:spacing w:before="40" w:after="40"/>
              <w:jc w:val="right"/>
              <w:rPr>
                <w:b/>
                <w:noProof/>
                <w:sz w:val="20"/>
              </w:rPr>
            </w:pPr>
          </w:p>
        </w:tc>
        <w:tc>
          <w:tcPr>
            <w:tcW w:w="1216" w:type="dxa"/>
            <w:vAlign w:val="center"/>
          </w:tcPr>
          <w:p>
            <w:pPr>
              <w:spacing w:before="40" w:after="40"/>
              <w:jc w:val="right"/>
              <w:rPr>
                <w:b/>
                <w:noProof/>
                <w:sz w:val="20"/>
              </w:rPr>
            </w:pPr>
          </w:p>
        </w:tc>
        <w:tc>
          <w:tcPr>
            <w:tcW w:w="931"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rPr>
              <w:br/>
            </w:r>
            <w:r>
              <w:rPr>
                <w:b/>
                <w:noProof/>
                <w:sz w:val="22"/>
              </w:rPr>
              <w:t xml:space="preserve">pour les DG </w:t>
            </w:r>
            <w:r>
              <w:rPr>
                <w:noProof/>
              </w:rPr>
              <w:t xml:space="preserve">EMPL et REGIO </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1032" w:type="dxa"/>
            <w:vAlign w:val="center"/>
          </w:tcPr>
          <w:p>
            <w:pPr>
              <w:spacing w:before="20" w:after="20"/>
              <w:jc w:val="right"/>
              <w:rPr>
                <w:noProof/>
                <w:sz w:val="20"/>
              </w:rPr>
            </w:pPr>
            <w:r>
              <w:rPr>
                <w:noProof/>
                <w:sz w:val="20"/>
              </w:rPr>
              <w:t>0</w:t>
            </w:r>
          </w:p>
        </w:tc>
        <w:tc>
          <w:tcPr>
            <w:tcW w:w="945" w:type="dxa"/>
            <w:vAlign w:val="center"/>
          </w:tcPr>
          <w:p>
            <w:pPr>
              <w:spacing w:before="20" w:after="20"/>
              <w:jc w:val="right"/>
              <w:rPr>
                <w:noProof/>
                <w:sz w:val="20"/>
              </w:rPr>
            </w:pPr>
            <w:r>
              <w:rPr>
                <w:noProof/>
                <w:sz w:val="20"/>
              </w:rPr>
              <w:t>0</w:t>
            </w:r>
          </w:p>
        </w:tc>
        <w:tc>
          <w:tcPr>
            <w:tcW w:w="1250" w:type="dxa"/>
            <w:vAlign w:val="center"/>
          </w:tcPr>
          <w:p>
            <w:pPr>
              <w:spacing w:before="20" w:after="20"/>
              <w:jc w:val="right"/>
              <w:rPr>
                <w:noProof/>
                <w:sz w:val="20"/>
              </w:rPr>
            </w:pPr>
            <w:r>
              <w:rPr>
                <w:noProof/>
                <w:sz w:val="20"/>
              </w:rPr>
              <w:t>0</w:t>
            </w:r>
          </w:p>
        </w:tc>
        <w:tc>
          <w:tcPr>
            <w:tcW w:w="720" w:type="dxa"/>
            <w:vAlign w:val="center"/>
          </w:tcPr>
          <w:p>
            <w:pPr>
              <w:spacing w:before="20" w:after="20"/>
              <w:jc w:val="right"/>
              <w:rPr>
                <w:noProof/>
                <w:sz w:val="20"/>
              </w:rPr>
            </w:pPr>
            <w:r>
              <w:rPr>
                <w:noProof/>
                <w:sz w:val="20"/>
              </w:rPr>
              <w:t>0</w:t>
            </w:r>
          </w:p>
        </w:tc>
        <w:tc>
          <w:tcPr>
            <w:tcW w:w="1216" w:type="dxa"/>
            <w:vAlign w:val="center"/>
          </w:tcPr>
          <w:p>
            <w:pPr>
              <w:spacing w:before="20" w:after="20"/>
              <w:jc w:val="right"/>
              <w:rPr>
                <w:b/>
                <w:noProof/>
                <w:sz w:val="20"/>
              </w:rPr>
            </w:pPr>
            <w:r>
              <w:rPr>
                <w:b/>
                <w:noProof/>
                <w:sz w:val="20"/>
              </w:rPr>
              <w:t>0</w:t>
            </w:r>
          </w:p>
        </w:tc>
        <w:tc>
          <w:tcPr>
            <w:tcW w:w="931" w:type="dxa"/>
            <w:vAlign w:val="center"/>
          </w:tcPr>
          <w:p>
            <w:pPr>
              <w:spacing w:before="20" w:after="20"/>
              <w:jc w:val="right"/>
              <w:rPr>
                <w:b/>
                <w:noProof/>
                <w:sz w:val="20"/>
              </w:rPr>
            </w:pPr>
            <w:r>
              <w:rPr>
                <w:b/>
                <w:noProof/>
                <w:sz w:val="20"/>
              </w:rPr>
              <w:t>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1 000,000</w:t>
            </w:r>
          </w:p>
        </w:tc>
        <w:tc>
          <w:tcPr>
            <w:tcW w:w="1032" w:type="dxa"/>
            <w:vAlign w:val="center"/>
          </w:tcPr>
          <w:p>
            <w:pPr>
              <w:spacing w:before="20" w:after="20"/>
              <w:jc w:val="right"/>
              <w:rPr>
                <w:noProof/>
                <w:sz w:val="20"/>
              </w:rPr>
            </w:pPr>
            <w:r>
              <w:rPr>
                <w:noProof/>
                <w:sz w:val="20"/>
              </w:rPr>
              <w:t>1 000,000</w:t>
            </w:r>
          </w:p>
        </w:tc>
        <w:tc>
          <w:tcPr>
            <w:tcW w:w="945" w:type="dxa"/>
            <w:vAlign w:val="center"/>
          </w:tcPr>
          <w:p>
            <w:pPr>
              <w:spacing w:before="20" w:after="20"/>
              <w:jc w:val="right"/>
              <w:rPr>
                <w:noProof/>
                <w:sz w:val="20"/>
              </w:rPr>
            </w:pPr>
            <w:r>
              <w:rPr>
                <w:noProof/>
                <w:sz w:val="20"/>
              </w:rPr>
              <w:t>0</w:t>
            </w:r>
          </w:p>
        </w:tc>
        <w:tc>
          <w:tcPr>
            <w:tcW w:w="1250" w:type="dxa"/>
            <w:vAlign w:val="center"/>
          </w:tcPr>
          <w:p>
            <w:pPr>
              <w:spacing w:before="20" w:after="20"/>
              <w:jc w:val="right"/>
              <w:rPr>
                <w:noProof/>
                <w:sz w:val="20"/>
              </w:rPr>
            </w:pPr>
            <w:r>
              <w:rPr>
                <w:noProof/>
                <w:sz w:val="20"/>
              </w:rPr>
              <w:t>-</w:t>
            </w:r>
            <w:r>
              <w:rPr>
                <w:b/>
                <w:noProof/>
                <w:sz w:val="20"/>
              </w:rPr>
              <w:t>1 000,000</w:t>
            </w:r>
          </w:p>
        </w:tc>
        <w:tc>
          <w:tcPr>
            <w:tcW w:w="720" w:type="dxa"/>
            <w:vAlign w:val="center"/>
          </w:tcPr>
          <w:p>
            <w:pPr>
              <w:spacing w:before="20" w:after="20"/>
              <w:jc w:val="right"/>
              <w:rPr>
                <w:noProof/>
                <w:sz w:val="20"/>
              </w:rPr>
            </w:pPr>
            <w:r>
              <w:rPr>
                <w:noProof/>
                <w:sz w:val="20"/>
              </w:rPr>
              <w:t>0</w:t>
            </w:r>
          </w:p>
        </w:tc>
        <w:tc>
          <w:tcPr>
            <w:tcW w:w="1216" w:type="dxa"/>
            <w:vAlign w:val="center"/>
          </w:tcPr>
          <w:p>
            <w:pPr>
              <w:spacing w:before="20" w:after="20"/>
              <w:jc w:val="right"/>
              <w:rPr>
                <w:noProof/>
                <w:sz w:val="20"/>
              </w:rPr>
            </w:pPr>
            <w:r>
              <w:rPr>
                <w:b/>
                <w:noProof/>
                <w:sz w:val="20"/>
              </w:rPr>
              <w:t>-1 000</w:t>
            </w:r>
            <w:r>
              <w:rPr>
                <w:noProof/>
                <w:sz w:val="20"/>
              </w:rPr>
              <w:t>,</w:t>
            </w:r>
            <w:r>
              <w:rPr>
                <w:b/>
                <w:noProof/>
                <w:sz w:val="20"/>
              </w:rPr>
              <w:t>000</w:t>
            </w:r>
          </w:p>
        </w:tc>
        <w:tc>
          <w:tcPr>
            <w:tcW w:w="931" w:type="dxa"/>
            <w:vAlign w:val="center"/>
          </w:tcPr>
          <w:p>
            <w:pPr>
              <w:spacing w:before="20" w:after="20"/>
              <w:jc w:val="right"/>
              <w:rPr>
                <w:b/>
                <w:noProof/>
                <w:sz w:val="20"/>
              </w:rPr>
            </w:pPr>
            <w:r>
              <w:rPr>
                <w:b/>
                <w:noProof/>
                <w:sz w:val="20"/>
              </w:rPr>
              <w:t>0</w:t>
            </w:r>
          </w:p>
        </w:tc>
      </w:tr>
    </w:tbl>
    <w:p>
      <w:pPr>
        <w:rPr>
          <w:noProof/>
        </w:rPr>
      </w:pPr>
      <w:r>
        <w:rPr>
          <w:noProof/>
        </w:rPr>
        <w:br/>
      </w:r>
      <w:r>
        <w:rPr>
          <w:noProof/>
        </w:rPr>
        <w:br/>
      </w:r>
    </w:p>
    <w:tbl>
      <w:tblPr>
        <w:tblW w:w="144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026"/>
        <w:gridCol w:w="1320"/>
        <w:gridCol w:w="891"/>
        <w:gridCol w:w="141"/>
        <w:gridCol w:w="925"/>
        <w:gridCol w:w="20"/>
        <w:gridCol w:w="1180"/>
        <w:gridCol w:w="70"/>
        <w:gridCol w:w="410"/>
        <w:gridCol w:w="310"/>
        <w:gridCol w:w="863"/>
        <w:gridCol w:w="353"/>
        <w:gridCol w:w="861"/>
        <w:gridCol w:w="70"/>
      </w:tblGrid>
      <w:tr>
        <w:trPr>
          <w:gridAfter w:val="1"/>
          <w:wAfter w:w="70" w:type="dxa"/>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gridSpan w:val="2"/>
            <w:vAlign w:val="center"/>
          </w:tcPr>
          <w:p>
            <w:pPr>
              <w:spacing w:beforeLines="20" w:before="48" w:afterLines="20" w:after="48"/>
              <w:jc w:val="center"/>
              <w:rPr>
                <w:noProof/>
                <w:sz w:val="14"/>
              </w:rPr>
            </w:pPr>
            <w:r>
              <w:rPr>
                <w:noProof/>
                <w:sz w:val="14"/>
              </w:rPr>
              <w:t>(4)</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gridSpan w:val="2"/>
            <w:vAlign w:val="center"/>
          </w:tcPr>
          <w:p>
            <w:pPr>
              <w:spacing w:before="20" w:after="20"/>
              <w:jc w:val="right"/>
              <w:rPr>
                <w:noProof/>
                <w:sz w:val="20"/>
              </w:rPr>
            </w:pPr>
            <w:r>
              <w:rPr>
                <w:noProof/>
                <w:sz w:val="20"/>
              </w:rPr>
              <w:t>0</w:t>
            </w:r>
          </w:p>
        </w:tc>
        <w:tc>
          <w:tcPr>
            <w:tcW w:w="1200" w:type="dxa"/>
            <w:gridSpan w:val="2"/>
            <w:vAlign w:val="center"/>
          </w:tcPr>
          <w:p>
            <w:pPr>
              <w:spacing w:before="20" w:after="20"/>
              <w:jc w:val="right"/>
              <w:rPr>
                <w:noProof/>
                <w:sz w:val="20"/>
              </w:rPr>
            </w:pPr>
            <w:r>
              <w:rPr>
                <w:noProof/>
                <w:sz w:val="20"/>
              </w:rPr>
              <w:t>0</w:t>
            </w:r>
          </w:p>
        </w:tc>
        <w:tc>
          <w:tcPr>
            <w:tcW w:w="480" w:type="dxa"/>
            <w:gridSpan w:val="2"/>
            <w:vAlign w:val="center"/>
          </w:tcPr>
          <w:p>
            <w:pPr>
              <w:spacing w:before="20" w:after="20"/>
              <w:jc w:val="right"/>
              <w:rPr>
                <w:noProof/>
                <w:sz w:val="20"/>
              </w:rPr>
            </w:pPr>
            <w:r>
              <w:rPr>
                <w:noProof/>
                <w:sz w:val="20"/>
              </w:rPr>
              <w:t>0</w:t>
            </w:r>
          </w:p>
        </w:tc>
        <w:tc>
          <w:tcPr>
            <w:tcW w:w="1173" w:type="dxa"/>
            <w:gridSpan w:val="2"/>
            <w:vAlign w:val="center"/>
          </w:tcPr>
          <w:p>
            <w:pPr>
              <w:spacing w:before="20" w:after="20"/>
              <w:jc w:val="right"/>
              <w:rPr>
                <w:noProof/>
                <w:sz w:val="20"/>
              </w:rPr>
            </w:pPr>
            <w:r>
              <w:rPr>
                <w:noProof/>
                <w:sz w:val="20"/>
              </w:rPr>
              <w:t>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P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gridSpan w:val="2"/>
            <w:vAlign w:val="center"/>
          </w:tcPr>
          <w:p>
            <w:pPr>
              <w:spacing w:beforeLines="20" w:before="48" w:afterLines="20" w:after="48"/>
              <w:jc w:val="center"/>
              <w:rPr>
                <w:noProof/>
                <w:sz w:val="14"/>
              </w:rPr>
            </w:pPr>
            <w:r>
              <w:rPr>
                <w:noProof/>
                <w:sz w:val="14"/>
              </w:rPr>
              <w:t>(5)</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1 000,000</w:t>
            </w:r>
          </w:p>
        </w:tc>
        <w:tc>
          <w:tcPr>
            <w:tcW w:w="891" w:type="dxa"/>
            <w:vAlign w:val="center"/>
          </w:tcPr>
          <w:p>
            <w:pPr>
              <w:spacing w:before="20" w:after="20"/>
              <w:jc w:val="right"/>
              <w:rPr>
                <w:noProof/>
                <w:sz w:val="20"/>
              </w:rPr>
            </w:pPr>
            <w:r>
              <w:rPr>
                <w:noProof/>
                <w:sz w:val="20"/>
              </w:rPr>
              <w:t xml:space="preserve">1 000,000 </w:t>
            </w:r>
          </w:p>
        </w:tc>
        <w:tc>
          <w:tcPr>
            <w:tcW w:w="1066" w:type="dxa"/>
            <w:gridSpan w:val="2"/>
            <w:vAlign w:val="center"/>
          </w:tcPr>
          <w:p>
            <w:pPr>
              <w:spacing w:before="20" w:after="20"/>
              <w:jc w:val="right"/>
              <w:rPr>
                <w:noProof/>
                <w:sz w:val="20"/>
              </w:rPr>
            </w:pPr>
          </w:p>
        </w:tc>
        <w:tc>
          <w:tcPr>
            <w:tcW w:w="1200" w:type="dxa"/>
            <w:gridSpan w:val="2"/>
            <w:vAlign w:val="center"/>
          </w:tcPr>
          <w:p>
            <w:pPr>
              <w:spacing w:before="20" w:after="20"/>
              <w:jc w:val="right"/>
              <w:rPr>
                <w:noProof/>
                <w:sz w:val="20"/>
              </w:rPr>
            </w:pPr>
            <w:r>
              <w:rPr>
                <w:b/>
                <w:noProof/>
                <w:sz w:val="20"/>
              </w:rPr>
              <w:t>-1 000,000</w:t>
            </w:r>
          </w:p>
        </w:tc>
        <w:tc>
          <w:tcPr>
            <w:tcW w:w="480" w:type="dxa"/>
            <w:gridSpan w:val="2"/>
            <w:vAlign w:val="center"/>
          </w:tcPr>
          <w:p>
            <w:pPr>
              <w:spacing w:before="20" w:after="20"/>
              <w:jc w:val="right"/>
              <w:rPr>
                <w:noProof/>
                <w:sz w:val="20"/>
              </w:rPr>
            </w:pPr>
            <w:r>
              <w:rPr>
                <w:noProof/>
                <w:sz w:val="20"/>
              </w:rPr>
              <w:t>0</w:t>
            </w:r>
          </w:p>
        </w:tc>
        <w:tc>
          <w:tcPr>
            <w:tcW w:w="1173" w:type="dxa"/>
            <w:gridSpan w:val="2"/>
            <w:vAlign w:val="center"/>
          </w:tcPr>
          <w:p>
            <w:pPr>
              <w:spacing w:before="20" w:after="20"/>
              <w:jc w:val="right"/>
              <w:rPr>
                <w:noProof/>
                <w:sz w:val="20"/>
              </w:rPr>
            </w:pPr>
            <w:r>
              <w:rPr>
                <w:b/>
                <w:noProof/>
                <w:sz w:val="20"/>
              </w:rPr>
              <w:t>-1 000</w:t>
            </w:r>
            <w:r>
              <w:rPr>
                <w:noProof/>
                <w:sz w:val="20"/>
              </w:rPr>
              <w:t>,</w:t>
            </w:r>
            <w:r>
              <w:rPr>
                <w:b/>
                <w:noProof/>
                <w:sz w:val="20"/>
              </w:rPr>
              <w:t>000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gridSpan w:val="2"/>
            <w:vAlign w:val="center"/>
          </w:tcPr>
          <w:p>
            <w:pPr>
              <w:spacing w:beforeLines="20" w:before="48" w:afterLines="20" w:after="48"/>
              <w:jc w:val="center"/>
              <w:rPr>
                <w:noProof/>
                <w:sz w:val="14"/>
              </w:rPr>
            </w:pPr>
            <w:r>
              <w:rPr>
                <w:noProof/>
                <w:sz w:val="14"/>
              </w:rPr>
              <w:t>(6)</w:t>
            </w:r>
          </w:p>
        </w:tc>
        <w:tc>
          <w:tcPr>
            <w:tcW w:w="1026" w:type="dxa"/>
            <w:vAlign w:val="center"/>
          </w:tcPr>
          <w:p>
            <w:pPr>
              <w:spacing w:before="20" w:after="20"/>
              <w:jc w:val="right"/>
              <w:rPr>
                <w:b/>
                <w:noProof/>
                <w:sz w:val="20"/>
              </w:rPr>
            </w:pPr>
            <w:r>
              <w:rPr>
                <w:b/>
                <w:noProof/>
                <w:sz w:val="20"/>
              </w:rPr>
              <w:t>0</w:t>
            </w:r>
          </w:p>
        </w:tc>
        <w:tc>
          <w:tcPr>
            <w:tcW w:w="1320" w:type="dxa"/>
            <w:vAlign w:val="center"/>
          </w:tcPr>
          <w:p>
            <w:pPr>
              <w:spacing w:before="20" w:after="20"/>
              <w:jc w:val="right"/>
              <w:rPr>
                <w:b/>
                <w:noProof/>
                <w:sz w:val="20"/>
              </w:rPr>
            </w:pPr>
            <w:r>
              <w:rPr>
                <w:b/>
                <w:noProof/>
                <w:sz w:val="20"/>
              </w:rPr>
              <w:t>0</w:t>
            </w:r>
          </w:p>
        </w:tc>
        <w:tc>
          <w:tcPr>
            <w:tcW w:w="891" w:type="dxa"/>
            <w:vAlign w:val="center"/>
          </w:tcPr>
          <w:p>
            <w:pPr>
              <w:spacing w:before="20" w:after="20"/>
              <w:jc w:val="right"/>
              <w:rPr>
                <w:b/>
                <w:noProof/>
                <w:sz w:val="20"/>
              </w:rPr>
            </w:pPr>
            <w:r>
              <w:rPr>
                <w:b/>
                <w:noProof/>
                <w:sz w:val="20"/>
              </w:rPr>
              <w:t>0</w:t>
            </w:r>
          </w:p>
        </w:tc>
        <w:tc>
          <w:tcPr>
            <w:tcW w:w="1066" w:type="dxa"/>
            <w:gridSpan w:val="2"/>
            <w:vAlign w:val="center"/>
          </w:tcPr>
          <w:p>
            <w:pPr>
              <w:spacing w:before="20" w:after="20"/>
              <w:jc w:val="right"/>
              <w:rPr>
                <w:b/>
                <w:noProof/>
                <w:sz w:val="20"/>
              </w:rPr>
            </w:pPr>
            <w:r>
              <w:rPr>
                <w:b/>
                <w:noProof/>
                <w:sz w:val="20"/>
              </w:rPr>
              <w:t>0</w:t>
            </w:r>
          </w:p>
        </w:tc>
        <w:tc>
          <w:tcPr>
            <w:tcW w:w="1200" w:type="dxa"/>
            <w:gridSpan w:val="2"/>
            <w:vAlign w:val="center"/>
          </w:tcPr>
          <w:p>
            <w:pPr>
              <w:spacing w:before="20" w:after="20"/>
              <w:jc w:val="right"/>
              <w:rPr>
                <w:b/>
                <w:noProof/>
                <w:sz w:val="20"/>
              </w:rPr>
            </w:pPr>
            <w:r>
              <w:rPr>
                <w:b/>
                <w:noProof/>
                <w:sz w:val="20"/>
              </w:rPr>
              <w:t>0</w:t>
            </w:r>
          </w:p>
        </w:tc>
        <w:tc>
          <w:tcPr>
            <w:tcW w:w="480" w:type="dxa"/>
            <w:gridSpan w:val="2"/>
            <w:vAlign w:val="center"/>
          </w:tcPr>
          <w:p>
            <w:pPr>
              <w:spacing w:before="20" w:after="20"/>
              <w:jc w:val="right"/>
              <w:rPr>
                <w:b/>
                <w:noProof/>
                <w:sz w:val="20"/>
              </w:rPr>
            </w:pPr>
            <w:r>
              <w:rPr>
                <w:b/>
                <w:noProof/>
                <w:sz w:val="20"/>
              </w:rPr>
              <w:t>0</w:t>
            </w:r>
          </w:p>
        </w:tc>
        <w:tc>
          <w:tcPr>
            <w:tcW w:w="1173" w:type="dxa"/>
            <w:gridSpan w:val="2"/>
            <w:vAlign w:val="center"/>
          </w:tcPr>
          <w:p>
            <w:pPr>
              <w:spacing w:before="20" w:after="20"/>
              <w:jc w:val="right"/>
              <w:rPr>
                <w:noProof/>
                <w:sz w:val="20"/>
              </w:rPr>
            </w:pPr>
            <w:r>
              <w:rPr>
                <w:noProof/>
                <w:sz w:val="20"/>
              </w:rPr>
              <w:t>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Pr>
        <w:tc>
          <w:tcPr>
            <w:tcW w:w="3960" w:type="dxa"/>
            <w:vMerge w:val="restart"/>
            <w:shd w:val="thinDiagStripe" w:color="C0C0C0" w:fill="auto"/>
            <w:vAlign w:val="center"/>
          </w:tcPr>
          <w:p>
            <w:pPr>
              <w:jc w:val="center"/>
              <w:rPr>
                <w:b/>
                <w:noProof/>
              </w:rPr>
            </w:pPr>
            <w:r>
              <w:rPr>
                <w:b/>
                <w:noProof/>
                <w:sz w:val="22"/>
              </w:rPr>
              <w:t>TOTAL des crédits</w:t>
            </w:r>
            <w:r>
              <w:rPr>
                <w:noProof/>
              </w:rPr>
              <w:br/>
            </w:r>
            <w:r>
              <w:rPr>
                <w:b/>
                <w:noProof/>
                <w:sz w:val="22"/>
              </w:rPr>
              <w:t>pour la RUBRIQUE 1</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=4+ 6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gridSpan w:val="2"/>
            <w:vAlign w:val="center"/>
          </w:tcPr>
          <w:p>
            <w:pPr>
              <w:spacing w:before="20" w:after="20"/>
              <w:jc w:val="right"/>
              <w:rPr>
                <w:noProof/>
                <w:sz w:val="20"/>
              </w:rPr>
            </w:pPr>
            <w:r>
              <w:rPr>
                <w:noProof/>
                <w:sz w:val="20"/>
              </w:rPr>
              <w:t>0</w:t>
            </w:r>
          </w:p>
        </w:tc>
        <w:tc>
          <w:tcPr>
            <w:tcW w:w="1200" w:type="dxa"/>
            <w:gridSpan w:val="2"/>
            <w:vAlign w:val="center"/>
          </w:tcPr>
          <w:p>
            <w:pPr>
              <w:spacing w:before="20" w:after="20"/>
              <w:jc w:val="right"/>
              <w:rPr>
                <w:noProof/>
                <w:sz w:val="20"/>
              </w:rPr>
            </w:pPr>
            <w:r>
              <w:rPr>
                <w:noProof/>
                <w:sz w:val="20"/>
              </w:rPr>
              <w:t>0</w:t>
            </w:r>
          </w:p>
        </w:tc>
        <w:tc>
          <w:tcPr>
            <w:tcW w:w="480" w:type="dxa"/>
            <w:gridSpan w:val="2"/>
            <w:vAlign w:val="center"/>
          </w:tcPr>
          <w:p>
            <w:pPr>
              <w:spacing w:before="20" w:after="20"/>
              <w:jc w:val="right"/>
              <w:rPr>
                <w:noProof/>
                <w:sz w:val="20"/>
              </w:rPr>
            </w:pPr>
            <w:r>
              <w:rPr>
                <w:noProof/>
                <w:sz w:val="20"/>
              </w:rPr>
              <w:t>0</w:t>
            </w:r>
          </w:p>
        </w:tc>
        <w:tc>
          <w:tcPr>
            <w:tcW w:w="1173" w:type="dxa"/>
            <w:gridSpan w:val="2"/>
            <w:vAlign w:val="center"/>
          </w:tcPr>
          <w:p>
            <w:pPr>
              <w:spacing w:before="20" w:after="20"/>
              <w:jc w:val="right"/>
              <w:rPr>
                <w:noProof/>
                <w:sz w:val="20"/>
              </w:rPr>
            </w:pPr>
            <w:r>
              <w:rPr>
                <w:noProof/>
                <w:sz w:val="20"/>
              </w:rPr>
              <w:t>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P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=5+ 6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1 000,000</w:t>
            </w:r>
          </w:p>
        </w:tc>
        <w:tc>
          <w:tcPr>
            <w:tcW w:w="891" w:type="dxa"/>
            <w:vAlign w:val="center"/>
          </w:tcPr>
          <w:p>
            <w:pPr>
              <w:spacing w:before="20" w:after="20"/>
              <w:jc w:val="right"/>
              <w:rPr>
                <w:noProof/>
                <w:sz w:val="20"/>
              </w:rPr>
            </w:pPr>
            <w:r>
              <w:rPr>
                <w:noProof/>
                <w:sz w:val="20"/>
              </w:rPr>
              <w:t xml:space="preserve">1 000,000 </w:t>
            </w:r>
          </w:p>
        </w:tc>
        <w:tc>
          <w:tcPr>
            <w:tcW w:w="1066" w:type="dxa"/>
            <w:gridSpan w:val="2"/>
            <w:vAlign w:val="center"/>
          </w:tcPr>
          <w:p>
            <w:pPr>
              <w:spacing w:before="20" w:after="20"/>
              <w:jc w:val="right"/>
              <w:rPr>
                <w:noProof/>
                <w:sz w:val="20"/>
              </w:rPr>
            </w:pPr>
            <w:r>
              <w:rPr>
                <w:noProof/>
                <w:sz w:val="20"/>
              </w:rPr>
              <w:t>0</w:t>
            </w:r>
          </w:p>
        </w:tc>
        <w:tc>
          <w:tcPr>
            <w:tcW w:w="1200" w:type="dxa"/>
            <w:gridSpan w:val="2"/>
            <w:vAlign w:val="center"/>
          </w:tcPr>
          <w:p>
            <w:pPr>
              <w:spacing w:before="20" w:after="20"/>
              <w:jc w:val="right"/>
              <w:rPr>
                <w:noProof/>
                <w:sz w:val="20"/>
              </w:rPr>
            </w:pPr>
            <w:r>
              <w:rPr>
                <w:b/>
                <w:noProof/>
                <w:sz w:val="20"/>
              </w:rPr>
              <w:t>-1 000,000</w:t>
            </w:r>
          </w:p>
        </w:tc>
        <w:tc>
          <w:tcPr>
            <w:tcW w:w="480" w:type="dxa"/>
            <w:gridSpan w:val="2"/>
            <w:vAlign w:val="center"/>
          </w:tcPr>
          <w:p>
            <w:pPr>
              <w:spacing w:before="20" w:after="20"/>
              <w:jc w:val="right"/>
              <w:rPr>
                <w:noProof/>
                <w:sz w:val="20"/>
              </w:rPr>
            </w:pPr>
            <w:r>
              <w:rPr>
                <w:noProof/>
                <w:sz w:val="20"/>
              </w:rPr>
              <w:t>0</w:t>
            </w:r>
          </w:p>
        </w:tc>
        <w:tc>
          <w:tcPr>
            <w:tcW w:w="1173" w:type="dxa"/>
            <w:gridSpan w:val="2"/>
            <w:vAlign w:val="center"/>
          </w:tcPr>
          <w:p>
            <w:pPr>
              <w:spacing w:before="20" w:after="20"/>
              <w:jc w:val="right"/>
              <w:rPr>
                <w:noProof/>
                <w:sz w:val="20"/>
              </w:rPr>
            </w:pPr>
            <w:r>
              <w:rPr>
                <w:b/>
                <w:noProof/>
                <w:sz w:val="20"/>
              </w:rPr>
              <w:t>-1 000</w:t>
            </w:r>
            <w:r>
              <w:rPr>
                <w:noProof/>
                <w:sz w:val="20"/>
              </w:rPr>
              <w:t>,</w:t>
            </w:r>
            <w:r>
              <w:rPr>
                <w:b/>
                <w:noProof/>
                <w:sz w:val="20"/>
              </w:rPr>
              <w:t>000</w:t>
            </w:r>
          </w:p>
        </w:tc>
        <w:tc>
          <w:tcPr>
            <w:tcW w:w="1214" w:type="dxa"/>
            <w:gridSpan w:val="2"/>
            <w:vAlign w:val="center"/>
          </w:tcPr>
          <w:p>
            <w:pPr>
              <w:spacing w:before="20" w:after="20"/>
              <w:jc w:val="right"/>
              <w:rPr>
                <w:b/>
                <w:noProof/>
                <w:sz w:val="20"/>
              </w:rPr>
            </w:pPr>
            <w:r>
              <w:rPr>
                <w:b/>
                <w:noProof/>
                <w:sz w:val="20"/>
              </w:rPr>
              <w:t>0</w:t>
            </w:r>
          </w:p>
        </w:tc>
      </w:tr>
      <w:tr>
        <w:trPr>
          <w:gridAfter w:val="1"/>
          <w:wAfter w:w="70" w:type="dxa"/>
        </w:trPr>
        <w:tc>
          <w:tcPr>
            <w:tcW w:w="3960" w:type="dxa"/>
            <w:shd w:val="thinDiagStripe" w:color="C0C0C0" w:fill="auto"/>
          </w:tcPr>
          <w:p>
            <w:pPr>
              <w:rPr>
                <w:noProof/>
                <w:sz w:val="20"/>
              </w:rPr>
            </w:pPr>
          </w:p>
        </w:tc>
        <w:tc>
          <w:tcPr>
            <w:tcW w:w="1440" w:type="dxa"/>
            <w:vAlign w:val="center"/>
          </w:tcPr>
          <w:p>
            <w:pPr>
              <w:rPr>
                <w:noProof/>
                <w:sz w:val="18"/>
              </w:rPr>
            </w:pPr>
          </w:p>
        </w:tc>
        <w:tc>
          <w:tcPr>
            <w:tcW w:w="654" w:type="dxa"/>
            <w:gridSpan w:val="2"/>
            <w:vAlign w:val="center"/>
          </w:tcPr>
          <w:p>
            <w:pPr>
              <w:jc w:val="center"/>
              <w:rPr>
                <w:noProof/>
                <w:sz w:val="14"/>
              </w:rPr>
            </w:pPr>
          </w:p>
        </w:tc>
        <w:tc>
          <w:tcPr>
            <w:tcW w:w="1026" w:type="dxa"/>
            <w:vAlign w:val="center"/>
          </w:tcPr>
          <w:p>
            <w:pPr>
              <w:spacing w:before="20" w:after="20"/>
              <w:jc w:val="right"/>
              <w:rPr>
                <w:noProof/>
                <w:sz w:val="20"/>
              </w:rPr>
            </w:pPr>
          </w:p>
        </w:tc>
        <w:tc>
          <w:tcPr>
            <w:tcW w:w="1320" w:type="dxa"/>
            <w:vAlign w:val="center"/>
          </w:tcPr>
          <w:p>
            <w:pPr>
              <w:spacing w:before="20" w:after="20"/>
              <w:jc w:val="right"/>
              <w:rPr>
                <w:noProof/>
                <w:sz w:val="20"/>
              </w:rPr>
            </w:pPr>
          </w:p>
        </w:tc>
        <w:tc>
          <w:tcPr>
            <w:tcW w:w="891" w:type="dxa"/>
            <w:vAlign w:val="center"/>
          </w:tcPr>
          <w:p>
            <w:pPr>
              <w:spacing w:before="20" w:after="20"/>
              <w:jc w:val="right"/>
              <w:rPr>
                <w:noProof/>
                <w:sz w:val="20"/>
              </w:rPr>
            </w:pPr>
          </w:p>
        </w:tc>
        <w:tc>
          <w:tcPr>
            <w:tcW w:w="1066" w:type="dxa"/>
            <w:gridSpan w:val="2"/>
            <w:vAlign w:val="center"/>
          </w:tcPr>
          <w:p>
            <w:pPr>
              <w:spacing w:before="20" w:after="20"/>
              <w:jc w:val="right"/>
              <w:rPr>
                <w:noProof/>
                <w:sz w:val="20"/>
              </w:rPr>
            </w:pPr>
          </w:p>
        </w:tc>
        <w:tc>
          <w:tcPr>
            <w:tcW w:w="1200" w:type="dxa"/>
            <w:gridSpan w:val="2"/>
            <w:vAlign w:val="center"/>
          </w:tcPr>
          <w:p>
            <w:pPr>
              <w:spacing w:before="20" w:after="20"/>
              <w:jc w:val="right"/>
              <w:rPr>
                <w:b/>
                <w:noProof/>
                <w:sz w:val="20"/>
              </w:rPr>
            </w:pPr>
          </w:p>
        </w:tc>
        <w:tc>
          <w:tcPr>
            <w:tcW w:w="480" w:type="dxa"/>
            <w:gridSpan w:val="2"/>
            <w:vAlign w:val="center"/>
          </w:tcPr>
          <w:p>
            <w:pPr>
              <w:spacing w:before="20" w:after="20"/>
              <w:jc w:val="right"/>
              <w:rPr>
                <w:noProof/>
                <w:sz w:val="20"/>
              </w:rPr>
            </w:pPr>
          </w:p>
        </w:tc>
        <w:tc>
          <w:tcPr>
            <w:tcW w:w="1173" w:type="dxa"/>
            <w:gridSpan w:val="2"/>
            <w:vAlign w:val="center"/>
          </w:tcPr>
          <w:p>
            <w:pPr>
              <w:spacing w:before="20" w:after="20"/>
              <w:jc w:val="right"/>
              <w:rPr>
                <w:b/>
                <w:noProof/>
                <w:sz w:val="20"/>
              </w:rPr>
            </w:pPr>
          </w:p>
        </w:tc>
        <w:tc>
          <w:tcPr>
            <w:tcW w:w="1214" w:type="dxa"/>
            <w:gridSpan w:val="2"/>
            <w:vAlign w:val="center"/>
          </w:tcPr>
          <w:p>
            <w:pPr>
              <w:spacing w:before="20" w:after="20"/>
              <w:jc w:val="right"/>
              <w:rPr>
                <w:b/>
                <w:noProof/>
                <w:sz w:val="20"/>
              </w:rPr>
            </w:pPr>
          </w:p>
        </w:tc>
      </w:tr>
      <w:tr>
        <w:tc>
          <w:tcPr>
            <w:tcW w:w="3960" w:type="dxa"/>
            <w:vAlign w:val="center"/>
          </w:tcPr>
          <w:p>
            <w:pPr>
              <w:jc w:val="center"/>
              <w:rPr>
                <w:noProof/>
              </w:rPr>
            </w:pPr>
            <w:r>
              <w:rPr>
                <w:noProof/>
                <w:sz w:val="22"/>
              </w:rPr>
              <w:t xml:space="preserve">DG: </w:t>
            </w:r>
            <w:r>
              <w:rPr>
                <w:noProof/>
              </w:rPr>
              <w:t>MARE</w:t>
            </w:r>
          </w:p>
        </w:tc>
        <w:tc>
          <w:tcPr>
            <w:tcW w:w="1560" w:type="dxa"/>
            <w:gridSpan w:val="2"/>
          </w:tcPr>
          <w:p>
            <w:pPr>
              <w:rPr>
                <w:noProof/>
                <w:sz w:val="20"/>
              </w:rPr>
            </w:pPr>
          </w:p>
        </w:tc>
        <w:tc>
          <w:tcPr>
            <w:tcW w:w="534" w:type="dxa"/>
          </w:tcPr>
          <w:p>
            <w:pPr>
              <w:jc w:val="center"/>
              <w:rPr>
                <w:noProof/>
                <w:sz w:val="20"/>
              </w:rPr>
            </w:pPr>
          </w:p>
        </w:tc>
        <w:tc>
          <w:tcPr>
            <w:tcW w:w="1026" w:type="dxa"/>
          </w:tcPr>
          <w:p>
            <w:pPr>
              <w:rPr>
                <w:noProof/>
              </w:rPr>
            </w:pPr>
            <w:r>
              <w:rPr>
                <w:noProof/>
              </w:rPr>
              <w:t>2014</w:t>
            </w:r>
          </w:p>
        </w:tc>
        <w:tc>
          <w:tcPr>
            <w:tcW w:w="1320" w:type="dxa"/>
          </w:tcPr>
          <w:p>
            <w:pPr>
              <w:rPr>
                <w:noProof/>
              </w:rPr>
            </w:pPr>
            <w:r>
              <w:rPr>
                <w:noProof/>
              </w:rPr>
              <w:t>2015</w:t>
            </w:r>
          </w:p>
        </w:tc>
        <w:tc>
          <w:tcPr>
            <w:tcW w:w="1032" w:type="dxa"/>
            <w:gridSpan w:val="2"/>
          </w:tcPr>
          <w:p>
            <w:pPr>
              <w:rPr>
                <w:noProof/>
              </w:rPr>
            </w:pPr>
            <w:r>
              <w:rPr>
                <w:noProof/>
              </w:rPr>
              <w:t>2016</w:t>
            </w:r>
          </w:p>
        </w:tc>
        <w:tc>
          <w:tcPr>
            <w:tcW w:w="945" w:type="dxa"/>
            <w:gridSpan w:val="2"/>
          </w:tcPr>
          <w:p>
            <w:pPr>
              <w:rPr>
                <w:noProof/>
              </w:rPr>
            </w:pPr>
            <w:r>
              <w:rPr>
                <w:noProof/>
              </w:rPr>
              <w:t>2017</w:t>
            </w:r>
          </w:p>
        </w:tc>
        <w:tc>
          <w:tcPr>
            <w:tcW w:w="1250" w:type="dxa"/>
            <w:gridSpan w:val="2"/>
          </w:tcPr>
          <w:p>
            <w:pPr>
              <w:rPr>
                <w:noProof/>
              </w:rPr>
            </w:pPr>
            <w:r>
              <w:rPr>
                <w:noProof/>
              </w:rPr>
              <w:t>2018</w:t>
            </w:r>
            <w:r>
              <w:rPr>
                <w:rStyle w:val="FootnoteReference"/>
                <w:noProof/>
              </w:rPr>
              <w:footnoteReference w:id="11"/>
            </w:r>
          </w:p>
        </w:tc>
        <w:tc>
          <w:tcPr>
            <w:tcW w:w="720" w:type="dxa"/>
            <w:gridSpan w:val="2"/>
          </w:tcPr>
          <w:p>
            <w:pPr>
              <w:rPr>
                <w:noProof/>
              </w:rPr>
            </w:pPr>
            <w:r>
              <w:rPr>
                <w:noProof/>
              </w:rPr>
              <w:t>2019</w:t>
            </w:r>
          </w:p>
        </w:tc>
        <w:tc>
          <w:tcPr>
            <w:tcW w:w="1216" w:type="dxa"/>
            <w:gridSpan w:val="2"/>
          </w:tcPr>
          <w:p>
            <w:pPr>
              <w:rPr>
                <w:noProof/>
              </w:rPr>
            </w:pPr>
            <w:r>
              <w:rPr>
                <w:noProof/>
              </w:rPr>
              <w:t>2020</w:t>
            </w:r>
          </w:p>
        </w:tc>
        <w:tc>
          <w:tcPr>
            <w:tcW w:w="931" w:type="dxa"/>
            <w:gridSpan w:val="2"/>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w:t>
            </w:r>
            <w:r>
              <w:rPr>
                <w:noProof/>
                <w:sz w:val="21"/>
              </w:rPr>
              <w:t xml:space="preserve">Crédits opérationnels </w:t>
            </w:r>
          </w:p>
        </w:tc>
        <w:tc>
          <w:tcPr>
            <w:tcW w:w="1026" w:type="dxa"/>
            <w:vAlign w:val="center"/>
          </w:tcPr>
          <w:p>
            <w:pPr>
              <w:rPr>
                <w:noProof/>
                <w:sz w:val="20"/>
              </w:rPr>
            </w:pPr>
          </w:p>
        </w:tc>
        <w:tc>
          <w:tcPr>
            <w:tcW w:w="1320" w:type="dxa"/>
            <w:vAlign w:val="center"/>
          </w:tcPr>
          <w:p>
            <w:pPr>
              <w:rPr>
                <w:noProof/>
                <w:sz w:val="20"/>
              </w:rPr>
            </w:pPr>
          </w:p>
        </w:tc>
        <w:tc>
          <w:tcPr>
            <w:tcW w:w="1032" w:type="dxa"/>
            <w:gridSpan w:val="2"/>
            <w:vAlign w:val="center"/>
          </w:tcPr>
          <w:p>
            <w:pPr>
              <w:rPr>
                <w:noProof/>
                <w:sz w:val="20"/>
              </w:rPr>
            </w:pPr>
          </w:p>
        </w:tc>
        <w:tc>
          <w:tcPr>
            <w:tcW w:w="945" w:type="dxa"/>
            <w:gridSpan w:val="2"/>
            <w:vAlign w:val="center"/>
          </w:tcPr>
          <w:p>
            <w:pPr>
              <w:rPr>
                <w:noProof/>
                <w:sz w:val="20"/>
              </w:rPr>
            </w:pPr>
          </w:p>
        </w:tc>
        <w:tc>
          <w:tcPr>
            <w:tcW w:w="1250" w:type="dxa"/>
            <w:gridSpan w:val="2"/>
            <w:vAlign w:val="center"/>
          </w:tcPr>
          <w:p>
            <w:pPr>
              <w:rPr>
                <w:noProof/>
                <w:sz w:val="20"/>
              </w:rPr>
            </w:pPr>
          </w:p>
        </w:tc>
        <w:tc>
          <w:tcPr>
            <w:tcW w:w="720" w:type="dxa"/>
            <w:gridSpan w:val="2"/>
            <w:vAlign w:val="center"/>
          </w:tcPr>
          <w:p>
            <w:pPr>
              <w:rPr>
                <w:noProof/>
                <w:sz w:val="20"/>
              </w:rPr>
            </w:pPr>
          </w:p>
        </w:tc>
        <w:tc>
          <w:tcPr>
            <w:tcW w:w="1216" w:type="dxa"/>
            <w:gridSpan w:val="2"/>
            <w:vAlign w:val="center"/>
          </w:tcPr>
          <w:p>
            <w:pPr>
              <w:rPr>
                <w:b/>
                <w:noProof/>
                <w:sz w:val="20"/>
              </w:rPr>
            </w:pPr>
          </w:p>
        </w:tc>
        <w:tc>
          <w:tcPr>
            <w:tcW w:w="931" w:type="dxa"/>
            <w:gridSpan w:val="2"/>
            <w:vAlign w:val="center"/>
          </w:tcPr>
          <w:p>
            <w:pPr>
              <w:rPr>
                <w:b/>
                <w:noProof/>
                <w:sz w:val="20"/>
              </w:rPr>
            </w:pPr>
          </w:p>
        </w:tc>
      </w:tr>
      <w:tr>
        <w:trPr>
          <w:trHeight w:val="277"/>
        </w:trPr>
        <w:tc>
          <w:tcPr>
            <w:tcW w:w="3960" w:type="dxa"/>
            <w:vMerge w:val="restart"/>
            <w:vAlign w:val="center"/>
          </w:tcPr>
          <w:p>
            <w:pPr>
              <w:spacing w:before="60"/>
              <w:rPr>
                <w:noProof/>
                <w:sz w:val="21"/>
              </w:rPr>
            </w:pPr>
            <w:r>
              <w:rPr>
                <w:noProof/>
                <w:sz w:val="21"/>
              </w:rPr>
              <w:t>2: Croissance durable: ressources naturelles</w:t>
            </w:r>
          </w:p>
          <w:p>
            <w:pPr>
              <w:spacing w:before="60"/>
              <w:rPr>
                <w:noProof/>
              </w:rPr>
            </w:pPr>
            <w:r>
              <w:rPr>
                <w:noProof/>
                <w:sz w:val="21"/>
              </w:rPr>
              <w:t>Fonds européen pour les affaires maritimes et la pêche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1032" w:type="dxa"/>
            <w:gridSpan w:val="2"/>
            <w:vAlign w:val="center"/>
          </w:tcPr>
          <w:p>
            <w:pPr>
              <w:spacing w:before="20" w:after="20"/>
              <w:jc w:val="right"/>
              <w:rPr>
                <w:noProof/>
                <w:sz w:val="20"/>
              </w:rPr>
            </w:pPr>
            <w:r>
              <w:rPr>
                <w:noProof/>
                <w:sz w:val="20"/>
              </w:rPr>
              <w:t>0</w:t>
            </w:r>
          </w:p>
        </w:tc>
        <w:tc>
          <w:tcPr>
            <w:tcW w:w="945" w:type="dxa"/>
            <w:gridSpan w:val="2"/>
            <w:vAlign w:val="center"/>
          </w:tcPr>
          <w:p>
            <w:pPr>
              <w:spacing w:before="20" w:after="20"/>
              <w:jc w:val="right"/>
              <w:rPr>
                <w:noProof/>
                <w:sz w:val="20"/>
              </w:rPr>
            </w:pPr>
            <w:r>
              <w:rPr>
                <w:noProof/>
                <w:sz w:val="20"/>
              </w:rPr>
              <w:t>0</w:t>
            </w:r>
          </w:p>
        </w:tc>
        <w:tc>
          <w:tcPr>
            <w:tcW w:w="1250" w:type="dxa"/>
            <w:gridSpan w:val="2"/>
            <w:vAlign w:val="center"/>
          </w:tcPr>
          <w:p>
            <w:pPr>
              <w:spacing w:before="20" w:after="20"/>
              <w:jc w:val="right"/>
              <w:rPr>
                <w:noProof/>
                <w:sz w:val="20"/>
              </w:rPr>
            </w:pPr>
            <w:r>
              <w:rPr>
                <w:noProof/>
                <w:sz w:val="20"/>
              </w:rPr>
              <w:t>0</w:t>
            </w:r>
          </w:p>
        </w:tc>
        <w:tc>
          <w:tcPr>
            <w:tcW w:w="720" w:type="dxa"/>
            <w:gridSpan w:val="2"/>
            <w:vAlign w:val="center"/>
          </w:tcPr>
          <w:p>
            <w:pPr>
              <w:spacing w:before="20" w:after="20"/>
              <w:jc w:val="right"/>
              <w:rPr>
                <w:noProof/>
                <w:sz w:val="20"/>
              </w:rPr>
            </w:pPr>
            <w:r>
              <w:rPr>
                <w:noProof/>
                <w:sz w:val="20"/>
              </w:rPr>
              <w:t>0</w:t>
            </w:r>
          </w:p>
        </w:tc>
        <w:tc>
          <w:tcPr>
            <w:tcW w:w="1216" w:type="dxa"/>
            <w:gridSpan w:val="2"/>
            <w:vAlign w:val="center"/>
          </w:tcPr>
          <w:p>
            <w:pPr>
              <w:spacing w:before="20" w:after="20"/>
              <w:jc w:val="right"/>
              <w:rPr>
                <w:b/>
                <w:noProof/>
                <w:sz w:val="20"/>
              </w:rPr>
            </w:pPr>
            <w:r>
              <w:rPr>
                <w:b/>
                <w:noProof/>
                <w:sz w:val="20"/>
              </w:rPr>
              <w:t>0</w:t>
            </w:r>
          </w:p>
        </w:tc>
        <w:tc>
          <w:tcPr>
            <w:tcW w:w="931" w:type="dxa"/>
            <w:gridSpan w:val="2"/>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12,8</w:t>
            </w:r>
          </w:p>
        </w:tc>
        <w:tc>
          <w:tcPr>
            <w:tcW w:w="1032" w:type="dxa"/>
            <w:gridSpan w:val="2"/>
            <w:vAlign w:val="center"/>
          </w:tcPr>
          <w:p>
            <w:pPr>
              <w:spacing w:before="20" w:after="20"/>
              <w:jc w:val="right"/>
              <w:rPr>
                <w:noProof/>
                <w:sz w:val="20"/>
              </w:rPr>
            </w:pPr>
            <w:r>
              <w:rPr>
                <w:noProof/>
                <w:sz w:val="20"/>
              </w:rPr>
              <w:t xml:space="preserve">12,8 </w:t>
            </w:r>
          </w:p>
        </w:tc>
        <w:tc>
          <w:tcPr>
            <w:tcW w:w="945" w:type="dxa"/>
            <w:gridSpan w:val="2"/>
            <w:vAlign w:val="center"/>
          </w:tcPr>
          <w:p>
            <w:pPr>
              <w:spacing w:before="20" w:after="20"/>
              <w:jc w:val="right"/>
              <w:rPr>
                <w:noProof/>
                <w:sz w:val="20"/>
              </w:rPr>
            </w:pPr>
          </w:p>
        </w:tc>
        <w:tc>
          <w:tcPr>
            <w:tcW w:w="1250" w:type="dxa"/>
            <w:gridSpan w:val="2"/>
            <w:vAlign w:val="center"/>
          </w:tcPr>
          <w:p>
            <w:pPr>
              <w:spacing w:before="20" w:after="20"/>
              <w:jc w:val="right"/>
              <w:rPr>
                <w:noProof/>
                <w:sz w:val="20"/>
              </w:rPr>
            </w:pPr>
            <w:r>
              <w:rPr>
                <w:b/>
                <w:noProof/>
                <w:sz w:val="20"/>
              </w:rPr>
              <w:t>-12,8</w:t>
            </w:r>
          </w:p>
        </w:tc>
        <w:tc>
          <w:tcPr>
            <w:tcW w:w="720" w:type="dxa"/>
            <w:gridSpan w:val="2"/>
            <w:vAlign w:val="center"/>
          </w:tcPr>
          <w:p>
            <w:pPr>
              <w:spacing w:before="20" w:after="20"/>
              <w:jc w:val="right"/>
              <w:rPr>
                <w:noProof/>
                <w:sz w:val="20"/>
              </w:rPr>
            </w:pPr>
            <w:r>
              <w:rPr>
                <w:noProof/>
                <w:sz w:val="20"/>
              </w:rPr>
              <w:t>0</w:t>
            </w:r>
          </w:p>
        </w:tc>
        <w:tc>
          <w:tcPr>
            <w:tcW w:w="1216" w:type="dxa"/>
            <w:gridSpan w:val="2"/>
            <w:vAlign w:val="center"/>
          </w:tcPr>
          <w:p>
            <w:pPr>
              <w:spacing w:before="20" w:after="20"/>
              <w:jc w:val="right"/>
              <w:rPr>
                <w:b/>
                <w:noProof/>
                <w:sz w:val="20"/>
              </w:rPr>
            </w:pPr>
            <w:r>
              <w:rPr>
                <w:b/>
                <w:noProof/>
                <w:sz w:val="20"/>
              </w:rPr>
              <w:t xml:space="preserve"> -12,8</w:t>
            </w:r>
          </w:p>
        </w:tc>
        <w:tc>
          <w:tcPr>
            <w:tcW w:w="931" w:type="dxa"/>
            <w:gridSpan w:val="2"/>
            <w:vAlign w:val="center"/>
          </w:tcPr>
          <w:p>
            <w:pPr>
              <w:spacing w:before="20" w:after="20"/>
              <w:jc w:val="right"/>
              <w:rPr>
                <w:b/>
                <w:noProof/>
                <w:sz w:val="20"/>
              </w:rPr>
            </w:pPr>
            <w:r>
              <w:rPr>
                <w:b/>
                <w:noProof/>
                <w:sz w:val="20"/>
              </w:rPr>
              <w:t>0</w:t>
            </w: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12"/>
            </w:r>
            <w:r>
              <w:rPr>
                <w:noProof/>
                <w:sz w:val="21"/>
              </w:rPr>
              <w:t xml:space="preserve"> </w:t>
            </w:r>
          </w:p>
          <w:p>
            <w:pPr>
              <w:spacing w:before="0" w:after="0"/>
              <w:rPr>
                <w:noProof/>
              </w:rPr>
            </w:pPr>
          </w:p>
        </w:tc>
        <w:tc>
          <w:tcPr>
            <w:tcW w:w="1026" w:type="dxa"/>
            <w:vAlign w:val="center"/>
          </w:tcPr>
          <w:p>
            <w:pPr>
              <w:rPr>
                <w:b/>
                <w:noProof/>
                <w:sz w:val="20"/>
              </w:rPr>
            </w:pPr>
          </w:p>
        </w:tc>
        <w:tc>
          <w:tcPr>
            <w:tcW w:w="1320" w:type="dxa"/>
            <w:vAlign w:val="center"/>
          </w:tcPr>
          <w:p>
            <w:pPr>
              <w:rPr>
                <w:b/>
                <w:noProof/>
                <w:sz w:val="20"/>
              </w:rPr>
            </w:pPr>
          </w:p>
        </w:tc>
        <w:tc>
          <w:tcPr>
            <w:tcW w:w="1032" w:type="dxa"/>
            <w:gridSpan w:val="2"/>
            <w:vAlign w:val="center"/>
          </w:tcPr>
          <w:p>
            <w:pPr>
              <w:rPr>
                <w:b/>
                <w:noProof/>
                <w:sz w:val="20"/>
              </w:rPr>
            </w:pPr>
          </w:p>
        </w:tc>
        <w:tc>
          <w:tcPr>
            <w:tcW w:w="945" w:type="dxa"/>
            <w:gridSpan w:val="2"/>
            <w:vAlign w:val="center"/>
          </w:tcPr>
          <w:p>
            <w:pPr>
              <w:rPr>
                <w:b/>
                <w:noProof/>
                <w:sz w:val="20"/>
              </w:rPr>
            </w:pPr>
          </w:p>
        </w:tc>
        <w:tc>
          <w:tcPr>
            <w:tcW w:w="1250" w:type="dxa"/>
            <w:gridSpan w:val="2"/>
            <w:vAlign w:val="center"/>
          </w:tcPr>
          <w:p>
            <w:pPr>
              <w:rPr>
                <w:b/>
                <w:noProof/>
                <w:sz w:val="20"/>
              </w:rPr>
            </w:pPr>
          </w:p>
        </w:tc>
        <w:tc>
          <w:tcPr>
            <w:tcW w:w="720" w:type="dxa"/>
            <w:gridSpan w:val="2"/>
            <w:vAlign w:val="center"/>
          </w:tcPr>
          <w:p>
            <w:pPr>
              <w:rPr>
                <w:b/>
                <w:noProof/>
                <w:sz w:val="20"/>
              </w:rPr>
            </w:pPr>
          </w:p>
        </w:tc>
        <w:tc>
          <w:tcPr>
            <w:tcW w:w="1216" w:type="dxa"/>
            <w:gridSpan w:val="2"/>
            <w:vAlign w:val="center"/>
          </w:tcPr>
          <w:p>
            <w:pPr>
              <w:rPr>
                <w:b/>
                <w:noProof/>
                <w:sz w:val="20"/>
              </w:rPr>
            </w:pPr>
          </w:p>
        </w:tc>
        <w:tc>
          <w:tcPr>
            <w:tcW w:w="931" w:type="dxa"/>
            <w:gridSpan w:val="2"/>
            <w:vAlign w:val="center"/>
          </w:tcPr>
          <w:p>
            <w:pPr>
              <w:rPr>
                <w:b/>
                <w:noProof/>
                <w:sz w:val="20"/>
              </w:rPr>
            </w:pPr>
          </w:p>
        </w:tc>
      </w:tr>
      <w:tr>
        <w:trPr>
          <w:trHeight w:val="319"/>
        </w:trPr>
        <w:tc>
          <w:tcPr>
            <w:tcW w:w="3960" w:type="dxa"/>
            <w:vAlign w:val="center"/>
          </w:tcPr>
          <w:p>
            <w:pPr>
              <w:spacing w:before="60" w:after="60"/>
              <w:rPr>
                <w:noProof/>
              </w:rPr>
            </w:pPr>
            <w:r>
              <w:rPr>
                <w:noProof/>
                <w:sz w:val="20"/>
              </w:rPr>
              <w:t>s.o.</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1026" w:type="dxa"/>
            <w:vAlign w:val="center"/>
          </w:tcPr>
          <w:p>
            <w:pPr>
              <w:spacing w:before="40" w:after="40"/>
              <w:jc w:val="right"/>
              <w:rPr>
                <w:b/>
                <w:noProof/>
                <w:sz w:val="20"/>
              </w:rPr>
            </w:pPr>
          </w:p>
        </w:tc>
        <w:tc>
          <w:tcPr>
            <w:tcW w:w="1320" w:type="dxa"/>
            <w:vAlign w:val="center"/>
          </w:tcPr>
          <w:p>
            <w:pPr>
              <w:spacing w:before="40" w:after="40"/>
              <w:jc w:val="right"/>
              <w:rPr>
                <w:b/>
                <w:noProof/>
                <w:sz w:val="20"/>
              </w:rPr>
            </w:pPr>
          </w:p>
        </w:tc>
        <w:tc>
          <w:tcPr>
            <w:tcW w:w="1032" w:type="dxa"/>
            <w:gridSpan w:val="2"/>
            <w:vAlign w:val="center"/>
          </w:tcPr>
          <w:p>
            <w:pPr>
              <w:spacing w:before="40" w:after="40"/>
              <w:jc w:val="right"/>
              <w:rPr>
                <w:b/>
                <w:noProof/>
                <w:sz w:val="20"/>
              </w:rPr>
            </w:pPr>
          </w:p>
        </w:tc>
        <w:tc>
          <w:tcPr>
            <w:tcW w:w="945" w:type="dxa"/>
            <w:gridSpan w:val="2"/>
            <w:vAlign w:val="center"/>
          </w:tcPr>
          <w:p>
            <w:pPr>
              <w:spacing w:before="40" w:after="40"/>
              <w:jc w:val="right"/>
              <w:rPr>
                <w:b/>
                <w:noProof/>
                <w:sz w:val="20"/>
              </w:rPr>
            </w:pPr>
          </w:p>
        </w:tc>
        <w:tc>
          <w:tcPr>
            <w:tcW w:w="1250" w:type="dxa"/>
            <w:gridSpan w:val="2"/>
            <w:vAlign w:val="center"/>
          </w:tcPr>
          <w:p>
            <w:pPr>
              <w:spacing w:before="40" w:after="40"/>
              <w:jc w:val="right"/>
              <w:rPr>
                <w:b/>
                <w:noProof/>
                <w:sz w:val="20"/>
              </w:rPr>
            </w:pPr>
          </w:p>
        </w:tc>
        <w:tc>
          <w:tcPr>
            <w:tcW w:w="720" w:type="dxa"/>
            <w:gridSpan w:val="2"/>
            <w:vAlign w:val="center"/>
          </w:tcPr>
          <w:p>
            <w:pPr>
              <w:spacing w:before="40" w:after="40"/>
              <w:jc w:val="right"/>
              <w:rPr>
                <w:b/>
                <w:noProof/>
                <w:sz w:val="20"/>
              </w:rPr>
            </w:pPr>
          </w:p>
        </w:tc>
        <w:tc>
          <w:tcPr>
            <w:tcW w:w="1216" w:type="dxa"/>
            <w:gridSpan w:val="2"/>
            <w:vAlign w:val="center"/>
          </w:tcPr>
          <w:p>
            <w:pPr>
              <w:spacing w:before="40" w:after="40"/>
              <w:jc w:val="right"/>
              <w:rPr>
                <w:b/>
                <w:noProof/>
                <w:sz w:val="20"/>
              </w:rPr>
            </w:pPr>
          </w:p>
        </w:tc>
        <w:tc>
          <w:tcPr>
            <w:tcW w:w="931" w:type="dxa"/>
            <w:gridSpan w:val="2"/>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rPr>
              <w:br/>
            </w:r>
            <w:r>
              <w:rPr>
                <w:b/>
                <w:noProof/>
                <w:sz w:val="22"/>
              </w:rPr>
              <w:t>pour la DG MARE</w:t>
            </w:r>
            <w:r>
              <w:rPr>
                <w:noProof/>
              </w:rPr>
              <w:t xml:space="preserve"> </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1032" w:type="dxa"/>
            <w:gridSpan w:val="2"/>
            <w:vAlign w:val="center"/>
          </w:tcPr>
          <w:p>
            <w:pPr>
              <w:spacing w:before="20" w:after="20"/>
              <w:jc w:val="right"/>
              <w:rPr>
                <w:noProof/>
                <w:sz w:val="20"/>
              </w:rPr>
            </w:pPr>
            <w:r>
              <w:rPr>
                <w:noProof/>
                <w:sz w:val="20"/>
              </w:rPr>
              <w:t>0</w:t>
            </w:r>
          </w:p>
        </w:tc>
        <w:tc>
          <w:tcPr>
            <w:tcW w:w="945" w:type="dxa"/>
            <w:gridSpan w:val="2"/>
            <w:vAlign w:val="center"/>
          </w:tcPr>
          <w:p>
            <w:pPr>
              <w:spacing w:before="20" w:after="20"/>
              <w:jc w:val="right"/>
              <w:rPr>
                <w:noProof/>
                <w:sz w:val="20"/>
              </w:rPr>
            </w:pPr>
            <w:r>
              <w:rPr>
                <w:noProof/>
                <w:sz w:val="20"/>
              </w:rPr>
              <w:t>0</w:t>
            </w:r>
          </w:p>
        </w:tc>
        <w:tc>
          <w:tcPr>
            <w:tcW w:w="1250" w:type="dxa"/>
            <w:gridSpan w:val="2"/>
            <w:vAlign w:val="center"/>
          </w:tcPr>
          <w:p>
            <w:pPr>
              <w:spacing w:before="20" w:after="20"/>
              <w:jc w:val="right"/>
              <w:rPr>
                <w:noProof/>
                <w:sz w:val="20"/>
              </w:rPr>
            </w:pPr>
            <w:r>
              <w:rPr>
                <w:noProof/>
                <w:sz w:val="20"/>
              </w:rPr>
              <w:t>0</w:t>
            </w:r>
          </w:p>
        </w:tc>
        <w:tc>
          <w:tcPr>
            <w:tcW w:w="720" w:type="dxa"/>
            <w:gridSpan w:val="2"/>
            <w:vAlign w:val="center"/>
          </w:tcPr>
          <w:p>
            <w:pPr>
              <w:spacing w:before="20" w:after="20"/>
              <w:jc w:val="right"/>
              <w:rPr>
                <w:noProof/>
                <w:sz w:val="20"/>
              </w:rPr>
            </w:pPr>
            <w:r>
              <w:rPr>
                <w:noProof/>
                <w:sz w:val="20"/>
              </w:rPr>
              <w:t>0</w:t>
            </w:r>
          </w:p>
        </w:tc>
        <w:tc>
          <w:tcPr>
            <w:tcW w:w="1216" w:type="dxa"/>
            <w:gridSpan w:val="2"/>
            <w:vAlign w:val="center"/>
          </w:tcPr>
          <w:p>
            <w:pPr>
              <w:spacing w:before="20" w:after="20"/>
              <w:jc w:val="right"/>
              <w:rPr>
                <w:b/>
                <w:noProof/>
                <w:sz w:val="20"/>
              </w:rPr>
            </w:pPr>
            <w:r>
              <w:rPr>
                <w:b/>
                <w:noProof/>
                <w:sz w:val="20"/>
              </w:rPr>
              <w:t>0</w:t>
            </w:r>
          </w:p>
        </w:tc>
        <w:tc>
          <w:tcPr>
            <w:tcW w:w="931" w:type="dxa"/>
            <w:gridSpan w:val="2"/>
            <w:vAlign w:val="center"/>
          </w:tcPr>
          <w:p>
            <w:pPr>
              <w:spacing w:before="20" w:after="20"/>
              <w:jc w:val="right"/>
              <w:rPr>
                <w:b/>
                <w:noProof/>
                <w:sz w:val="20"/>
              </w:rPr>
            </w:pPr>
            <w:r>
              <w:rPr>
                <w:b/>
                <w:noProof/>
                <w:sz w:val="20"/>
              </w:rPr>
              <w:t>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12,8</w:t>
            </w:r>
          </w:p>
        </w:tc>
        <w:tc>
          <w:tcPr>
            <w:tcW w:w="1032" w:type="dxa"/>
            <w:gridSpan w:val="2"/>
            <w:vAlign w:val="center"/>
          </w:tcPr>
          <w:p>
            <w:pPr>
              <w:spacing w:before="20" w:after="20"/>
              <w:jc w:val="right"/>
              <w:rPr>
                <w:noProof/>
                <w:sz w:val="20"/>
              </w:rPr>
            </w:pPr>
            <w:r>
              <w:rPr>
                <w:noProof/>
                <w:sz w:val="20"/>
              </w:rPr>
              <w:t>12,8</w:t>
            </w:r>
          </w:p>
        </w:tc>
        <w:tc>
          <w:tcPr>
            <w:tcW w:w="945" w:type="dxa"/>
            <w:gridSpan w:val="2"/>
            <w:vAlign w:val="center"/>
          </w:tcPr>
          <w:p>
            <w:pPr>
              <w:spacing w:before="20" w:after="20"/>
              <w:jc w:val="right"/>
              <w:rPr>
                <w:noProof/>
                <w:sz w:val="20"/>
              </w:rPr>
            </w:pPr>
          </w:p>
        </w:tc>
        <w:tc>
          <w:tcPr>
            <w:tcW w:w="1250" w:type="dxa"/>
            <w:gridSpan w:val="2"/>
            <w:vAlign w:val="center"/>
          </w:tcPr>
          <w:p>
            <w:pPr>
              <w:spacing w:before="20" w:after="20"/>
              <w:jc w:val="right"/>
              <w:rPr>
                <w:noProof/>
                <w:sz w:val="20"/>
              </w:rPr>
            </w:pPr>
            <w:r>
              <w:rPr>
                <w:noProof/>
                <w:sz w:val="20"/>
              </w:rPr>
              <w:t>-</w:t>
            </w:r>
            <w:r>
              <w:rPr>
                <w:b/>
                <w:noProof/>
                <w:sz w:val="20"/>
              </w:rPr>
              <w:t>12,8</w:t>
            </w:r>
          </w:p>
        </w:tc>
        <w:tc>
          <w:tcPr>
            <w:tcW w:w="720" w:type="dxa"/>
            <w:gridSpan w:val="2"/>
            <w:vAlign w:val="center"/>
          </w:tcPr>
          <w:p>
            <w:pPr>
              <w:spacing w:before="20" w:after="20"/>
              <w:jc w:val="right"/>
              <w:rPr>
                <w:noProof/>
                <w:sz w:val="20"/>
              </w:rPr>
            </w:pPr>
            <w:r>
              <w:rPr>
                <w:noProof/>
                <w:sz w:val="20"/>
              </w:rPr>
              <w:t>0</w:t>
            </w:r>
          </w:p>
        </w:tc>
        <w:tc>
          <w:tcPr>
            <w:tcW w:w="1216" w:type="dxa"/>
            <w:gridSpan w:val="2"/>
            <w:vAlign w:val="center"/>
          </w:tcPr>
          <w:p>
            <w:pPr>
              <w:spacing w:before="20" w:after="20"/>
              <w:jc w:val="right"/>
              <w:rPr>
                <w:noProof/>
                <w:sz w:val="20"/>
              </w:rPr>
            </w:pPr>
            <w:r>
              <w:rPr>
                <w:b/>
                <w:noProof/>
                <w:sz w:val="20"/>
              </w:rPr>
              <w:t>-12,8</w:t>
            </w:r>
          </w:p>
        </w:tc>
        <w:tc>
          <w:tcPr>
            <w:tcW w:w="931" w:type="dxa"/>
            <w:gridSpan w:val="2"/>
            <w:vAlign w:val="center"/>
          </w:tcPr>
          <w:p>
            <w:pPr>
              <w:spacing w:before="20" w:after="20"/>
              <w:jc w:val="right"/>
              <w:rPr>
                <w:b/>
                <w:noProof/>
                <w:sz w:val="20"/>
              </w:rPr>
            </w:pPr>
            <w:r>
              <w:rPr>
                <w:b/>
                <w:noProof/>
                <w:sz w:val="20"/>
              </w:rPr>
              <w:t>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026"/>
        <w:gridCol w:w="1320"/>
        <w:gridCol w:w="891"/>
        <w:gridCol w:w="1066"/>
        <w:gridCol w:w="1200"/>
        <w:gridCol w:w="480"/>
        <w:gridCol w:w="1173"/>
        <w:gridCol w:w="1214"/>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12,8</w:t>
            </w:r>
          </w:p>
        </w:tc>
        <w:tc>
          <w:tcPr>
            <w:tcW w:w="891" w:type="dxa"/>
            <w:vAlign w:val="center"/>
          </w:tcPr>
          <w:p>
            <w:pPr>
              <w:spacing w:before="20" w:after="20"/>
              <w:jc w:val="right"/>
              <w:rPr>
                <w:noProof/>
                <w:sz w:val="20"/>
              </w:rPr>
            </w:pPr>
            <w:r>
              <w:rPr>
                <w:noProof/>
                <w:sz w:val="20"/>
              </w:rPr>
              <w:t xml:space="preserve">12,8 </w:t>
            </w:r>
          </w:p>
        </w:tc>
        <w:tc>
          <w:tcPr>
            <w:tcW w:w="1066" w:type="dxa"/>
            <w:vAlign w:val="center"/>
          </w:tcPr>
          <w:p>
            <w:pPr>
              <w:spacing w:before="20" w:after="20"/>
              <w:jc w:val="right"/>
              <w:rPr>
                <w:noProof/>
                <w:sz w:val="20"/>
              </w:rPr>
            </w:pPr>
          </w:p>
        </w:tc>
        <w:tc>
          <w:tcPr>
            <w:tcW w:w="1200" w:type="dxa"/>
            <w:vAlign w:val="center"/>
          </w:tcPr>
          <w:p>
            <w:pPr>
              <w:spacing w:before="20" w:after="20"/>
              <w:jc w:val="right"/>
              <w:rPr>
                <w:noProof/>
                <w:sz w:val="20"/>
              </w:rPr>
            </w:pPr>
            <w:r>
              <w:rPr>
                <w:b/>
                <w:noProof/>
                <w:sz w:val="20"/>
              </w:rPr>
              <w:t>-12,8</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b/>
                <w:noProof/>
                <w:sz w:val="20"/>
              </w:rPr>
              <w:t>-12,8</w:t>
            </w:r>
          </w:p>
        </w:tc>
        <w:tc>
          <w:tcPr>
            <w:tcW w:w="1214" w:type="dxa"/>
            <w:vAlign w:val="center"/>
          </w:tcPr>
          <w:p>
            <w:pPr>
              <w:spacing w:before="20" w:after="20"/>
              <w:jc w:val="right"/>
              <w:rPr>
                <w:b/>
                <w:noProof/>
                <w:sz w:val="20"/>
              </w:rPr>
            </w:pPr>
            <w:r>
              <w:rPr>
                <w:b/>
                <w:noProof/>
                <w:sz w:val="20"/>
              </w:rPr>
              <w:t>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1026" w:type="dxa"/>
            <w:vAlign w:val="center"/>
          </w:tcPr>
          <w:p>
            <w:pPr>
              <w:spacing w:before="20" w:after="20"/>
              <w:jc w:val="right"/>
              <w:rPr>
                <w:b/>
                <w:noProof/>
                <w:sz w:val="20"/>
              </w:rPr>
            </w:pPr>
            <w:r>
              <w:rPr>
                <w:b/>
                <w:noProof/>
                <w:sz w:val="20"/>
              </w:rPr>
              <w:t>0</w:t>
            </w:r>
          </w:p>
        </w:tc>
        <w:tc>
          <w:tcPr>
            <w:tcW w:w="1320" w:type="dxa"/>
            <w:vAlign w:val="center"/>
          </w:tcPr>
          <w:p>
            <w:pPr>
              <w:spacing w:before="20" w:after="20"/>
              <w:jc w:val="right"/>
              <w:rPr>
                <w:b/>
                <w:noProof/>
                <w:sz w:val="20"/>
              </w:rPr>
            </w:pPr>
            <w:r>
              <w:rPr>
                <w:b/>
                <w:noProof/>
                <w:sz w:val="20"/>
              </w:rPr>
              <w:t>0</w:t>
            </w:r>
          </w:p>
        </w:tc>
        <w:tc>
          <w:tcPr>
            <w:tcW w:w="891" w:type="dxa"/>
            <w:vAlign w:val="center"/>
          </w:tcPr>
          <w:p>
            <w:pPr>
              <w:spacing w:before="20" w:after="20"/>
              <w:jc w:val="right"/>
              <w:rPr>
                <w:b/>
                <w:noProof/>
                <w:sz w:val="20"/>
              </w:rPr>
            </w:pPr>
            <w:r>
              <w:rPr>
                <w:b/>
                <w:noProof/>
                <w:sz w:val="20"/>
              </w:rPr>
              <w:t>0</w:t>
            </w:r>
          </w:p>
        </w:tc>
        <w:tc>
          <w:tcPr>
            <w:tcW w:w="1066" w:type="dxa"/>
            <w:vAlign w:val="center"/>
          </w:tcPr>
          <w:p>
            <w:pPr>
              <w:spacing w:before="20" w:after="20"/>
              <w:jc w:val="right"/>
              <w:rPr>
                <w:b/>
                <w:noProof/>
                <w:sz w:val="20"/>
              </w:rPr>
            </w:pPr>
            <w:r>
              <w:rPr>
                <w:b/>
                <w:noProof/>
                <w:sz w:val="20"/>
              </w:rPr>
              <w:t>0</w:t>
            </w:r>
          </w:p>
        </w:tc>
        <w:tc>
          <w:tcPr>
            <w:tcW w:w="1200" w:type="dxa"/>
            <w:vAlign w:val="center"/>
          </w:tcPr>
          <w:p>
            <w:pPr>
              <w:spacing w:before="20" w:after="20"/>
              <w:jc w:val="right"/>
              <w:rPr>
                <w:b/>
                <w:noProof/>
                <w:sz w:val="20"/>
              </w:rPr>
            </w:pPr>
            <w:r>
              <w:rPr>
                <w:b/>
                <w:noProof/>
                <w:sz w:val="20"/>
              </w:rPr>
              <w:t>0</w:t>
            </w:r>
          </w:p>
        </w:tc>
        <w:tc>
          <w:tcPr>
            <w:tcW w:w="480" w:type="dxa"/>
            <w:vAlign w:val="center"/>
          </w:tcPr>
          <w:p>
            <w:pPr>
              <w:spacing w:before="20" w:after="20"/>
              <w:jc w:val="right"/>
              <w:rPr>
                <w:b/>
                <w:noProof/>
                <w:sz w:val="20"/>
              </w:rPr>
            </w:pPr>
            <w:r>
              <w:rPr>
                <w:b/>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val="restart"/>
            <w:shd w:val="thinDiagStripe" w:color="C0C0C0" w:fill="auto"/>
            <w:vAlign w:val="center"/>
          </w:tcPr>
          <w:p>
            <w:pPr>
              <w:jc w:val="center"/>
              <w:rPr>
                <w:b/>
                <w:noProof/>
              </w:rPr>
            </w:pPr>
            <w:r>
              <w:rPr>
                <w:b/>
                <w:noProof/>
                <w:sz w:val="22"/>
              </w:rPr>
              <w:t>TOTAL des crédits</w:t>
            </w:r>
            <w:r>
              <w:rPr>
                <w:noProof/>
              </w:rPr>
              <w:br/>
            </w:r>
            <w:r>
              <w:rPr>
                <w:b/>
                <w:noProof/>
                <w:sz w:val="22"/>
              </w:rPr>
              <w:t>pour la RUBRIQUE 2</w:t>
            </w:r>
            <w:r>
              <w:rPr>
                <w:noProof/>
              </w:rPr>
              <w:br/>
            </w:r>
            <w:r>
              <w:rPr>
                <w:noProof/>
                <w:sz w:val="22"/>
              </w:rP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0</w:t>
            </w:r>
          </w:p>
        </w:tc>
        <w:tc>
          <w:tcPr>
            <w:tcW w:w="891" w:type="dxa"/>
            <w:vAlign w:val="center"/>
          </w:tcPr>
          <w:p>
            <w:pPr>
              <w:spacing w:before="20" w:after="20"/>
              <w:jc w:val="right"/>
              <w:rPr>
                <w:noProof/>
                <w:sz w:val="20"/>
              </w:rPr>
            </w:pPr>
            <w:r>
              <w:rPr>
                <w:noProof/>
                <w:sz w:val="20"/>
              </w:rPr>
              <w:t>0</w:t>
            </w:r>
          </w:p>
        </w:tc>
        <w:tc>
          <w:tcPr>
            <w:tcW w:w="1066" w:type="dxa"/>
            <w:vAlign w:val="center"/>
          </w:tcPr>
          <w:p>
            <w:pPr>
              <w:spacing w:before="20" w:after="20"/>
              <w:jc w:val="right"/>
              <w:rPr>
                <w:noProof/>
                <w:sz w:val="20"/>
              </w:rPr>
            </w:pPr>
            <w:r>
              <w:rPr>
                <w:noProof/>
                <w:sz w:val="20"/>
              </w:rPr>
              <w:t>0</w:t>
            </w:r>
          </w:p>
        </w:tc>
        <w:tc>
          <w:tcPr>
            <w:tcW w:w="1200" w:type="dxa"/>
            <w:vAlign w:val="center"/>
          </w:tcPr>
          <w:p>
            <w:pPr>
              <w:spacing w:before="20" w:after="20"/>
              <w:jc w:val="right"/>
              <w:rPr>
                <w:noProof/>
                <w:sz w:val="20"/>
              </w:rPr>
            </w:pPr>
            <w:r>
              <w:rPr>
                <w:noProof/>
                <w:sz w:val="20"/>
              </w:rPr>
              <w:t>0</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noProof/>
                <w:sz w:val="20"/>
              </w:rPr>
              <w:t>0</w:t>
            </w:r>
          </w:p>
        </w:tc>
        <w:tc>
          <w:tcPr>
            <w:tcW w:w="1214" w:type="dxa"/>
            <w:vAlign w:val="center"/>
          </w:tcPr>
          <w:p>
            <w:pPr>
              <w:spacing w:before="20" w:after="20"/>
              <w:jc w:val="right"/>
              <w:rPr>
                <w:b/>
                <w:noProof/>
                <w:sz w:val="20"/>
              </w:rPr>
            </w:pPr>
            <w:r>
              <w:rPr>
                <w:b/>
                <w:noProof/>
                <w:sz w:val="20"/>
              </w:rPr>
              <w:t>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1026" w:type="dxa"/>
            <w:vAlign w:val="center"/>
          </w:tcPr>
          <w:p>
            <w:pPr>
              <w:spacing w:before="20" w:after="20"/>
              <w:jc w:val="right"/>
              <w:rPr>
                <w:noProof/>
                <w:sz w:val="20"/>
              </w:rPr>
            </w:pPr>
            <w:r>
              <w:rPr>
                <w:noProof/>
                <w:sz w:val="20"/>
              </w:rPr>
              <w:t>0</w:t>
            </w:r>
          </w:p>
        </w:tc>
        <w:tc>
          <w:tcPr>
            <w:tcW w:w="1320" w:type="dxa"/>
            <w:vAlign w:val="center"/>
          </w:tcPr>
          <w:p>
            <w:pPr>
              <w:spacing w:before="20" w:after="20"/>
              <w:jc w:val="right"/>
              <w:rPr>
                <w:noProof/>
                <w:sz w:val="20"/>
              </w:rPr>
            </w:pPr>
            <w:r>
              <w:rPr>
                <w:noProof/>
                <w:sz w:val="20"/>
              </w:rPr>
              <w:t>12,8</w:t>
            </w:r>
          </w:p>
        </w:tc>
        <w:tc>
          <w:tcPr>
            <w:tcW w:w="891" w:type="dxa"/>
            <w:vAlign w:val="center"/>
          </w:tcPr>
          <w:p>
            <w:pPr>
              <w:spacing w:before="20" w:after="20"/>
              <w:jc w:val="right"/>
              <w:rPr>
                <w:noProof/>
                <w:sz w:val="20"/>
              </w:rPr>
            </w:pPr>
            <w:r>
              <w:rPr>
                <w:noProof/>
                <w:sz w:val="20"/>
              </w:rPr>
              <w:t xml:space="preserve">12,8 </w:t>
            </w:r>
          </w:p>
        </w:tc>
        <w:tc>
          <w:tcPr>
            <w:tcW w:w="1066" w:type="dxa"/>
            <w:vAlign w:val="center"/>
          </w:tcPr>
          <w:p>
            <w:pPr>
              <w:spacing w:before="20" w:after="20"/>
              <w:jc w:val="center"/>
              <w:rPr>
                <w:noProof/>
                <w:sz w:val="20"/>
              </w:rPr>
            </w:pPr>
          </w:p>
        </w:tc>
        <w:tc>
          <w:tcPr>
            <w:tcW w:w="1200" w:type="dxa"/>
            <w:vAlign w:val="center"/>
          </w:tcPr>
          <w:p>
            <w:pPr>
              <w:spacing w:before="20" w:after="20"/>
              <w:jc w:val="right"/>
              <w:rPr>
                <w:noProof/>
                <w:sz w:val="20"/>
              </w:rPr>
            </w:pPr>
            <w:r>
              <w:rPr>
                <w:b/>
                <w:noProof/>
                <w:sz w:val="20"/>
              </w:rPr>
              <w:t>-12,8</w:t>
            </w:r>
          </w:p>
        </w:tc>
        <w:tc>
          <w:tcPr>
            <w:tcW w:w="480" w:type="dxa"/>
            <w:vAlign w:val="center"/>
          </w:tcPr>
          <w:p>
            <w:pPr>
              <w:spacing w:before="20" w:after="20"/>
              <w:jc w:val="right"/>
              <w:rPr>
                <w:noProof/>
                <w:sz w:val="20"/>
              </w:rPr>
            </w:pPr>
            <w:r>
              <w:rPr>
                <w:noProof/>
                <w:sz w:val="20"/>
              </w:rPr>
              <w:t>0</w:t>
            </w:r>
          </w:p>
        </w:tc>
        <w:tc>
          <w:tcPr>
            <w:tcW w:w="1173" w:type="dxa"/>
            <w:vAlign w:val="center"/>
          </w:tcPr>
          <w:p>
            <w:pPr>
              <w:spacing w:before="20" w:after="20"/>
              <w:jc w:val="right"/>
              <w:rPr>
                <w:noProof/>
                <w:sz w:val="20"/>
              </w:rPr>
            </w:pPr>
            <w:r>
              <w:rPr>
                <w:b/>
                <w:noProof/>
                <w:sz w:val="20"/>
              </w:rPr>
              <w:t>-12,8</w:t>
            </w:r>
          </w:p>
        </w:tc>
        <w:tc>
          <w:tcPr>
            <w:tcW w:w="1214" w:type="dxa"/>
            <w:vAlign w:val="center"/>
          </w:tcPr>
          <w:p>
            <w:pPr>
              <w:spacing w:before="20" w:after="20"/>
              <w:jc w:val="right"/>
              <w:rPr>
                <w:b/>
                <w:noProof/>
                <w:sz w:val="20"/>
              </w:rPr>
            </w:pPr>
            <w:r>
              <w:rPr>
                <w:b/>
                <w:noProof/>
                <w:sz w:val="20"/>
              </w:rPr>
              <w:t>0</w:t>
            </w:r>
          </w:p>
        </w:tc>
      </w:tr>
    </w:tbl>
    <w:p>
      <w:pPr>
        <w:spacing w:after="40"/>
        <w:rPr>
          <w:b/>
          <w:noProof/>
          <w:sz w:val="22"/>
          <w:u w:val="single"/>
        </w:rPr>
      </w:pPr>
    </w:p>
    <w:p>
      <w:pPr>
        <w:spacing w:after="40"/>
        <w:rPr>
          <w:b/>
          <w:noProof/>
          <w:sz w:val="22"/>
          <w:u w:val="single"/>
        </w:rPr>
      </w:pPr>
    </w:p>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386"/>
        <w:gridCol w:w="960"/>
        <w:gridCol w:w="840"/>
        <w:gridCol w:w="840"/>
        <w:gridCol w:w="720"/>
        <w:gridCol w:w="720"/>
        <w:gridCol w:w="960"/>
        <w:gridCol w:w="142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des crédits opérationnels</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1386"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84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720" w:type="dxa"/>
            <w:tcBorders>
              <w:top w:val="single" w:sz="4" w:space="0" w:color="auto"/>
            </w:tcBorders>
            <w:vAlign w:val="center"/>
          </w:tcPr>
          <w:p>
            <w:pPr>
              <w:spacing w:before="20" w:after="20"/>
              <w:jc w:val="right"/>
              <w:rPr>
                <w:noProof/>
                <w:sz w:val="20"/>
              </w:rPr>
            </w:pPr>
          </w:p>
        </w:tc>
        <w:tc>
          <w:tcPr>
            <w:tcW w:w="960" w:type="dxa"/>
            <w:tcBorders>
              <w:top w:val="single" w:sz="4" w:space="0" w:color="auto"/>
            </w:tcBorders>
            <w:vAlign w:val="center"/>
          </w:tcPr>
          <w:p>
            <w:pPr>
              <w:spacing w:before="20" w:after="20"/>
              <w:jc w:val="right"/>
              <w:rPr>
                <w:b/>
                <w:noProof/>
                <w:sz w:val="20"/>
              </w:rPr>
            </w:pPr>
          </w:p>
        </w:tc>
        <w:tc>
          <w:tcPr>
            <w:tcW w:w="142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1386"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84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720" w:type="dxa"/>
            <w:vAlign w:val="center"/>
          </w:tcPr>
          <w:p>
            <w:pPr>
              <w:spacing w:before="20" w:after="20"/>
              <w:jc w:val="right"/>
              <w:rPr>
                <w:b/>
                <w:noProof/>
                <w:sz w:val="20"/>
              </w:rPr>
            </w:pPr>
          </w:p>
        </w:tc>
        <w:tc>
          <w:tcPr>
            <w:tcW w:w="960" w:type="dxa"/>
            <w:vAlign w:val="center"/>
          </w:tcPr>
          <w:p>
            <w:pPr>
              <w:spacing w:before="20" w:after="20"/>
              <w:jc w:val="right"/>
              <w:rPr>
                <w:b/>
                <w:noProof/>
                <w:sz w:val="20"/>
              </w:rPr>
            </w:pPr>
          </w:p>
        </w:tc>
        <w:tc>
          <w:tcPr>
            <w:tcW w:w="142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TOTAL des crédits</w:t>
            </w:r>
            <w:r>
              <w:rPr>
                <w:noProof/>
              </w:rPr>
              <w:br/>
            </w:r>
            <w:r>
              <w:rPr>
                <w:b/>
                <w:noProof/>
                <w:sz w:val="22"/>
              </w:rPr>
              <w:t>pour les RUBRIQUES 1 à 4</w:t>
            </w:r>
            <w:r>
              <w:rPr>
                <w:noProof/>
              </w:rPr>
              <w:br/>
            </w:r>
            <w:r>
              <w:rPr>
                <w:noProof/>
                <w:sz w:val="22"/>
              </w:rPr>
              <w:t>du cadre financier pluriannuel</w:t>
            </w:r>
            <w:r>
              <w:rPr>
                <w:noProof/>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1386" w:type="dxa"/>
            <w:vAlign w:val="center"/>
          </w:tcPr>
          <w:p>
            <w:pPr>
              <w:spacing w:before="20" w:after="20"/>
              <w:jc w:val="right"/>
              <w:rPr>
                <w:noProof/>
                <w:sz w:val="20"/>
              </w:rPr>
            </w:pPr>
          </w:p>
        </w:tc>
        <w:tc>
          <w:tcPr>
            <w:tcW w:w="96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84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720" w:type="dxa"/>
            <w:vAlign w:val="center"/>
          </w:tcPr>
          <w:p>
            <w:pPr>
              <w:spacing w:before="20" w:after="20"/>
              <w:jc w:val="right"/>
              <w:rPr>
                <w:noProof/>
                <w:sz w:val="20"/>
              </w:rPr>
            </w:pPr>
          </w:p>
        </w:tc>
        <w:tc>
          <w:tcPr>
            <w:tcW w:w="960" w:type="dxa"/>
            <w:vAlign w:val="center"/>
          </w:tcPr>
          <w:p>
            <w:pPr>
              <w:spacing w:before="20" w:after="20"/>
              <w:jc w:val="right"/>
              <w:rPr>
                <w:b/>
                <w:noProof/>
                <w:sz w:val="20"/>
              </w:rPr>
            </w:pPr>
          </w:p>
        </w:tc>
        <w:tc>
          <w:tcPr>
            <w:tcW w:w="142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1386"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noProof/>
                <w:sz w:val="20"/>
              </w:rPr>
            </w:pPr>
            <w:r>
              <w:rPr>
                <w:noProof/>
                <w:sz w:val="20"/>
              </w:rPr>
              <w:t>1 012,800</w:t>
            </w:r>
          </w:p>
        </w:tc>
        <w:tc>
          <w:tcPr>
            <w:tcW w:w="840" w:type="dxa"/>
            <w:tcBorders>
              <w:bottom w:val="single" w:sz="4" w:space="0" w:color="auto"/>
            </w:tcBorders>
            <w:vAlign w:val="center"/>
          </w:tcPr>
          <w:p>
            <w:pPr>
              <w:spacing w:before="20" w:after="20"/>
              <w:jc w:val="right"/>
              <w:rPr>
                <w:noProof/>
                <w:sz w:val="20"/>
              </w:rPr>
            </w:pPr>
            <w:r>
              <w:rPr>
                <w:noProof/>
                <w:sz w:val="20"/>
              </w:rPr>
              <w:t>1 012,800</w:t>
            </w:r>
          </w:p>
        </w:tc>
        <w:tc>
          <w:tcPr>
            <w:tcW w:w="840" w:type="dxa"/>
            <w:tcBorders>
              <w:bottom w:val="single" w:sz="4" w:space="0" w:color="auto"/>
            </w:tcBorders>
            <w:vAlign w:val="center"/>
          </w:tcPr>
          <w:p>
            <w:pPr>
              <w:spacing w:before="20" w:after="20"/>
              <w:jc w:val="right"/>
              <w:rPr>
                <w:noProof/>
                <w:sz w:val="20"/>
              </w:rPr>
            </w:pPr>
            <w:r>
              <w:rPr>
                <w:noProof/>
                <w:sz w:val="20"/>
              </w:rPr>
              <w:t>0</w:t>
            </w:r>
          </w:p>
        </w:tc>
        <w:tc>
          <w:tcPr>
            <w:tcW w:w="720" w:type="dxa"/>
            <w:tcBorders>
              <w:bottom w:val="single" w:sz="4" w:space="0" w:color="auto"/>
            </w:tcBorders>
            <w:vAlign w:val="center"/>
          </w:tcPr>
          <w:p>
            <w:pPr>
              <w:spacing w:before="20" w:after="20"/>
              <w:jc w:val="right"/>
              <w:rPr>
                <w:noProof/>
                <w:sz w:val="20"/>
              </w:rPr>
            </w:pPr>
            <w:r>
              <w:rPr>
                <w:noProof/>
                <w:sz w:val="20"/>
              </w:rPr>
              <w:t>-1 012,800</w:t>
            </w:r>
          </w:p>
        </w:tc>
        <w:tc>
          <w:tcPr>
            <w:tcW w:w="720" w:type="dxa"/>
            <w:tcBorders>
              <w:bottom w:val="single" w:sz="4" w:space="0" w:color="auto"/>
            </w:tcBorders>
            <w:vAlign w:val="center"/>
          </w:tcPr>
          <w:p>
            <w:pPr>
              <w:spacing w:before="20" w:after="20"/>
              <w:jc w:val="right"/>
              <w:rPr>
                <w:noProof/>
                <w:sz w:val="20"/>
              </w:rPr>
            </w:pPr>
            <w:r>
              <w:rPr>
                <w:noProof/>
                <w:sz w:val="20"/>
              </w:rPr>
              <w:t>0</w:t>
            </w:r>
          </w:p>
        </w:tc>
        <w:tc>
          <w:tcPr>
            <w:tcW w:w="960" w:type="dxa"/>
            <w:tcBorders>
              <w:bottom w:val="single" w:sz="4" w:space="0" w:color="auto"/>
            </w:tcBorders>
            <w:vAlign w:val="center"/>
          </w:tcPr>
          <w:p>
            <w:pPr>
              <w:spacing w:before="20" w:after="20"/>
              <w:jc w:val="right"/>
              <w:rPr>
                <w:b/>
                <w:noProof/>
                <w:sz w:val="20"/>
              </w:rPr>
            </w:pPr>
            <w:r>
              <w:rPr>
                <w:noProof/>
                <w:sz w:val="20"/>
              </w:rPr>
              <w:t>-1 012,800</w:t>
            </w:r>
          </w:p>
        </w:tc>
        <w:tc>
          <w:tcPr>
            <w:tcW w:w="1427" w:type="dxa"/>
            <w:tcBorders>
              <w:bottom w:val="single" w:sz="4" w:space="0" w:color="auto"/>
              <w:right w:val="single" w:sz="4" w:space="0" w:color="auto"/>
            </w:tcBorders>
            <w:vAlign w:val="center"/>
          </w:tcPr>
          <w:p>
            <w:pPr>
              <w:spacing w:before="20" w:after="20"/>
              <w:jc w:val="right"/>
              <w:rPr>
                <w:b/>
                <w:noProof/>
                <w:sz w:val="20"/>
              </w:rPr>
            </w:pPr>
            <w:r>
              <w:rPr>
                <w:b/>
                <w:noProof/>
                <w:sz w:val="20"/>
              </w:rPr>
              <w:t>0</w:t>
            </w: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rPr>
              <w:t>Rubrique du cadre financier</w:t>
            </w:r>
            <w:r>
              <w:rPr>
                <w:noProof/>
              </w:rPr>
              <w:br/>
            </w:r>
            <w:r>
              <w:rPr>
                <w:b/>
                <w:noProof/>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br/>
            </w:r>
            <w:r>
              <w:rPr>
                <w:b/>
                <w:noProof/>
                <w:sz w:val="20"/>
              </w:rPr>
              <w:t>N</w:t>
            </w:r>
          </w:p>
        </w:tc>
        <w:tc>
          <w:tcPr>
            <w:tcW w:w="868" w:type="dxa"/>
            <w:vAlign w:val="center"/>
          </w:tcPr>
          <w:p>
            <w:pPr>
              <w:jc w:val="center"/>
              <w:rPr>
                <w:noProof/>
                <w:sz w:val="20"/>
              </w:rPr>
            </w:pPr>
            <w:r>
              <w:rPr>
                <w:noProof/>
                <w:sz w:val="20"/>
              </w:rPr>
              <w:t>Année</w:t>
            </w:r>
            <w:r>
              <w:rPr>
                <w:noProof/>
              </w:rPr>
              <w:br/>
            </w:r>
            <w:r>
              <w:rPr>
                <w:b/>
                <w:noProof/>
                <w:sz w:val="20"/>
              </w:rPr>
              <w:t>N+1</w:t>
            </w:r>
          </w:p>
        </w:tc>
        <w:tc>
          <w:tcPr>
            <w:tcW w:w="868" w:type="dxa"/>
            <w:vAlign w:val="center"/>
          </w:tcPr>
          <w:p>
            <w:pPr>
              <w:jc w:val="center"/>
              <w:rPr>
                <w:noProof/>
                <w:sz w:val="20"/>
              </w:rPr>
            </w:pPr>
            <w:r>
              <w:rPr>
                <w:noProof/>
                <w:sz w:val="20"/>
              </w:rPr>
              <w:t>Année</w:t>
            </w:r>
            <w:r>
              <w:rPr>
                <w:noProof/>
              </w:rPr>
              <w:br/>
            </w:r>
            <w:r>
              <w:rPr>
                <w:b/>
                <w:noProof/>
                <w:sz w:val="20"/>
              </w:rPr>
              <w:t>N+2</w:t>
            </w:r>
          </w:p>
        </w:tc>
        <w:tc>
          <w:tcPr>
            <w:tcW w:w="868" w:type="dxa"/>
            <w:vAlign w:val="center"/>
          </w:tcPr>
          <w:p>
            <w:pPr>
              <w:jc w:val="center"/>
              <w:rPr>
                <w:noProof/>
                <w:sz w:val="20"/>
              </w:rPr>
            </w:pPr>
            <w:r>
              <w:rPr>
                <w:noProof/>
                <w:sz w:val="20"/>
              </w:rPr>
              <w:t>Année</w:t>
            </w:r>
            <w:r>
              <w:rPr>
                <w:noProof/>
              </w:rPr>
              <w:br/>
            </w:r>
            <w:r>
              <w:rPr>
                <w:b/>
                <w:noProof/>
                <w:sz w:val="20"/>
              </w:rPr>
              <w:t>N+3</w:t>
            </w: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rPr>
              <w:br/>
            </w:r>
            <w:r>
              <w:rPr>
                <w:b/>
                <w:noProof/>
                <w:sz w:val="22"/>
              </w:rPr>
              <w:t>pour la RUBRIQUE 5</w:t>
            </w:r>
            <w:r>
              <w:rPr>
                <w:noProof/>
              </w:rPr>
              <w:br/>
            </w:r>
            <w:r>
              <w:rPr>
                <w:noProof/>
                <w:sz w:val="22"/>
              </w:rP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rPr>
              <w:br/>
            </w:r>
            <w:r>
              <w:rPr>
                <w:b/>
                <w:noProof/>
                <w:sz w:val="20"/>
              </w:rPr>
              <w:t>N</w:t>
            </w:r>
            <w:r>
              <w:rPr>
                <w:rStyle w:val="FootnoteReference"/>
                <w:b/>
                <w:noProof/>
                <w:sz w:val="20"/>
              </w:rPr>
              <w:footnoteReference w:id="13"/>
            </w:r>
          </w:p>
        </w:tc>
        <w:tc>
          <w:tcPr>
            <w:tcW w:w="868" w:type="dxa"/>
            <w:vAlign w:val="center"/>
          </w:tcPr>
          <w:p>
            <w:pPr>
              <w:jc w:val="center"/>
              <w:rPr>
                <w:noProof/>
                <w:sz w:val="20"/>
              </w:rPr>
            </w:pPr>
            <w:r>
              <w:rPr>
                <w:noProof/>
                <w:sz w:val="20"/>
              </w:rPr>
              <w:t>Année</w:t>
            </w:r>
            <w:r>
              <w:rPr>
                <w:noProof/>
              </w:rPr>
              <w:br/>
            </w:r>
            <w:r>
              <w:rPr>
                <w:b/>
                <w:noProof/>
                <w:sz w:val="20"/>
              </w:rPr>
              <w:t>N+1</w:t>
            </w:r>
          </w:p>
        </w:tc>
        <w:tc>
          <w:tcPr>
            <w:tcW w:w="868" w:type="dxa"/>
            <w:vAlign w:val="center"/>
          </w:tcPr>
          <w:p>
            <w:pPr>
              <w:jc w:val="center"/>
              <w:rPr>
                <w:noProof/>
                <w:sz w:val="20"/>
              </w:rPr>
            </w:pPr>
            <w:r>
              <w:rPr>
                <w:noProof/>
                <w:sz w:val="20"/>
              </w:rPr>
              <w:t>Année</w:t>
            </w:r>
            <w:r>
              <w:rPr>
                <w:noProof/>
              </w:rPr>
              <w:br/>
            </w:r>
            <w:r>
              <w:rPr>
                <w:b/>
                <w:noProof/>
                <w:sz w:val="20"/>
              </w:rPr>
              <w:t>N+2</w:t>
            </w:r>
          </w:p>
        </w:tc>
        <w:tc>
          <w:tcPr>
            <w:tcW w:w="868" w:type="dxa"/>
            <w:vAlign w:val="center"/>
          </w:tcPr>
          <w:p>
            <w:pPr>
              <w:jc w:val="center"/>
              <w:rPr>
                <w:noProof/>
                <w:sz w:val="20"/>
              </w:rPr>
            </w:pPr>
            <w:r>
              <w:rPr>
                <w:noProof/>
                <w:sz w:val="20"/>
              </w:rPr>
              <w:t>Année</w:t>
            </w:r>
            <w:r>
              <w:rPr>
                <w:noProof/>
              </w:rPr>
              <w:br/>
            </w:r>
            <w:r>
              <w:rPr>
                <w:b/>
                <w:noProof/>
                <w:sz w:val="20"/>
              </w:rPr>
              <w:t>N+3</w:t>
            </w:r>
          </w:p>
        </w:tc>
        <w:tc>
          <w:tcPr>
            <w:tcW w:w="260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rPr>
              <w:br/>
            </w:r>
            <w:r>
              <w:rPr>
                <w:b/>
                <w:noProof/>
                <w:sz w:val="22"/>
              </w:rPr>
              <w:t>pour les RUBRIQUES 1 à 5</w:t>
            </w:r>
            <w:r>
              <w:rPr>
                <w:noProof/>
              </w:rPr>
              <w:br/>
            </w:r>
            <w:r>
              <w:rPr>
                <w:noProof/>
                <w:sz w:val="22"/>
              </w:rP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rPr>
          <w:noProof/>
        </w:rPr>
        <w:t>3.2.2.</w:t>
      </w:r>
      <w:r>
        <w:rPr>
          <w:noProof/>
        </w:rPr>
        <w:tab/>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rPr>
              <w:br/>
            </w:r>
            <w:r>
              <w:rPr>
                <w:b/>
                <w:noProof/>
                <w:sz w:val="18"/>
              </w:rPr>
              <w:t>N</w:t>
            </w:r>
          </w:p>
        </w:tc>
        <w:tc>
          <w:tcPr>
            <w:tcW w:w="1260" w:type="dxa"/>
            <w:gridSpan w:val="2"/>
            <w:vAlign w:val="center"/>
          </w:tcPr>
          <w:p>
            <w:pPr>
              <w:ind w:right="-29"/>
              <w:jc w:val="center"/>
              <w:rPr>
                <w:noProof/>
                <w:sz w:val="18"/>
                <w:szCs w:val="18"/>
              </w:rPr>
            </w:pPr>
            <w:r>
              <w:rPr>
                <w:noProof/>
                <w:sz w:val="18"/>
              </w:rPr>
              <w:t>Année</w:t>
            </w:r>
            <w:r>
              <w:rPr>
                <w:noProof/>
              </w:rPr>
              <w:br/>
            </w:r>
            <w:r>
              <w:rPr>
                <w:b/>
                <w:noProof/>
                <w:sz w:val="18"/>
              </w:rPr>
              <w:t>N+1</w:t>
            </w:r>
          </w:p>
        </w:tc>
        <w:tc>
          <w:tcPr>
            <w:tcW w:w="1440" w:type="dxa"/>
            <w:gridSpan w:val="2"/>
            <w:vAlign w:val="center"/>
          </w:tcPr>
          <w:p>
            <w:pPr>
              <w:ind w:right="-29"/>
              <w:jc w:val="center"/>
              <w:rPr>
                <w:noProof/>
                <w:sz w:val="18"/>
                <w:szCs w:val="18"/>
              </w:rPr>
            </w:pPr>
            <w:r>
              <w:rPr>
                <w:noProof/>
                <w:sz w:val="18"/>
              </w:rPr>
              <w:t>Année</w:t>
            </w:r>
            <w:r>
              <w:rPr>
                <w:noProof/>
              </w:rPr>
              <w:br/>
            </w:r>
            <w:r>
              <w:rPr>
                <w:b/>
                <w:noProof/>
                <w:sz w:val="18"/>
              </w:rPr>
              <w:t>N+2</w:t>
            </w:r>
          </w:p>
        </w:tc>
        <w:tc>
          <w:tcPr>
            <w:tcW w:w="1620" w:type="dxa"/>
            <w:gridSpan w:val="3"/>
            <w:vAlign w:val="center"/>
          </w:tcPr>
          <w:p>
            <w:pPr>
              <w:ind w:right="-29"/>
              <w:jc w:val="center"/>
              <w:rPr>
                <w:noProof/>
                <w:sz w:val="18"/>
                <w:szCs w:val="18"/>
              </w:rPr>
            </w:pPr>
            <w:r>
              <w:rPr>
                <w:noProof/>
                <w:sz w:val="18"/>
              </w:rPr>
              <w:t>Année</w:t>
            </w:r>
            <w:r>
              <w:rPr>
                <w:noProof/>
              </w:rPr>
              <w:br/>
            </w:r>
            <w:r>
              <w:rPr>
                <w:b/>
                <w:noProof/>
                <w:sz w:val="18"/>
              </w:rPr>
              <w:t>N+3</w:t>
            </w:r>
          </w:p>
        </w:tc>
        <w:tc>
          <w:tcPr>
            <w:tcW w:w="3600" w:type="dxa"/>
            <w:gridSpan w:val="6"/>
            <w:vAlign w:val="center"/>
          </w:tcPr>
          <w:p>
            <w:pPr>
              <w:jc w:val="center"/>
              <w:rPr>
                <w:noProof/>
                <w:sz w:val="18"/>
                <w:szCs w:val="18"/>
              </w:rPr>
            </w:pPr>
            <w:r>
              <w:rPr>
                <w:noProof/>
                <w:sz w:val="18"/>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4"/>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1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rPr>
          <w:noProof/>
        </w:rPr>
        <w:t>3.2.3.</w:t>
      </w:r>
      <w:r>
        <w:rPr>
          <w:noProof/>
        </w:rPr>
        <w:tab/>
        <w:t>Incidence estimée sur les crédits de nature administrative</w:t>
      </w:r>
    </w:p>
    <w:p>
      <w:pPr>
        <w:pStyle w:val="ManualHeading4"/>
        <w:rPr>
          <w:noProof/>
        </w:rPr>
      </w:pPr>
      <w:r>
        <w:rPr>
          <w:noProof/>
        </w:rPr>
        <w:t>3.2.3.1.</w:t>
      </w:r>
      <w:r>
        <w:rPr>
          <w:noProof/>
        </w:rPr>
        <w:tab/>
        <w:t xml:space="preserve">Synthèse </w:t>
      </w:r>
    </w:p>
    <w:p>
      <w:pPr>
        <w:pStyle w:val="ListDash1"/>
        <w:rPr>
          <w:noProof/>
        </w:rPr>
      </w:pPr>
      <w:r>
        <w:rPr>
          <w:noProof/>
        </w:rPr>
        <w:sym w:font="Wingdings" w:char="F078"/>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w:t>
            </w:r>
            <w:r>
              <w:rPr>
                <w:rStyle w:val="FootnoteReference"/>
                <w:b/>
                <w:noProof/>
                <w:sz w:val="16"/>
              </w:rPr>
              <w:footnoteReference w:id="16"/>
            </w: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7"/>
            </w:r>
            <w:r>
              <w:rPr>
                <w:noProof/>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br/>
            </w:r>
            <w:r>
              <w:rPr>
                <w:b/>
                <w:noProof/>
                <w:sz w:val="16"/>
              </w:rPr>
              <w:t>hors RUBRIQUE 5</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sz w:val="18"/>
        </w:rPr>
        <w:tab/>
      </w:r>
    </w:p>
    <w:p>
      <w:pPr>
        <w:pStyle w:val="ManualHeading4"/>
        <w:rPr>
          <w:bCs/>
          <w:noProof/>
          <w:szCs w:val="24"/>
        </w:rPr>
      </w:pPr>
      <w:r>
        <w:rPr>
          <w:noProof/>
        </w:rPr>
        <w:t>3.2.3.2.</w:t>
      </w:r>
      <w:r>
        <w:rPr>
          <w:noProof/>
        </w:rPr>
        <w:tab/>
        <w:t>Besoins estimés en ressources humaines</w:t>
      </w:r>
    </w:p>
    <w:p>
      <w:pPr>
        <w:pStyle w:val="ListDash1"/>
        <w:rPr>
          <w:noProof/>
        </w:rPr>
      </w:pPr>
      <w:r>
        <w:rPr>
          <w:noProof/>
        </w:rPr>
        <w:sym w:font="Wingdings" w:char="F078"/>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Année</w:t>
            </w:r>
            <w:r>
              <w:rPr>
                <w:noProof/>
              </w:rPr>
              <w:br/>
            </w:r>
            <w:r>
              <w:rPr>
                <w:b/>
                <w:noProof/>
                <w:sz w:val="16"/>
              </w:rPr>
              <w:t>N</w:t>
            </w:r>
          </w:p>
        </w:tc>
        <w:tc>
          <w:tcPr>
            <w:tcW w:w="318" w:type="pct"/>
            <w:shd w:val="clear" w:color="auto" w:fill="auto"/>
            <w:vAlign w:val="center"/>
          </w:tcPr>
          <w:p>
            <w:pPr>
              <w:spacing w:before="20" w:after="20"/>
              <w:jc w:val="center"/>
              <w:rPr>
                <w:noProof/>
                <w:sz w:val="16"/>
                <w:szCs w:val="16"/>
              </w:rPr>
            </w:pPr>
            <w:r>
              <w:rPr>
                <w:noProof/>
                <w:sz w:val="16"/>
              </w:rPr>
              <w:t>Année</w:t>
            </w:r>
            <w:r>
              <w:rPr>
                <w:noProof/>
              </w:rPr>
              <w:br/>
            </w:r>
            <w:r>
              <w:rPr>
                <w:b/>
                <w:noProof/>
                <w:sz w:val="16"/>
              </w:rPr>
              <w:t>N+1</w:t>
            </w:r>
          </w:p>
        </w:tc>
        <w:tc>
          <w:tcPr>
            <w:tcW w:w="1891" w:type="pct"/>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226" w:type="pct"/>
            <w:shd w:val="clear" w:color="auto" w:fill="auto"/>
            <w:vAlign w:val="center"/>
          </w:tcPr>
          <w:p>
            <w:pPr>
              <w:spacing w:before="20" w:after="20"/>
              <w:jc w:val="center"/>
              <w:rPr>
                <w:noProof/>
                <w:sz w:val="16"/>
                <w:szCs w:val="16"/>
              </w:rPr>
            </w:pPr>
            <w:r>
              <w:rPr>
                <w:noProof/>
                <w:sz w:val="16"/>
              </w:rPr>
              <w:t xml:space="preserve">Année </w:t>
            </w:r>
            <w:r>
              <w:rPr>
                <w:b/>
                <w:noProof/>
                <w:sz w:val="16"/>
              </w:rPr>
              <w:t>N+3</w:t>
            </w:r>
          </w:p>
        </w:tc>
        <w:tc>
          <w:tcPr>
            <w:tcW w:w="345" w:type="pct"/>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Emplois du tableau des effectifs (fonctionnaires et agents temporaires)</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After w:val="4"/>
          <w:wAfter w:w="570" w:type="pct"/>
          <w:trHeight w:val="248"/>
          <w:jc w:val="center"/>
        </w:trPr>
        <w:tc>
          <w:tcPr>
            <w:tcW w:w="4430"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 temps plein: ETP)</w:t>
            </w:r>
            <w:r>
              <w:rPr>
                <w:rStyle w:val="FootnoteReference"/>
                <w:b/>
                <w:noProof/>
                <w:sz w:val="16"/>
              </w:rPr>
              <w:footnoteReference w:id="18"/>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19"/>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1891" w:type="pct"/>
            <w:shd w:val="clear" w:color="auto" w:fill="auto"/>
            <w:vAlign w:val="center"/>
          </w:tcPr>
          <w:p>
            <w:pPr>
              <w:spacing w:beforeLines="20" w:before="48" w:afterLines="20" w:after="48"/>
              <w:jc w:val="center"/>
              <w:rPr>
                <w:noProof/>
                <w:sz w:val="16"/>
                <w:szCs w:val="16"/>
              </w:rPr>
            </w:pPr>
          </w:p>
        </w:tc>
        <w:tc>
          <w:tcPr>
            <w:tcW w:w="226"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c>
          <w:tcPr>
            <w:tcW w:w="115" w:type="pct"/>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891"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226"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rPr>
          <w:noProof/>
        </w:rPr>
        <w:t>3.2.4.</w:t>
      </w:r>
      <w:r>
        <w:rPr>
          <w:noProof/>
        </w:rPr>
        <w:tab/>
        <w:t xml:space="preserve">Compatibilité avec le cadre financier pluriannuel actuel </w:t>
      </w:r>
    </w:p>
    <w:p>
      <w:pPr>
        <w:pStyle w:val="ListDash1"/>
        <w:rPr>
          <w:noProof/>
        </w:rPr>
      </w:pPr>
      <w:r>
        <w:rPr>
          <w:noProof/>
        </w:rPr>
        <w:sym w:font="Wingdings" w:char="F078"/>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3.2.5.</w:t>
      </w:r>
      <w:r>
        <w:rPr>
          <w:noProof/>
        </w:rPr>
        <w:tab/>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rPr>
              <w:br/>
            </w:r>
            <w:r>
              <w:rPr>
                <w:b/>
                <w:noProof/>
                <w:sz w:val="20"/>
              </w:rPr>
              <w:t>N</w:t>
            </w:r>
          </w:p>
        </w:tc>
        <w:tc>
          <w:tcPr>
            <w:tcW w:w="964" w:type="dxa"/>
            <w:vAlign w:val="center"/>
          </w:tcPr>
          <w:p>
            <w:pPr>
              <w:jc w:val="center"/>
              <w:rPr>
                <w:noProof/>
                <w:sz w:val="20"/>
              </w:rPr>
            </w:pPr>
            <w:r>
              <w:rPr>
                <w:noProof/>
                <w:sz w:val="20"/>
              </w:rPr>
              <w:t>Année</w:t>
            </w:r>
            <w:r>
              <w:rPr>
                <w:noProof/>
              </w:rPr>
              <w:br/>
            </w:r>
            <w:r>
              <w:rPr>
                <w:b/>
                <w:noProof/>
                <w:sz w:val="20"/>
              </w:rPr>
              <w:t>N+1</w:t>
            </w:r>
          </w:p>
        </w:tc>
        <w:tc>
          <w:tcPr>
            <w:tcW w:w="964" w:type="dxa"/>
            <w:vAlign w:val="center"/>
          </w:tcPr>
          <w:p>
            <w:pPr>
              <w:jc w:val="center"/>
              <w:rPr>
                <w:noProof/>
                <w:sz w:val="20"/>
              </w:rPr>
            </w:pPr>
            <w:r>
              <w:rPr>
                <w:noProof/>
                <w:sz w:val="20"/>
              </w:rPr>
              <w:t>Année</w:t>
            </w:r>
            <w:r>
              <w:rPr>
                <w:noProof/>
              </w:rPr>
              <w:br/>
            </w:r>
            <w:r>
              <w:rPr>
                <w:b/>
                <w:noProof/>
                <w:sz w:val="20"/>
              </w:rPr>
              <w:t>N+2</w:t>
            </w:r>
          </w:p>
        </w:tc>
        <w:tc>
          <w:tcPr>
            <w:tcW w:w="964" w:type="dxa"/>
            <w:vAlign w:val="center"/>
          </w:tcPr>
          <w:p>
            <w:pPr>
              <w:jc w:val="center"/>
              <w:rPr>
                <w:noProof/>
                <w:sz w:val="20"/>
              </w:rPr>
            </w:pPr>
            <w:r>
              <w:rPr>
                <w:noProof/>
                <w:sz w:val="20"/>
              </w:rPr>
              <w:t>Année</w:t>
            </w:r>
            <w:r>
              <w:rPr>
                <w:noProof/>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t>3.3.</w:t>
      </w:r>
      <w:r>
        <w:rPr>
          <w:noProof/>
        </w:rPr>
        <w:tab/>
        <w:t xml:space="preserve">Incidence estimée sur les recettes </w:t>
      </w:r>
    </w:p>
    <w:p>
      <w:pPr>
        <w:pStyle w:val="ListDash1"/>
        <w:rPr>
          <w:noProof/>
        </w:rPr>
      </w:pPr>
      <w:r>
        <w:rPr>
          <w:noProof/>
        </w:rPr>
        <w:sym w:font="Wingdings" w:char="F078"/>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20"/>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rPr>
              <w:br/>
            </w:r>
            <w:r>
              <w:rPr>
                <w:b/>
                <w:noProof/>
                <w:sz w:val="18"/>
              </w:rPr>
              <w:t>N</w:t>
            </w:r>
          </w:p>
        </w:tc>
        <w:tc>
          <w:tcPr>
            <w:tcW w:w="900" w:type="dxa"/>
            <w:vAlign w:val="center"/>
          </w:tcPr>
          <w:p>
            <w:pPr>
              <w:jc w:val="center"/>
              <w:rPr>
                <w:noProof/>
                <w:sz w:val="18"/>
              </w:rPr>
            </w:pPr>
            <w:r>
              <w:rPr>
                <w:noProof/>
                <w:sz w:val="18"/>
              </w:rPr>
              <w:t>Année</w:t>
            </w:r>
            <w:r>
              <w:rPr>
                <w:noProof/>
              </w:rPr>
              <w:br/>
            </w:r>
            <w:r>
              <w:rPr>
                <w:b/>
                <w:noProof/>
                <w:sz w:val="18"/>
              </w:rPr>
              <w:t>N+1</w:t>
            </w:r>
          </w:p>
        </w:tc>
        <w:tc>
          <w:tcPr>
            <w:tcW w:w="900" w:type="dxa"/>
            <w:vAlign w:val="center"/>
          </w:tcPr>
          <w:p>
            <w:pPr>
              <w:jc w:val="center"/>
              <w:rPr>
                <w:noProof/>
                <w:sz w:val="18"/>
              </w:rPr>
            </w:pPr>
            <w:r>
              <w:rPr>
                <w:noProof/>
                <w:sz w:val="18"/>
              </w:rPr>
              <w:t>Année</w:t>
            </w:r>
            <w:r>
              <w:rPr>
                <w:noProof/>
              </w:rPr>
              <w:br/>
            </w:r>
            <w:r>
              <w:rPr>
                <w:b/>
                <w:noProof/>
                <w:sz w:val="18"/>
              </w:rPr>
              <w:t>N+2</w:t>
            </w:r>
          </w:p>
        </w:tc>
        <w:tc>
          <w:tcPr>
            <w:tcW w:w="1080" w:type="dxa"/>
            <w:vAlign w:val="center"/>
          </w:tcPr>
          <w:p>
            <w:pPr>
              <w:jc w:val="center"/>
              <w:rPr>
                <w:noProof/>
                <w:sz w:val="18"/>
              </w:rPr>
            </w:pPr>
            <w:r>
              <w:rPr>
                <w:noProof/>
                <w:sz w:val="18"/>
              </w:rPr>
              <w:t>Année</w:t>
            </w:r>
            <w:r>
              <w:rPr>
                <w:noProof/>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GB"/>
        </w:rPr>
      </w:pPr>
      <w:r>
        <w:rPr>
          <w:rStyle w:val="FootnoteReference"/>
        </w:rPr>
        <w:footnoteRef/>
      </w:r>
      <w:r>
        <w:rPr>
          <w:lang w:val="en-GB"/>
        </w:rPr>
        <w:tab/>
        <w:t>JO C du, p.</w:t>
      </w:r>
    </w:p>
  </w:footnote>
  <w:footnote w:id="2">
    <w:p>
      <w:pPr>
        <w:pStyle w:val="FootnoteText"/>
        <w:rPr>
          <w:lang w:val="en-GB"/>
        </w:rPr>
      </w:pPr>
      <w:r>
        <w:rPr>
          <w:rStyle w:val="FootnoteReference"/>
        </w:rPr>
        <w:footnoteRef/>
      </w:r>
      <w:r>
        <w:rPr>
          <w:lang w:val="en-GB"/>
        </w:rPr>
        <w:tab/>
        <w:t>JO C du, p.</w:t>
      </w:r>
    </w:p>
  </w:footnote>
  <w:footnote w:id="3">
    <w:p>
      <w:pPr>
        <w:pStyle w:val="FootnoteText"/>
        <w:rPr>
          <w:szCs w:val="24"/>
          <w:lang w:val="en-GB"/>
        </w:rPr>
      </w:pPr>
      <w:r>
        <w:rPr>
          <w:rStyle w:val="FootnoteReference"/>
        </w:rPr>
        <w:footnoteRef/>
      </w:r>
      <w:r>
        <w:rPr>
          <w:lang w:val="en-GB"/>
        </w:rPr>
        <w:tab/>
        <w:t xml:space="preserve">ABM: </w:t>
      </w:r>
      <w:r>
        <w:rPr>
          <w:i/>
          <w:lang w:val="en-GB"/>
        </w:rPr>
        <w:t>activity-based management</w:t>
      </w:r>
      <w:r>
        <w:rPr>
          <w:lang w:val="en-GB"/>
        </w:rPr>
        <w:t xml:space="preserve">; ABB: </w:t>
      </w:r>
      <w:r>
        <w:rPr>
          <w:i/>
          <w:lang w:val="en-GB"/>
        </w:rPr>
        <w:t>activity-based budgeting</w:t>
      </w:r>
      <w:r>
        <w:rPr>
          <w:lang w:val="en-GB"/>
        </w:rPr>
        <w:t>.</w:t>
      </w:r>
    </w:p>
  </w:footnote>
  <w:footnote w:id="4">
    <w:p>
      <w:pPr>
        <w:pStyle w:val="FootnoteText"/>
        <w:rPr>
          <w:szCs w:val="24"/>
          <w:lang w:val="fr-BE"/>
        </w:rPr>
      </w:pPr>
      <w:r>
        <w:rPr>
          <w:rStyle w:val="FootnoteReference"/>
        </w:rPr>
        <w:footnoteRef/>
      </w:r>
      <w:r>
        <w:rPr>
          <w:lang w:val="fr-BE"/>
        </w:rPr>
        <w:tab/>
        <w:t>Tel(le) que visé(e) à l'article 54, paragraphe 2, point a) ou b), du règlement financier.</w:t>
      </w:r>
    </w:p>
  </w:footnote>
  <w:footnote w:id="5">
    <w:p>
      <w:pPr>
        <w:pStyle w:val="FootnoteText"/>
        <w:rPr>
          <w:szCs w:val="24"/>
          <w:lang w:val="fr-BE"/>
        </w:rPr>
      </w:pPr>
      <w:r>
        <w:rPr>
          <w:rStyle w:val="FootnoteReference"/>
        </w:rPr>
        <w:footnoteRef/>
      </w:r>
      <w:r>
        <w:rPr>
          <w:lang w:val="fr-BE"/>
        </w:rPr>
        <w:tab/>
        <w:t>Les explications sur les modes de gestion ainsi que les références au règlement financier sont disponibles sur le site BudgWeb</w:t>
      </w:r>
      <w:r>
        <w:rPr>
          <w:lang w:val="fr-BE"/>
        </w:rPr>
        <w:tab/>
        <w:t xml:space="preserve">: </w:t>
      </w:r>
      <w:hyperlink r:id="rId1">
        <w:r>
          <w:rPr>
            <w:rStyle w:val="Hyperlink"/>
            <w:sz w:val="18"/>
            <w:lang w:val="fr-BE"/>
          </w:rPr>
          <w:t>https://myintracomm.ec.europa.eu/budgweb/FR/man/budgmanag/Pages/budgmanag.aspx</w:t>
        </w:r>
      </w:hyperlink>
    </w:p>
  </w:footnote>
  <w:footnote w:id="6">
    <w:p>
      <w:pPr>
        <w:pStyle w:val="FootnoteText"/>
        <w:rPr>
          <w:szCs w:val="24"/>
          <w:lang w:val="fr-BE"/>
        </w:rPr>
      </w:pPr>
      <w:r>
        <w:rPr>
          <w:rStyle w:val="FootnoteReference"/>
        </w:rPr>
        <w:footnoteRef/>
      </w:r>
      <w:r>
        <w:rPr>
          <w:lang w:val="fr-BE"/>
        </w:rPr>
        <w:tab/>
        <w:t>CD = crédits dissociés / CND = crédits non dissociés.</w:t>
      </w:r>
    </w:p>
  </w:footnote>
  <w:footnote w:id="7">
    <w:p>
      <w:pPr>
        <w:pStyle w:val="FootnoteText"/>
        <w:rPr>
          <w:szCs w:val="24"/>
          <w:lang w:val="fr-BE"/>
        </w:rPr>
      </w:pPr>
      <w:r>
        <w:rPr>
          <w:rStyle w:val="FootnoteReference"/>
        </w:rPr>
        <w:footnoteRef/>
      </w:r>
      <w:r>
        <w:rPr>
          <w:lang w:val="fr-BE"/>
        </w:rPr>
        <w:tab/>
        <w:t xml:space="preserve">AELE: Association européenne de libre-échange. </w:t>
      </w:r>
    </w:p>
  </w:footnote>
  <w:footnote w:id="8">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9">
    <w:p>
      <w:pPr>
        <w:pStyle w:val="FootnoteText"/>
        <w:rPr>
          <w:lang w:val="fr-BE"/>
        </w:rPr>
      </w:pPr>
      <w:r>
        <w:rPr>
          <w:rStyle w:val="FootnoteReference"/>
        </w:rPr>
        <w:footnoteRef/>
      </w:r>
      <w:r>
        <w:rPr>
          <w:lang w:val="fr-BE"/>
        </w:rPr>
        <w:tab/>
        <w:t>Conformément à l’article 136 du règlement (UE) nº 1303/2013, le préfinancement est validé (apuré) avec les dépenses de l’IEJ déclarées au 31.12.2018.</w:t>
      </w:r>
    </w:p>
  </w:footnote>
  <w:footnote w:id="10">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1">
    <w:p>
      <w:pPr>
        <w:pStyle w:val="FootnoteText"/>
        <w:rPr>
          <w:lang w:val="fr-BE"/>
        </w:rPr>
      </w:pPr>
      <w:r>
        <w:rPr>
          <w:rStyle w:val="FootnoteReference"/>
        </w:rPr>
        <w:footnoteRef/>
      </w:r>
      <w:r>
        <w:rPr>
          <w:lang w:val="fr-BE"/>
        </w:rPr>
        <w:tab/>
        <w:t>Conformément à l’article 136 du règlement (UE) nº 1303/2013, le préfinancement est validé (apuré) avec les dépenses de l’IEJ déclarées au 31.12.2018.</w:t>
      </w:r>
    </w:p>
  </w:footnote>
  <w:footnote w:id="12">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3">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4">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5">
    <w:p>
      <w:pPr>
        <w:pStyle w:val="FootnoteText"/>
        <w:rPr>
          <w:szCs w:val="24"/>
          <w:lang w:val="fr-BE"/>
        </w:rPr>
      </w:pPr>
      <w:r>
        <w:rPr>
          <w:rStyle w:val="FootnoteReference"/>
        </w:rPr>
        <w:footnoteRef/>
      </w:r>
      <w:r>
        <w:rPr>
          <w:lang w:val="fr-BE"/>
        </w:rPr>
        <w:tab/>
        <w:t xml:space="preserve">Tel que décrit dans la partie 1.4.2. «Objectif(s) spécifique(s)…». </w:t>
      </w:r>
    </w:p>
  </w:footnote>
  <w:footnote w:id="16">
    <w:p>
      <w:pPr>
        <w:pStyle w:val="FootnoteText"/>
        <w:rPr>
          <w:szCs w:val="24"/>
          <w:lang w:val="fr-BE"/>
        </w:rPr>
      </w:pPr>
      <w:r>
        <w:rPr>
          <w:rStyle w:val="FootnoteReference"/>
        </w:rPr>
        <w:footnoteRef/>
      </w:r>
      <w:r>
        <w:rPr>
          <w:lang w:val="fr-BE"/>
        </w:rPr>
        <w:tab/>
        <w:t>L'année N est l'année du début de la mise en œuvre de la proposition/de l'initiative.</w:t>
      </w:r>
    </w:p>
  </w:footnote>
  <w:footnote w:id="17">
    <w:p>
      <w:pPr>
        <w:pStyle w:val="FootnoteText"/>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8">
    <w:p>
      <w:pPr>
        <w:pStyle w:val="FootnoteText"/>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19">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20">
    <w:p>
      <w:pPr>
        <w:pStyle w:val="FootnoteText"/>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EBA03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FEABC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B02C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44586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620EC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3"/>
  </w:num>
  <w:num w:numId="5">
    <w:abstractNumId w:val="20"/>
  </w:num>
  <w:num w:numId="6">
    <w:abstractNumId w:val="24"/>
  </w:num>
  <w:num w:numId="7">
    <w:abstractNumId w:val="4"/>
  </w:num>
  <w:num w:numId="8">
    <w:abstractNumId w:val="3"/>
  </w:num>
  <w:num w:numId="9">
    <w:abstractNumId w:val="2"/>
  </w:num>
  <w:num w:numId="10">
    <w:abstractNumId w:val="1"/>
  </w:num>
  <w:num w:numId="11">
    <w:abstractNumId w:val="0"/>
  </w:num>
  <w:num w:numId="12">
    <w:abstractNumId w:val="10"/>
  </w:num>
  <w:num w:numId="13">
    <w:abstractNumId w:val="25"/>
    <w:lvlOverride w:ilvl="0">
      <w:startOverride w:val="1"/>
    </w:lvlOverride>
  </w:num>
  <w:num w:numId="14">
    <w:abstractNumId w:val="19"/>
  </w:num>
  <w:num w:numId="15">
    <w:abstractNumId w:val="11"/>
  </w:num>
  <w:num w:numId="16">
    <w:abstractNumId w:val="22"/>
  </w:num>
  <w:num w:numId="17">
    <w:abstractNumId w:val="9"/>
  </w:num>
  <w:num w:numId="18">
    <w:abstractNumId w:val="12"/>
  </w:num>
  <w:num w:numId="19">
    <w:abstractNumId w:val="7"/>
  </w:num>
  <w:num w:numId="20">
    <w:abstractNumId w:val="21"/>
  </w:num>
  <w:num w:numId="21">
    <w:abstractNumId w:val="6"/>
  </w:num>
  <w:num w:numId="22">
    <w:abstractNumId w:val="13"/>
  </w:num>
  <w:num w:numId="23">
    <w:abstractNumId w:val="17"/>
  </w:num>
  <w:num w:numId="24">
    <w:abstractNumId w:val="18"/>
  </w:num>
  <w:num w:numId="25">
    <w:abstractNumId w:val="8"/>
  </w:num>
  <w:num w:numId="26">
    <w:abstractNumId w:val="16"/>
  </w:num>
  <w:num w:numId="27">
    <w:abstractNumId w:val="25"/>
  </w:num>
  <w:num w:numId="28">
    <w:abstractNumId w:val="19"/>
  </w:num>
  <w:num w:numId="29">
    <w:abstractNumId w:val="11"/>
  </w:num>
  <w:num w:numId="30">
    <w:abstractNumId w:val="22"/>
  </w:num>
  <w:num w:numId="31">
    <w:abstractNumId w:val="9"/>
  </w:num>
  <w:num w:numId="32">
    <w:abstractNumId w:val="12"/>
  </w:num>
  <w:num w:numId="33">
    <w:abstractNumId w:val="7"/>
  </w:num>
  <w:num w:numId="34">
    <w:abstractNumId w:val="21"/>
  </w:num>
  <w:num w:numId="35">
    <w:abstractNumId w:val="6"/>
  </w:num>
  <w:num w:numId="36">
    <w:abstractNumId w:val="13"/>
  </w:num>
  <w:num w:numId="37">
    <w:abstractNumId w:val="17"/>
  </w:num>
  <w:num w:numId="38">
    <w:abstractNumId w:val="18"/>
  </w:num>
  <w:num w:numId="39">
    <w:abstractNumId w:val="8"/>
  </w:num>
  <w:num w:numId="40">
    <w:abstractNumId w:val="16"/>
  </w:num>
  <w:num w:numId="41">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20 17:14: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C379CB42D5684E32A5B3E912D546E461"/>
    <w:docVar w:name="LW_CROSSREFERENCE" w:val="&lt;UNUSED&gt;"/>
    <w:docVar w:name="LW_DocType" w:val="COM"/>
    <w:docVar w:name="LW_EMISSION" w:val="17.7.2015"/>
    <w:docVar w:name="LW_EMISSION_ISODATE" w:val="2015-07-1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160"/>
    <w:docVar w:name="LW_REF.II.NEW.CP_YEAR" w:val="2015"/>
    <w:docVar w:name="LW_REF.INST.NEW" w:val="COM"/>
    <w:docVar w:name="LW_REF.INST.NEW_ADOPTED" w:val="final"/>
    <w:docVar w:name="LW_REF.INST.NEW_TEXT" w:val="(2015) 365"/>
    <w:docVar w:name="LW_REF.INTERNE" w:val="&lt;UNUSED&gt;"/>
    <w:docVar w:name="LW_SOUS.TITRE.OBJ.CP" w:val="&lt;UNUSED&gt;"/>
    <w:docVar w:name="LW_STATUT.CP" w:val="Proposition de"/>
    <w:docVar w:name="LW_SUPERTITRE" w:val="&lt;UNUSED&gt;"/>
    <w:docVar w:name="LW_TITRE.OBJ.CP" w:val="modifiant le règlement (UE) n° 1303/2013 du Parlement européen et du Conseil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n ce qui concerne des mesures spécifiques pour la Grèc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uiPriority w:val="99"/>
    <w:unhideWhenUsed/>
    <w:rPr>
      <w:color w:val="800080"/>
      <w:u w:val="single"/>
    </w:rPr>
  </w:style>
  <w:style w:type="paragraph" w:styleId="BalloonText">
    <w:name w:val="Balloon Text"/>
    <w:basedOn w:val="Normal"/>
    <w:link w:val="BalloonTextChar"/>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9"/>
      </w:numPr>
      <w:contextualSpacing/>
    </w:pPr>
    <w:rPr>
      <w:rFonts w:eastAsia="Times New Roman"/>
    </w:rPr>
  </w:style>
  <w:style w:type="paragraph" w:styleId="ListNumber3">
    <w:name w:val="List Number 3"/>
    <w:basedOn w:val="Normal"/>
    <w:pPr>
      <w:numPr>
        <w:numId w:val="10"/>
      </w:numPr>
      <w:contextualSpacing/>
    </w:pPr>
    <w:rPr>
      <w:rFonts w:eastAsia="Times New Roman"/>
    </w:rPr>
  </w:style>
  <w:style w:type="paragraph" w:styleId="ListNumber4">
    <w:name w:val="List Number 4"/>
    <w:basedOn w:val="Normal"/>
    <w:pPr>
      <w:numPr>
        <w:numId w:val="11"/>
      </w:numPr>
      <w:contextualSpacing/>
    </w:pPr>
    <w:rPr>
      <w:rFonts w:eastAsia="Times New Roman"/>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uiPriority w:val="99"/>
    <w:unhideWhenUsed/>
    <w:rPr>
      <w:color w:val="800080"/>
      <w:u w:val="single"/>
    </w:rPr>
  </w:style>
  <w:style w:type="paragraph" w:styleId="BalloonText">
    <w:name w:val="Balloon Text"/>
    <w:basedOn w:val="Normal"/>
    <w:link w:val="BalloonTextChar"/>
    <w:unhideWhenUsed/>
    <w:pPr>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Caption">
    <w:name w:val="caption"/>
    <w:basedOn w:val="Normal"/>
    <w:next w:val="Normal"/>
    <w:qFormat/>
    <w:rPr>
      <w:rFonts w:eastAsia="Times New Roman"/>
      <w:b/>
      <w:bCs/>
      <w:sz w:val="20"/>
      <w:szCs w:val="20"/>
    </w:rPr>
  </w:style>
  <w:style w:type="paragraph" w:styleId="TableofFigures">
    <w:name w:val="table of figures"/>
    <w:basedOn w:val="Normal"/>
    <w:next w:val="Normal"/>
    <w:rPr>
      <w:rFonts w:eastAsia="Times New Roman"/>
    </w:rPr>
  </w:style>
  <w:style w:type="paragraph" w:styleId="ListNumber2">
    <w:name w:val="List Number 2"/>
    <w:basedOn w:val="Normal"/>
    <w:pPr>
      <w:numPr>
        <w:numId w:val="9"/>
      </w:numPr>
      <w:contextualSpacing/>
    </w:pPr>
    <w:rPr>
      <w:rFonts w:eastAsia="Times New Roman"/>
    </w:rPr>
  </w:style>
  <w:style w:type="paragraph" w:styleId="ListNumber3">
    <w:name w:val="List Number 3"/>
    <w:basedOn w:val="Normal"/>
    <w:pPr>
      <w:numPr>
        <w:numId w:val="10"/>
      </w:numPr>
      <w:contextualSpacing/>
    </w:pPr>
    <w:rPr>
      <w:rFonts w:eastAsia="Times New Roman"/>
    </w:rPr>
  </w:style>
  <w:style w:type="paragraph" w:styleId="ListNumber4">
    <w:name w:val="List Number 4"/>
    <w:basedOn w:val="Normal"/>
    <w:pPr>
      <w:numPr>
        <w:numId w:val="11"/>
      </w:numPr>
      <w:contextualSpacing/>
    </w:pPr>
    <w:rPr>
      <w:rFonts w:eastAsia="Times New Roman"/>
    </w:rPr>
  </w:style>
  <w:style w:type="character" w:customStyle="1" w:styleId="apple-converted-space">
    <w:name w:val="apple-converted-space"/>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Times New Roman" w:hAnsi="EUAlbertina"/>
    </w:rPr>
  </w:style>
  <w:style w:type="paragraph" w:customStyle="1" w:styleId="doc-ti">
    <w:name w:val="doc-ti"/>
    <w:basedOn w:val="Normal"/>
    <w:pPr>
      <w:spacing w:before="240"/>
      <w:jc w:val="center"/>
    </w:pPr>
    <w:rPr>
      <w:rFonts w:eastAsia="Times New Roman"/>
      <w:b/>
      <w:bCs/>
    </w:rPr>
  </w:style>
  <w:style w:type="paragraph" w:customStyle="1" w:styleId="ListDash">
    <w:name w:val="List Dash"/>
    <w:basedOn w:val="Normal"/>
    <w:pPr>
      <w:numPr>
        <w:numId w:val="12"/>
      </w:numPr>
    </w:pPr>
    <w:rPr>
      <w:rFonts w:eastAsia="Times New Roman"/>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F5B2-A741-4BDF-877C-E48E9333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27</Pages>
  <Words>4810</Words>
  <Characters>27226</Characters>
  <Application>Microsoft Office Word</Application>
  <DocSecurity>0</DocSecurity>
  <Lines>1701</Lines>
  <Paragraphs>728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2015-07-16T15:32:00Z</cp:lastPrinted>
  <dcterms:created xsi:type="dcterms:W3CDTF">2015-07-20T13:41:00Z</dcterms:created>
  <dcterms:modified xsi:type="dcterms:W3CDTF">2015-07-20T15:14:00Z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02)</vt:lpwstr>
  </property>
</Properties>
</file>