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7155CA4A41C41A3B3E0ACC5E790FD2C" style="width:450.75pt;height:434.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 xml:space="preserve">Финансовата криза доведе до постоянни отрицателни темпове на растеж в Гърция и до сериозни проблеми с ликвидността и липса на публични средства за много необходимите инвестиции за насърчаване на растежа и създаването на работни места. Следователно, като извънредна мярка и предвид уникалната ситуация, създала се в Гърция, Комисията в своето съобщение „Ново начало за работни места и растеж в Гърция“ предлага три елемента, за да се гарантира, че наличното финансиране от страна на ЕС от Европейския фонд за регионално развитие (ЕФРР), Европейския социален фонд (ЕСФ), Кохезионния фонд (КФ) и Европейския фонд за морско дело и рибарство (ЕФМДР) се използва ефективно за инвестиции на място и достига до бенефициерите колкото е възможно по-бързо. В този контекст Комисията предлага да се увеличи размерът на първоначалното предварително финансиране от наличните средства за периода 2014—2020 г. за програмите на политиката на сближаване по цел „Инвестиции за растеж и работни места“ и програмите, подпомагани от ЕФМДР, за да се даде незабавен тласък на инвестициите. В допълнение, с цел да се подобри ефективното използване на наличните инструменти за финансиране в рамките на политиката на сближаване за финансирането на операции в рамките на програми, приети за периода 2007—2013 г., тя предлага да се увеличат максималните ставки на съфинансиране и да се увеличи таванът за плащания за програми в края на програмния период.  </w:t>
      </w:r>
    </w:p>
    <w:p>
      <w:pPr>
        <w:pStyle w:val="ManualHeading1"/>
        <w:rPr>
          <w:noProof/>
        </w:rPr>
      </w:pPr>
      <w:r>
        <w:rPr>
          <w:noProof/>
        </w:rPr>
        <w:t>2.</w:t>
      </w:r>
      <w:r>
        <w:rPr>
          <w:noProof/>
        </w:rPr>
        <w:tab/>
        <w:t>ПРАВНО ОСНОВАНИЕ, СУБСИДИАРНОСТ И ПРОПОРЦИОНАЛНОСТ</w:t>
      </w:r>
    </w:p>
    <w:p>
      <w:pPr>
        <w:rPr>
          <w:rFonts w:eastAsia="Arial Unicode MS"/>
          <w:noProof/>
        </w:rPr>
      </w:pPr>
      <w:r>
        <w:rPr>
          <w:noProof/>
        </w:rPr>
        <w:t xml:space="preserve">Предлага се да се въведе допълнителен параграф в член 134 от Регламент (ЕС) № 1303/2013, за да се предвиди допълнително първоначално предварително финансиране за оперативните програми по политиката на сближаване за 2014—2020 г. по цел „Инвестиции за растеж и работни места“ и за програмите, финансирани от ЕФМДР в Гърция. Също така се предлага да се добавят три допълнителни параграфа в член 152 от Регламент (ЕС) № 1303/2013, за да се позволи таванът на кумулативната сума на предварителното финансиране и междинните плащания да бъде 100 % и да се увеличи до 100 % процентът на съфинансиране за оперативните програми за периода 2007—2013 г. за целите „Сближаване“ и „Регионална конкурентоспособност и трудова заетост“ в Гърция.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Bdr>
          <w:top w:val="nil"/>
          <w:left w:val="nil"/>
          <w:bottom w:val="nil"/>
          <w:right w:val="nil"/>
          <w:between w:val="nil"/>
          <w:bar w:val="nil"/>
        </w:pBdr>
        <w:spacing w:before="0" w:after="240"/>
        <w:rPr>
          <w:rFonts w:eastAsia="Arial Unicode MS"/>
          <w:noProof/>
        </w:rPr>
      </w:pPr>
      <w:r>
        <w:rPr>
          <w:noProof/>
        </w:rPr>
        <w:t>Не бяха проведени консултации с външни заинтересовани страни.</w:t>
      </w:r>
    </w:p>
    <w:p>
      <w:pPr>
        <w:pStyle w:val="ManualHeading1"/>
        <w:rPr>
          <w:noProof/>
        </w:rPr>
      </w:pPr>
      <w:r>
        <w:rPr>
          <w:noProof/>
        </w:rPr>
        <w:t>4.</w:t>
      </w:r>
      <w:r>
        <w:rPr>
          <w:noProof/>
        </w:rPr>
        <w:tab/>
        <w:t>ОТРАЖЕНИЕ ВЪРХУ БЮДЖЕТА</w:t>
      </w:r>
    </w:p>
    <w:p>
      <w:pPr>
        <w:rPr>
          <w:noProof/>
        </w:rPr>
      </w:pPr>
      <w:r>
        <w:rPr>
          <w:noProof/>
        </w:rPr>
        <w:t>Предложеното изменение не предполага промени в годишните тавани за поети задължения и плащания по многогодишната финансова рамка съгласно приложение I към Регламент (ЕС) № 1311/2013. Предложението се състои от съсредоточаване на бюджетните кредити за плащания в началото на периода и няма отражение върху бюджета през периода 2014—2020 г.</w:t>
      </w:r>
    </w:p>
    <w:p>
      <w:pPr>
        <w:rPr>
          <w:noProof/>
        </w:rPr>
      </w:pPr>
      <w:r>
        <w:rPr>
          <w:noProof/>
        </w:rPr>
        <w:t>Годишното разпределение на бюджетните кредити за поети задължения за Европейския фонд за регионално развитие, Европейския социален фонд и Кохезионния фонд остава непроменено.</w:t>
      </w:r>
    </w:p>
    <w:p>
      <w:pPr>
        <w:rPr>
          <w:noProof/>
        </w:rPr>
      </w:pPr>
      <w:r>
        <w:rPr>
          <w:noProof/>
        </w:rPr>
        <w:t>Допълнителните бюджетни кредити за плащания, необходими за покриване на непосредствената последица от увеличението на ставките на съфинансиране за периода 2007—2013 г. и премахването на тавана за плащания, са 500 милиона евро през 2015 г. и 500 милиона евро за допълнителното първоначално предварително финансиране през 2015 г.</w:t>
      </w:r>
    </w:p>
    <w:p>
      <w:pPr>
        <w:rPr>
          <w:noProof/>
        </w:rPr>
      </w:pPr>
      <w:r>
        <w:rPr>
          <w:noProof/>
        </w:rPr>
        <w:t>Тези допълнителни бюджетни кредити за плащания потенциално могат да бъдат покрити от бюджетните кредити за плащания, предвидени за междинни плащания за програмите за периода 2014—2020 г., в зависимост от хода на подаването на заявления за междинни плащания през 2015 г. Подаването на заявления за плащане може да бъде засегнато от забавеното определяне на програмни органи от държавите членки, което е условие за подаване на заявленията за междинно плащане. Комисията ще наблюдава положението и ще направи съответните предложения, ако е необходимо.</w:t>
      </w:r>
    </w:p>
    <w:p>
      <w:pPr>
        <w:rPr>
          <w:noProof/>
        </w:rPr>
      </w:pPr>
      <w:r>
        <w:rPr>
          <w:noProof/>
        </w:rPr>
        <w:t>Допълнителното предварително финансиране в размер на 500 милиона евро за 2016 г. обаче не е било предвидено в проектобюджета за 2016 г. Не е било предвидено и въздействието, през 2016 г., на увеличаването на максималните ставки на съфинансиране и на тавана за плащания за програмите за периода 2007—2013 г. Поради това Комисията вероятно ще предложи покриване на допълнителните нужди от плащания чрез писмо за внасяне на корекции в проектобюджета за 2016 г., като вземе предвид ревизираните прогнози на държавите членки, текущото приемане на програми и актуалното състояние на определянето на програмните органи.</w:t>
      </w:r>
    </w:p>
    <w:p>
      <w:pPr>
        <w:rPr>
          <w:rFonts w:eastAsia="Arial Unicode MS"/>
          <w:noProof/>
        </w:rPr>
      </w:pPr>
      <w:r>
        <w:rPr>
          <w:noProof/>
        </w:rPr>
        <w:t>Очакваното отражение върху бюджета за 2017 г. ще бъде включено в следващата бюджетна процедура.</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съдържа разпоредби за докладване относно прилагането на тези извънредни мерки.</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2015/0160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по отношение на специфичните мерки за Гърция</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177 от него, </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Гърция е засегната по уникален начин от последиците от финансовата криза. Кризата доведе до постоянни отрицателни темпове на растеж в Гърция в продължение на няколко години, което от своя страна доведе до сериозен недостиг на  ликвидност и липса на публични средства за необходимите за стимулиране на устойчивото възстановяване публични инвестиции. Това доведе до изключителна ситуация, която трябва да бъде преодоляна със специфични мерки.</w:t>
      </w:r>
    </w:p>
    <w:p>
      <w:pPr>
        <w:pStyle w:val="ManualConsidrant"/>
        <w:rPr>
          <w:noProof/>
        </w:rPr>
      </w:pPr>
      <w:r>
        <w:t>(2)</w:t>
      </w:r>
      <w:r>
        <w:tab/>
      </w:r>
      <w:r>
        <w:rPr>
          <w:noProof/>
        </w:rPr>
        <w:t xml:space="preserve">От съществено значение е, че липсата на ликвидност и на публични средства в Гърция не възпрепятстват инвестициите по програмите, подкрепяни от Европейския фонд за регионално развитие, Европейския социален фонд и Кохезионния фонд („фондовете“) и от Европейския фонд за морско дело и рибарство (ЕФМДР). </w:t>
      </w:r>
    </w:p>
    <w:p>
      <w:pPr>
        <w:pStyle w:val="ManualConsidrant"/>
        <w:rPr>
          <w:noProof/>
        </w:rPr>
      </w:pPr>
      <w:r>
        <w:t>(3)</w:t>
      </w:r>
      <w:r>
        <w:tab/>
      </w:r>
      <w:r>
        <w:rPr>
          <w:noProof/>
        </w:rPr>
        <w:t>За да се гарантира, че Гърция разполага с достатъчно финансови средства, за да започне изпълнението на програмите за периода 2014—2020 г., подпомагани от фондовете и от ЕФМДР през 2015 г. и 2016 г., е целесъобразно да се увеличи размерът на първоначалното предварително финансиране, изплащано по нейните оперативни програми по цел „Инвестиции за растеж и работни места“ и по програмите, подпомагани от ЕФМДР, чрез плащането на допълнителна първоначална сума за предварително финансиране през тези години.</w:t>
      </w:r>
    </w:p>
    <w:p>
      <w:pPr>
        <w:pStyle w:val="ManualConsidrant"/>
        <w:rPr>
          <w:noProof/>
        </w:rPr>
      </w:pPr>
      <w:r>
        <w:t>(4)</w:t>
      </w:r>
      <w:r>
        <w:tab/>
      </w:r>
      <w:r>
        <w:rPr>
          <w:noProof/>
        </w:rPr>
        <w:t xml:space="preserve">За да се гарантира, че допълнителната първоначална сума за предварително финансиране се използва ефективно и достига до бенефициерите на средства от фондовете и от ЕФМДР във възможно най-кратък срок, така че те да могат да извършат планираните инвестиции и средствата да им бъдат своевременно възстановени след подаване от тяхна страна на заявленията за плащане, допълнителната сума за предварително финансиране се възстановява на Комисията, ако не бъде последвана от достатъчно заявления за плащане, подадени до Комисията в рамките на определен срок. </w:t>
      </w:r>
    </w:p>
    <w:p>
      <w:pPr>
        <w:pStyle w:val="ManualConsidrant"/>
        <w:rPr>
          <w:noProof/>
        </w:rPr>
      </w:pPr>
      <w:r>
        <w:t>(5)</w:t>
      </w:r>
      <w:r>
        <w:tab/>
      </w:r>
      <w:r>
        <w:rPr>
          <w:noProof/>
        </w:rPr>
        <w:t xml:space="preserve">С цел да се подобри ефективното използване на наличните средства за финансиране на операции в рамките на оперативните програми за целите „Сближаване“ и „Регионална конкурентоспособност и трудова заетост“, подкрепяни от фондовете, приети за периода 2007—2013 г. в Гърция, следва да се увеличат максималните ставки на съфинансиране и таванът за плащания за програми в края на програмния период. За да се гарантира, че предоставените по този начин средства се използват ефективно за финансиране на инвестиции на място, следва да бъде предвиден механизъм за докладване. </w:t>
      </w:r>
    </w:p>
    <w:p>
      <w:pPr>
        <w:pStyle w:val="ManualConsidrant"/>
        <w:rPr>
          <w:noProof/>
        </w:rPr>
      </w:pPr>
      <w:r>
        <w:t>(6)</w:t>
      </w:r>
      <w:r>
        <w:tab/>
      </w:r>
      <w:r>
        <w:rPr>
          <w:noProof/>
        </w:rPr>
        <w:t>Предвид неотложния характер на необходимата подкрепа, настоящият регламент следва да влезе в сила незабавно.</w:t>
      </w:r>
    </w:p>
    <w:p>
      <w:pPr>
        <w:pStyle w:val="ManualConsidrant"/>
        <w:rPr>
          <w:noProof/>
        </w:rPr>
      </w:pPr>
      <w:r>
        <w:t>(7)</w:t>
      </w:r>
      <w:r>
        <w:tab/>
      </w:r>
      <w:r>
        <w:rPr>
          <w:noProof/>
        </w:rPr>
        <w:t>Поради това Регламент (ЕС) № 1303/2013 следва да бъде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noProof/>
        </w:rPr>
      </w:pPr>
      <w:r>
        <w:rPr>
          <w:noProof/>
        </w:rPr>
        <w:t>Регламент (ЕС) № 1303/2013 се изменя, както следва:</w:t>
      </w:r>
    </w:p>
    <w:p>
      <w:pPr>
        <w:rPr>
          <w:noProof/>
        </w:rPr>
      </w:pPr>
      <w:r>
        <w:rPr>
          <w:noProof/>
        </w:rPr>
        <w:t>1)</w:t>
      </w:r>
      <w:r>
        <w:rPr>
          <w:noProof/>
        </w:rPr>
        <w:tab/>
        <w:t>В член 134 се вмъква следният параграф 1а:</w:t>
      </w:r>
    </w:p>
    <w:p>
      <w:pPr>
        <w:ind w:left="720" w:hanging="720"/>
        <w:rPr>
          <w:noProof/>
        </w:rPr>
      </w:pPr>
      <w:r>
        <w:rPr>
          <w:noProof/>
        </w:rPr>
        <w:t>„1а.</w:t>
      </w:r>
      <w:r>
        <w:rPr>
          <w:noProof/>
        </w:rPr>
        <w:tab/>
        <w:t>В допълнение към вноските, предвидени в параграф 1, букви б) и в), ежегодно през 2015 г. и 2016 г. по оперативните програми в Гърция се изплаща допълнителна първоначална сума за предварително финансиране от 3,5 % от размера на подкрепата от фондовете и ЕФМДР за целия програмен период.</w:t>
      </w:r>
    </w:p>
    <w:p>
      <w:pPr>
        <w:ind w:left="720"/>
        <w:rPr>
          <w:noProof/>
        </w:rPr>
      </w:pPr>
      <w:r>
        <w:rPr>
          <w:noProof/>
        </w:rPr>
        <w:t>Допълнителното първоначално предварително финансиране не се прилага по отношение нито на програми по целта „Европейско териториално сътрудничество“, нито на специално разпределените средства за инициативата за младежка заетост.</w:t>
      </w:r>
    </w:p>
    <w:p>
      <w:pPr>
        <w:ind w:left="720"/>
        <w:rPr>
          <w:noProof/>
        </w:rPr>
      </w:pPr>
      <w:r>
        <w:rPr>
          <w:noProof/>
        </w:rPr>
        <w:t>В случай че до 31 декември 2016 г. общата допълнителна първоначална сума за предварително финансиране, изплащана въз основа на настоящия параграф през 2015 г. и 2016 г. по дадена оперативна програма от даден фонд, когато е приложимо, не е обхваната от заявления за плащане, подадени от сертифициращия орган за тази програма, Гърция възстановява на Комисията общата сума на допълнителното първоначално предварително финансиране за дадения фонд, изплатена по дадената програма. Тези възстановявания не представляват финансова корекция и не намаляват подпомагането от фондовете или ЕФМДР за оперативната програма. Възстановените суми представляват вътрешни целеви приходи съгласно член 21, параграф 3, буква в) от Финансовия регламент.“</w:t>
      </w:r>
    </w:p>
    <w:p>
      <w:pPr>
        <w:rPr>
          <w:noProof/>
        </w:rPr>
      </w:pPr>
      <w:r>
        <w:rPr>
          <w:noProof/>
        </w:rPr>
        <w:t>2)</w:t>
      </w:r>
      <w:r>
        <w:rPr>
          <w:noProof/>
        </w:rPr>
        <w:tab/>
        <w:t>В член 152 се добавят следните параграфи 4, 5 и 6:</w:t>
      </w:r>
    </w:p>
    <w:p>
      <w:pPr>
        <w:ind w:left="720" w:hanging="720"/>
        <w:rPr>
          <w:noProof/>
        </w:rPr>
      </w:pPr>
      <w:r>
        <w:rPr>
          <w:noProof/>
        </w:rPr>
        <w:t>„4.</w:t>
      </w:r>
      <w:r>
        <w:rPr>
          <w:noProof/>
        </w:rPr>
        <w:tab/>
        <w:t xml:space="preserve">Чрез дерогация от член 79, параграф 1 от Регламент (ЕО) № 1083/2006, таванът на кумулативната сума от предварителното финансиране и извършените междинни плащания е 100 % от приноса от фондовете за оперативните програми за целите „Сближаване“ и „Регионална конкурентоспособност и трудова заетост“ в Гърция. </w:t>
      </w:r>
    </w:p>
    <w:p>
      <w:pPr>
        <w:ind w:left="720" w:hanging="720"/>
        <w:rPr>
          <w:noProof/>
        </w:rPr>
      </w:pPr>
      <w:r>
        <w:rPr>
          <w:noProof/>
        </w:rPr>
        <w:t>5.</w:t>
      </w:r>
      <w:r>
        <w:rPr>
          <w:noProof/>
        </w:rPr>
        <w:tab/>
        <w:t xml:space="preserve">Чрез дерогация от член 53, параграф 2 и член 77, параграф 1 от Регламент (ЕО) № 1083/2006 и независимо от решенията на Комисията, с които се определят максималният процент и максималният размер на приноса от фондовете за всяка гръцка оперативна програма и за всяка приоритетна ос, междинните плащания и плащането на окончателното салдо се изчисляват чрез прилагане на максимален процент на съфинансиране от 100 % спрямо допустимите разходи, посочени за гръцките оперативните програми за целите „Сближаване“ и „Регионална конкурентоспособност и трудова заетост“ по всяка приоритетна ос във всеки отчет за разходите, сертифициран от сертифициращия орган. Член 77, параграф 2 от Регламент (ЕО) № 1083/2006 не се прилага за оперативни програми в Гърция. </w:t>
      </w:r>
    </w:p>
    <w:p>
      <w:pPr>
        <w:ind w:left="720" w:hanging="720"/>
        <w:rPr>
          <w:noProof/>
        </w:rPr>
      </w:pPr>
      <w:r>
        <w:rPr>
          <w:noProof/>
        </w:rPr>
        <w:t xml:space="preserve">6. </w:t>
      </w:r>
      <w:r>
        <w:rPr>
          <w:noProof/>
        </w:rPr>
        <w:tab/>
        <w:t xml:space="preserve">Гърция създава механизъм, който да гарантира, че допълнителните суми, предоставени в резултат на мерките, посочени в параграфи 4 и 5, се използват единствено за плащания към бенефициери и операции по оперативните ѝ програми. </w:t>
      </w:r>
    </w:p>
    <w:p>
      <w:pPr>
        <w:ind w:left="720"/>
        <w:rPr>
          <w:noProof/>
        </w:rPr>
      </w:pPr>
      <w:r>
        <w:rPr>
          <w:noProof/>
        </w:rPr>
        <w:t>Гърция представя на Комисията до края на 2016 г. доклад относно прилагането на параграфи 4 и 5 и допълнително докладва за това в окончателния доклад за изпълнението, който следва да бъде представен в съответствие с член 89, параграф 1а от Регламент (ЕО) № 1083/2006.“</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sectPr>
          <w:pgSz w:w="11907" w:h="16839"/>
          <w:pgMar w:top="1134" w:right="1417" w:bottom="1134" w:left="1417" w:header="709" w:footer="709" w:gutter="0"/>
          <w:cols w:space="708"/>
          <w:docGrid w:linePitch="360"/>
        </w:sectPr>
      </w:pPr>
      <w:r>
        <w:rPr>
          <w:noProof/>
        </w:rPr>
        <w:t>Председател</w:t>
      </w:r>
      <w:r>
        <w:rPr>
          <w:noProof/>
        </w:rPr>
        <w:tab/>
        <w:t>Председател</w:t>
      </w:r>
    </w:p>
    <w:p>
      <w:pPr>
        <w:pStyle w:val="Fichefinanciretitre"/>
        <w:rPr>
          <w:noProof/>
        </w:rPr>
      </w:pPr>
      <w:r>
        <w:rPr>
          <w:noProof/>
        </w:rPr>
        <w:t xml:space="preserve">ЗАКОНОДАТЕЛНА ФИНАНСОВА ОБОСНОВКА </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изменение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по отношение на специфичните мерки за Гърция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noProof/>
          <w:szCs w:val="24"/>
        </w:rPr>
      </w:pPr>
      <w:r>
        <w:rPr>
          <w:noProof/>
        </w:rPr>
        <w:t>1.2.</w:t>
      </w:r>
      <w:r>
        <w:rPr>
          <w:noProof/>
        </w:rPr>
        <w:tab/>
        <w:t>Съответни области на политиката в структурата на УД/БД</w:t>
      </w:r>
      <w:r>
        <w:rPr>
          <w:rStyle w:val="FootnoteReference"/>
          <w:noProof/>
        </w:rPr>
        <w:footnoteReference w:id="3"/>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Заетост, социални въпроси и приобщаване</w:t>
      </w:r>
    </w:p>
    <w:p>
      <w:pPr>
        <w:pStyle w:val="Text1"/>
        <w:pBdr>
          <w:top w:val="single" w:sz="4" w:space="1" w:color="auto"/>
          <w:left w:val="single" w:sz="4" w:space="4" w:color="auto"/>
          <w:bottom w:val="single" w:sz="4" w:space="1" w:color="auto"/>
          <w:right w:val="single" w:sz="4" w:space="4" w:color="auto"/>
        </w:pBdr>
        <w:rPr>
          <w:noProof/>
        </w:rPr>
      </w:pPr>
      <w:r>
        <w:rPr>
          <w:noProof/>
        </w:rPr>
        <w:t>04 02 17 - Приключване на Европейския социален фонд — Сближаване (2007—2013 г.)</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19 - Приключване на Европейския социален фонд — Регионална конкурентоспособност и трудова заетост (2007—2013 г.)</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60 - Европейски социален фонд — По-слабо развити региони — Цел „Инвестиции за растеж и работни места“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61 - Европейски социален фонд — Региони в преход — Цел „Инвестиции за растеж и работни места“</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04 02 62 - Европейски социален фонд — По-силно развити региони — Цел „Инвестиции за растеж и работни места“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11 Морско дело и рибарство</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11 06 60 - Насърчаване на устойчиво и конкурентоспособно рибарство и аквакултури, балансирано и приобщаващо териториално развитие на рибарските райони и поощряване на прилагането на общата политика в областта на рибарството</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Регионална и селищна политика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16 - Приключване на Европейския фонд за регионално развитие (ЕФРР) — Сближаване</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18 - Приключване на Европейския фонд за регионално развитие (ЕФРР) — Регионална конкурентоспособност и трудова заетост</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60 - Европейски фонд за регионално развитие (ЕФРР) — По-слабо развити региони — Цел „Инвестиции за растеж и работни места“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61 - Европейски фонд за регионално развитие (ЕФРР) — Региони в преход — Цел „Инвестиции за растеж и работни места“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62 - Европейски фонд за регионално развитие (ЕФРР) — По-силно развити региони — Цел „Инвестиции за растеж и работни места“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04 02 - Приключване на Кохезионния фонд (2007—2013 г.)</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sz w:val="23"/>
        </w:rPr>
        <w:t>13 04 60 - Кохезионен фонд — Цел „Инвестиции за растеж и работни места“</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4"/>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noProof/>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1.4.2.</w:t>
      </w:r>
      <w:r>
        <w:rPr>
          <w:noProof/>
        </w:rPr>
        <w:tab/>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br w:type="page"/>
        <w:t>1.4.3.</w:t>
      </w:r>
      <w:r>
        <w:rPr>
          <w:noProof/>
        </w:rPr>
        <w:tab/>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1.4.4.</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noProof/>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1.5.2.</w:t>
      </w:r>
      <w:r>
        <w:rPr>
          <w:noProof/>
        </w:rPr>
        <w:tab/>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1.5.4.</w:t>
      </w:r>
      <w:r>
        <w:rPr>
          <w:noProof/>
        </w:rPr>
        <w:tab/>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br w:type="page"/>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rPr>
          <w:noProof/>
        </w:rPr>
      </w:pPr>
      <w:r>
        <w:rPr>
          <w:noProof/>
        </w:rPr>
        <w:sym w:font="Wingdings" w:char="F078"/>
      </w:r>
      <w:r>
        <w:rPr>
          <w:noProof/>
        </w:rPr>
        <w:tab/>
        <w:t>Предложение/инициатива в сила от 1.1.2015 г. до 31.12.2023 г.</w:t>
      </w:r>
    </w:p>
    <w:p>
      <w:pPr>
        <w:pStyle w:val="ListDash2"/>
        <w:rPr>
          <w:noProof/>
        </w:rPr>
      </w:pPr>
      <w:r>
        <w:rPr>
          <w:noProof/>
        </w:rPr>
        <w:sym w:font="Wingdings" w:char="F078"/>
      </w:r>
      <w:r>
        <w:rPr>
          <w:noProof/>
        </w:rPr>
        <w:tab/>
        <w:t>Финансово отражение от 2015 г. до 2020 г.</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rPr>
          <w:noProof/>
        </w:rPr>
      </w:pPr>
      <w:r>
        <w:rPr>
          <w:noProof/>
        </w:rPr>
        <w:t>Осъществяване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Планирани методи на управление</w:t>
      </w:r>
      <w:r>
        <w:rPr>
          <w:rStyle w:val="FootnoteReference"/>
          <w:noProof/>
        </w:rPr>
        <w:footnoteReference w:id="5"/>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A8"/>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7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Не е приложимо</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2.2.</w:t>
      </w:r>
      <w:r>
        <w:rPr>
          <w:noProof/>
        </w:rPr>
        <w:tab/>
        <w:t xml:space="preserve">Система за управление и контрол </w:t>
      </w:r>
    </w:p>
    <w:p>
      <w:pPr>
        <w:pStyle w:val="ManualHeading3"/>
        <w:rPr>
          <w:noProof/>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bCs/>
          <w:noProof/>
          <w:szCs w:val="24"/>
        </w:rPr>
      </w:pPr>
      <w:r>
        <w:rPr>
          <w:noProof/>
        </w:rPr>
        <w:t>2.2.2.</w:t>
      </w:r>
      <w:r>
        <w:rPr>
          <w:noProof/>
        </w:rPr>
        <w:tab/>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3"/>
        <w:rPr>
          <w:noProof/>
        </w:rPr>
      </w:pPr>
      <w:r>
        <w:rPr>
          <w:noProof/>
        </w:rPr>
        <w:t>2.2.3.</w:t>
      </w:r>
      <w:r>
        <w:rPr>
          <w:noProof/>
        </w:rPr>
        <w:tab/>
        <w:t xml:space="preserve">Оценка на разходите и ползите от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на</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rPr>
              <w:t>Номер</w:t>
            </w:r>
            <w:r>
              <w:rPr>
                <w:noProof/>
              </w:rPr>
              <w:br/>
            </w:r>
            <w:r>
              <w:rPr>
                <w:noProof/>
                <w:sz w:val="20"/>
              </w:rPr>
              <w:t>[Функция…...….]</w:t>
            </w:r>
          </w:p>
        </w:tc>
        <w:tc>
          <w:tcPr>
            <w:tcW w:w="1080" w:type="dxa"/>
            <w:vAlign w:val="center"/>
          </w:tcPr>
          <w:p>
            <w:pPr>
              <w:jc w:val="center"/>
              <w:rPr>
                <w:noProof/>
                <w:sz w:val="18"/>
                <w:szCs w:val="18"/>
              </w:rPr>
            </w:pPr>
            <w:r>
              <w:rPr>
                <w:noProof/>
                <w:sz w:val="18"/>
                <w:szCs w:val="18"/>
              </w:rPr>
              <w:t>Многогод./едногод.</w:t>
            </w:r>
            <w:r>
              <w:rPr>
                <w:rStyle w:val="FootnoteReference"/>
                <w:noProof/>
                <w:sz w:val="18"/>
                <w:szCs w:val="18"/>
              </w:rPr>
              <w:footnoteReference w:id="6"/>
            </w:r>
          </w:p>
        </w:tc>
        <w:tc>
          <w:tcPr>
            <w:tcW w:w="956" w:type="dxa"/>
            <w:vAlign w:val="center"/>
          </w:tcPr>
          <w:p>
            <w:pPr>
              <w:jc w:val="center"/>
              <w:rPr>
                <w:noProof/>
              </w:rPr>
            </w:pPr>
            <w:r>
              <w:rPr>
                <w:noProof/>
                <w:sz w:val="18"/>
              </w:rPr>
              <w:t>от държави от ЕАСТ</w:t>
            </w:r>
            <w:r>
              <w:rPr>
                <w:rStyle w:val="FootnoteReference"/>
                <w:noProof/>
                <w:sz w:val="18"/>
              </w:rPr>
              <w:footnoteReference w:id="7"/>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8"/>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shd w:val="clear" w:color="auto" w:fill="auto"/>
            <w:vAlign w:val="center"/>
          </w:tcPr>
          <w:p>
            <w:pPr>
              <w:jc w:val="center"/>
              <w:rPr>
                <w:noProof/>
                <w:color w:val="0000FF"/>
              </w:rPr>
            </w:pPr>
            <w:r>
              <w:rPr>
                <w:noProof/>
              </w:rPr>
              <w:t>1 Интелигентен и приобщаващ растеж</w:t>
            </w:r>
          </w:p>
        </w:tc>
        <w:tc>
          <w:tcPr>
            <w:tcW w:w="3960" w:type="dxa"/>
            <w:vAlign w:val="center"/>
          </w:tcPr>
          <w:p>
            <w:pPr>
              <w:spacing w:after="60"/>
              <w:rPr>
                <w:noProof/>
              </w:rPr>
            </w:pPr>
            <w:r>
              <w:rPr>
                <w:noProof/>
              </w:rPr>
              <w:t>04 02 17 - Приключване на Европейския социален фонд — Сближаване (2007—2013 г.)</w:t>
            </w:r>
          </w:p>
          <w:p>
            <w:pPr>
              <w:spacing w:after="60"/>
              <w:rPr>
                <w:noProof/>
              </w:rPr>
            </w:pPr>
          </w:p>
          <w:p>
            <w:pPr>
              <w:spacing w:after="60"/>
              <w:rPr>
                <w:noProof/>
              </w:rPr>
            </w:pPr>
            <w:r>
              <w:rPr>
                <w:noProof/>
              </w:rPr>
              <w:t>04 02 19 - Приключване на Европейския социален фонд — Регионална конкурентоспособност и трудова заетост (2007—2013 г.)</w:t>
            </w:r>
          </w:p>
          <w:p>
            <w:pPr>
              <w:spacing w:after="60"/>
              <w:rPr>
                <w:noProof/>
              </w:rPr>
            </w:pPr>
          </w:p>
          <w:p>
            <w:pPr>
              <w:spacing w:after="60"/>
              <w:rPr>
                <w:noProof/>
              </w:rPr>
            </w:pPr>
            <w:r>
              <w:rPr>
                <w:noProof/>
              </w:rPr>
              <w:t>04 02 60 - Европейски социален фонд — По-слабо развити региони — Цел „Инвестиции за растеж и работни места“</w:t>
            </w:r>
          </w:p>
          <w:p>
            <w:pPr>
              <w:spacing w:after="60"/>
              <w:rPr>
                <w:noProof/>
              </w:rPr>
            </w:pPr>
          </w:p>
          <w:p>
            <w:pPr>
              <w:spacing w:after="60"/>
              <w:rPr>
                <w:noProof/>
              </w:rPr>
            </w:pPr>
            <w:r>
              <w:rPr>
                <w:noProof/>
              </w:rPr>
              <w:t>04 02 61 - Европейски социален фонд — Региони в преход — Цел „Инвестиции за растеж и работни места“</w:t>
            </w:r>
          </w:p>
          <w:p>
            <w:pPr>
              <w:spacing w:after="60"/>
              <w:rPr>
                <w:noProof/>
              </w:rPr>
            </w:pPr>
          </w:p>
          <w:p>
            <w:pPr>
              <w:spacing w:after="60"/>
              <w:rPr>
                <w:noProof/>
              </w:rPr>
            </w:pPr>
            <w:r>
              <w:rPr>
                <w:noProof/>
              </w:rPr>
              <w:t xml:space="preserve">04 02 62 - Европейски социален фонд — По-силно развити региони — Цел „Инвестиции за растеж и работни места“ </w:t>
            </w:r>
          </w:p>
          <w:p>
            <w:pPr>
              <w:spacing w:after="60"/>
              <w:rPr>
                <w:noProof/>
              </w:rPr>
            </w:pPr>
          </w:p>
          <w:p>
            <w:pPr>
              <w:spacing w:after="60"/>
              <w:rPr>
                <w:noProof/>
              </w:rPr>
            </w:pPr>
            <w:r>
              <w:rPr>
                <w:noProof/>
              </w:rPr>
              <w:t>13 03 16 - Приключване на Европейския фонд за регионално развитие (ЕФРР) — Сближаване</w:t>
            </w:r>
          </w:p>
          <w:p>
            <w:pPr>
              <w:spacing w:after="60"/>
              <w:rPr>
                <w:noProof/>
              </w:rPr>
            </w:pPr>
          </w:p>
          <w:p>
            <w:pPr>
              <w:spacing w:after="60"/>
              <w:rPr>
                <w:noProof/>
              </w:rPr>
            </w:pPr>
            <w:r>
              <w:rPr>
                <w:noProof/>
              </w:rPr>
              <w:t>13 03 18 - Приключване на Европейския фонд за регионално развитие (ЕФРР) — Регионална конкурентоспособност и трудова заетост</w:t>
            </w:r>
          </w:p>
          <w:p>
            <w:pPr>
              <w:spacing w:after="60"/>
              <w:rPr>
                <w:noProof/>
              </w:rPr>
            </w:pPr>
          </w:p>
          <w:p>
            <w:pPr>
              <w:spacing w:after="60"/>
              <w:rPr>
                <w:noProof/>
              </w:rPr>
            </w:pPr>
            <w:r>
              <w:rPr>
                <w:noProof/>
              </w:rPr>
              <w:t xml:space="preserve">13 03 60 - Европейски фонд за регионално развитие (ЕФРР) — По-слабо развити региони — Цел „Инвестиции за растеж и работни места“ </w:t>
            </w:r>
          </w:p>
          <w:p>
            <w:pPr>
              <w:spacing w:after="60"/>
              <w:rPr>
                <w:noProof/>
              </w:rPr>
            </w:pPr>
          </w:p>
          <w:p>
            <w:pPr>
              <w:spacing w:after="60"/>
              <w:rPr>
                <w:noProof/>
              </w:rPr>
            </w:pPr>
            <w:r>
              <w:rPr>
                <w:noProof/>
              </w:rPr>
              <w:t xml:space="preserve">13 03 61 - Европейски фонд за регионално развитие (ЕФРР) — Региони в преход — Цел „Инвестиции за растеж и работни места“ </w:t>
            </w:r>
          </w:p>
          <w:p>
            <w:pPr>
              <w:spacing w:after="60"/>
              <w:rPr>
                <w:noProof/>
              </w:rPr>
            </w:pPr>
          </w:p>
          <w:p>
            <w:pPr>
              <w:spacing w:after="60"/>
              <w:rPr>
                <w:noProof/>
              </w:rPr>
            </w:pPr>
            <w:r>
              <w:rPr>
                <w:noProof/>
              </w:rPr>
              <w:t xml:space="preserve">13 03 62 - Европейски фонд за регионално развитие (ЕФРР) — По-силно развити региони — Цел „Инвестиции за растеж и работни места“ </w:t>
            </w:r>
          </w:p>
          <w:p>
            <w:pPr>
              <w:spacing w:after="60"/>
              <w:rPr>
                <w:noProof/>
              </w:rPr>
            </w:pPr>
          </w:p>
          <w:p>
            <w:pPr>
              <w:spacing w:after="60"/>
              <w:rPr>
                <w:noProof/>
              </w:rPr>
            </w:pPr>
            <w:r>
              <w:rPr>
                <w:noProof/>
              </w:rPr>
              <w:t>13 04 02 - Приключване на Кохезионния фонд (2007—2013 г.)</w:t>
            </w:r>
          </w:p>
          <w:p>
            <w:pPr>
              <w:spacing w:after="60"/>
              <w:rPr>
                <w:noProof/>
              </w:rPr>
            </w:pPr>
          </w:p>
          <w:p>
            <w:pPr>
              <w:spacing w:after="60"/>
              <w:rPr>
                <w:noProof/>
              </w:rPr>
            </w:pPr>
            <w:r>
              <w:rPr>
                <w:noProof/>
              </w:rPr>
              <w:t>13 04 60 - Кохезионен фонд — Цел „Инвестиции за растеж и работни места“</w:t>
            </w:r>
          </w:p>
          <w:p>
            <w:pPr>
              <w:spacing w:after="60"/>
              <w:rPr>
                <w:noProof/>
              </w:rPr>
            </w:pPr>
          </w:p>
        </w:tc>
        <w:tc>
          <w:tcPr>
            <w:tcW w:w="1080" w:type="dxa"/>
            <w:vAlign w:val="center"/>
          </w:tcPr>
          <w:p>
            <w:pPr>
              <w:jc w:val="center"/>
              <w:rPr>
                <w:noProof/>
                <w:color w:val="0000FF"/>
              </w:rPr>
            </w:pPr>
            <w:r>
              <w:rPr>
                <w:noProof/>
              </w:rPr>
              <w:t>Многогод.</w:t>
            </w:r>
          </w:p>
        </w:tc>
        <w:tc>
          <w:tcPr>
            <w:tcW w:w="956" w:type="dxa"/>
            <w:vAlign w:val="center"/>
          </w:tcPr>
          <w:p>
            <w:pPr>
              <w:jc w:val="center"/>
              <w:rPr>
                <w:noProof/>
              </w:rPr>
            </w:pPr>
            <w:r>
              <w:rPr>
                <w:noProof/>
              </w:rPr>
              <w:t>НЕ</w:t>
            </w:r>
          </w:p>
        </w:tc>
        <w:tc>
          <w:tcPr>
            <w:tcW w:w="1080" w:type="dxa"/>
            <w:vAlign w:val="center"/>
          </w:tcPr>
          <w:p>
            <w:pPr>
              <w:jc w:val="center"/>
              <w:rPr>
                <w:noProof/>
              </w:rPr>
            </w:pPr>
            <w:r>
              <w:rPr>
                <w:noProof/>
              </w:rPr>
              <w:t>НЕ</w:t>
            </w:r>
          </w:p>
        </w:tc>
        <w:tc>
          <w:tcPr>
            <w:tcW w:w="956" w:type="dxa"/>
            <w:vAlign w:val="center"/>
          </w:tcPr>
          <w:p>
            <w:pPr>
              <w:jc w:val="center"/>
              <w:rPr>
                <w:noProof/>
              </w:rPr>
            </w:pPr>
            <w:r>
              <w:rPr>
                <w:noProof/>
              </w:rPr>
              <w:t>НЕ</w:t>
            </w:r>
          </w:p>
        </w:tc>
        <w:tc>
          <w:tcPr>
            <w:tcW w:w="1448" w:type="dxa"/>
            <w:vAlign w:val="center"/>
          </w:tcPr>
          <w:p>
            <w:pPr>
              <w:jc w:val="center"/>
              <w:rPr>
                <w:noProof/>
              </w:rPr>
            </w:pPr>
            <w:r>
              <w:rPr>
                <w:noProof/>
              </w:rPr>
              <w:t>НЕ</w:t>
            </w:r>
          </w:p>
        </w:tc>
      </w:tr>
      <w:tr>
        <w:tc>
          <w:tcPr>
            <w:tcW w:w="1080" w:type="dxa"/>
            <w:shd w:val="clear" w:color="auto" w:fill="auto"/>
            <w:vAlign w:val="center"/>
          </w:tcPr>
          <w:p>
            <w:pPr>
              <w:jc w:val="center"/>
              <w:rPr>
                <w:noProof/>
              </w:rPr>
            </w:pPr>
            <w:r>
              <w:rPr>
                <w:noProof/>
              </w:rPr>
              <w:t>2 Устойчив растеж: Природни ресурси</w:t>
            </w:r>
          </w:p>
        </w:tc>
        <w:tc>
          <w:tcPr>
            <w:tcW w:w="3960" w:type="dxa"/>
            <w:vAlign w:val="center"/>
          </w:tcPr>
          <w:p>
            <w:pPr>
              <w:pStyle w:val="Text1"/>
              <w:pBdr>
                <w:top w:val="single" w:sz="4" w:space="1" w:color="auto"/>
                <w:left w:val="single" w:sz="4" w:space="4" w:color="auto"/>
                <w:bottom w:val="single" w:sz="4" w:space="1" w:color="auto"/>
                <w:right w:val="single" w:sz="4" w:space="4" w:color="auto"/>
              </w:pBdr>
              <w:rPr>
                <w:noProof/>
              </w:rPr>
            </w:pPr>
            <w:r>
              <w:rPr>
                <w:noProof/>
                <w:color w:val="1F497D"/>
              </w:rPr>
              <w:t>11 06 60 - Насърчаване на устойчиво и конкурентоспособно рибарство и аквакултури, балансирано и приобщаващо териториално развитие на рибарските райони и поощряване на прилагането на общата политика в областта на рибарството</w:t>
            </w:r>
          </w:p>
          <w:p>
            <w:pPr>
              <w:spacing w:after="60"/>
              <w:rPr>
                <w:noProof/>
              </w:rPr>
            </w:pPr>
          </w:p>
        </w:tc>
        <w:tc>
          <w:tcPr>
            <w:tcW w:w="1080" w:type="dxa"/>
            <w:vAlign w:val="center"/>
          </w:tcPr>
          <w:p>
            <w:pPr>
              <w:jc w:val="center"/>
              <w:rPr>
                <w:noProof/>
              </w:rPr>
            </w:pPr>
            <w:r>
              <w:rPr>
                <w:noProof/>
              </w:rPr>
              <w:t>Многогод.</w:t>
            </w:r>
          </w:p>
        </w:tc>
        <w:tc>
          <w:tcPr>
            <w:tcW w:w="956" w:type="dxa"/>
            <w:vAlign w:val="center"/>
          </w:tcPr>
          <w:p>
            <w:pPr>
              <w:jc w:val="center"/>
              <w:rPr>
                <w:noProof/>
              </w:rPr>
            </w:pPr>
            <w:r>
              <w:rPr>
                <w:noProof/>
              </w:rPr>
              <w:t>НЕ</w:t>
            </w:r>
          </w:p>
        </w:tc>
        <w:tc>
          <w:tcPr>
            <w:tcW w:w="1080" w:type="dxa"/>
            <w:vAlign w:val="center"/>
          </w:tcPr>
          <w:p>
            <w:pPr>
              <w:jc w:val="center"/>
              <w:rPr>
                <w:noProof/>
              </w:rPr>
            </w:pPr>
            <w:r>
              <w:rPr>
                <w:noProof/>
              </w:rPr>
              <w:t>НЕ</w:t>
            </w:r>
          </w:p>
        </w:tc>
        <w:tc>
          <w:tcPr>
            <w:tcW w:w="956" w:type="dxa"/>
            <w:vAlign w:val="center"/>
          </w:tcPr>
          <w:p>
            <w:pPr>
              <w:jc w:val="center"/>
              <w:rPr>
                <w:noProof/>
              </w:rPr>
            </w:pPr>
            <w:r>
              <w:rPr>
                <w:noProof/>
              </w:rPr>
              <w:t>НЕ</w:t>
            </w:r>
          </w:p>
        </w:tc>
        <w:tc>
          <w:tcPr>
            <w:tcW w:w="1448" w:type="dxa"/>
            <w:vAlign w:val="center"/>
          </w:tcPr>
          <w:p>
            <w:pPr>
              <w:jc w:val="center"/>
              <w:rPr>
                <w:noProof/>
              </w:rPr>
            </w:pPr>
            <w:r>
              <w:rPr>
                <w:noProof/>
              </w:rPr>
              <w:t>НЕ</w:t>
            </w:r>
          </w:p>
        </w:tc>
      </w:tr>
    </w:tbl>
    <w:p>
      <w:pPr>
        <w:pStyle w:val="ListBullet1"/>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на</w:t>
            </w:r>
            <w:r>
              <w:rPr>
                <w:noProof/>
              </w:rPr>
              <w:br/>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rPr>
              <w:t>Номер</w:t>
            </w:r>
            <w:r>
              <w:rPr>
                <w:noProof/>
              </w:rPr>
              <w:br/>
            </w:r>
            <w:r>
              <w:rPr>
                <w:noProof/>
                <w:sz w:val="20"/>
              </w:rPr>
              <w:t>[Функция…...….]</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rPr>
              <w:t>ДА/НЕ</w:t>
            </w:r>
          </w:p>
        </w:tc>
        <w:tc>
          <w:tcPr>
            <w:tcW w:w="1080" w:type="dxa"/>
            <w:vAlign w:val="center"/>
          </w:tcPr>
          <w:p>
            <w:pPr>
              <w:jc w:val="center"/>
              <w:rPr>
                <w:noProof/>
                <w:color w:val="0000FF"/>
                <w:sz w:val="18"/>
              </w:rPr>
            </w:pPr>
            <w:r>
              <w:rPr>
                <w:noProof/>
              </w:rPr>
              <w:t>ДА/НЕ</w:t>
            </w:r>
          </w:p>
        </w:tc>
        <w:tc>
          <w:tcPr>
            <w:tcW w:w="956" w:type="dxa"/>
            <w:vAlign w:val="center"/>
          </w:tcPr>
          <w:p>
            <w:pPr>
              <w:jc w:val="center"/>
              <w:rPr>
                <w:noProof/>
                <w:color w:val="0000FF"/>
                <w:sz w:val="18"/>
              </w:rPr>
            </w:pPr>
            <w:r>
              <w:rPr>
                <w:noProof/>
              </w:rPr>
              <w:t>ДА/НЕ</w:t>
            </w:r>
          </w:p>
        </w:tc>
        <w:tc>
          <w:tcPr>
            <w:tcW w:w="1448" w:type="dxa"/>
            <w:vAlign w:val="center"/>
          </w:tcPr>
          <w:p>
            <w:pPr>
              <w:jc w:val="center"/>
              <w:rPr>
                <w:noProof/>
              </w:rPr>
            </w:pPr>
            <w:r>
              <w:rPr>
                <w:noProof/>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Очаквано отражение върху разходите </w:t>
      </w:r>
    </w:p>
    <w:p>
      <w:pPr>
        <w:rPr>
          <w:noProof/>
        </w:rPr>
      </w:pPr>
      <w:r>
        <w:rPr>
          <w:noProof/>
        </w:rPr>
        <w:t>Предложеното изменение не предполага промени в годишните тавани за поети задължения и плащания по многогодишната финансова рамка съгласно приложение I към Регламент (ЕС) № 1311/2013.</w:t>
      </w:r>
    </w:p>
    <w:p>
      <w:pPr>
        <w:rPr>
          <w:rFonts w:cs="Tahoma"/>
          <w:noProof/>
          <w:color w:val="0F243E"/>
        </w:rPr>
      </w:pPr>
      <w:r>
        <w:rPr>
          <w:noProof/>
          <w:color w:val="0F243E"/>
        </w:rPr>
        <w:t>Годишното разпределение на бюджетните кредити за поети задължения за ИМЗ остава без промяна.</w:t>
      </w:r>
    </w:p>
    <w:p>
      <w:pPr>
        <w:rPr>
          <w:rFonts w:cs="Tahoma"/>
          <w:noProof/>
          <w:color w:val="0F243E"/>
        </w:rPr>
      </w:pPr>
      <w:r>
        <w:rPr>
          <w:noProof/>
          <w:color w:val="0F243E"/>
        </w:rPr>
        <w:t>Нарасналата необходимост от бюджетни кредити за първоначално предварително финансиране по линия на ИМЗ през 2015 г. ще бъде покрита от бюджетни кредити от ДЯЛ 4 (Трудова заетост, социални въпроси и приобщаване) от бюджета за 2015 г. за ЕСФ и ИМЗ.</w:t>
      </w:r>
    </w:p>
    <w:p>
      <w:pPr>
        <w:rPr>
          <w:noProof/>
        </w:rPr>
      </w:pPr>
    </w:p>
    <w:p>
      <w:pPr>
        <w:pStyle w:val="Text1"/>
        <w:rPr>
          <w:noProof/>
        </w:rPr>
      </w:pPr>
    </w:p>
    <w:p>
      <w:pPr>
        <w:pStyle w:val="ManualHeading3"/>
        <w:rPr>
          <w:noProof/>
          <w:u w:val="single"/>
        </w:rPr>
      </w:pPr>
      <w:r>
        <w:rPr>
          <w:noProof/>
        </w:rPr>
        <w:t>3.2.1.</w:t>
      </w:r>
      <w:r>
        <w:rPr>
          <w:noProof/>
        </w:rPr>
        <w:tab/>
        <w:t xml:space="preserve">Обобщение на очакваното отражение върху разходите </w:t>
      </w:r>
    </w:p>
    <w:p>
      <w:pPr>
        <w:jc w:val="right"/>
        <w:rPr>
          <w:noProof/>
          <w:sz w:val="20"/>
        </w:rPr>
      </w:pPr>
      <w:r>
        <w:rPr>
          <w:noProof/>
          <w:sz w:val="20"/>
        </w:rPr>
        <w:t>млн. EUR (до третия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Функция от многогодишната финансова</w:t>
            </w:r>
            <w:r>
              <w:rPr>
                <w:noProof/>
              </w:rPr>
              <w:br/>
            </w:r>
            <w:r>
              <w:rPr>
                <w:b/>
                <w:noProof/>
              </w:rPr>
              <w:t xml:space="preserve">рамка </w:t>
            </w:r>
          </w:p>
        </w:tc>
        <w:tc>
          <w:tcPr>
            <w:tcW w:w="1080" w:type="dxa"/>
            <w:vAlign w:val="center"/>
          </w:tcPr>
          <w:p>
            <w:pPr>
              <w:spacing w:before="60" w:after="60"/>
              <w:jc w:val="center"/>
              <w:rPr>
                <w:noProof/>
              </w:rPr>
            </w:pPr>
            <w:r>
              <w:rPr>
                <w:noProof/>
                <w:sz w:val="22"/>
              </w:rPr>
              <w:t>Номер</w:t>
            </w:r>
          </w:p>
          <w:p>
            <w:pPr>
              <w:spacing w:before="60" w:after="60"/>
              <w:jc w:val="center"/>
              <w:rPr>
                <w:noProof/>
              </w:rPr>
            </w:pPr>
            <w:r>
              <w:rPr>
                <w:noProof/>
                <w:sz w:val="22"/>
              </w:rPr>
              <w:t>1</w:t>
            </w:r>
          </w:p>
        </w:tc>
        <w:tc>
          <w:tcPr>
            <w:tcW w:w="7817" w:type="dxa"/>
            <w:vAlign w:val="center"/>
          </w:tcPr>
          <w:p>
            <w:pPr>
              <w:spacing w:before="60" w:after="60"/>
              <w:rPr>
                <w:noProof/>
              </w:rPr>
            </w:pPr>
            <w:r>
              <w:rPr>
                <w:noProof/>
              </w:rPr>
              <w:t>Интелигентен и приобщаващ растеж</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026"/>
        <w:gridCol w:w="1320"/>
        <w:gridCol w:w="1032"/>
        <w:gridCol w:w="945"/>
        <w:gridCol w:w="1250"/>
        <w:gridCol w:w="720"/>
        <w:gridCol w:w="1216"/>
        <w:gridCol w:w="931"/>
      </w:tblGrid>
      <w:tr>
        <w:tc>
          <w:tcPr>
            <w:tcW w:w="3960" w:type="dxa"/>
            <w:vAlign w:val="center"/>
          </w:tcPr>
          <w:p>
            <w:pPr>
              <w:jc w:val="center"/>
              <w:rPr>
                <w:noProof/>
              </w:rPr>
            </w:pPr>
            <w:r>
              <w:rPr>
                <w:noProof/>
                <w:sz w:val="22"/>
              </w:rPr>
              <w:t xml:space="preserve">ГД: </w:t>
            </w:r>
            <w:r>
              <w:rPr>
                <w:noProof/>
              </w:rPr>
              <w:t xml:space="preserve">„Заетост, социални въпроси и приобщаване“, „Регионална политика“ </w:t>
            </w:r>
          </w:p>
        </w:tc>
        <w:tc>
          <w:tcPr>
            <w:tcW w:w="1560" w:type="dxa"/>
            <w:gridSpan w:val="2"/>
          </w:tcPr>
          <w:p>
            <w:pPr>
              <w:rPr>
                <w:noProof/>
                <w:sz w:val="20"/>
              </w:rPr>
            </w:pPr>
          </w:p>
        </w:tc>
        <w:tc>
          <w:tcPr>
            <w:tcW w:w="534" w:type="dxa"/>
          </w:tcPr>
          <w:p>
            <w:pPr>
              <w:jc w:val="center"/>
              <w:rPr>
                <w:noProof/>
                <w:sz w:val="20"/>
              </w:rPr>
            </w:pPr>
          </w:p>
        </w:tc>
        <w:tc>
          <w:tcPr>
            <w:tcW w:w="1026" w:type="dxa"/>
          </w:tcPr>
          <w:p>
            <w:pPr>
              <w:rPr>
                <w:noProof/>
              </w:rPr>
            </w:pPr>
            <w:r>
              <w:rPr>
                <w:noProof/>
              </w:rPr>
              <w:t>2014 г.</w:t>
            </w:r>
          </w:p>
        </w:tc>
        <w:tc>
          <w:tcPr>
            <w:tcW w:w="1320" w:type="dxa"/>
          </w:tcPr>
          <w:p>
            <w:pPr>
              <w:rPr>
                <w:noProof/>
              </w:rPr>
            </w:pPr>
            <w:r>
              <w:rPr>
                <w:noProof/>
              </w:rPr>
              <w:t>2015 г.</w:t>
            </w:r>
          </w:p>
        </w:tc>
        <w:tc>
          <w:tcPr>
            <w:tcW w:w="1032" w:type="dxa"/>
          </w:tcPr>
          <w:p>
            <w:pPr>
              <w:rPr>
                <w:noProof/>
              </w:rPr>
            </w:pPr>
            <w:r>
              <w:rPr>
                <w:noProof/>
              </w:rPr>
              <w:t>2016 г.</w:t>
            </w:r>
          </w:p>
        </w:tc>
        <w:tc>
          <w:tcPr>
            <w:tcW w:w="945" w:type="dxa"/>
          </w:tcPr>
          <w:p>
            <w:pPr>
              <w:rPr>
                <w:noProof/>
              </w:rPr>
            </w:pPr>
            <w:r>
              <w:rPr>
                <w:noProof/>
              </w:rPr>
              <w:t>2017 г.</w:t>
            </w:r>
          </w:p>
        </w:tc>
        <w:tc>
          <w:tcPr>
            <w:tcW w:w="1250" w:type="dxa"/>
          </w:tcPr>
          <w:p>
            <w:pPr>
              <w:rPr>
                <w:noProof/>
              </w:rPr>
            </w:pPr>
            <w:r>
              <w:rPr>
                <w:noProof/>
              </w:rPr>
              <w:t>2018 г.</w:t>
            </w:r>
            <w:r>
              <w:rPr>
                <w:rStyle w:val="FootnoteReference"/>
                <w:noProof/>
              </w:rPr>
              <w:footnoteReference w:id="9"/>
            </w:r>
          </w:p>
        </w:tc>
        <w:tc>
          <w:tcPr>
            <w:tcW w:w="720" w:type="dxa"/>
          </w:tcPr>
          <w:p>
            <w:pPr>
              <w:rPr>
                <w:noProof/>
              </w:rPr>
            </w:pPr>
            <w:r>
              <w:rPr>
                <w:noProof/>
              </w:rPr>
              <w:t>2019 г.</w:t>
            </w:r>
          </w:p>
        </w:tc>
        <w:tc>
          <w:tcPr>
            <w:tcW w:w="1216" w:type="dxa"/>
          </w:tcPr>
          <w:p>
            <w:pPr>
              <w:rPr>
                <w:noProof/>
              </w:rPr>
            </w:pPr>
            <w:r>
              <w:rPr>
                <w:noProof/>
              </w:rPr>
              <w:t>2020 г.</w:t>
            </w:r>
          </w:p>
        </w:tc>
        <w:tc>
          <w:tcPr>
            <w:tcW w:w="931" w:type="dxa"/>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w:t>
            </w:r>
            <w:r>
              <w:rPr>
                <w:noProof/>
              </w:rPr>
              <w:t>Бюджетни кредити за оперативни разходи</w:t>
            </w:r>
          </w:p>
        </w:tc>
        <w:tc>
          <w:tcPr>
            <w:tcW w:w="1026" w:type="dxa"/>
            <w:vAlign w:val="center"/>
          </w:tcPr>
          <w:p>
            <w:pPr>
              <w:rPr>
                <w:noProof/>
                <w:sz w:val="20"/>
              </w:rPr>
            </w:pPr>
          </w:p>
        </w:tc>
        <w:tc>
          <w:tcPr>
            <w:tcW w:w="1320" w:type="dxa"/>
            <w:vAlign w:val="center"/>
          </w:tcPr>
          <w:p>
            <w:pPr>
              <w:rPr>
                <w:noProof/>
                <w:sz w:val="20"/>
              </w:rPr>
            </w:pPr>
          </w:p>
        </w:tc>
        <w:tc>
          <w:tcPr>
            <w:tcW w:w="1032" w:type="dxa"/>
            <w:vAlign w:val="center"/>
          </w:tcPr>
          <w:p>
            <w:pPr>
              <w:rPr>
                <w:noProof/>
                <w:sz w:val="20"/>
              </w:rPr>
            </w:pPr>
          </w:p>
        </w:tc>
        <w:tc>
          <w:tcPr>
            <w:tcW w:w="945" w:type="dxa"/>
            <w:vAlign w:val="center"/>
          </w:tcPr>
          <w:p>
            <w:pPr>
              <w:rPr>
                <w:noProof/>
                <w:sz w:val="20"/>
              </w:rPr>
            </w:pPr>
          </w:p>
        </w:tc>
        <w:tc>
          <w:tcPr>
            <w:tcW w:w="1250" w:type="dxa"/>
            <w:vAlign w:val="center"/>
          </w:tcPr>
          <w:p>
            <w:pPr>
              <w:rPr>
                <w:noProof/>
                <w:sz w:val="20"/>
              </w:rPr>
            </w:pPr>
          </w:p>
        </w:tc>
        <w:tc>
          <w:tcPr>
            <w:tcW w:w="720" w:type="dxa"/>
            <w:vAlign w:val="center"/>
          </w:tcPr>
          <w:p>
            <w:pPr>
              <w:rPr>
                <w:noProof/>
                <w:sz w:val="20"/>
              </w:rPr>
            </w:pPr>
          </w:p>
        </w:tc>
        <w:tc>
          <w:tcPr>
            <w:tcW w:w="1216" w:type="dxa"/>
            <w:vAlign w:val="center"/>
          </w:tcPr>
          <w:p>
            <w:pPr>
              <w:rPr>
                <w:b/>
                <w:noProof/>
                <w:sz w:val="20"/>
              </w:rPr>
            </w:pPr>
          </w:p>
        </w:tc>
        <w:tc>
          <w:tcPr>
            <w:tcW w:w="931" w:type="dxa"/>
            <w:vAlign w:val="center"/>
          </w:tcPr>
          <w:p>
            <w:pPr>
              <w:rPr>
                <w:b/>
                <w:noProof/>
                <w:sz w:val="20"/>
              </w:rPr>
            </w:pPr>
          </w:p>
        </w:tc>
      </w:tr>
      <w:tr>
        <w:trPr>
          <w:trHeight w:val="277"/>
        </w:trPr>
        <w:tc>
          <w:tcPr>
            <w:tcW w:w="3960" w:type="dxa"/>
            <w:vMerge w:val="restart"/>
            <w:vAlign w:val="center"/>
          </w:tcPr>
          <w:p>
            <w:pPr>
              <w:spacing w:before="60"/>
              <w:rPr>
                <w:noProof/>
                <w:sz w:val="21"/>
              </w:rPr>
            </w:pPr>
            <w:r>
              <w:rPr>
                <w:noProof/>
                <w:sz w:val="21"/>
              </w:rPr>
              <w:t>1б: Икономическо, социално и териториално сближаване</w:t>
            </w:r>
          </w:p>
          <w:p>
            <w:pPr>
              <w:spacing w:before="60"/>
              <w:rPr>
                <w:noProof/>
              </w:rPr>
            </w:pPr>
            <w:r>
              <w:rPr>
                <w:noProof/>
                <w:sz w:val="21"/>
              </w:rPr>
              <w:t>Европейски фонд за регионално развитие, Европейски социален фонд, Кохезионен фонд</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1032" w:type="dxa"/>
            <w:vAlign w:val="center"/>
          </w:tcPr>
          <w:p>
            <w:pPr>
              <w:spacing w:before="20" w:after="20"/>
              <w:jc w:val="right"/>
              <w:rPr>
                <w:noProof/>
                <w:sz w:val="20"/>
              </w:rPr>
            </w:pPr>
            <w:r>
              <w:rPr>
                <w:noProof/>
                <w:sz w:val="20"/>
              </w:rPr>
              <w:t>0</w:t>
            </w:r>
          </w:p>
        </w:tc>
        <w:tc>
          <w:tcPr>
            <w:tcW w:w="945" w:type="dxa"/>
            <w:vAlign w:val="center"/>
          </w:tcPr>
          <w:p>
            <w:pPr>
              <w:spacing w:before="20" w:after="20"/>
              <w:jc w:val="right"/>
              <w:rPr>
                <w:noProof/>
                <w:sz w:val="20"/>
              </w:rPr>
            </w:pPr>
            <w:r>
              <w:rPr>
                <w:noProof/>
                <w:sz w:val="20"/>
              </w:rPr>
              <w:t>0</w:t>
            </w:r>
          </w:p>
        </w:tc>
        <w:tc>
          <w:tcPr>
            <w:tcW w:w="1250" w:type="dxa"/>
            <w:vAlign w:val="center"/>
          </w:tcPr>
          <w:p>
            <w:pPr>
              <w:spacing w:before="20" w:after="20"/>
              <w:jc w:val="right"/>
              <w:rPr>
                <w:noProof/>
                <w:sz w:val="20"/>
              </w:rPr>
            </w:pPr>
            <w:r>
              <w:rPr>
                <w:noProof/>
                <w:sz w:val="20"/>
              </w:rPr>
              <w:t>0</w:t>
            </w:r>
          </w:p>
        </w:tc>
        <w:tc>
          <w:tcPr>
            <w:tcW w:w="720" w:type="dxa"/>
            <w:vAlign w:val="center"/>
          </w:tcPr>
          <w:p>
            <w:pPr>
              <w:spacing w:before="20" w:after="20"/>
              <w:jc w:val="right"/>
              <w:rPr>
                <w:noProof/>
                <w:sz w:val="20"/>
              </w:rPr>
            </w:pPr>
            <w:r>
              <w:rPr>
                <w:noProof/>
                <w:sz w:val="20"/>
              </w:rPr>
              <w:t>0</w:t>
            </w:r>
          </w:p>
        </w:tc>
        <w:tc>
          <w:tcPr>
            <w:tcW w:w="1216" w:type="dxa"/>
            <w:vAlign w:val="center"/>
          </w:tcPr>
          <w:p>
            <w:pPr>
              <w:spacing w:before="20" w:after="20"/>
              <w:jc w:val="right"/>
              <w:rPr>
                <w:b/>
                <w:noProof/>
                <w:sz w:val="20"/>
              </w:rPr>
            </w:pPr>
            <w:r>
              <w:rPr>
                <w:b/>
                <w:noProof/>
                <w:sz w:val="20"/>
              </w:rPr>
              <w:t>0</w:t>
            </w:r>
          </w:p>
        </w:tc>
        <w:tc>
          <w:tcPr>
            <w:tcW w:w="931"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1 000,000</w:t>
            </w:r>
          </w:p>
        </w:tc>
        <w:tc>
          <w:tcPr>
            <w:tcW w:w="1032" w:type="dxa"/>
            <w:vAlign w:val="center"/>
          </w:tcPr>
          <w:p>
            <w:pPr>
              <w:spacing w:before="20" w:after="20"/>
              <w:jc w:val="right"/>
              <w:rPr>
                <w:noProof/>
                <w:sz w:val="20"/>
              </w:rPr>
            </w:pPr>
            <w:r>
              <w:rPr>
                <w:noProof/>
                <w:sz w:val="20"/>
              </w:rPr>
              <w:t xml:space="preserve">1 000,000 </w:t>
            </w:r>
          </w:p>
        </w:tc>
        <w:tc>
          <w:tcPr>
            <w:tcW w:w="945" w:type="dxa"/>
            <w:vAlign w:val="center"/>
          </w:tcPr>
          <w:p>
            <w:pPr>
              <w:spacing w:before="20" w:after="20"/>
              <w:jc w:val="right"/>
              <w:rPr>
                <w:noProof/>
                <w:sz w:val="20"/>
              </w:rPr>
            </w:pPr>
          </w:p>
        </w:tc>
        <w:tc>
          <w:tcPr>
            <w:tcW w:w="1250" w:type="dxa"/>
            <w:vAlign w:val="center"/>
          </w:tcPr>
          <w:p>
            <w:pPr>
              <w:spacing w:before="20" w:after="20"/>
              <w:jc w:val="right"/>
              <w:rPr>
                <w:noProof/>
                <w:sz w:val="20"/>
              </w:rPr>
            </w:pPr>
            <w:r>
              <w:rPr>
                <w:b/>
                <w:noProof/>
                <w:sz w:val="20"/>
              </w:rPr>
              <w:t>–1 000,000</w:t>
            </w:r>
          </w:p>
        </w:tc>
        <w:tc>
          <w:tcPr>
            <w:tcW w:w="720" w:type="dxa"/>
            <w:vAlign w:val="center"/>
          </w:tcPr>
          <w:p>
            <w:pPr>
              <w:spacing w:before="20" w:after="20"/>
              <w:jc w:val="right"/>
              <w:rPr>
                <w:noProof/>
                <w:sz w:val="20"/>
              </w:rPr>
            </w:pPr>
            <w:r>
              <w:rPr>
                <w:noProof/>
                <w:sz w:val="20"/>
              </w:rPr>
              <w:t>0</w:t>
            </w:r>
          </w:p>
        </w:tc>
        <w:tc>
          <w:tcPr>
            <w:tcW w:w="1216" w:type="dxa"/>
            <w:vAlign w:val="center"/>
          </w:tcPr>
          <w:p>
            <w:pPr>
              <w:spacing w:before="20" w:after="20"/>
              <w:jc w:val="right"/>
              <w:rPr>
                <w:b/>
                <w:noProof/>
                <w:sz w:val="20"/>
              </w:rPr>
            </w:pPr>
            <w:r>
              <w:rPr>
                <w:b/>
                <w:noProof/>
                <w:sz w:val="20"/>
              </w:rPr>
              <w:t xml:space="preserve"> –1 000,000</w:t>
            </w:r>
          </w:p>
        </w:tc>
        <w:tc>
          <w:tcPr>
            <w:tcW w:w="931" w:type="dxa"/>
            <w:vAlign w:val="center"/>
          </w:tcPr>
          <w:p>
            <w:pPr>
              <w:spacing w:before="20" w:after="20"/>
              <w:jc w:val="right"/>
              <w:rPr>
                <w:b/>
                <w:noProof/>
                <w:sz w:val="20"/>
              </w:rPr>
            </w:pPr>
            <w:r>
              <w:rPr>
                <w:b/>
                <w:noProof/>
                <w:sz w:val="20"/>
              </w:rPr>
              <w:t>0</w:t>
            </w: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0"/>
            </w:r>
            <w:r>
              <w:rPr>
                <w:noProof/>
                <w:sz w:val="21"/>
              </w:rPr>
              <w:t xml:space="preserve"> </w:t>
            </w:r>
          </w:p>
          <w:p>
            <w:pPr>
              <w:spacing w:before="0" w:after="0"/>
              <w:rPr>
                <w:noProof/>
              </w:rPr>
            </w:pPr>
          </w:p>
        </w:tc>
        <w:tc>
          <w:tcPr>
            <w:tcW w:w="1026" w:type="dxa"/>
            <w:vAlign w:val="center"/>
          </w:tcPr>
          <w:p>
            <w:pPr>
              <w:rPr>
                <w:b/>
                <w:noProof/>
                <w:sz w:val="20"/>
              </w:rPr>
            </w:pPr>
          </w:p>
        </w:tc>
        <w:tc>
          <w:tcPr>
            <w:tcW w:w="1320" w:type="dxa"/>
            <w:vAlign w:val="center"/>
          </w:tcPr>
          <w:p>
            <w:pPr>
              <w:rPr>
                <w:b/>
                <w:noProof/>
                <w:sz w:val="20"/>
              </w:rPr>
            </w:pPr>
          </w:p>
        </w:tc>
        <w:tc>
          <w:tcPr>
            <w:tcW w:w="1032" w:type="dxa"/>
            <w:vAlign w:val="center"/>
          </w:tcPr>
          <w:p>
            <w:pPr>
              <w:rPr>
                <w:b/>
                <w:noProof/>
                <w:sz w:val="20"/>
              </w:rPr>
            </w:pPr>
          </w:p>
        </w:tc>
        <w:tc>
          <w:tcPr>
            <w:tcW w:w="945" w:type="dxa"/>
            <w:vAlign w:val="center"/>
          </w:tcPr>
          <w:p>
            <w:pPr>
              <w:rPr>
                <w:b/>
                <w:noProof/>
                <w:sz w:val="20"/>
              </w:rPr>
            </w:pPr>
          </w:p>
        </w:tc>
        <w:tc>
          <w:tcPr>
            <w:tcW w:w="1250" w:type="dxa"/>
            <w:vAlign w:val="center"/>
          </w:tcPr>
          <w:p>
            <w:pPr>
              <w:rPr>
                <w:b/>
                <w:noProof/>
                <w:sz w:val="20"/>
              </w:rPr>
            </w:pPr>
          </w:p>
        </w:tc>
        <w:tc>
          <w:tcPr>
            <w:tcW w:w="720" w:type="dxa"/>
            <w:vAlign w:val="center"/>
          </w:tcPr>
          <w:p>
            <w:pPr>
              <w:rPr>
                <w:b/>
                <w:noProof/>
                <w:sz w:val="20"/>
              </w:rPr>
            </w:pPr>
          </w:p>
        </w:tc>
        <w:tc>
          <w:tcPr>
            <w:tcW w:w="1216" w:type="dxa"/>
            <w:vAlign w:val="center"/>
          </w:tcPr>
          <w:p>
            <w:pPr>
              <w:rPr>
                <w:b/>
                <w:noProof/>
                <w:sz w:val="20"/>
              </w:rPr>
            </w:pPr>
          </w:p>
        </w:tc>
        <w:tc>
          <w:tcPr>
            <w:tcW w:w="931" w:type="dxa"/>
            <w:vAlign w:val="center"/>
          </w:tcPr>
          <w:p>
            <w:pPr>
              <w:rPr>
                <w:b/>
                <w:noProof/>
                <w:sz w:val="20"/>
              </w:rPr>
            </w:pPr>
          </w:p>
        </w:tc>
      </w:tr>
      <w:tr>
        <w:trPr>
          <w:trHeight w:val="319"/>
        </w:trPr>
        <w:tc>
          <w:tcPr>
            <w:tcW w:w="3960" w:type="dxa"/>
            <w:vAlign w:val="center"/>
          </w:tcPr>
          <w:p>
            <w:pPr>
              <w:spacing w:before="60" w:after="60"/>
              <w:rPr>
                <w:noProof/>
              </w:rPr>
            </w:pPr>
            <w:r>
              <w:rPr>
                <w:noProof/>
                <w:sz w:val="20"/>
              </w:rPr>
              <w:t>Не е приложимо</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26" w:type="dxa"/>
            <w:vAlign w:val="center"/>
          </w:tcPr>
          <w:p>
            <w:pPr>
              <w:spacing w:before="40" w:after="40"/>
              <w:jc w:val="right"/>
              <w:rPr>
                <w:b/>
                <w:noProof/>
                <w:sz w:val="20"/>
              </w:rPr>
            </w:pPr>
          </w:p>
        </w:tc>
        <w:tc>
          <w:tcPr>
            <w:tcW w:w="1320" w:type="dxa"/>
            <w:vAlign w:val="center"/>
          </w:tcPr>
          <w:p>
            <w:pPr>
              <w:spacing w:before="40" w:after="40"/>
              <w:jc w:val="right"/>
              <w:rPr>
                <w:b/>
                <w:noProof/>
                <w:sz w:val="20"/>
              </w:rPr>
            </w:pPr>
          </w:p>
        </w:tc>
        <w:tc>
          <w:tcPr>
            <w:tcW w:w="1032" w:type="dxa"/>
            <w:vAlign w:val="center"/>
          </w:tcPr>
          <w:p>
            <w:pPr>
              <w:spacing w:before="40" w:after="40"/>
              <w:jc w:val="right"/>
              <w:rPr>
                <w:b/>
                <w:noProof/>
                <w:sz w:val="20"/>
              </w:rPr>
            </w:pPr>
          </w:p>
        </w:tc>
        <w:tc>
          <w:tcPr>
            <w:tcW w:w="945" w:type="dxa"/>
            <w:vAlign w:val="center"/>
          </w:tcPr>
          <w:p>
            <w:pPr>
              <w:spacing w:before="40" w:after="40"/>
              <w:jc w:val="right"/>
              <w:rPr>
                <w:b/>
                <w:noProof/>
                <w:sz w:val="20"/>
              </w:rPr>
            </w:pPr>
          </w:p>
        </w:tc>
        <w:tc>
          <w:tcPr>
            <w:tcW w:w="1250" w:type="dxa"/>
            <w:vAlign w:val="center"/>
          </w:tcPr>
          <w:p>
            <w:pPr>
              <w:spacing w:before="40" w:after="40"/>
              <w:jc w:val="right"/>
              <w:rPr>
                <w:b/>
                <w:noProof/>
                <w:sz w:val="20"/>
              </w:rPr>
            </w:pPr>
          </w:p>
        </w:tc>
        <w:tc>
          <w:tcPr>
            <w:tcW w:w="720" w:type="dxa"/>
            <w:vAlign w:val="center"/>
          </w:tcPr>
          <w:p>
            <w:pPr>
              <w:spacing w:before="40" w:after="40"/>
              <w:jc w:val="right"/>
              <w:rPr>
                <w:b/>
                <w:noProof/>
                <w:sz w:val="20"/>
              </w:rPr>
            </w:pPr>
          </w:p>
        </w:tc>
        <w:tc>
          <w:tcPr>
            <w:tcW w:w="1216" w:type="dxa"/>
            <w:vAlign w:val="center"/>
          </w:tcPr>
          <w:p>
            <w:pPr>
              <w:spacing w:before="40" w:after="40"/>
              <w:jc w:val="right"/>
              <w:rPr>
                <w:b/>
                <w:noProof/>
                <w:sz w:val="20"/>
              </w:rPr>
            </w:pPr>
          </w:p>
        </w:tc>
        <w:tc>
          <w:tcPr>
            <w:tcW w:w="931"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rPr>
              <w:t>ОБЩО бюджетни кредити</w:t>
            </w:r>
            <w:r>
              <w:rPr>
                <w:noProof/>
              </w:rPr>
              <w:br/>
            </w:r>
            <w:r>
              <w:rPr>
                <w:b/>
                <w:noProof/>
              </w:rPr>
              <w:t>за ГД</w:t>
            </w:r>
            <w:r>
              <w:rPr>
                <w:noProof/>
              </w:rPr>
              <w:t xml:space="preserve"> „Заетост, социални въпроси и приобщаване“, „Регионална политика“ </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1032" w:type="dxa"/>
            <w:vAlign w:val="center"/>
          </w:tcPr>
          <w:p>
            <w:pPr>
              <w:spacing w:before="20" w:after="20"/>
              <w:jc w:val="right"/>
              <w:rPr>
                <w:noProof/>
                <w:sz w:val="20"/>
              </w:rPr>
            </w:pPr>
            <w:r>
              <w:rPr>
                <w:noProof/>
                <w:sz w:val="20"/>
              </w:rPr>
              <w:t>0</w:t>
            </w:r>
          </w:p>
        </w:tc>
        <w:tc>
          <w:tcPr>
            <w:tcW w:w="945" w:type="dxa"/>
            <w:vAlign w:val="center"/>
          </w:tcPr>
          <w:p>
            <w:pPr>
              <w:spacing w:before="20" w:after="20"/>
              <w:jc w:val="right"/>
              <w:rPr>
                <w:noProof/>
                <w:sz w:val="20"/>
              </w:rPr>
            </w:pPr>
            <w:r>
              <w:rPr>
                <w:noProof/>
                <w:sz w:val="20"/>
              </w:rPr>
              <w:t>0</w:t>
            </w:r>
          </w:p>
        </w:tc>
        <w:tc>
          <w:tcPr>
            <w:tcW w:w="1250" w:type="dxa"/>
            <w:vAlign w:val="center"/>
          </w:tcPr>
          <w:p>
            <w:pPr>
              <w:spacing w:before="20" w:after="20"/>
              <w:jc w:val="right"/>
              <w:rPr>
                <w:noProof/>
                <w:sz w:val="20"/>
              </w:rPr>
            </w:pPr>
            <w:r>
              <w:rPr>
                <w:noProof/>
                <w:sz w:val="20"/>
              </w:rPr>
              <w:t>0</w:t>
            </w:r>
          </w:p>
        </w:tc>
        <w:tc>
          <w:tcPr>
            <w:tcW w:w="720" w:type="dxa"/>
            <w:vAlign w:val="center"/>
          </w:tcPr>
          <w:p>
            <w:pPr>
              <w:spacing w:before="20" w:after="20"/>
              <w:jc w:val="right"/>
              <w:rPr>
                <w:noProof/>
                <w:sz w:val="20"/>
              </w:rPr>
            </w:pPr>
            <w:r>
              <w:rPr>
                <w:noProof/>
                <w:sz w:val="20"/>
              </w:rPr>
              <w:t>0</w:t>
            </w:r>
          </w:p>
        </w:tc>
        <w:tc>
          <w:tcPr>
            <w:tcW w:w="1216" w:type="dxa"/>
            <w:vAlign w:val="center"/>
          </w:tcPr>
          <w:p>
            <w:pPr>
              <w:spacing w:before="20" w:after="20"/>
              <w:jc w:val="right"/>
              <w:rPr>
                <w:b/>
                <w:noProof/>
                <w:sz w:val="20"/>
              </w:rPr>
            </w:pPr>
            <w:r>
              <w:rPr>
                <w:b/>
                <w:noProof/>
                <w:sz w:val="20"/>
              </w:rPr>
              <w:t>0</w:t>
            </w:r>
          </w:p>
        </w:tc>
        <w:tc>
          <w:tcPr>
            <w:tcW w:w="931" w:type="dxa"/>
            <w:vAlign w:val="center"/>
          </w:tcPr>
          <w:p>
            <w:pPr>
              <w:spacing w:before="20" w:after="20"/>
              <w:jc w:val="right"/>
              <w:rPr>
                <w:b/>
                <w:noProof/>
                <w:sz w:val="20"/>
              </w:rPr>
            </w:pPr>
            <w:r>
              <w:rPr>
                <w:b/>
                <w:noProof/>
                <w:sz w:val="20"/>
              </w:rPr>
              <w:t>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1 000,000</w:t>
            </w:r>
          </w:p>
        </w:tc>
        <w:tc>
          <w:tcPr>
            <w:tcW w:w="1032" w:type="dxa"/>
            <w:vAlign w:val="center"/>
          </w:tcPr>
          <w:p>
            <w:pPr>
              <w:spacing w:before="20" w:after="20"/>
              <w:jc w:val="right"/>
              <w:rPr>
                <w:noProof/>
                <w:sz w:val="20"/>
              </w:rPr>
            </w:pPr>
            <w:r>
              <w:rPr>
                <w:noProof/>
                <w:sz w:val="20"/>
              </w:rPr>
              <w:t>1 000,000</w:t>
            </w:r>
          </w:p>
        </w:tc>
        <w:tc>
          <w:tcPr>
            <w:tcW w:w="945" w:type="dxa"/>
            <w:vAlign w:val="center"/>
          </w:tcPr>
          <w:p>
            <w:pPr>
              <w:spacing w:before="20" w:after="20"/>
              <w:jc w:val="right"/>
              <w:rPr>
                <w:noProof/>
                <w:sz w:val="20"/>
              </w:rPr>
            </w:pPr>
            <w:r>
              <w:rPr>
                <w:noProof/>
                <w:sz w:val="20"/>
              </w:rPr>
              <w:t>0</w:t>
            </w:r>
          </w:p>
        </w:tc>
        <w:tc>
          <w:tcPr>
            <w:tcW w:w="1250" w:type="dxa"/>
            <w:vAlign w:val="center"/>
          </w:tcPr>
          <w:p>
            <w:pPr>
              <w:spacing w:before="20" w:after="20"/>
              <w:jc w:val="right"/>
              <w:rPr>
                <w:noProof/>
                <w:sz w:val="20"/>
              </w:rPr>
            </w:pPr>
            <w:r>
              <w:rPr>
                <w:b/>
                <w:noProof/>
                <w:sz w:val="20"/>
              </w:rPr>
              <w:t>–1 000,000</w:t>
            </w:r>
          </w:p>
        </w:tc>
        <w:tc>
          <w:tcPr>
            <w:tcW w:w="720" w:type="dxa"/>
            <w:vAlign w:val="center"/>
          </w:tcPr>
          <w:p>
            <w:pPr>
              <w:spacing w:before="20" w:after="20"/>
              <w:jc w:val="right"/>
              <w:rPr>
                <w:noProof/>
                <w:sz w:val="20"/>
              </w:rPr>
            </w:pPr>
            <w:r>
              <w:rPr>
                <w:noProof/>
                <w:sz w:val="20"/>
              </w:rPr>
              <w:t>0</w:t>
            </w:r>
          </w:p>
        </w:tc>
        <w:tc>
          <w:tcPr>
            <w:tcW w:w="1216" w:type="dxa"/>
            <w:vAlign w:val="center"/>
          </w:tcPr>
          <w:p>
            <w:pPr>
              <w:spacing w:before="20" w:after="20"/>
              <w:jc w:val="right"/>
              <w:rPr>
                <w:noProof/>
                <w:sz w:val="20"/>
              </w:rPr>
            </w:pPr>
            <w:r>
              <w:rPr>
                <w:b/>
                <w:noProof/>
              </w:rPr>
              <w:t>–1 000,000</w:t>
            </w:r>
          </w:p>
        </w:tc>
        <w:tc>
          <w:tcPr>
            <w:tcW w:w="931" w:type="dxa"/>
            <w:vAlign w:val="center"/>
          </w:tcPr>
          <w:p>
            <w:pPr>
              <w:spacing w:before="20" w:after="20"/>
              <w:jc w:val="right"/>
              <w:rPr>
                <w:b/>
                <w:noProof/>
                <w:sz w:val="20"/>
              </w:rPr>
            </w:pPr>
            <w:r>
              <w:rPr>
                <w:b/>
                <w:noProof/>
                <w:sz w:val="20"/>
              </w:rPr>
              <w:t>0</w:t>
            </w:r>
          </w:p>
        </w:tc>
      </w:tr>
    </w:tbl>
    <w:p>
      <w:pPr>
        <w:rPr>
          <w:noProof/>
        </w:rPr>
      </w:pPr>
      <w:r>
        <w:rPr>
          <w:noProof/>
        </w:rPr>
        <w:br/>
      </w:r>
      <w:r>
        <w:rPr>
          <w:noProof/>
        </w:rPr>
        <w:br/>
      </w: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026"/>
        <w:gridCol w:w="1320"/>
        <w:gridCol w:w="891"/>
        <w:gridCol w:w="141"/>
        <w:gridCol w:w="925"/>
        <w:gridCol w:w="20"/>
        <w:gridCol w:w="1180"/>
        <w:gridCol w:w="70"/>
        <w:gridCol w:w="410"/>
        <w:gridCol w:w="310"/>
        <w:gridCol w:w="863"/>
        <w:gridCol w:w="353"/>
        <w:gridCol w:w="861"/>
        <w:gridCol w:w="70"/>
      </w:tblGrid>
      <w:tr>
        <w:trPr>
          <w:gridAfter w:val="1"/>
          <w:wAfter w:w="70" w:type="dxa"/>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w:t>
            </w:r>
            <w:r>
              <w:rPr>
                <w:noProof/>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gridSpan w:val="2"/>
            <w:vAlign w:val="center"/>
          </w:tcPr>
          <w:p>
            <w:pPr>
              <w:spacing w:beforeLines="20" w:before="48" w:afterLines="20" w:after="48"/>
              <w:jc w:val="center"/>
              <w:rPr>
                <w:noProof/>
                <w:sz w:val="14"/>
              </w:rPr>
            </w:pPr>
            <w:r>
              <w:rPr>
                <w:noProof/>
                <w:sz w:val="14"/>
              </w:rPr>
              <w:t>4)</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gridSpan w:val="2"/>
            <w:vAlign w:val="center"/>
          </w:tcPr>
          <w:p>
            <w:pPr>
              <w:spacing w:before="20" w:after="20"/>
              <w:jc w:val="right"/>
              <w:rPr>
                <w:noProof/>
                <w:sz w:val="20"/>
              </w:rPr>
            </w:pPr>
            <w:r>
              <w:rPr>
                <w:noProof/>
                <w:sz w:val="20"/>
              </w:rPr>
              <w:t>0</w:t>
            </w:r>
          </w:p>
        </w:tc>
        <w:tc>
          <w:tcPr>
            <w:tcW w:w="1200" w:type="dxa"/>
            <w:gridSpan w:val="2"/>
            <w:vAlign w:val="center"/>
          </w:tcPr>
          <w:p>
            <w:pPr>
              <w:spacing w:before="20" w:after="20"/>
              <w:jc w:val="right"/>
              <w:rPr>
                <w:noProof/>
                <w:sz w:val="20"/>
              </w:rPr>
            </w:pPr>
            <w:r>
              <w:rPr>
                <w:noProof/>
                <w:sz w:val="20"/>
              </w:rPr>
              <w:t>0</w:t>
            </w:r>
          </w:p>
        </w:tc>
        <w:tc>
          <w:tcPr>
            <w:tcW w:w="480" w:type="dxa"/>
            <w:gridSpan w:val="2"/>
            <w:vAlign w:val="center"/>
          </w:tcPr>
          <w:p>
            <w:pPr>
              <w:spacing w:before="20" w:after="20"/>
              <w:jc w:val="right"/>
              <w:rPr>
                <w:noProof/>
                <w:sz w:val="20"/>
              </w:rPr>
            </w:pPr>
            <w:r>
              <w:rPr>
                <w:noProof/>
                <w:sz w:val="20"/>
              </w:rPr>
              <w:t>0</w:t>
            </w:r>
          </w:p>
        </w:tc>
        <w:tc>
          <w:tcPr>
            <w:tcW w:w="1173" w:type="dxa"/>
            <w:gridSpan w:val="2"/>
            <w:vAlign w:val="center"/>
          </w:tcPr>
          <w:p>
            <w:pPr>
              <w:spacing w:before="20" w:after="20"/>
              <w:jc w:val="right"/>
              <w:rPr>
                <w:noProof/>
                <w:sz w:val="20"/>
              </w:rPr>
            </w:pPr>
            <w:r>
              <w:rPr>
                <w:noProof/>
                <w:sz w:val="20"/>
              </w:rPr>
              <w:t>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P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gridSpan w:val="2"/>
            <w:vAlign w:val="center"/>
          </w:tcPr>
          <w:p>
            <w:pPr>
              <w:spacing w:beforeLines="20" w:before="48" w:afterLines="20" w:after="48"/>
              <w:jc w:val="center"/>
              <w:rPr>
                <w:noProof/>
                <w:sz w:val="14"/>
              </w:rPr>
            </w:pPr>
            <w:r>
              <w:rPr>
                <w:noProof/>
                <w:sz w:val="14"/>
              </w:rPr>
              <w:t>5)</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1 000,000</w:t>
            </w:r>
          </w:p>
        </w:tc>
        <w:tc>
          <w:tcPr>
            <w:tcW w:w="891" w:type="dxa"/>
            <w:vAlign w:val="center"/>
          </w:tcPr>
          <w:p>
            <w:pPr>
              <w:spacing w:before="20" w:after="20"/>
              <w:jc w:val="right"/>
              <w:rPr>
                <w:noProof/>
                <w:sz w:val="20"/>
              </w:rPr>
            </w:pPr>
            <w:r>
              <w:rPr>
                <w:noProof/>
                <w:sz w:val="20"/>
              </w:rPr>
              <w:t xml:space="preserve">1000,000 </w:t>
            </w:r>
          </w:p>
        </w:tc>
        <w:tc>
          <w:tcPr>
            <w:tcW w:w="1066" w:type="dxa"/>
            <w:gridSpan w:val="2"/>
            <w:vAlign w:val="center"/>
          </w:tcPr>
          <w:p>
            <w:pPr>
              <w:spacing w:before="20" w:after="20"/>
              <w:jc w:val="right"/>
              <w:rPr>
                <w:noProof/>
                <w:sz w:val="20"/>
              </w:rPr>
            </w:pPr>
          </w:p>
        </w:tc>
        <w:tc>
          <w:tcPr>
            <w:tcW w:w="1200" w:type="dxa"/>
            <w:gridSpan w:val="2"/>
            <w:vAlign w:val="center"/>
          </w:tcPr>
          <w:p>
            <w:pPr>
              <w:spacing w:before="20" w:after="20"/>
              <w:jc w:val="right"/>
              <w:rPr>
                <w:noProof/>
                <w:sz w:val="20"/>
              </w:rPr>
            </w:pPr>
            <w:r>
              <w:rPr>
                <w:b/>
                <w:noProof/>
                <w:sz w:val="20"/>
              </w:rPr>
              <w:t>–1000,000</w:t>
            </w:r>
          </w:p>
        </w:tc>
        <w:tc>
          <w:tcPr>
            <w:tcW w:w="480" w:type="dxa"/>
            <w:gridSpan w:val="2"/>
            <w:vAlign w:val="center"/>
          </w:tcPr>
          <w:p>
            <w:pPr>
              <w:spacing w:before="20" w:after="20"/>
              <w:jc w:val="right"/>
              <w:rPr>
                <w:noProof/>
                <w:sz w:val="20"/>
              </w:rPr>
            </w:pPr>
            <w:r>
              <w:rPr>
                <w:noProof/>
                <w:sz w:val="20"/>
              </w:rPr>
              <w:t>0</w:t>
            </w:r>
          </w:p>
        </w:tc>
        <w:tc>
          <w:tcPr>
            <w:tcW w:w="1173" w:type="dxa"/>
            <w:gridSpan w:val="2"/>
            <w:vAlign w:val="center"/>
          </w:tcPr>
          <w:p>
            <w:pPr>
              <w:spacing w:before="20" w:after="20"/>
              <w:jc w:val="right"/>
              <w:rPr>
                <w:noProof/>
                <w:sz w:val="20"/>
              </w:rPr>
            </w:pPr>
            <w:r>
              <w:rPr>
                <w:b/>
                <w:noProof/>
              </w:rPr>
              <w:t>–1 000,000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w:t>
            </w:r>
            <w:r>
              <w:rPr>
                <w:noProof/>
              </w:rPr>
              <w:t>ОБЩО бюджетни кредити за административни разходи, финансирани от пакета за определени програми</w:t>
            </w:r>
          </w:p>
        </w:tc>
        <w:tc>
          <w:tcPr>
            <w:tcW w:w="654" w:type="dxa"/>
            <w:gridSpan w:val="2"/>
            <w:vAlign w:val="center"/>
          </w:tcPr>
          <w:p>
            <w:pPr>
              <w:spacing w:beforeLines="20" w:before="48" w:afterLines="20" w:after="48"/>
              <w:jc w:val="center"/>
              <w:rPr>
                <w:noProof/>
                <w:sz w:val="14"/>
              </w:rPr>
            </w:pPr>
            <w:r>
              <w:rPr>
                <w:noProof/>
                <w:sz w:val="14"/>
              </w:rPr>
              <w:t>6)</w:t>
            </w:r>
          </w:p>
        </w:tc>
        <w:tc>
          <w:tcPr>
            <w:tcW w:w="1026" w:type="dxa"/>
            <w:vAlign w:val="center"/>
          </w:tcPr>
          <w:p>
            <w:pPr>
              <w:spacing w:before="20" w:after="20"/>
              <w:jc w:val="right"/>
              <w:rPr>
                <w:b/>
                <w:noProof/>
                <w:sz w:val="20"/>
              </w:rPr>
            </w:pPr>
            <w:r>
              <w:rPr>
                <w:b/>
                <w:noProof/>
                <w:sz w:val="20"/>
              </w:rPr>
              <w:t>0</w:t>
            </w:r>
          </w:p>
        </w:tc>
        <w:tc>
          <w:tcPr>
            <w:tcW w:w="1320" w:type="dxa"/>
            <w:vAlign w:val="center"/>
          </w:tcPr>
          <w:p>
            <w:pPr>
              <w:spacing w:before="20" w:after="20"/>
              <w:jc w:val="right"/>
              <w:rPr>
                <w:b/>
                <w:noProof/>
                <w:sz w:val="20"/>
              </w:rPr>
            </w:pPr>
            <w:r>
              <w:rPr>
                <w:b/>
                <w:noProof/>
                <w:sz w:val="20"/>
              </w:rPr>
              <w:t>0</w:t>
            </w:r>
          </w:p>
        </w:tc>
        <w:tc>
          <w:tcPr>
            <w:tcW w:w="891" w:type="dxa"/>
            <w:vAlign w:val="center"/>
          </w:tcPr>
          <w:p>
            <w:pPr>
              <w:spacing w:before="20" w:after="20"/>
              <w:jc w:val="right"/>
              <w:rPr>
                <w:b/>
                <w:noProof/>
                <w:sz w:val="20"/>
              </w:rPr>
            </w:pPr>
            <w:r>
              <w:rPr>
                <w:b/>
                <w:noProof/>
                <w:sz w:val="20"/>
              </w:rPr>
              <w:t>0</w:t>
            </w:r>
          </w:p>
        </w:tc>
        <w:tc>
          <w:tcPr>
            <w:tcW w:w="1066" w:type="dxa"/>
            <w:gridSpan w:val="2"/>
            <w:vAlign w:val="center"/>
          </w:tcPr>
          <w:p>
            <w:pPr>
              <w:spacing w:before="20" w:after="20"/>
              <w:jc w:val="right"/>
              <w:rPr>
                <w:b/>
                <w:noProof/>
                <w:sz w:val="20"/>
              </w:rPr>
            </w:pPr>
            <w:r>
              <w:rPr>
                <w:b/>
                <w:noProof/>
                <w:sz w:val="20"/>
              </w:rPr>
              <w:t>0</w:t>
            </w:r>
          </w:p>
        </w:tc>
        <w:tc>
          <w:tcPr>
            <w:tcW w:w="1200" w:type="dxa"/>
            <w:gridSpan w:val="2"/>
            <w:vAlign w:val="center"/>
          </w:tcPr>
          <w:p>
            <w:pPr>
              <w:spacing w:before="20" w:after="20"/>
              <w:jc w:val="right"/>
              <w:rPr>
                <w:b/>
                <w:noProof/>
                <w:sz w:val="20"/>
              </w:rPr>
            </w:pPr>
            <w:r>
              <w:rPr>
                <w:b/>
                <w:noProof/>
                <w:sz w:val="20"/>
              </w:rPr>
              <w:t>0</w:t>
            </w:r>
          </w:p>
        </w:tc>
        <w:tc>
          <w:tcPr>
            <w:tcW w:w="480" w:type="dxa"/>
            <w:gridSpan w:val="2"/>
            <w:vAlign w:val="center"/>
          </w:tcPr>
          <w:p>
            <w:pPr>
              <w:spacing w:before="20" w:after="20"/>
              <w:jc w:val="right"/>
              <w:rPr>
                <w:b/>
                <w:noProof/>
                <w:sz w:val="20"/>
              </w:rPr>
            </w:pPr>
            <w:r>
              <w:rPr>
                <w:b/>
                <w:noProof/>
                <w:sz w:val="20"/>
              </w:rPr>
              <w:t>0</w:t>
            </w:r>
          </w:p>
        </w:tc>
        <w:tc>
          <w:tcPr>
            <w:tcW w:w="1173" w:type="dxa"/>
            <w:gridSpan w:val="2"/>
            <w:vAlign w:val="center"/>
          </w:tcPr>
          <w:p>
            <w:pPr>
              <w:spacing w:before="20" w:after="20"/>
              <w:jc w:val="right"/>
              <w:rPr>
                <w:noProof/>
                <w:sz w:val="20"/>
              </w:rPr>
            </w:pPr>
            <w:r>
              <w:rPr>
                <w:noProof/>
                <w:sz w:val="20"/>
              </w:rPr>
              <w:t>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Pr>
        <w:tc>
          <w:tcPr>
            <w:tcW w:w="3960" w:type="dxa"/>
            <w:vMerge w:val="restart"/>
            <w:shd w:val="thinDiagStripe" w:color="C0C0C0" w:fill="auto"/>
            <w:vAlign w:val="center"/>
          </w:tcPr>
          <w:p>
            <w:pPr>
              <w:jc w:val="center"/>
              <w:rPr>
                <w:b/>
                <w:noProof/>
              </w:rPr>
            </w:pPr>
            <w:r>
              <w:rPr>
                <w:b/>
                <w:noProof/>
              </w:rPr>
              <w:t>ОБЩО бюджетни кредити</w:t>
            </w:r>
            <w:r>
              <w:rPr>
                <w:noProof/>
              </w:rPr>
              <w:br/>
            </w:r>
            <w:r>
              <w:rPr>
                <w:b/>
                <w:noProof/>
              </w:rPr>
              <w:t>за ФУНКЦИЯ 1</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=4+ 6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gridSpan w:val="2"/>
            <w:vAlign w:val="center"/>
          </w:tcPr>
          <w:p>
            <w:pPr>
              <w:spacing w:before="20" w:after="20"/>
              <w:jc w:val="right"/>
              <w:rPr>
                <w:noProof/>
                <w:sz w:val="20"/>
              </w:rPr>
            </w:pPr>
            <w:r>
              <w:rPr>
                <w:noProof/>
                <w:sz w:val="20"/>
              </w:rPr>
              <w:t>0</w:t>
            </w:r>
          </w:p>
        </w:tc>
        <w:tc>
          <w:tcPr>
            <w:tcW w:w="1200" w:type="dxa"/>
            <w:gridSpan w:val="2"/>
            <w:vAlign w:val="center"/>
          </w:tcPr>
          <w:p>
            <w:pPr>
              <w:spacing w:before="20" w:after="20"/>
              <w:jc w:val="right"/>
              <w:rPr>
                <w:noProof/>
                <w:sz w:val="20"/>
              </w:rPr>
            </w:pPr>
            <w:r>
              <w:rPr>
                <w:noProof/>
                <w:sz w:val="20"/>
              </w:rPr>
              <w:t>0</w:t>
            </w:r>
          </w:p>
        </w:tc>
        <w:tc>
          <w:tcPr>
            <w:tcW w:w="480" w:type="dxa"/>
            <w:gridSpan w:val="2"/>
            <w:vAlign w:val="center"/>
          </w:tcPr>
          <w:p>
            <w:pPr>
              <w:spacing w:before="20" w:after="20"/>
              <w:jc w:val="right"/>
              <w:rPr>
                <w:noProof/>
                <w:sz w:val="20"/>
              </w:rPr>
            </w:pPr>
            <w:r>
              <w:rPr>
                <w:noProof/>
                <w:sz w:val="20"/>
              </w:rPr>
              <w:t>0</w:t>
            </w:r>
          </w:p>
        </w:tc>
        <w:tc>
          <w:tcPr>
            <w:tcW w:w="1173" w:type="dxa"/>
            <w:gridSpan w:val="2"/>
            <w:vAlign w:val="center"/>
          </w:tcPr>
          <w:p>
            <w:pPr>
              <w:spacing w:before="20" w:after="20"/>
              <w:jc w:val="right"/>
              <w:rPr>
                <w:noProof/>
                <w:sz w:val="20"/>
              </w:rPr>
            </w:pPr>
            <w:r>
              <w:rPr>
                <w:noProof/>
                <w:sz w:val="20"/>
              </w:rPr>
              <w:t>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P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=5+ 6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1 000,000</w:t>
            </w:r>
          </w:p>
        </w:tc>
        <w:tc>
          <w:tcPr>
            <w:tcW w:w="891" w:type="dxa"/>
            <w:vAlign w:val="center"/>
          </w:tcPr>
          <w:p>
            <w:pPr>
              <w:spacing w:before="20" w:after="20"/>
              <w:jc w:val="right"/>
              <w:rPr>
                <w:noProof/>
                <w:sz w:val="20"/>
              </w:rPr>
            </w:pPr>
            <w:r>
              <w:rPr>
                <w:noProof/>
                <w:sz w:val="20"/>
              </w:rPr>
              <w:t xml:space="preserve">1 000,000 </w:t>
            </w:r>
          </w:p>
        </w:tc>
        <w:tc>
          <w:tcPr>
            <w:tcW w:w="1066" w:type="dxa"/>
            <w:gridSpan w:val="2"/>
            <w:vAlign w:val="center"/>
          </w:tcPr>
          <w:p>
            <w:pPr>
              <w:spacing w:before="20" w:after="20"/>
              <w:jc w:val="right"/>
              <w:rPr>
                <w:noProof/>
                <w:sz w:val="20"/>
              </w:rPr>
            </w:pPr>
            <w:r>
              <w:rPr>
                <w:noProof/>
                <w:sz w:val="20"/>
              </w:rPr>
              <w:t>0</w:t>
            </w:r>
          </w:p>
        </w:tc>
        <w:tc>
          <w:tcPr>
            <w:tcW w:w="1200" w:type="dxa"/>
            <w:gridSpan w:val="2"/>
            <w:vAlign w:val="center"/>
          </w:tcPr>
          <w:p>
            <w:pPr>
              <w:spacing w:before="20" w:after="20"/>
              <w:jc w:val="right"/>
              <w:rPr>
                <w:noProof/>
                <w:sz w:val="20"/>
              </w:rPr>
            </w:pPr>
            <w:r>
              <w:rPr>
                <w:b/>
                <w:noProof/>
                <w:sz w:val="20"/>
              </w:rPr>
              <w:t>–1 000,000</w:t>
            </w:r>
          </w:p>
        </w:tc>
        <w:tc>
          <w:tcPr>
            <w:tcW w:w="480" w:type="dxa"/>
            <w:gridSpan w:val="2"/>
            <w:vAlign w:val="center"/>
          </w:tcPr>
          <w:p>
            <w:pPr>
              <w:spacing w:before="20" w:after="20"/>
              <w:jc w:val="right"/>
              <w:rPr>
                <w:noProof/>
                <w:sz w:val="20"/>
              </w:rPr>
            </w:pPr>
            <w:r>
              <w:rPr>
                <w:noProof/>
                <w:sz w:val="20"/>
              </w:rPr>
              <w:t>0</w:t>
            </w:r>
          </w:p>
        </w:tc>
        <w:tc>
          <w:tcPr>
            <w:tcW w:w="1173" w:type="dxa"/>
            <w:gridSpan w:val="2"/>
            <w:vAlign w:val="center"/>
          </w:tcPr>
          <w:p>
            <w:pPr>
              <w:spacing w:before="20" w:after="20"/>
              <w:jc w:val="right"/>
              <w:rPr>
                <w:noProof/>
                <w:sz w:val="20"/>
              </w:rPr>
            </w:pPr>
            <w:r>
              <w:rPr>
                <w:b/>
                <w:noProof/>
              </w:rPr>
              <w:t>–1 000,000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Pr>
        <w:tc>
          <w:tcPr>
            <w:tcW w:w="3960" w:type="dxa"/>
            <w:shd w:val="thinDiagStripe" w:color="C0C0C0" w:fill="auto"/>
          </w:tcPr>
          <w:p>
            <w:pPr>
              <w:rPr>
                <w:noProof/>
                <w:sz w:val="20"/>
              </w:rPr>
            </w:pPr>
          </w:p>
        </w:tc>
        <w:tc>
          <w:tcPr>
            <w:tcW w:w="1440" w:type="dxa"/>
            <w:vAlign w:val="center"/>
          </w:tcPr>
          <w:p>
            <w:pPr>
              <w:rPr>
                <w:noProof/>
                <w:sz w:val="18"/>
              </w:rPr>
            </w:pPr>
          </w:p>
        </w:tc>
        <w:tc>
          <w:tcPr>
            <w:tcW w:w="654" w:type="dxa"/>
            <w:gridSpan w:val="2"/>
            <w:vAlign w:val="center"/>
          </w:tcPr>
          <w:p>
            <w:pPr>
              <w:jc w:val="center"/>
              <w:rPr>
                <w:noProof/>
                <w:sz w:val="14"/>
              </w:rPr>
            </w:pPr>
          </w:p>
        </w:tc>
        <w:tc>
          <w:tcPr>
            <w:tcW w:w="102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gridSpan w:val="2"/>
            <w:vAlign w:val="center"/>
          </w:tcPr>
          <w:p>
            <w:pPr>
              <w:spacing w:before="20" w:after="20"/>
              <w:jc w:val="right"/>
              <w:rPr>
                <w:noProof/>
                <w:sz w:val="20"/>
              </w:rPr>
            </w:pPr>
          </w:p>
        </w:tc>
        <w:tc>
          <w:tcPr>
            <w:tcW w:w="1200" w:type="dxa"/>
            <w:gridSpan w:val="2"/>
            <w:vAlign w:val="center"/>
          </w:tcPr>
          <w:p>
            <w:pPr>
              <w:spacing w:before="20" w:after="20"/>
              <w:jc w:val="right"/>
              <w:rPr>
                <w:b/>
                <w:noProof/>
                <w:sz w:val="20"/>
              </w:rPr>
            </w:pPr>
          </w:p>
        </w:tc>
        <w:tc>
          <w:tcPr>
            <w:tcW w:w="480" w:type="dxa"/>
            <w:gridSpan w:val="2"/>
            <w:vAlign w:val="center"/>
          </w:tcPr>
          <w:p>
            <w:pPr>
              <w:spacing w:before="20" w:after="20"/>
              <w:jc w:val="right"/>
              <w:rPr>
                <w:noProof/>
                <w:sz w:val="20"/>
              </w:rPr>
            </w:pPr>
          </w:p>
        </w:tc>
        <w:tc>
          <w:tcPr>
            <w:tcW w:w="1173" w:type="dxa"/>
            <w:gridSpan w:val="2"/>
            <w:vAlign w:val="center"/>
          </w:tcPr>
          <w:p>
            <w:pPr>
              <w:spacing w:before="20" w:after="20"/>
              <w:jc w:val="right"/>
              <w:rPr>
                <w:b/>
                <w:noProof/>
                <w:sz w:val="20"/>
              </w:rPr>
            </w:pPr>
          </w:p>
        </w:tc>
        <w:tc>
          <w:tcPr>
            <w:tcW w:w="1214" w:type="dxa"/>
            <w:gridSpan w:val="2"/>
            <w:vAlign w:val="center"/>
          </w:tcPr>
          <w:p>
            <w:pPr>
              <w:spacing w:before="20" w:after="20"/>
              <w:jc w:val="right"/>
              <w:rPr>
                <w:b/>
                <w:noProof/>
                <w:sz w:val="20"/>
              </w:rPr>
            </w:pPr>
          </w:p>
        </w:tc>
      </w:tr>
      <w:tr>
        <w:tc>
          <w:tcPr>
            <w:tcW w:w="3960" w:type="dxa"/>
            <w:vAlign w:val="center"/>
          </w:tcPr>
          <w:p>
            <w:pPr>
              <w:jc w:val="center"/>
              <w:rPr>
                <w:noProof/>
              </w:rPr>
            </w:pPr>
            <w:r>
              <w:rPr>
                <w:noProof/>
                <w:sz w:val="22"/>
              </w:rPr>
              <w:t xml:space="preserve">ГД: </w:t>
            </w:r>
            <w:r>
              <w:rPr>
                <w:noProof/>
              </w:rPr>
              <w:t>ГД „Рибарство и морско дело“</w:t>
            </w:r>
          </w:p>
        </w:tc>
        <w:tc>
          <w:tcPr>
            <w:tcW w:w="1560" w:type="dxa"/>
            <w:gridSpan w:val="2"/>
          </w:tcPr>
          <w:p>
            <w:pPr>
              <w:rPr>
                <w:noProof/>
                <w:sz w:val="20"/>
              </w:rPr>
            </w:pPr>
          </w:p>
        </w:tc>
        <w:tc>
          <w:tcPr>
            <w:tcW w:w="534" w:type="dxa"/>
          </w:tcPr>
          <w:p>
            <w:pPr>
              <w:jc w:val="center"/>
              <w:rPr>
                <w:noProof/>
                <w:sz w:val="20"/>
              </w:rPr>
            </w:pPr>
          </w:p>
        </w:tc>
        <w:tc>
          <w:tcPr>
            <w:tcW w:w="1026" w:type="dxa"/>
          </w:tcPr>
          <w:p>
            <w:pPr>
              <w:rPr>
                <w:noProof/>
              </w:rPr>
            </w:pPr>
            <w:r>
              <w:rPr>
                <w:noProof/>
              </w:rPr>
              <w:t>2014 г.</w:t>
            </w:r>
          </w:p>
        </w:tc>
        <w:tc>
          <w:tcPr>
            <w:tcW w:w="1320" w:type="dxa"/>
          </w:tcPr>
          <w:p>
            <w:pPr>
              <w:rPr>
                <w:noProof/>
              </w:rPr>
            </w:pPr>
            <w:r>
              <w:rPr>
                <w:noProof/>
              </w:rPr>
              <w:t>2015 г.</w:t>
            </w:r>
          </w:p>
        </w:tc>
        <w:tc>
          <w:tcPr>
            <w:tcW w:w="1032" w:type="dxa"/>
            <w:gridSpan w:val="2"/>
          </w:tcPr>
          <w:p>
            <w:pPr>
              <w:rPr>
                <w:noProof/>
              </w:rPr>
            </w:pPr>
            <w:r>
              <w:rPr>
                <w:noProof/>
              </w:rPr>
              <w:t>2016 г.</w:t>
            </w:r>
          </w:p>
        </w:tc>
        <w:tc>
          <w:tcPr>
            <w:tcW w:w="945" w:type="dxa"/>
            <w:gridSpan w:val="2"/>
          </w:tcPr>
          <w:p>
            <w:pPr>
              <w:rPr>
                <w:noProof/>
              </w:rPr>
            </w:pPr>
            <w:r>
              <w:rPr>
                <w:noProof/>
              </w:rPr>
              <w:t>2017 г.</w:t>
            </w:r>
          </w:p>
        </w:tc>
        <w:tc>
          <w:tcPr>
            <w:tcW w:w="1250" w:type="dxa"/>
            <w:gridSpan w:val="2"/>
          </w:tcPr>
          <w:p>
            <w:pPr>
              <w:rPr>
                <w:noProof/>
              </w:rPr>
            </w:pPr>
            <w:r>
              <w:rPr>
                <w:noProof/>
              </w:rPr>
              <w:t>2018 г.</w:t>
            </w:r>
            <w:r>
              <w:rPr>
                <w:rStyle w:val="FootnoteReference"/>
                <w:noProof/>
              </w:rPr>
              <w:footnoteReference w:id="11"/>
            </w:r>
          </w:p>
        </w:tc>
        <w:tc>
          <w:tcPr>
            <w:tcW w:w="720" w:type="dxa"/>
            <w:gridSpan w:val="2"/>
          </w:tcPr>
          <w:p>
            <w:pPr>
              <w:rPr>
                <w:noProof/>
              </w:rPr>
            </w:pPr>
            <w:r>
              <w:rPr>
                <w:noProof/>
              </w:rPr>
              <w:t>2019 г.</w:t>
            </w:r>
          </w:p>
        </w:tc>
        <w:tc>
          <w:tcPr>
            <w:tcW w:w="1216" w:type="dxa"/>
            <w:gridSpan w:val="2"/>
          </w:tcPr>
          <w:p>
            <w:pPr>
              <w:rPr>
                <w:noProof/>
              </w:rPr>
            </w:pPr>
            <w:r>
              <w:rPr>
                <w:noProof/>
              </w:rPr>
              <w:t>2020 г.</w:t>
            </w:r>
          </w:p>
        </w:tc>
        <w:tc>
          <w:tcPr>
            <w:tcW w:w="931" w:type="dxa"/>
            <w:gridSpan w:val="2"/>
            <w:vAlign w:val="center"/>
          </w:tcPr>
          <w:p>
            <w:pPr>
              <w:jc w:val="center"/>
              <w:rPr>
                <w:b/>
                <w:noProof/>
                <w:sz w:val="20"/>
              </w:rPr>
            </w:pPr>
            <w:r>
              <w:rPr>
                <w:b/>
                <w:noProof/>
                <w:sz w:val="20"/>
              </w:rPr>
              <w:t>ОБЩО</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w:t>
            </w:r>
            <w:r>
              <w:rPr>
                <w:noProof/>
              </w:rPr>
              <w:t>Бюджетни кредити за оперативни разходи</w:t>
            </w:r>
          </w:p>
        </w:tc>
        <w:tc>
          <w:tcPr>
            <w:tcW w:w="1026" w:type="dxa"/>
            <w:vAlign w:val="center"/>
          </w:tcPr>
          <w:p>
            <w:pPr>
              <w:rPr>
                <w:noProof/>
                <w:sz w:val="20"/>
              </w:rPr>
            </w:pPr>
          </w:p>
        </w:tc>
        <w:tc>
          <w:tcPr>
            <w:tcW w:w="1320" w:type="dxa"/>
            <w:vAlign w:val="center"/>
          </w:tcPr>
          <w:p>
            <w:pPr>
              <w:rPr>
                <w:noProof/>
                <w:sz w:val="20"/>
              </w:rPr>
            </w:pPr>
          </w:p>
        </w:tc>
        <w:tc>
          <w:tcPr>
            <w:tcW w:w="1032" w:type="dxa"/>
            <w:gridSpan w:val="2"/>
            <w:vAlign w:val="center"/>
          </w:tcPr>
          <w:p>
            <w:pPr>
              <w:rPr>
                <w:noProof/>
                <w:sz w:val="20"/>
              </w:rPr>
            </w:pPr>
          </w:p>
        </w:tc>
        <w:tc>
          <w:tcPr>
            <w:tcW w:w="945" w:type="dxa"/>
            <w:gridSpan w:val="2"/>
            <w:vAlign w:val="center"/>
          </w:tcPr>
          <w:p>
            <w:pPr>
              <w:rPr>
                <w:noProof/>
                <w:sz w:val="20"/>
              </w:rPr>
            </w:pPr>
          </w:p>
        </w:tc>
        <w:tc>
          <w:tcPr>
            <w:tcW w:w="1250" w:type="dxa"/>
            <w:gridSpan w:val="2"/>
            <w:vAlign w:val="center"/>
          </w:tcPr>
          <w:p>
            <w:pPr>
              <w:rPr>
                <w:noProof/>
                <w:sz w:val="20"/>
              </w:rPr>
            </w:pPr>
          </w:p>
        </w:tc>
        <w:tc>
          <w:tcPr>
            <w:tcW w:w="720" w:type="dxa"/>
            <w:gridSpan w:val="2"/>
            <w:vAlign w:val="center"/>
          </w:tcPr>
          <w:p>
            <w:pPr>
              <w:rPr>
                <w:noProof/>
                <w:sz w:val="20"/>
              </w:rPr>
            </w:pPr>
          </w:p>
        </w:tc>
        <w:tc>
          <w:tcPr>
            <w:tcW w:w="1216" w:type="dxa"/>
            <w:gridSpan w:val="2"/>
            <w:vAlign w:val="center"/>
          </w:tcPr>
          <w:p>
            <w:pPr>
              <w:rPr>
                <w:b/>
                <w:noProof/>
                <w:sz w:val="20"/>
              </w:rPr>
            </w:pPr>
          </w:p>
        </w:tc>
        <w:tc>
          <w:tcPr>
            <w:tcW w:w="931" w:type="dxa"/>
            <w:gridSpan w:val="2"/>
            <w:vAlign w:val="center"/>
          </w:tcPr>
          <w:p>
            <w:pPr>
              <w:rPr>
                <w:b/>
                <w:noProof/>
                <w:sz w:val="20"/>
              </w:rPr>
            </w:pPr>
          </w:p>
        </w:tc>
      </w:tr>
      <w:tr>
        <w:trPr>
          <w:trHeight w:val="277"/>
        </w:trPr>
        <w:tc>
          <w:tcPr>
            <w:tcW w:w="3960" w:type="dxa"/>
            <w:vMerge w:val="restart"/>
            <w:vAlign w:val="center"/>
          </w:tcPr>
          <w:p>
            <w:pPr>
              <w:spacing w:before="60"/>
              <w:rPr>
                <w:noProof/>
                <w:sz w:val="21"/>
              </w:rPr>
            </w:pPr>
            <w:r>
              <w:rPr>
                <w:noProof/>
                <w:sz w:val="21"/>
              </w:rPr>
              <w:t>2: Устойчив растеж: Природни ресурси</w:t>
            </w:r>
          </w:p>
          <w:p>
            <w:pPr>
              <w:spacing w:before="60"/>
              <w:rPr>
                <w:noProof/>
              </w:rPr>
            </w:pPr>
            <w:r>
              <w:rPr>
                <w:noProof/>
                <w:sz w:val="21"/>
              </w:rPr>
              <w:t>Европейски фонд за морско дело и рибарство</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1032" w:type="dxa"/>
            <w:gridSpan w:val="2"/>
            <w:vAlign w:val="center"/>
          </w:tcPr>
          <w:p>
            <w:pPr>
              <w:spacing w:before="20" w:after="20"/>
              <w:jc w:val="right"/>
              <w:rPr>
                <w:noProof/>
                <w:sz w:val="20"/>
              </w:rPr>
            </w:pPr>
            <w:r>
              <w:rPr>
                <w:noProof/>
                <w:sz w:val="20"/>
              </w:rPr>
              <w:t>0</w:t>
            </w:r>
          </w:p>
        </w:tc>
        <w:tc>
          <w:tcPr>
            <w:tcW w:w="945" w:type="dxa"/>
            <w:gridSpan w:val="2"/>
            <w:vAlign w:val="center"/>
          </w:tcPr>
          <w:p>
            <w:pPr>
              <w:spacing w:before="20" w:after="20"/>
              <w:jc w:val="right"/>
              <w:rPr>
                <w:noProof/>
                <w:sz w:val="20"/>
              </w:rPr>
            </w:pPr>
            <w:r>
              <w:rPr>
                <w:noProof/>
                <w:sz w:val="20"/>
              </w:rPr>
              <w:t>0</w:t>
            </w:r>
          </w:p>
        </w:tc>
        <w:tc>
          <w:tcPr>
            <w:tcW w:w="1250" w:type="dxa"/>
            <w:gridSpan w:val="2"/>
            <w:vAlign w:val="center"/>
          </w:tcPr>
          <w:p>
            <w:pPr>
              <w:spacing w:before="20" w:after="20"/>
              <w:jc w:val="right"/>
              <w:rPr>
                <w:noProof/>
                <w:sz w:val="20"/>
              </w:rPr>
            </w:pPr>
            <w:r>
              <w:rPr>
                <w:noProof/>
                <w:sz w:val="20"/>
              </w:rPr>
              <w:t>0</w:t>
            </w:r>
          </w:p>
        </w:tc>
        <w:tc>
          <w:tcPr>
            <w:tcW w:w="720" w:type="dxa"/>
            <w:gridSpan w:val="2"/>
            <w:vAlign w:val="center"/>
          </w:tcPr>
          <w:p>
            <w:pPr>
              <w:spacing w:before="20" w:after="20"/>
              <w:jc w:val="right"/>
              <w:rPr>
                <w:noProof/>
                <w:sz w:val="20"/>
              </w:rPr>
            </w:pPr>
            <w:r>
              <w:rPr>
                <w:noProof/>
                <w:sz w:val="20"/>
              </w:rPr>
              <w:t>0</w:t>
            </w:r>
          </w:p>
        </w:tc>
        <w:tc>
          <w:tcPr>
            <w:tcW w:w="1216" w:type="dxa"/>
            <w:gridSpan w:val="2"/>
            <w:vAlign w:val="center"/>
          </w:tcPr>
          <w:p>
            <w:pPr>
              <w:spacing w:before="20" w:after="20"/>
              <w:jc w:val="right"/>
              <w:rPr>
                <w:b/>
                <w:noProof/>
                <w:sz w:val="20"/>
              </w:rPr>
            </w:pPr>
            <w:r>
              <w:rPr>
                <w:b/>
                <w:noProof/>
                <w:sz w:val="20"/>
              </w:rPr>
              <w:t>0</w:t>
            </w:r>
          </w:p>
        </w:tc>
        <w:tc>
          <w:tcPr>
            <w:tcW w:w="931" w:type="dxa"/>
            <w:gridSpan w:val="2"/>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12,8</w:t>
            </w:r>
          </w:p>
        </w:tc>
        <w:tc>
          <w:tcPr>
            <w:tcW w:w="1032" w:type="dxa"/>
            <w:gridSpan w:val="2"/>
            <w:vAlign w:val="center"/>
          </w:tcPr>
          <w:p>
            <w:pPr>
              <w:spacing w:before="20" w:after="20"/>
              <w:jc w:val="right"/>
              <w:rPr>
                <w:noProof/>
                <w:sz w:val="20"/>
              </w:rPr>
            </w:pPr>
            <w:r>
              <w:rPr>
                <w:noProof/>
                <w:sz w:val="20"/>
              </w:rPr>
              <w:t xml:space="preserve">12,8 </w:t>
            </w:r>
          </w:p>
        </w:tc>
        <w:tc>
          <w:tcPr>
            <w:tcW w:w="945" w:type="dxa"/>
            <w:gridSpan w:val="2"/>
            <w:vAlign w:val="center"/>
          </w:tcPr>
          <w:p>
            <w:pPr>
              <w:spacing w:before="20" w:after="20"/>
              <w:jc w:val="right"/>
              <w:rPr>
                <w:noProof/>
                <w:sz w:val="20"/>
              </w:rPr>
            </w:pPr>
          </w:p>
        </w:tc>
        <w:tc>
          <w:tcPr>
            <w:tcW w:w="1250" w:type="dxa"/>
            <w:gridSpan w:val="2"/>
            <w:vAlign w:val="center"/>
          </w:tcPr>
          <w:p>
            <w:pPr>
              <w:spacing w:before="20" w:after="20"/>
              <w:jc w:val="right"/>
              <w:rPr>
                <w:noProof/>
                <w:sz w:val="20"/>
              </w:rPr>
            </w:pPr>
            <w:r>
              <w:rPr>
                <w:b/>
                <w:noProof/>
                <w:sz w:val="20"/>
              </w:rPr>
              <w:t>–12,8</w:t>
            </w:r>
          </w:p>
        </w:tc>
        <w:tc>
          <w:tcPr>
            <w:tcW w:w="720" w:type="dxa"/>
            <w:gridSpan w:val="2"/>
            <w:vAlign w:val="center"/>
          </w:tcPr>
          <w:p>
            <w:pPr>
              <w:spacing w:before="20" w:after="20"/>
              <w:jc w:val="right"/>
              <w:rPr>
                <w:noProof/>
                <w:sz w:val="20"/>
              </w:rPr>
            </w:pPr>
            <w:r>
              <w:rPr>
                <w:noProof/>
                <w:sz w:val="20"/>
              </w:rPr>
              <w:t>0</w:t>
            </w:r>
          </w:p>
        </w:tc>
        <w:tc>
          <w:tcPr>
            <w:tcW w:w="1216" w:type="dxa"/>
            <w:gridSpan w:val="2"/>
            <w:vAlign w:val="center"/>
          </w:tcPr>
          <w:p>
            <w:pPr>
              <w:spacing w:before="20" w:after="20"/>
              <w:jc w:val="right"/>
              <w:rPr>
                <w:b/>
                <w:noProof/>
                <w:sz w:val="20"/>
              </w:rPr>
            </w:pPr>
            <w:r>
              <w:rPr>
                <w:b/>
                <w:noProof/>
                <w:sz w:val="20"/>
              </w:rPr>
              <w:t xml:space="preserve"> –12,8</w:t>
            </w:r>
          </w:p>
        </w:tc>
        <w:tc>
          <w:tcPr>
            <w:tcW w:w="931" w:type="dxa"/>
            <w:gridSpan w:val="2"/>
            <w:vAlign w:val="center"/>
          </w:tcPr>
          <w:p>
            <w:pPr>
              <w:spacing w:before="20" w:after="20"/>
              <w:jc w:val="right"/>
              <w:rPr>
                <w:b/>
                <w:noProof/>
                <w:sz w:val="20"/>
              </w:rPr>
            </w:pPr>
            <w:r>
              <w:rPr>
                <w:b/>
                <w:noProof/>
                <w:sz w:val="20"/>
              </w:rPr>
              <w:t>0</w:t>
            </w:r>
          </w:p>
        </w:tc>
      </w:tr>
      <w:tr>
        <w:trPr>
          <w:trHeight w:val="231"/>
        </w:trPr>
        <w:tc>
          <w:tcPr>
            <w:tcW w:w="6054" w:type="dxa"/>
            <w:gridSpan w:val="4"/>
            <w:vAlign w:val="center"/>
          </w:tcPr>
          <w:p>
            <w:pPr>
              <w:spacing w:before="20" w:after="20"/>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2"/>
            </w:r>
            <w:r>
              <w:rPr>
                <w:noProof/>
                <w:sz w:val="21"/>
              </w:rPr>
              <w:t xml:space="preserve"> </w:t>
            </w:r>
          </w:p>
          <w:p>
            <w:pPr>
              <w:spacing w:before="0" w:after="0"/>
              <w:rPr>
                <w:noProof/>
              </w:rPr>
            </w:pPr>
          </w:p>
        </w:tc>
        <w:tc>
          <w:tcPr>
            <w:tcW w:w="1026" w:type="dxa"/>
            <w:vAlign w:val="center"/>
          </w:tcPr>
          <w:p>
            <w:pPr>
              <w:rPr>
                <w:b/>
                <w:noProof/>
                <w:sz w:val="20"/>
              </w:rPr>
            </w:pPr>
          </w:p>
        </w:tc>
        <w:tc>
          <w:tcPr>
            <w:tcW w:w="1320" w:type="dxa"/>
            <w:vAlign w:val="center"/>
          </w:tcPr>
          <w:p>
            <w:pPr>
              <w:rPr>
                <w:b/>
                <w:noProof/>
                <w:sz w:val="20"/>
              </w:rPr>
            </w:pPr>
          </w:p>
        </w:tc>
        <w:tc>
          <w:tcPr>
            <w:tcW w:w="1032" w:type="dxa"/>
            <w:gridSpan w:val="2"/>
            <w:vAlign w:val="center"/>
          </w:tcPr>
          <w:p>
            <w:pPr>
              <w:rPr>
                <w:b/>
                <w:noProof/>
                <w:sz w:val="20"/>
              </w:rPr>
            </w:pPr>
          </w:p>
        </w:tc>
        <w:tc>
          <w:tcPr>
            <w:tcW w:w="945" w:type="dxa"/>
            <w:gridSpan w:val="2"/>
            <w:vAlign w:val="center"/>
          </w:tcPr>
          <w:p>
            <w:pPr>
              <w:rPr>
                <w:b/>
                <w:noProof/>
                <w:sz w:val="20"/>
              </w:rPr>
            </w:pPr>
          </w:p>
        </w:tc>
        <w:tc>
          <w:tcPr>
            <w:tcW w:w="1250" w:type="dxa"/>
            <w:gridSpan w:val="2"/>
            <w:vAlign w:val="center"/>
          </w:tcPr>
          <w:p>
            <w:pPr>
              <w:rPr>
                <w:b/>
                <w:noProof/>
                <w:sz w:val="20"/>
              </w:rPr>
            </w:pPr>
          </w:p>
        </w:tc>
        <w:tc>
          <w:tcPr>
            <w:tcW w:w="720" w:type="dxa"/>
            <w:gridSpan w:val="2"/>
            <w:vAlign w:val="center"/>
          </w:tcPr>
          <w:p>
            <w:pPr>
              <w:rPr>
                <w:b/>
                <w:noProof/>
                <w:sz w:val="20"/>
              </w:rPr>
            </w:pPr>
          </w:p>
        </w:tc>
        <w:tc>
          <w:tcPr>
            <w:tcW w:w="1216" w:type="dxa"/>
            <w:gridSpan w:val="2"/>
            <w:vAlign w:val="center"/>
          </w:tcPr>
          <w:p>
            <w:pPr>
              <w:rPr>
                <w:b/>
                <w:noProof/>
                <w:sz w:val="20"/>
              </w:rPr>
            </w:pPr>
          </w:p>
        </w:tc>
        <w:tc>
          <w:tcPr>
            <w:tcW w:w="931" w:type="dxa"/>
            <w:gridSpan w:val="2"/>
            <w:vAlign w:val="center"/>
          </w:tcPr>
          <w:p>
            <w:pPr>
              <w:rPr>
                <w:b/>
                <w:noProof/>
                <w:sz w:val="20"/>
              </w:rPr>
            </w:pPr>
          </w:p>
        </w:tc>
      </w:tr>
      <w:tr>
        <w:trPr>
          <w:trHeight w:val="319"/>
        </w:trPr>
        <w:tc>
          <w:tcPr>
            <w:tcW w:w="3960" w:type="dxa"/>
            <w:vAlign w:val="center"/>
          </w:tcPr>
          <w:p>
            <w:pPr>
              <w:spacing w:before="60" w:after="60"/>
              <w:rPr>
                <w:noProof/>
              </w:rPr>
            </w:pPr>
            <w:r>
              <w:rPr>
                <w:noProof/>
                <w:sz w:val="20"/>
              </w:rPr>
              <w:t>Не е приложимо</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26" w:type="dxa"/>
            <w:vAlign w:val="center"/>
          </w:tcPr>
          <w:p>
            <w:pPr>
              <w:spacing w:before="40" w:after="40"/>
              <w:jc w:val="right"/>
              <w:rPr>
                <w:b/>
                <w:noProof/>
                <w:sz w:val="20"/>
              </w:rPr>
            </w:pPr>
          </w:p>
        </w:tc>
        <w:tc>
          <w:tcPr>
            <w:tcW w:w="1320" w:type="dxa"/>
            <w:vAlign w:val="center"/>
          </w:tcPr>
          <w:p>
            <w:pPr>
              <w:spacing w:before="40" w:after="40"/>
              <w:jc w:val="right"/>
              <w:rPr>
                <w:b/>
                <w:noProof/>
                <w:sz w:val="20"/>
              </w:rPr>
            </w:pPr>
          </w:p>
        </w:tc>
        <w:tc>
          <w:tcPr>
            <w:tcW w:w="1032" w:type="dxa"/>
            <w:gridSpan w:val="2"/>
            <w:vAlign w:val="center"/>
          </w:tcPr>
          <w:p>
            <w:pPr>
              <w:spacing w:before="40" w:after="40"/>
              <w:jc w:val="right"/>
              <w:rPr>
                <w:b/>
                <w:noProof/>
                <w:sz w:val="20"/>
              </w:rPr>
            </w:pPr>
          </w:p>
        </w:tc>
        <w:tc>
          <w:tcPr>
            <w:tcW w:w="945" w:type="dxa"/>
            <w:gridSpan w:val="2"/>
            <w:vAlign w:val="center"/>
          </w:tcPr>
          <w:p>
            <w:pPr>
              <w:spacing w:before="40" w:after="40"/>
              <w:jc w:val="right"/>
              <w:rPr>
                <w:b/>
                <w:noProof/>
                <w:sz w:val="20"/>
              </w:rPr>
            </w:pPr>
          </w:p>
        </w:tc>
        <w:tc>
          <w:tcPr>
            <w:tcW w:w="1250" w:type="dxa"/>
            <w:gridSpan w:val="2"/>
            <w:vAlign w:val="center"/>
          </w:tcPr>
          <w:p>
            <w:pPr>
              <w:spacing w:before="40" w:after="40"/>
              <w:jc w:val="right"/>
              <w:rPr>
                <w:b/>
                <w:noProof/>
                <w:sz w:val="20"/>
              </w:rPr>
            </w:pPr>
          </w:p>
        </w:tc>
        <w:tc>
          <w:tcPr>
            <w:tcW w:w="720" w:type="dxa"/>
            <w:gridSpan w:val="2"/>
            <w:vAlign w:val="center"/>
          </w:tcPr>
          <w:p>
            <w:pPr>
              <w:spacing w:before="40" w:after="40"/>
              <w:jc w:val="right"/>
              <w:rPr>
                <w:b/>
                <w:noProof/>
                <w:sz w:val="20"/>
              </w:rPr>
            </w:pPr>
          </w:p>
        </w:tc>
        <w:tc>
          <w:tcPr>
            <w:tcW w:w="1216" w:type="dxa"/>
            <w:gridSpan w:val="2"/>
            <w:vAlign w:val="center"/>
          </w:tcPr>
          <w:p>
            <w:pPr>
              <w:spacing w:before="40" w:after="40"/>
              <w:jc w:val="right"/>
              <w:rPr>
                <w:b/>
                <w:noProof/>
                <w:sz w:val="20"/>
              </w:rPr>
            </w:pPr>
          </w:p>
        </w:tc>
        <w:tc>
          <w:tcPr>
            <w:tcW w:w="931" w:type="dxa"/>
            <w:gridSpan w:val="2"/>
            <w:vAlign w:val="center"/>
          </w:tcPr>
          <w:p>
            <w:pPr>
              <w:spacing w:before="40" w:after="40"/>
              <w:jc w:val="right"/>
              <w:rPr>
                <w:b/>
                <w:noProof/>
                <w:sz w:val="20"/>
              </w:rPr>
            </w:pPr>
          </w:p>
        </w:tc>
      </w:tr>
      <w:tr>
        <w:tc>
          <w:tcPr>
            <w:tcW w:w="3960" w:type="dxa"/>
            <w:vMerge w:val="restart"/>
            <w:vAlign w:val="center"/>
          </w:tcPr>
          <w:p>
            <w:pPr>
              <w:jc w:val="center"/>
              <w:rPr>
                <w:b/>
                <w:noProof/>
              </w:rPr>
            </w:pPr>
            <w:r>
              <w:rPr>
                <w:b/>
                <w:noProof/>
              </w:rPr>
              <w:t>ОБЩО бюджетни кредити</w:t>
            </w:r>
            <w:r>
              <w:rPr>
                <w:noProof/>
              </w:rPr>
              <w:br/>
            </w:r>
            <w:r>
              <w:rPr>
                <w:b/>
                <w:noProof/>
                <w:sz w:val="22"/>
              </w:rPr>
              <w:t>за ГД „Морско дело и рибарство“</w:t>
            </w:r>
            <w:r>
              <w:rPr>
                <w:noProof/>
              </w:rPr>
              <w:t xml:space="preserve"> </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1032" w:type="dxa"/>
            <w:gridSpan w:val="2"/>
            <w:vAlign w:val="center"/>
          </w:tcPr>
          <w:p>
            <w:pPr>
              <w:spacing w:before="20" w:after="20"/>
              <w:jc w:val="right"/>
              <w:rPr>
                <w:noProof/>
                <w:sz w:val="20"/>
              </w:rPr>
            </w:pPr>
            <w:r>
              <w:rPr>
                <w:noProof/>
                <w:sz w:val="20"/>
              </w:rPr>
              <w:t>0</w:t>
            </w:r>
          </w:p>
        </w:tc>
        <w:tc>
          <w:tcPr>
            <w:tcW w:w="945" w:type="dxa"/>
            <w:gridSpan w:val="2"/>
            <w:vAlign w:val="center"/>
          </w:tcPr>
          <w:p>
            <w:pPr>
              <w:spacing w:before="20" w:after="20"/>
              <w:jc w:val="right"/>
              <w:rPr>
                <w:noProof/>
                <w:sz w:val="20"/>
              </w:rPr>
            </w:pPr>
            <w:r>
              <w:rPr>
                <w:noProof/>
                <w:sz w:val="20"/>
              </w:rPr>
              <w:t>0</w:t>
            </w:r>
          </w:p>
        </w:tc>
        <w:tc>
          <w:tcPr>
            <w:tcW w:w="1250" w:type="dxa"/>
            <w:gridSpan w:val="2"/>
            <w:vAlign w:val="center"/>
          </w:tcPr>
          <w:p>
            <w:pPr>
              <w:spacing w:before="20" w:after="20"/>
              <w:jc w:val="right"/>
              <w:rPr>
                <w:noProof/>
                <w:sz w:val="20"/>
              </w:rPr>
            </w:pPr>
            <w:r>
              <w:rPr>
                <w:noProof/>
                <w:sz w:val="20"/>
              </w:rPr>
              <w:t>0</w:t>
            </w:r>
          </w:p>
        </w:tc>
        <w:tc>
          <w:tcPr>
            <w:tcW w:w="720" w:type="dxa"/>
            <w:gridSpan w:val="2"/>
            <w:vAlign w:val="center"/>
          </w:tcPr>
          <w:p>
            <w:pPr>
              <w:spacing w:before="20" w:after="20"/>
              <w:jc w:val="right"/>
              <w:rPr>
                <w:noProof/>
                <w:sz w:val="20"/>
              </w:rPr>
            </w:pPr>
            <w:r>
              <w:rPr>
                <w:noProof/>
                <w:sz w:val="20"/>
              </w:rPr>
              <w:t>0</w:t>
            </w:r>
          </w:p>
        </w:tc>
        <w:tc>
          <w:tcPr>
            <w:tcW w:w="1216" w:type="dxa"/>
            <w:gridSpan w:val="2"/>
            <w:vAlign w:val="center"/>
          </w:tcPr>
          <w:p>
            <w:pPr>
              <w:spacing w:before="20" w:after="20"/>
              <w:jc w:val="right"/>
              <w:rPr>
                <w:b/>
                <w:noProof/>
                <w:sz w:val="20"/>
              </w:rPr>
            </w:pPr>
            <w:r>
              <w:rPr>
                <w:b/>
                <w:noProof/>
                <w:sz w:val="20"/>
              </w:rPr>
              <w:t>0</w:t>
            </w:r>
          </w:p>
        </w:tc>
        <w:tc>
          <w:tcPr>
            <w:tcW w:w="931" w:type="dxa"/>
            <w:gridSpan w:val="2"/>
            <w:vAlign w:val="center"/>
          </w:tcPr>
          <w:p>
            <w:pPr>
              <w:spacing w:before="20" w:after="20"/>
              <w:jc w:val="right"/>
              <w:rPr>
                <w:b/>
                <w:noProof/>
                <w:sz w:val="20"/>
              </w:rPr>
            </w:pPr>
            <w:r>
              <w:rPr>
                <w:b/>
                <w:noProof/>
                <w:sz w:val="20"/>
              </w:rPr>
              <w:t>0</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12,8</w:t>
            </w:r>
          </w:p>
        </w:tc>
        <w:tc>
          <w:tcPr>
            <w:tcW w:w="1032" w:type="dxa"/>
            <w:gridSpan w:val="2"/>
            <w:vAlign w:val="center"/>
          </w:tcPr>
          <w:p>
            <w:pPr>
              <w:spacing w:before="20" w:after="20"/>
              <w:jc w:val="right"/>
              <w:rPr>
                <w:noProof/>
                <w:sz w:val="20"/>
              </w:rPr>
            </w:pPr>
            <w:r>
              <w:rPr>
                <w:noProof/>
                <w:sz w:val="20"/>
              </w:rPr>
              <w:t>12,8</w:t>
            </w:r>
          </w:p>
        </w:tc>
        <w:tc>
          <w:tcPr>
            <w:tcW w:w="945" w:type="dxa"/>
            <w:gridSpan w:val="2"/>
            <w:vAlign w:val="center"/>
          </w:tcPr>
          <w:p>
            <w:pPr>
              <w:spacing w:before="20" w:after="20"/>
              <w:jc w:val="right"/>
              <w:rPr>
                <w:noProof/>
                <w:sz w:val="20"/>
              </w:rPr>
            </w:pPr>
          </w:p>
        </w:tc>
        <w:tc>
          <w:tcPr>
            <w:tcW w:w="1250" w:type="dxa"/>
            <w:gridSpan w:val="2"/>
            <w:vAlign w:val="center"/>
          </w:tcPr>
          <w:p>
            <w:pPr>
              <w:spacing w:before="20" w:after="20"/>
              <w:jc w:val="right"/>
              <w:rPr>
                <w:noProof/>
                <w:sz w:val="20"/>
              </w:rPr>
            </w:pPr>
            <w:r>
              <w:rPr>
                <w:b/>
                <w:noProof/>
                <w:sz w:val="20"/>
              </w:rPr>
              <w:t>–12,8</w:t>
            </w:r>
          </w:p>
        </w:tc>
        <w:tc>
          <w:tcPr>
            <w:tcW w:w="720" w:type="dxa"/>
            <w:gridSpan w:val="2"/>
            <w:vAlign w:val="center"/>
          </w:tcPr>
          <w:p>
            <w:pPr>
              <w:spacing w:before="20" w:after="20"/>
              <w:jc w:val="right"/>
              <w:rPr>
                <w:noProof/>
                <w:sz w:val="20"/>
              </w:rPr>
            </w:pPr>
            <w:r>
              <w:rPr>
                <w:noProof/>
                <w:sz w:val="20"/>
              </w:rPr>
              <w:t>0</w:t>
            </w:r>
          </w:p>
        </w:tc>
        <w:tc>
          <w:tcPr>
            <w:tcW w:w="1216" w:type="dxa"/>
            <w:gridSpan w:val="2"/>
            <w:vAlign w:val="center"/>
          </w:tcPr>
          <w:p>
            <w:pPr>
              <w:spacing w:before="20" w:after="20"/>
              <w:jc w:val="right"/>
              <w:rPr>
                <w:noProof/>
                <w:sz w:val="20"/>
              </w:rPr>
            </w:pPr>
            <w:r>
              <w:rPr>
                <w:b/>
                <w:noProof/>
                <w:sz w:val="20"/>
              </w:rPr>
              <w:t>–12,8</w:t>
            </w:r>
          </w:p>
        </w:tc>
        <w:tc>
          <w:tcPr>
            <w:tcW w:w="931" w:type="dxa"/>
            <w:gridSpan w:val="2"/>
            <w:vAlign w:val="center"/>
          </w:tcPr>
          <w:p>
            <w:pPr>
              <w:spacing w:before="20" w:after="20"/>
              <w:jc w:val="right"/>
              <w:rPr>
                <w:b/>
                <w:noProof/>
                <w:sz w:val="20"/>
              </w:rPr>
            </w:pPr>
            <w:r>
              <w:rPr>
                <w:b/>
                <w:noProof/>
                <w:sz w:val="20"/>
              </w:rPr>
              <w:t>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026"/>
        <w:gridCol w:w="1320"/>
        <w:gridCol w:w="891"/>
        <w:gridCol w:w="1066"/>
        <w:gridCol w:w="1200"/>
        <w:gridCol w:w="480"/>
        <w:gridCol w:w="1173"/>
        <w:gridCol w:w="1214"/>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w:t>
            </w:r>
            <w:r>
              <w:rPr>
                <w:noProof/>
              </w:rPr>
              <w:t>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12,8</w:t>
            </w:r>
          </w:p>
        </w:tc>
        <w:tc>
          <w:tcPr>
            <w:tcW w:w="891" w:type="dxa"/>
            <w:vAlign w:val="center"/>
          </w:tcPr>
          <w:p>
            <w:pPr>
              <w:spacing w:before="20" w:after="20"/>
              <w:jc w:val="right"/>
              <w:rPr>
                <w:noProof/>
                <w:sz w:val="20"/>
              </w:rPr>
            </w:pPr>
            <w:r>
              <w:rPr>
                <w:noProof/>
                <w:sz w:val="20"/>
              </w:rPr>
              <w:t xml:space="preserve">12,8 </w:t>
            </w:r>
          </w:p>
        </w:tc>
        <w:tc>
          <w:tcPr>
            <w:tcW w:w="1066" w:type="dxa"/>
            <w:vAlign w:val="center"/>
          </w:tcPr>
          <w:p>
            <w:pPr>
              <w:spacing w:before="20" w:after="20"/>
              <w:jc w:val="right"/>
              <w:rPr>
                <w:noProof/>
                <w:sz w:val="20"/>
              </w:rPr>
            </w:pPr>
          </w:p>
        </w:tc>
        <w:tc>
          <w:tcPr>
            <w:tcW w:w="1200" w:type="dxa"/>
            <w:vAlign w:val="center"/>
          </w:tcPr>
          <w:p>
            <w:pPr>
              <w:spacing w:before="20" w:after="20"/>
              <w:jc w:val="right"/>
              <w:rPr>
                <w:noProof/>
                <w:sz w:val="20"/>
              </w:rPr>
            </w:pPr>
            <w:r>
              <w:rPr>
                <w:b/>
                <w:noProof/>
                <w:sz w:val="20"/>
              </w:rPr>
              <w:t>–12,8</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b/>
                <w:noProof/>
                <w:sz w:val="20"/>
              </w:rPr>
              <w:t>–12,8</w:t>
            </w:r>
          </w:p>
        </w:tc>
        <w:tc>
          <w:tcPr>
            <w:tcW w:w="1214" w:type="dxa"/>
            <w:vAlign w:val="center"/>
          </w:tcPr>
          <w:p>
            <w:pPr>
              <w:spacing w:before="20" w:after="20"/>
              <w:jc w:val="right"/>
              <w:rPr>
                <w:b/>
                <w:noProof/>
                <w:sz w:val="20"/>
              </w:rPr>
            </w:pPr>
            <w:r>
              <w:rPr>
                <w:b/>
                <w:noProof/>
                <w:sz w:val="20"/>
              </w:rPr>
              <w:t>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w:t>
            </w:r>
            <w:r>
              <w:rPr>
                <w:noProof/>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1026" w:type="dxa"/>
            <w:vAlign w:val="center"/>
          </w:tcPr>
          <w:p>
            <w:pPr>
              <w:spacing w:before="20" w:after="20"/>
              <w:jc w:val="right"/>
              <w:rPr>
                <w:b/>
                <w:noProof/>
                <w:sz w:val="20"/>
              </w:rPr>
            </w:pPr>
            <w:r>
              <w:rPr>
                <w:b/>
                <w:noProof/>
                <w:sz w:val="20"/>
              </w:rPr>
              <w:t>0</w:t>
            </w:r>
          </w:p>
        </w:tc>
        <w:tc>
          <w:tcPr>
            <w:tcW w:w="1320" w:type="dxa"/>
            <w:vAlign w:val="center"/>
          </w:tcPr>
          <w:p>
            <w:pPr>
              <w:spacing w:before="20" w:after="20"/>
              <w:jc w:val="right"/>
              <w:rPr>
                <w:b/>
                <w:noProof/>
                <w:sz w:val="20"/>
              </w:rPr>
            </w:pPr>
            <w:r>
              <w:rPr>
                <w:b/>
                <w:noProof/>
                <w:sz w:val="20"/>
              </w:rPr>
              <w:t>0</w:t>
            </w:r>
          </w:p>
        </w:tc>
        <w:tc>
          <w:tcPr>
            <w:tcW w:w="891" w:type="dxa"/>
            <w:vAlign w:val="center"/>
          </w:tcPr>
          <w:p>
            <w:pPr>
              <w:spacing w:before="20" w:after="20"/>
              <w:jc w:val="right"/>
              <w:rPr>
                <w:b/>
                <w:noProof/>
                <w:sz w:val="20"/>
              </w:rPr>
            </w:pPr>
            <w:r>
              <w:rPr>
                <w:b/>
                <w:noProof/>
                <w:sz w:val="20"/>
              </w:rPr>
              <w:t>0</w:t>
            </w:r>
          </w:p>
        </w:tc>
        <w:tc>
          <w:tcPr>
            <w:tcW w:w="1066" w:type="dxa"/>
            <w:vAlign w:val="center"/>
          </w:tcPr>
          <w:p>
            <w:pPr>
              <w:spacing w:before="20" w:after="20"/>
              <w:jc w:val="right"/>
              <w:rPr>
                <w:b/>
                <w:noProof/>
                <w:sz w:val="20"/>
              </w:rPr>
            </w:pPr>
            <w:r>
              <w:rPr>
                <w:b/>
                <w:noProof/>
                <w:sz w:val="20"/>
              </w:rPr>
              <w:t>0</w:t>
            </w:r>
          </w:p>
        </w:tc>
        <w:tc>
          <w:tcPr>
            <w:tcW w:w="1200" w:type="dxa"/>
            <w:vAlign w:val="center"/>
          </w:tcPr>
          <w:p>
            <w:pPr>
              <w:spacing w:before="20" w:after="20"/>
              <w:jc w:val="right"/>
              <w:rPr>
                <w:b/>
                <w:noProof/>
                <w:sz w:val="20"/>
              </w:rPr>
            </w:pPr>
            <w:r>
              <w:rPr>
                <w:b/>
                <w:noProof/>
                <w:sz w:val="20"/>
              </w:rPr>
              <w:t>0</w:t>
            </w:r>
          </w:p>
        </w:tc>
        <w:tc>
          <w:tcPr>
            <w:tcW w:w="480" w:type="dxa"/>
            <w:vAlign w:val="center"/>
          </w:tcPr>
          <w:p>
            <w:pPr>
              <w:spacing w:before="20" w:after="20"/>
              <w:jc w:val="right"/>
              <w:rPr>
                <w:b/>
                <w:noProof/>
                <w:sz w:val="20"/>
              </w:rPr>
            </w:pPr>
            <w:r>
              <w:rPr>
                <w:b/>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val="restart"/>
            <w:shd w:val="thinDiagStripe" w:color="C0C0C0" w:fill="auto"/>
            <w:vAlign w:val="center"/>
          </w:tcPr>
          <w:p>
            <w:pPr>
              <w:jc w:val="center"/>
              <w:rPr>
                <w:b/>
                <w:noProof/>
              </w:rPr>
            </w:pPr>
            <w:r>
              <w:rPr>
                <w:b/>
                <w:noProof/>
              </w:rPr>
              <w:t>ОБЩО бюджетни кредити</w:t>
            </w:r>
            <w:r>
              <w:rPr>
                <w:noProof/>
              </w:rPr>
              <w:br/>
            </w:r>
            <w:r>
              <w:rPr>
                <w:b/>
                <w:noProof/>
              </w:rPr>
              <w:t>за ФУНКЦИЯ 2</w:t>
            </w:r>
            <w:r>
              <w:rPr>
                <w:noProof/>
              </w:rPr>
              <w:br/>
            </w:r>
            <w:r>
              <w:rPr>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12,8</w:t>
            </w:r>
          </w:p>
        </w:tc>
        <w:tc>
          <w:tcPr>
            <w:tcW w:w="891" w:type="dxa"/>
            <w:vAlign w:val="center"/>
          </w:tcPr>
          <w:p>
            <w:pPr>
              <w:spacing w:before="20" w:after="20"/>
              <w:jc w:val="right"/>
              <w:rPr>
                <w:noProof/>
                <w:sz w:val="20"/>
              </w:rPr>
            </w:pPr>
            <w:r>
              <w:rPr>
                <w:noProof/>
                <w:sz w:val="20"/>
              </w:rPr>
              <w:t xml:space="preserve">12,8 </w:t>
            </w:r>
          </w:p>
        </w:tc>
        <w:tc>
          <w:tcPr>
            <w:tcW w:w="1066" w:type="dxa"/>
            <w:vAlign w:val="center"/>
          </w:tcPr>
          <w:p>
            <w:pPr>
              <w:spacing w:before="20" w:after="20"/>
              <w:jc w:val="center"/>
              <w:rPr>
                <w:noProof/>
                <w:sz w:val="20"/>
              </w:rPr>
            </w:pPr>
          </w:p>
        </w:tc>
        <w:tc>
          <w:tcPr>
            <w:tcW w:w="1200" w:type="dxa"/>
            <w:vAlign w:val="center"/>
          </w:tcPr>
          <w:p>
            <w:pPr>
              <w:spacing w:before="20" w:after="20"/>
              <w:jc w:val="right"/>
              <w:rPr>
                <w:noProof/>
                <w:sz w:val="20"/>
              </w:rPr>
            </w:pPr>
            <w:r>
              <w:rPr>
                <w:b/>
                <w:noProof/>
                <w:sz w:val="20"/>
              </w:rPr>
              <w:t>–12,8</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b/>
                <w:noProof/>
                <w:sz w:val="20"/>
              </w:rPr>
              <w:t>–12,8</w:t>
            </w:r>
          </w:p>
        </w:tc>
        <w:tc>
          <w:tcPr>
            <w:tcW w:w="1214" w:type="dxa"/>
            <w:vAlign w:val="center"/>
          </w:tcPr>
          <w:p>
            <w:pPr>
              <w:spacing w:before="20" w:after="20"/>
              <w:jc w:val="right"/>
              <w:rPr>
                <w:b/>
                <w:noProof/>
                <w:sz w:val="20"/>
              </w:rPr>
            </w:pPr>
            <w:r>
              <w:rPr>
                <w:b/>
                <w:noProof/>
                <w:sz w:val="20"/>
              </w:rPr>
              <w:t>0</w:t>
            </w:r>
          </w:p>
        </w:tc>
      </w:tr>
    </w:tbl>
    <w:p>
      <w:pPr>
        <w:spacing w:after="40"/>
        <w:rPr>
          <w:b/>
          <w:noProof/>
          <w:sz w:val="22"/>
          <w:u w:val="single"/>
        </w:rPr>
      </w:pPr>
    </w:p>
    <w:p>
      <w:pPr>
        <w:spacing w:after="40"/>
        <w:rPr>
          <w:b/>
          <w:noProof/>
          <w:sz w:val="22"/>
          <w:u w:val="single"/>
        </w:rPr>
      </w:pPr>
    </w:p>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w:t>
            </w:r>
            <w:r>
              <w:rPr>
                <w:noProof/>
              </w:rPr>
              <w:t>ОБЩО бюджетни кредити за оперативни разходи</w:t>
            </w:r>
          </w:p>
        </w:tc>
        <w:tc>
          <w:tcPr>
            <w:tcW w:w="1440"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w:t>
            </w:r>
            <w:r>
              <w:rPr>
                <w:noProof/>
              </w:rPr>
              <w:t>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rPr>
              <w:t>ОБЩО бюджетни кредити</w:t>
            </w:r>
            <w:r>
              <w:rPr>
                <w:noProof/>
              </w:rPr>
              <w:br/>
            </w:r>
            <w:r>
              <w:rPr>
                <w:b/>
                <w:noProof/>
              </w:rPr>
              <w:t>по ФУНКЦИИ 1—4</w:t>
            </w:r>
            <w:r>
              <w:rPr>
                <w:noProof/>
              </w:rPr>
              <w:br/>
              <w:t>от многогодишната финансова рамка</w:t>
            </w:r>
            <w:r>
              <w:rPr>
                <w:noProof/>
              </w:rPr>
              <w:br/>
            </w:r>
            <w:r>
              <w:rPr>
                <w:noProof/>
                <w:sz w:val="20"/>
              </w:rPr>
              <w:t>(Референтна стойност)</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noProof/>
                <w:sz w:val="20"/>
              </w:rPr>
            </w:pPr>
            <w:r>
              <w:rPr>
                <w:noProof/>
                <w:sz w:val="20"/>
              </w:rPr>
              <w:t>1 012,800</w:t>
            </w:r>
          </w:p>
        </w:tc>
        <w:tc>
          <w:tcPr>
            <w:tcW w:w="840" w:type="dxa"/>
            <w:tcBorders>
              <w:bottom w:val="single" w:sz="4" w:space="0" w:color="auto"/>
            </w:tcBorders>
            <w:vAlign w:val="center"/>
          </w:tcPr>
          <w:p>
            <w:pPr>
              <w:spacing w:before="20" w:after="20"/>
              <w:jc w:val="right"/>
              <w:rPr>
                <w:noProof/>
                <w:sz w:val="20"/>
              </w:rPr>
            </w:pPr>
            <w:r>
              <w:rPr>
                <w:noProof/>
                <w:sz w:val="20"/>
              </w:rPr>
              <w:t>1 012,800</w:t>
            </w:r>
          </w:p>
        </w:tc>
        <w:tc>
          <w:tcPr>
            <w:tcW w:w="840" w:type="dxa"/>
            <w:tcBorders>
              <w:bottom w:val="single" w:sz="4" w:space="0" w:color="auto"/>
            </w:tcBorders>
            <w:vAlign w:val="center"/>
          </w:tcPr>
          <w:p>
            <w:pPr>
              <w:spacing w:before="20" w:after="20"/>
              <w:jc w:val="right"/>
              <w:rPr>
                <w:noProof/>
                <w:sz w:val="20"/>
              </w:rPr>
            </w:pPr>
            <w:r>
              <w:rPr>
                <w:noProof/>
                <w:sz w:val="20"/>
              </w:rPr>
              <w:t>0</w:t>
            </w:r>
          </w:p>
        </w:tc>
        <w:tc>
          <w:tcPr>
            <w:tcW w:w="720" w:type="dxa"/>
            <w:tcBorders>
              <w:bottom w:val="single" w:sz="4" w:space="0" w:color="auto"/>
            </w:tcBorders>
            <w:vAlign w:val="center"/>
          </w:tcPr>
          <w:p>
            <w:pPr>
              <w:spacing w:before="20" w:after="20"/>
              <w:jc w:val="right"/>
              <w:rPr>
                <w:noProof/>
                <w:sz w:val="20"/>
              </w:rPr>
            </w:pPr>
            <w:r>
              <w:rPr>
                <w:noProof/>
                <w:sz w:val="20"/>
              </w:rPr>
              <w:t>–1 012,800</w:t>
            </w:r>
          </w:p>
        </w:tc>
        <w:tc>
          <w:tcPr>
            <w:tcW w:w="720"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b/>
                <w:noProof/>
                <w:sz w:val="20"/>
              </w:rPr>
            </w:pPr>
            <w:r>
              <w:rPr>
                <w:noProof/>
                <w:sz w:val="20"/>
              </w:rPr>
              <w:t>–1 012,800</w:t>
            </w:r>
          </w:p>
        </w:tc>
        <w:tc>
          <w:tcPr>
            <w:tcW w:w="1427" w:type="dxa"/>
            <w:tcBorders>
              <w:bottom w:val="single" w:sz="4" w:space="0" w:color="auto"/>
              <w:right w:val="single" w:sz="4" w:space="0" w:color="auto"/>
            </w:tcBorders>
            <w:vAlign w:val="center"/>
          </w:tcPr>
          <w:p>
            <w:pPr>
              <w:spacing w:before="20" w:after="20"/>
              <w:jc w:val="right"/>
              <w:rPr>
                <w:b/>
                <w:noProof/>
                <w:sz w:val="20"/>
              </w:rPr>
            </w:pPr>
            <w:r>
              <w:rPr>
                <w:b/>
                <w:noProof/>
                <w:sz w:val="20"/>
              </w:rPr>
              <w:t>0</w:t>
            </w: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Функция от многогодишната финансова</w:t>
            </w:r>
            <w:r>
              <w:rPr>
                <w:noProof/>
              </w:rPr>
              <w:br/>
            </w:r>
            <w:r>
              <w:rPr>
                <w:b/>
                <w:noProof/>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rPr>
              <w:t>Година</w:t>
            </w:r>
            <w:r>
              <w:rPr>
                <w:noProof/>
              </w:rPr>
              <w:br/>
            </w:r>
            <w:r>
              <w:rPr>
                <w:b/>
                <w:noProof/>
                <w:sz w:val="20"/>
              </w:rPr>
              <w:t>N</w:t>
            </w:r>
          </w:p>
        </w:tc>
        <w:tc>
          <w:tcPr>
            <w:tcW w:w="868" w:type="dxa"/>
            <w:vAlign w:val="center"/>
          </w:tcPr>
          <w:p>
            <w:pPr>
              <w:jc w:val="center"/>
              <w:rPr>
                <w:noProof/>
                <w:sz w:val="20"/>
              </w:rPr>
            </w:pPr>
            <w:r>
              <w:rPr>
                <w:noProof/>
              </w:rPr>
              <w:t>Година</w:t>
            </w:r>
            <w:r>
              <w:rPr>
                <w:noProof/>
              </w:rPr>
              <w:br/>
            </w:r>
            <w:r>
              <w:rPr>
                <w:b/>
                <w:noProof/>
                <w:sz w:val="20"/>
              </w:rPr>
              <w:t>N+1</w:t>
            </w:r>
          </w:p>
        </w:tc>
        <w:tc>
          <w:tcPr>
            <w:tcW w:w="868" w:type="dxa"/>
            <w:vAlign w:val="center"/>
          </w:tcPr>
          <w:p>
            <w:pPr>
              <w:jc w:val="center"/>
              <w:rPr>
                <w:noProof/>
                <w:sz w:val="20"/>
              </w:rPr>
            </w:pPr>
            <w:r>
              <w:rPr>
                <w:noProof/>
              </w:rPr>
              <w:t>Година</w:t>
            </w:r>
            <w:r>
              <w:rPr>
                <w:noProof/>
              </w:rPr>
              <w:br/>
            </w:r>
            <w:r>
              <w:rPr>
                <w:b/>
                <w:noProof/>
                <w:sz w:val="20"/>
              </w:rPr>
              <w:t>N+2</w:t>
            </w:r>
          </w:p>
        </w:tc>
        <w:tc>
          <w:tcPr>
            <w:tcW w:w="868" w:type="dxa"/>
            <w:vAlign w:val="center"/>
          </w:tcPr>
          <w:p>
            <w:pPr>
              <w:jc w:val="center"/>
              <w:rPr>
                <w:noProof/>
                <w:sz w:val="20"/>
              </w:rPr>
            </w:pPr>
            <w:r>
              <w:rPr>
                <w:noProof/>
              </w:rPr>
              <w:t>Година</w:t>
            </w:r>
            <w:r>
              <w:rPr>
                <w:noProof/>
              </w:rPr>
              <w:br/>
            </w:r>
            <w:r>
              <w:rPr>
                <w:b/>
                <w:noProof/>
                <w:sz w:val="20"/>
              </w:rPr>
              <w:t>N+3</w:t>
            </w:r>
          </w:p>
        </w:tc>
        <w:tc>
          <w:tcPr>
            <w:tcW w:w="2604" w:type="dxa"/>
            <w:gridSpan w:val="3"/>
            <w:vAlign w:val="center"/>
          </w:tcPr>
          <w:p>
            <w:pPr>
              <w:jc w:val="center"/>
              <w:rPr>
                <w:b/>
                <w:noProof/>
                <w:sz w:val="18"/>
              </w:rPr>
            </w:pPr>
            <w:r>
              <w:rPr>
                <w:noProof/>
                <w:sz w:val="18"/>
              </w:rPr>
              <w:t xml:space="preserve">Да се добавят толкова години, колкото е необходимо, за да се обхване продължителността на отражението (вж. точка 1.6) </w:t>
            </w:r>
          </w:p>
        </w:tc>
        <w:tc>
          <w:tcPr>
            <w:tcW w:w="1777" w:type="dxa"/>
            <w:vAlign w:val="center"/>
          </w:tcPr>
          <w:p>
            <w:pPr>
              <w:jc w:val="center"/>
              <w:rPr>
                <w:b/>
                <w:noProof/>
                <w:sz w:val="20"/>
              </w:rPr>
            </w:pPr>
            <w:r>
              <w:rPr>
                <w:b/>
                <w:noProof/>
                <w:sz w:val="20"/>
              </w:rPr>
              <w:t>ОБЩО</w:t>
            </w:r>
          </w:p>
        </w:tc>
      </w:tr>
      <w:tr>
        <w:trPr>
          <w:gridAfter w:val="10"/>
          <w:wAfter w:w="9947" w:type="dxa"/>
        </w:trPr>
        <w:tc>
          <w:tcPr>
            <w:tcW w:w="3960" w:type="dxa"/>
            <w:vAlign w:val="center"/>
          </w:tcPr>
          <w:p>
            <w:pPr>
              <w:spacing w:before="60" w:after="60"/>
              <w:jc w:val="center"/>
              <w:rPr>
                <w:noProof/>
              </w:rPr>
            </w:pPr>
            <w:r>
              <w:rPr>
                <w:noProof/>
                <w:sz w:val="22"/>
              </w:rPr>
              <w:t xml:space="preserve">ГД: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w:t>
            </w:r>
            <w:r>
              <w:rPr>
                <w:noProof/>
              </w:rPr>
              <w:t>Човешки ресурси</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w:t>
            </w:r>
            <w:r>
              <w:rPr>
                <w:noProof/>
              </w:rPr>
              <w:t>Други административни разходи</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rPr>
              <w:t>ОБЩО ГД &lt;….&gt;</w:t>
            </w:r>
          </w:p>
        </w:tc>
        <w:tc>
          <w:tcPr>
            <w:tcW w:w="2094" w:type="dxa"/>
            <w:gridSpan w:val="2"/>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rPr>
              <w:t>ОБЩО бюджетни кредити</w:t>
            </w:r>
            <w:r>
              <w:rPr>
                <w:noProof/>
              </w:rPr>
              <w:br/>
            </w:r>
            <w:r>
              <w:rPr>
                <w:b/>
                <w:noProof/>
              </w:rPr>
              <w:t>за ФУНКЦИЯ 5</w:t>
            </w:r>
            <w:r>
              <w:rPr>
                <w:noProof/>
              </w:rPr>
              <w:br/>
            </w:r>
            <w:r>
              <w:rPr>
                <w:noProof/>
                <w:sz w:val="22"/>
              </w:rP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rPr>
              <w:t>Година</w:t>
            </w:r>
            <w:r>
              <w:rPr>
                <w:noProof/>
              </w:rPr>
              <w:br/>
            </w:r>
            <w:r>
              <w:rPr>
                <w:b/>
                <w:noProof/>
                <w:sz w:val="20"/>
              </w:rPr>
              <w:t>N</w:t>
            </w:r>
            <w:r>
              <w:rPr>
                <w:rStyle w:val="FootnoteReference"/>
                <w:b/>
                <w:noProof/>
                <w:sz w:val="20"/>
              </w:rPr>
              <w:footnoteReference w:id="13"/>
            </w:r>
          </w:p>
        </w:tc>
        <w:tc>
          <w:tcPr>
            <w:tcW w:w="868" w:type="dxa"/>
            <w:vAlign w:val="center"/>
          </w:tcPr>
          <w:p>
            <w:pPr>
              <w:jc w:val="center"/>
              <w:rPr>
                <w:noProof/>
                <w:sz w:val="20"/>
              </w:rPr>
            </w:pPr>
            <w:r>
              <w:rPr>
                <w:noProof/>
              </w:rPr>
              <w:t>Година</w:t>
            </w:r>
            <w:r>
              <w:rPr>
                <w:noProof/>
              </w:rPr>
              <w:br/>
            </w:r>
            <w:r>
              <w:rPr>
                <w:b/>
                <w:noProof/>
                <w:sz w:val="20"/>
              </w:rPr>
              <w:t>N+1</w:t>
            </w:r>
          </w:p>
        </w:tc>
        <w:tc>
          <w:tcPr>
            <w:tcW w:w="868" w:type="dxa"/>
            <w:vAlign w:val="center"/>
          </w:tcPr>
          <w:p>
            <w:pPr>
              <w:jc w:val="center"/>
              <w:rPr>
                <w:noProof/>
                <w:sz w:val="20"/>
              </w:rPr>
            </w:pPr>
            <w:r>
              <w:rPr>
                <w:noProof/>
              </w:rPr>
              <w:t>Година</w:t>
            </w:r>
            <w:r>
              <w:rPr>
                <w:noProof/>
              </w:rPr>
              <w:br/>
            </w:r>
            <w:r>
              <w:rPr>
                <w:b/>
                <w:noProof/>
                <w:sz w:val="20"/>
              </w:rPr>
              <w:t>N+2</w:t>
            </w:r>
          </w:p>
        </w:tc>
        <w:tc>
          <w:tcPr>
            <w:tcW w:w="868" w:type="dxa"/>
            <w:vAlign w:val="center"/>
          </w:tcPr>
          <w:p>
            <w:pPr>
              <w:jc w:val="center"/>
              <w:rPr>
                <w:noProof/>
                <w:sz w:val="20"/>
              </w:rPr>
            </w:pPr>
            <w:r>
              <w:rPr>
                <w:noProof/>
              </w:rPr>
              <w:t>Година</w:t>
            </w:r>
            <w:r>
              <w:rPr>
                <w:noProof/>
              </w:rPr>
              <w:br/>
            </w:r>
            <w:r>
              <w:rPr>
                <w:b/>
                <w:noProof/>
                <w:sz w:val="20"/>
              </w:rPr>
              <w:t>N+3</w:t>
            </w:r>
          </w:p>
        </w:tc>
        <w:tc>
          <w:tcPr>
            <w:tcW w:w="2604"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777"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rPr>
              <w:t>ОБЩО бюджетни кредити</w:t>
            </w:r>
            <w:r>
              <w:rPr>
                <w:noProof/>
              </w:rPr>
              <w:br/>
            </w:r>
            <w:r>
              <w:rPr>
                <w:b/>
                <w:noProof/>
              </w:rPr>
              <w:t>по ФУНКЦИИ 1—5</w:t>
            </w:r>
            <w:r>
              <w:rPr>
                <w:noProof/>
              </w:rPr>
              <w:br/>
            </w:r>
            <w:r>
              <w:rPr>
                <w:noProof/>
                <w:sz w:val="22"/>
              </w:rP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rPr>
              <w:t>Година</w:t>
            </w:r>
            <w:r>
              <w:rPr>
                <w:noProof/>
              </w:rPr>
              <w:br/>
            </w:r>
            <w:r>
              <w:rPr>
                <w:b/>
                <w:noProof/>
                <w:sz w:val="18"/>
              </w:rPr>
              <w:t>N</w:t>
            </w:r>
          </w:p>
        </w:tc>
        <w:tc>
          <w:tcPr>
            <w:tcW w:w="1260" w:type="dxa"/>
            <w:gridSpan w:val="2"/>
            <w:vAlign w:val="center"/>
          </w:tcPr>
          <w:p>
            <w:pPr>
              <w:ind w:right="-29"/>
              <w:jc w:val="center"/>
              <w:rPr>
                <w:noProof/>
                <w:sz w:val="18"/>
                <w:szCs w:val="18"/>
              </w:rPr>
            </w:pPr>
            <w:r>
              <w:rPr>
                <w:noProof/>
              </w:rPr>
              <w:t>Година</w:t>
            </w:r>
            <w:r>
              <w:rPr>
                <w:noProof/>
              </w:rPr>
              <w:br/>
            </w:r>
            <w:r>
              <w:rPr>
                <w:b/>
                <w:noProof/>
                <w:sz w:val="18"/>
              </w:rPr>
              <w:t>N+1</w:t>
            </w:r>
          </w:p>
        </w:tc>
        <w:tc>
          <w:tcPr>
            <w:tcW w:w="1440" w:type="dxa"/>
            <w:gridSpan w:val="2"/>
            <w:vAlign w:val="center"/>
          </w:tcPr>
          <w:p>
            <w:pPr>
              <w:ind w:right="-29"/>
              <w:jc w:val="center"/>
              <w:rPr>
                <w:noProof/>
                <w:sz w:val="18"/>
                <w:szCs w:val="18"/>
              </w:rPr>
            </w:pPr>
            <w:r>
              <w:rPr>
                <w:noProof/>
              </w:rPr>
              <w:t>Година</w:t>
            </w:r>
            <w:r>
              <w:rPr>
                <w:noProof/>
              </w:rPr>
              <w:br/>
            </w:r>
            <w:r>
              <w:rPr>
                <w:b/>
                <w:noProof/>
                <w:sz w:val="18"/>
              </w:rPr>
              <w:t>N+2</w:t>
            </w:r>
          </w:p>
        </w:tc>
        <w:tc>
          <w:tcPr>
            <w:tcW w:w="1620" w:type="dxa"/>
            <w:gridSpan w:val="3"/>
            <w:vAlign w:val="center"/>
          </w:tcPr>
          <w:p>
            <w:pPr>
              <w:ind w:right="-29"/>
              <w:jc w:val="center"/>
              <w:rPr>
                <w:noProof/>
                <w:sz w:val="18"/>
                <w:szCs w:val="18"/>
              </w:rPr>
            </w:pPr>
            <w:r>
              <w:rPr>
                <w:noProof/>
              </w:rPr>
              <w:t>Година</w:t>
            </w:r>
            <w:r>
              <w:rPr>
                <w:noProof/>
              </w:rPr>
              <w:br/>
            </w:r>
            <w:r>
              <w:rPr>
                <w:b/>
                <w:noProof/>
                <w:sz w:val="18"/>
              </w:rPr>
              <w:t>N+3</w:t>
            </w:r>
          </w:p>
        </w:tc>
        <w:tc>
          <w:tcPr>
            <w:tcW w:w="3600" w:type="dxa"/>
            <w:gridSpan w:val="6"/>
            <w:vAlign w:val="center"/>
          </w:tcPr>
          <w:p>
            <w:pPr>
              <w:jc w:val="center"/>
              <w:rPr>
                <w:noProof/>
                <w:sz w:val="18"/>
                <w:szCs w:val="18"/>
              </w:rPr>
            </w:pPr>
            <w:r>
              <w:rPr>
                <w:noProof/>
                <w:sz w:val="18"/>
              </w:rPr>
              <w:t>Да се добавят толкова години, колкото е необходимо, за да се обхване продължителността на отражението (вж. точка 1.6)</w:t>
            </w:r>
          </w:p>
        </w:tc>
        <w:tc>
          <w:tcPr>
            <w:tcW w:w="1620" w:type="dxa"/>
            <w:gridSpan w:val="2"/>
            <w:tcBorders>
              <w:left w:val="nil"/>
              <w:bottom w:val="nil"/>
            </w:tcBorders>
            <w:vAlign w:val="center"/>
          </w:tcPr>
          <w:p>
            <w:pPr>
              <w:ind w:right="-29"/>
              <w:jc w:val="center"/>
              <w:rPr>
                <w:noProof/>
                <w:sz w:val="18"/>
                <w:szCs w:val="18"/>
              </w:rPr>
            </w:pPr>
            <w:r>
              <w:rPr>
                <w:b/>
                <w:noProof/>
                <w:sz w:val="18"/>
              </w:rPr>
              <w:t>ОБЩО</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РЕЗУЛТАТИ</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sz w:val="18"/>
              </w:rPr>
              <w:footnoteReference w:id="14"/>
            </w:r>
          </w:p>
          <w:p>
            <w:pPr>
              <w:spacing w:before="0" w:after="0"/>
              <w:jc w:val="center"/>
              <w:rPr>
                <w:noProof/>
                <w:sz w:val="18"/>
                <w:szCs w:val="18"/>
              </w:rPr>
            </w:pPr>
          </w:p>
        </w:tc>
        <w:tc>
          <w:tcPr>
            <w:tcW w:w="701" w:type="dxa"/>
            <w:vAlign w:val="center"/>
          </w:tcPr>
          <w:p>
            <w:pPr>
              <w:jc w:val="center"/>
              <w:rPr>
                <w:noProof/>
                <w:sz w:val="18"/>
                <w:szCs w:val="18"/>
              </w:rPr>
            </w:pPr>
            <w:r>
              <w:rPr>
                <w:noProof/>
                <w:sz w:val="18"/>
              </w:rPr>
              <w:t>Среден разход</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4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Общ брой</w:t>
            </w:r>
          </w:p>
        </w:tc>
        <w:tc>
          <w:tcPr>
            <w:tcW w:w="900" w:type="dxa"/>
            <w:tcBorders>
              <w:left w:val="dashSmallGap" w:sz="4"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1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КОНКРЕТНА ЦЕЛ №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Резултат</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7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A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rPr>
              <w:t>Година</w:t>
            </w:r>
            <w:r>
              <w:rPr>
                <w:noProof/>
              </w:rPr>
              <w:br/>
            </w:r>
            <w:r>
              <w:rPr>
                <w:b/>
                <w:noProof/>
                <w:sz w:val="16"/>
              </w:rPr>
              <w:t xml:space="preserve">N </w:t>
            </w:r>
            <w:r>
              <w:rPr>
                <w:rStyle w:val="FootnoteReference"/>
                <w:b/>
                <w:noProof/>
                <w:sz w:val="16"/>
              </w:rPr>
              <w:footnoteReference w:id="16"/>
            </w:r>
          </w:p>
        </w:tc>
        <w:tc>
          <w:tcPr>
            <w:tcW w:w="1080" w:type="dxa"/>
            <w:vAlign w:val="center"/>
          </w:tcPr>
          <w:p>
            <w:pPr>
              <w:spacing w:before="60" w:after="60" w:line="200" w:lineRule="exact"/>
              <w:jc w:val="center"/>
              <w:rPr>
                <w:noProof/>
                <w:sz w:val="16"/>
                <w:szCs w:val="16"/>
              </w:rPr>
            </w:pPr>
            <w:r>
              <w:rPr>
                <w:noProof/>
              </w:rPr>
              <w:t>Година</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rPr>
              <w:t>Година</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rPr>
              <w:t>Година</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ФУНКЦИЯ 5</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с административен характер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Междинен сбор за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rPr>
              <w:t>Извън ФУНКЦИЯ 5</w:t>
            </w:r>
            <w:r>
              <w:rPr>
                <w:rStyle w:val="FootnoteReference"/>
                <w:b/>
                <w:noProof/>
              </w:rPr>
              <w:footnoteReference w:id="17"/>
            </w:r>
            <w:r>
              <w:rPr>
                <w:noProof/>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rPr>
              <w:t>Други разходи</w:t>
            </w:r>
            <w:r>
              <w:rPr>
                <w:noProof/>
              </w:rPr>
              <w:br/>
            </w:r>
            <w:r>
              <w:rPr>
                <w:noProof/>
                <w:sz w:val="16"/>
              </w:rP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rPr>
              <w:t>Междинен сбор</w:t>
            </w:r>
            <w:r>
              <w:rPr>
                <w:noProof/>
              </w:rPr>
              <w:br/>
            </w:r>
            <w:r>
              <w:rPr>
                <w:b/>
                <w:noProof/>
              </w:rPr>
              <w:t>извън ФУНКЦИЯ 5</w:t>
            </w:r>
            <w:r>
              <w:rPr>
                <w:noProof/>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rPr>
          <w:noProof/>
        </w:rPr>
        <w:t>3.2.3.2.</w:t>
      </w:r>
      <w:r>
        <w:rPr>
          <w:noProof/>
        </w:rPr>
        <w:tab/>
        <w:t>Очаквани нужди от човешки ресурси</w:t>
      </w:r>
    </w:p>
    <w:p>
      <w:pPr>
        <w:pStyle w:val="ListDash1"/>
        <w:rPr>
          <w:noProof/>
        </w:rPr>
      </w:pPr>
      <w:r>
        <w:rPr>
          <w:noProof/>
        </w:rPr>
        <w:sym w:font="Wingdings" w:char="F07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rPr>
              <w:t>Година</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rPr>
              <w:t>Година</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N+3</w:t>
            </w:r>
          </w:p>
        </w:tc>
        <w:tc>
          <w:tcPr>
            <w:tcW w:w="345" w:type="pct"/>
            <w:gridSpan w:val="3"/>
            <w:shd w:val="clear" w:color="auto" w:fill="auto"/>
            <w:vAlign w:val="center"/>
          </w:tcPr>
          <w:p>
            <w:pPr>
              <w:jc w:val="center"/>
              <w:rPr>
                <w:b/>
                <w:noProof/>
                <w:sz w:val="16"/>
                <w:szCs w:val="16"/>
              </w:rPr>
            </w:pPr>
            <w:r>
              <w:rPr>
                <w:noProof/>
                <w:sz w:val="16"/>
              </w:rPr>
              <w:t>Да се добавят толкова години, колкото е необходимо, за да се обхване продължителността на отражението (вж. точка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w:t>
            </w:r>
            <w:r>
              <w:rPr>
                <w:b/>
                <w:noProof/>
              </w:rPr>
              <w:t>Длъжности в щатното разписание (длъжностни лица и временно наети лица)</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w:t>
            </w:r>
            <w:r>
              <w:rPr>
                <w:b/>
                <w:noProof/>
              </w:rPr>
              <w:t>Външен персонал (в еквивалент на пълно работно време:</w:t>
            </w:r>
            <w:r>
              <w:rPr>
                <w:b/>
                <w:noProof/>
                <w:sz w:val="16"/>
              </w:rPr>
              <w:t xml:space="preserve"> ЕПРВ)</w:t>
            </w:r>
            <w:r>
              <w:rPr>
                <w:rStyle w:val="FootnoteReference"/>
                <w:b/>
                <w:noProof/>
                <w:sz w:val="16"/>
              </w:rPr>
              <w:footnoteReference w:id="18"/>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9"/>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rPr>
              <w:t>XX</w:t>
            </w:r>
            <w:r>
              <w:rPr>
                <w:noProof/>
              </w:rPr>
              <w:t xml:space="preserve"> 01 05 02 (ДНП, КНЕ, ПНА — Непреки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rPr>
        <w:t>ХХ</w:t>
      </w:r>
      <w:r>
        <w:rPr>
          <w:noProof/>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rPr>
          <w:noProof/>
        </w:rPr>
      </w:pPr>
      <w:r>
        <w:rPr>
          <w:noProof/>
        </w:rPr>
        <w:sym w:font="Wingdings" w:char="F07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Участие на трети страни във финансирането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rPr>
              <w:t>Година</w:t>
            </w:r>
            <w:r>
              <w:rPr>
                <w:noProof/>
              </w:rPr>
              <w:br/>
            </w:r>
            <w:r>
              <w:rPr>
                <w:b/>
                <w:noProof/>
                <w:sz w:val="20"/>
              </w:rPr>
              <w:t>N</w:t>
            </w:r>
          </w:p>
        </w:tc>
        <w:tc>
          <w:tcPr>
            <w:tcW w:w="964" w:type="dxa"/>
            <w:vAlign w:val="center"/>
          </w:tcPr>
          <w:p>
            <w:pPr>
              <w:jc w:val="center"/>
              <w:rPr>
                <w:noProof/>
                <w:sz w:val="20"/>
              </w:rPr>
            </w:pPr>
            <w:r>
              <w:rPr>
                <w:noProof/>
              </w:rPr>
              <w:t>Година</w:t>
            </w:r>
            <w:r>
              <w:rPr>
                <w:noProof/>
              </w:rPr>
              <w:br/>
            </w:r>
            <w:r>
              <w:rPr>
                <w:b/>
                <w:noProof/>
                <w:sz w:val="20"/>
              </w:rPr>
              <w:t>N+1</w:t>
            </w:r>
          </w:p>
        </w:tc>
        <w:tc>
          <w:tcPr>
            <w:tcW w:w="964" w:type="dxa"/>
            <w:vAlign w:val="center"/>
          </w:tcPr>
          <w:p>
            <w:pPr>
              <w:jc w:val="center"/>
              <w:rPr>
                <w:noProof/>
                <w:sz w:val="20"/>
              </w:rPr>
            </w:pPr>
            <w:r>
              <w:rPr>
                <w:noProof/>
              </w:rPr>
              <w:t>Година</w:t>
            </w:r>
            <w:r>
              <w:rPr>
                <w:noProof/>
              </w:rPr>
              <w:br/>
            </w:r>
            <w:r>
              <w:rPr>
                <w:b/>
                <w:noProof/>
                <w:sz w:val="20"/>
              </w:rPr>
              <w:t>N+2</w:t>
            </w:r>
          </w:p>
        </w:tc>
        <w:tc>
          <w:tcPr>
            <w:tcW w:w="964" w:type="dxa"/>
            <w:vAlign w:val="center"/>
          </w:tcPr>
          <w:p>
            <w:pPr>
              <w:jc w:val="center"/>
              <w:rPr>
                <w:noProof/>
                <w:sz w:val="20"/>
              </w:rPr>
            </w:pPr>
            <w:r>
              <w:rPr>
                <w:noProof/>
              </w:rPr>
              <w:t>Година</w:t>
            </w:r>
            <w:r>
              <w:rPr>
                <w:noProof/>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Очаквано отражение върху приходите </w:t>
      </w:r>
    </w:p>
    <w:p>
      <w:pPr>
        <w:pStyle w:val="ListDash1"/>
        <w:rPr>
          <w:noProof/>
        </w:rPr>
      </w:pPr>
      <w:r>
        <w:rPr>
          <w:noProof/>
        </w:rPr>
        <w:sym w:font="Wingdings" w:char="F07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20"/>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rPr>
              <w:t>Година</w:t>
            </w:r>
            <w:r>
              <w:rPr>
                <w:noProof/>
              </w:rPr>
              <w:br/>
            </w:r>
            <w:r>
              <w:rPr>
                <w:b/>
                <w:noProof/>
                <w:sz w:val="18"/>
              </w:rPr>
              <w:t>N</w:t>
            </w:r>
          </w:p>
        </w:tc>
        <w:tc>
          <w:tcPr>
            <w:tcW w:w="900" w:type="dxa"/>
            <w:vAlign w:val="center"/>
          </w:tcPr>
          <w:p>
            <w:pPr>
              <w:jc w:val="center"/>
              <w:rPr>
                <w:noProof/>
                <w:sz w:val="18"/>
              </w:rPr>
            </w:pPr>
            <w:r>
              <w:rPr>
                <w:noProof/>
              </w:rPr>
              <w:t>Година</w:t>
            </w:r>
            <w:r>
              <w:rPr>
                <w:noProof/>
              </w:rPr>
              <w:br/>
            </w:r>
            <w:r>
              <w:rPr>
                <w:b/>
                <w:noProof/>
                <w:sz w:val="18"/>
              </w:rPr>
              <w:t>N+1</w:t>
            </w:r>
          </w:p>
        </w:tc>
        <w:tc>
          <w:tcPr>
            <w:tcW w:w="900" w:type="dxa"/>
            <w:vAlign w:val="center"/>
          </w:tcPr>
          <w:p>
            <w:pPr>
              <w:jc w:val="center"/>
              <w:rPr>
                <w:noProof/>
                <w:sz w:val="18"/>
              </w:rPr>
            </w:pPr>
            <w:r>
              <w:rPr>
                <w:noProof/>
              </w:rPr>
              <w:t>Година</w:t>
            </w:r>
            <w:r>
              <w:rPr>
                <w:noProof/>
              </w:rPr>
              <w:br/>
            </w:r>
            <w:r>
              <w:rPr>
                <w:b/>
                <w:noProof/>
                <w:sz w:val="18"/>
              </w:rPr>
              <w:t>N+2</w:t>
            </w:r>
          </w:p>
        </w:tc>
        <w:tc>
          <w:tcPr>
            <w:tcW w:w="1080" w:type="dxa"/>
            <w:vAlign w:val="center"/>
          </w:tcPr>
          <w:p>
            <w:pPr>
              <w:jc w:val="center"/>
              <w:rPr>
                <w:noProof/>
                <w:sz w:val="18"/>
              </w:rPr>
            </w:pPr>
            <w:r>
              <w:rPr>
                <w:noProof/>
              </w:rPr>
              <w:t>Година</w:t>
            </w:r>
            <w:r>
              <w:rPr>
                <w:noProof/>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rPr>
          <w:noProof/>
        </w:rPr>
      </w:pPr>
      <w:bookmarkStart w:id="1" w:name="_InMacro_"/>
      <w:bookmarkEnd w:id="1"/>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C, , стр. .</w:t>
      </w:r>
    </w:p>
  </w:footnote>
  <w:footnote w:id="2">
    <w:p>
      <w:pPr>
        <w:pStyle w:val="FootnoteText"/>
      </w:pPr>
      <w:r>
        <w:rPr>
          <w:rStyle w:val="FootnoteReference"/>
        </w:rPr>
        <w:footnoteRef/>
      </w:r>
      <w:r>
        <w:tab/>
        <w:t>ОВ C, , стр. .</w:t>
      </w:r>
    </w:p>
  </w:footnote>
  <w:footnote w:id="3">
    <w:p>
      <w:pPr>
        <w:pStyle w:val="FootnoteText"/>
        <w:rPr>
          <w:szCs w:val="24"/>
        </w:rPr>
      </w:pPr>
      <w:r>
        <w:rPr>
          <w:rStyle w:val="FootnoteReference"/>
        </w:rPr>
        <w:footnoteRef/>
      </w:r>
      <w:r>
        <w:tab/>
        <w:t>УД: управление по дейности; БД: бюджетиране по дейности.</w:t>
      </w:r>
    </w:p>
  </w:footnote>
  <w:footnote w:id="4">
    <w:p>
      <w:pPr>
        <w:pStyle w:val="FootnoteText"/>
        <w:rPr>
          <w:szCs w:val="24"/>
        </w:rPr>
      </w:pPr>
      <w:r>
        <w:rPr>
          <w:rStyle w:val="FootnoteReference"/>
        </w:rPr>
        <w:footnoteRef/>
      </w:r>
      <w:r>
        <w:tab/>
        <w:t>Съгласно член 54, параграф 2, буква а) или б) от Финансовия регламент.</w:t>
      </w:r>
    </w:p>
  </w:footnote>
  <w:footnote w:id="5">
    <w:p>
      <w:pPr>
        <w:pStyle w:val="FootnoteText"/>
        <w:rPr>
          <w:szCs w:val="24"/>
        </w:rPr>
      </w:pPr>
      <w:r>
        <w:rPr>
          <w:rStyle w:val="FootnoteReference"/>
        </w:rPr>
        <w:footnoteRef/>
      </w:r>
      <w:r>
        <w:tab/>
        <w:t xml:space="preserve">Подробна информация за методите на управление и позовавания на Финансовия регламент могат да бъдат намерени на уебсайта BudgWeb: </w:t>
      </w:r>
      <w:hyperlink r:id="rId1">
        <w:r>
          <w:rPr>
            <w:rStyle w:val="Hyperlink"/>
            <w:sz w:val="18"/>
          </w:rPr>
          <w:t>http://www.cc.cec/budg/man/budgmanag/budgmanag_en.html</w:t>
        </w:r>
      </w:hyperlink>
    </w:p>
  </w:footnote>
  <w:footnote w:id="6">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7">
    <w:p>
      <w:pPr>
        <w:pStyle w:val="FootnoteText"/>
        <w:rPr>
          <w:szCs w:val="24"/>
        </w:rPr>
      </w:pPr>
      <w:r>
        <w:rPr>
          <w:rStyle w:val="FootnoteReference"/>
        </w:rPr>
        <w:footnoteRef/>
      </w:r>
      <w:r>
        <w:tab/>
        <w:t xml:space="preserve">ЕАСТ: Европейска асоциация за свободна търговия. </w:t>
      </w:r>
    </w:p>
  </w:footnote>
  <w:footnote w:id="8">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9">
    <w:p>
      <w:pPr>
        <w:pStyle w:val="FootnoteText"/>
      </w:pPr>
      <w:r>
        <w:rPr>
          <w:rStyle w:val="FootnoteReference"/>
        </w:rPr>
        <w:footnoteRef/>
      </w:r>
      <w:r>
        <w:tab/>
        <w:t>В съответствие с член 136 от Регламент (ЕС) № 1303/2013 предварителното финансиране се коригира (уравнява) с разходите по ИМЗ, декларирани до 31.12.2018 г.</w:t>
      </w:r>
    </w:p>
  </w:footnote>
  <w:footnote w:id="1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1">
    <w:p>
      <w:pPr>
        <w:pStyle w:val="FootnoteText"/>
      </w:pPr>
      <w:r>
        <w:rPr>
          <w:rStyle w:val="FootnoteReference"/>
        </w:rPr>
        <w:footnoteRef/>
      </w:r>
      <w:r>
        <w:tab/>
        <w:t>В съответствие с член 136 от Регламент (ЕС) № 1303/2013 предварителното финансиране се коригира (уравнява) с разходите по ИМЗ, декларирани до 31.12.2018 г.</w:t>
      </w:r>
    </w:p>
  </w:footnote>
  <w:footnote w:id="1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3">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4">
    <w:p>
      <w:pPr>
        <w:pStyle w:val="FootnoteText"/>
        <w:rPr>
          <w:szCs w:val="24"/>
        </w:rPr>
      </w:pPr>
      <w:r>
        <w:rPr>
          <w:rStyle w:val="FootnoteReference"/>
        </w:rPr>
        <w:footnoteRef/>
      </w:r>
      <w:r>
        <w:tab/>
        <w:t>Резултатите са продуктите и услугите, които ще бъдат доставени (например брой финансирани обмени на учащи се, дължина на построените пътища в километри и т.н.).</w:t>
      </w:r>
    </w:p>
  </w:footnote>
  <w:footnote w:id="15">
    <w:p>
      <w:pPr>
        <w:pStyle w:val="FootnoteText"/>
        <w:rPr>
          <w:szCs w:val="24"/>
        </w:rPr>
      </w:pPr>
      <w:r>
        <w:rPr>
          <w:rStyle w:val="FootnoteReference"/>
        </w:rPr>
        <w:footnoteRef/>
      </w:r>
      <w:r>
        <w:tab/>
        <w:t xml:space="preserve">Съгласно описанието в точка 1.4.2. „Конкретни цели…“ </w:t>
      </w:r>
    </w:p>
  </w:footnote>
  <w:footnote w:id="16">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1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8">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9">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20">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BA03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FEABC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B02C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4458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620E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3"/>
  </w:num>
  <w:num w:numId="5">
    <w:abstractNumId w:val="20"/>
  </w:num>
  <w:num w:numId="6">
    <w:abstractNumId w:val="24"/>
  </w:num>
  <w:num w:numId="7">
    <w:abstractNumId w:val="4"/>
  </w:num>
  <w:num w:numId="8">
    <w:abstractNumId w:val="3"/>
  </w:num>
  <w:num w:numId="9">
    <w:abstractNumId w:val="2"/>
  </w:num>
  <w:num w:numId="10">
    <w:abstractNumId w:val="1"/>
  </w:num>
  <w:num w:numId="11">
    <w:abstractNumId w:val="0"/>
  </w:num>
  <w:num w:numId="12">
    <w:abstractNumId w:val="10"/>
  </w:num>
  <w:num w:numId="13">
    <w:abstractNumId w:val="25"/>
    <w:lvlOverride w:ilvl="0">
      <w:startOverride w:val="1"/>
    </w:lvlOverride>
  </w:num>
  <w:num w:numId="14">
    <w:abstractNumId w:val="19"/>
  </w:num>
  <w:num w:numId="15">
    <w:abstractNumId w:val="11"/>
  </w:num>
  <w:num w:numId="16">
    <w:abstractNumId w:val="22"/>
  </w:num>
  <w:num w:numId="17">
    <w:abstractNumId w:val="9"/>
  </w:num>
  <w:num w:numId="18">
    <w:abstractNumId w:val="12"/>
  </w:num>
  <w:num w:numId="19">
    <w:abstractNumId w:val="7"/>
  </w:num>
  <w:num w:numId="20">
    <w:abstractNumId w:val="21"/>
  </w:num>
  <w:num w:numId="21">
    <w:abstractNumId w:val="6"/>
  </w:num>
  <w:num w:numId="22">
    <w:abstractNumId w:val="13"/>
  </w:num>
  <w:num w:numId="23">
    <w:abstractNumId w:val="17"/>
  </w:num>
  <w:num w:numId="24">
    <w:abstractNumId w:val="18"/>
  </w:num>
  <w:num w:numId="25">
    <w:abstractNumId w:val="8"/>
  </w:num>
  <w:num w:numId="26">
    <w:abstractNumId w:val="16"/>
  </w:num>
  <w:num w:numId="27">
    <w:abstractNumId w:val="25"/>
  </w:num>
  <w:num w:numId="28">
    <w:abstractNumId w:val="19"/>
  </w:num>
  <w:num w:numId="29">
    <w:abstractNumId w:val="11"/>
  </w:num>
  <w:num w:numId="30">
    <w:abstractNumId w:val="22"/>
  </w:num>
  <w:num w:numId="31">
    <w:abstractNumId w:val="9"/>
  </w:num>
  <w:num w:numId="32">
    <w:abstractNumId w:val="12"/>
  </w:num>
  <w:num w:numId="33">
    <w:abstractNumId w:val="7"/>
  </w:num>
  <w:num w:numId="34">
    <w:abstractNumId w:val="21"/>
  </w:num>
  <w:num w:numId="35">
    <w:abstractNumId w:val="6"/>
  </w:num>
  <w:num w:numId="36">
    <w:abstractNumId w:val="13"/>
  </w:num>
  <w:num w:numId="37">
    <w:abstractNumId w:val="17"/>
  </w:num>
  <w:num w:numId="38">
    <w:abstractNumId w:val="18"/>
  </w:num>
  <w:num w:numId="39">
    <w:abstractNumId w:val="8"/>
  </w:num>
  <w:num w:numId="40">
    <w:abstractNumId w:val="16"/>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0 17:16: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A7155CA4A41C41A3B3E0ACC5E790FD2C"/>
    <w:docVar w:name="LW_CROSSREFERENCE" w:val="&lt;UNUSED&gt;"/>
    <w:docVar w:name="LW_DocType" w:val="COM"/>
    <w:docVar w:name="LW_EMISSION" w:val="17.7.2015"/>
    <w:docVar w:name="LW_EMISSION_ISODATE" w:val="2015-07-1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0"/>
    <w:docVar w:name="LW_REF.II.NEW.CP_YEAR" w:val="2015"/>
    <w:docVar w:name="LW_REF.INST.NEW" w:val="COM"/>
    <w:docVar w:name="LW_REF.INST.NEW_ADOPTED" w:val="final"/>
    <w:docVar w:name="LW_REF.INST.NEW_TEXT" w:val="(2015) 36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85?\u1072? \u1045?\u1074?\u1088?\u1086?\u1087?\u1077?\u1081?\u1089?\u1082?\u1080?\u1103? \u1087?\u1072?\u1088?\u1083?\u1072?\u1084?\u1077?\u1085?\u1090? \u1080? \u1085?\u1072? \u1057?\u1098?\u1074?\u1077?\u1090?\u1072? \u1079?\u1072? \u1086?\u1087?\u1088?\u1077?\u1076?\u1077?\u1083?\u1103?\u1085?\u1077? \u1085?\u1072? \u1086?\u1073?\u1097?\u1086?\u1087?\u1088?\u1080?\u1083?\u1086?\u1078?\u1080?\u1084?\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45?\u1074?\u1088?\u1086?\u1087?\u1077?\u1081?\u1089?\u1082?\u1080?\u1103? \u1079?\u1077?\u1084?\u1077?\u1076?\u1077?\u1083?\u1089?\u1082?\u1080? \u1092?\u1086?\u1085?\u1076? \u1079?\u1072? \u1088?\u1072?\u1079?\u1074?\u1080?\u1090?\u1080?\u1077? \u1085?\u1072? \u1089?\u1077?\u1083?\u1089?\u1082?\u1080?\u1090?\u1077? \u1088?\u1072?\u1081?\u1086?\u1085?\u1080? \u1080? \u1045?\u1074?\u1088?\u1086?\u1087?\u1077?\u1081?\u1089?\u1082?\u1080?\u1103? \u1092?\u1086?\u1085?\u1076? \u1079?\u1072? \u1084?\u1086?\u1088?\u1089?\u1082?\u1086? \u1076?\u1077?\u1083?\u1086? \u1080? \u1088?\u1080?\u1073?\u1072?\u1088?\u1089?\u1090?\u1074?\u1086? \u1080? \u1079?\u1072? \u1086?\u1087?\u1088?\u1077?\u1076?\u1077?\u1083?\u1103?\u1085?\u1077? \u1085?\u1072? \u1086?\u1073?\u1097?\u1080? \u1088?\u1072?\u1079?\u1087?\u1086?\u1088?\u1077?\u1076?\u1073?\u1080? \u1079?\u1072? \u1045?\u1074?\u1088?\u1086?\u1087?\u1077?\u1081?\u1089?\u1082?\u1080?\u1103? \u1092?\u1086?\u1085?\u1076? \u1079?\u1072? \u1088?\u1077?\u1075?\u1080?\u1086?\u1085?\u1072?\u1083?\u1085?\u1086? \u1088?\u1072?\u1079?\u1074?\u1080?\u1090?\u1080?\u1077?, \u1045?\u1074?\u1088?\u1086?\u1087?\u1077?\u1081?\u1089?\u1082?\u1080?\u1103? \u1089?\u1086?\u1094?\u1080?\u1072?\u1083?\u1077?\u1085? \u1092?\u1086?\u1085?\u1076?, \u1050?\u1086?\u1093?\u1077?\u1079?\u1080?\u1086?\u1085?\u1085?\u1080?\u1103? \u1092?\u1086?\u1085?\u1076? \u1080? \u1045?\u1074?\u1088?\u1086?\u1087?\u1077?\u1081?\u1089?\u1082?\u1080?\u1103? \u1092?\u1086?\u1085?\u1076? \u1079?\u1072? \u1084?\u1086?\u1088?\u1089?\u1082?\u1086? \u1076?\u1077?\u1083?\u1086? \u1080? \u1088?\u1080?\u1073?\u1072?\u1088?\u1089?\u1090?\u1074?\u1086? \u1087?\u1086? \u1086?\u1090?\u1085?\u1086?\u1096?\u1077?\u1085?\u1080?\u1077? \u1085?\u1072? \u1089?\u1087?\u1077?\u1094?\u1080?\u1092?\u1080?\u1095?\u1085?\u1080?\u1090?\u1077? \u1084?\u1077?\u1088?\u1082?\u1080? \u1079?\u1072? \u1043?\u1098?\u1088?\u1094?\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uiPriority w:val="99"/>
    <w:unhideWhenUsed/>
    <w:rPr>
      <w:color w:val="800080"/>
      <w:u w:val="single"/>
    </w:rPr>
  </w:style>
  <w:style w:type="paragraph" w:styleId="BalloonText">
    <w:name w:val="Balloon Text"/>
    <w:basedOn w:val="Normal"/>
    <w:link w:val="BalloonTextChar"/>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9"/>
      </w:numPr>
      <w:contextualSpacing/>
    </w:pPr>
    <w:rPr>
      <w:rFonts w:eastAsia="Times New Roman"/>
    </w:rPr>
  </w:style>
  <w:style w:type="paragraph" w:styleId="ListNumber3">
    <w:name w:val="List Number 3"/>
    <w:basedOn w:val="Normal"/>
    <w:pPr>
      <w:numPr>
        <w:numId w:val="10"/>
      </w:numPr>
      <w:contextualSpacing/>
    </w:pPr>
    <w:rPr>
      <w:rFonts w:eastAsia="Times New Roman"/>
    </w:rPr>
  </w:style>
  <w:style w:type="paragraph" w:styleId="ListNumber4">
    <w:name w:val="List Number 4"/>
    <w:basedOn w:val="Normal"/>
    <w:pPr>
      <w:numPr>
        <w:numId w:val="11"/>
      </w:numPr>
      <w:contextualSpacing/>
    </w:pPr>
    <w:rPr>
      <w:rFonts w:eastAsia="Times New Roman"/>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uiPriority w:val="99"/>
    <w:unhideWhenUsed/>
    <w:rPr>
      <w:color w:val="800080"/>
      <w:u w:val="single"/>
    </w:rPr>
  </w:style>
  <w:style w:type="paragraph" w:styleId="BalloonText">
    <w:name w:val="Balloon Text"/>
    <w:basedOn w:val="Normal"/>
    <w:link w:val="BalloonTextChar"/>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9"/>
      </w:numPr>
      <w:contextualSpacing/>
    </w:pPr>
    <w:rPr>
      <w:rFonts w:eastAsia="Times New Roman"/>
    </w:rPr>
  </w:style>
  <w:style w:type="paragraph" w:styleId="ListNumber3">
    <w:name w:val="List Number 3"/>
    <w:basedOn w:val="Normal"/>
    <w:pPr>
      <w:numPr>
        <w:numId w:val="10"/>
      </w:numPr>
      <w:contextualSpacing/>
    </w:pPr>
    <w:rPr>
      <w:rFonts w:eastAsia="Times New Roman"/>
    </w:rPr>
  </w:style>
  <w:style w:type="paragraph" w:styleId="ListNumber4">
    <w:name w:val="List Number 4"/>
    <w:basedOn w:val="Normal"/>
    <w:pPr>
      <w:numPr>
        <w:numId w:val="11"/>
      </w:numPr>
      <w:contextualSpacing/>
    </w:pPr>
    <w:rPr>
      <w:rFonts w:eastAsia="Times New Roman"/>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29</Pages>
  <Words>4646</Words>
  <Characters>26625</Characters>
  <Application>Microsoft Office Word</Application>
  <DocSecurity>0</DocSecurity>
  <Lines>1775</Lines>
  <Paragraphs>727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2015-07-16T15:32:00Z</cp:lastPrinted>
  <dcterms:created xsi:type="dcterms:W3CDTF">2015-07-20T12:29:00Z</dcterms:created>
  <dcterms:modified xsi:type="dcterms:W3CDTF">2015-07-20T15:16:00Z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02)</vt:lpwstr>
  </property>
</Properties>
</file>