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B92DFD51A7A47B7A736FE0E4E446A7C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i/>
          <w:smallCaps/>
          <w:noProof/>
        </w:rPr>
      </w:pPr>
      <w:bookmarkStart w:id="0" w:name="_GoBack"/>
      <w:bookmarkEnd w:id="0"/>
      <w:r>
        <w:rPr>
          <w:noProof/>
        </w:rPr>
        <w:lastRenderedPageBreak/>
        <w:t>ANNEX I</w:t>
      </w:r>
      <w:r>
        <w:rPr>
          <w:noProof/>
        </w:rPr>
        <w:br/>
      </w:r>
      <w:r>
        <w:rPr>
          <w:smallCaps/>
          <w:noProof/>
        </w:rPr>
        <w:t xml:space="preserve">Information to be included in the product database </w:t>
      </w:r>
    </w:p>
    <w:p>
      <w:pPr>
        <w:pStyle w:val="Heading1"/>
        <w:numPr>
          <w:ilvl w:val="0"/>
          <w:numId w:val="9"/>
        </w:numPr>
        <w:rPr>
          <w:noProof/>
        </w:rPr>
      </w:pPr>
      <w:r>
        <w:rPr>
          <w:smallCaps w:val="0"/>
          <w:noProof/>
        </w:rPr>
        <w:t>Publicly available product information:</w:t>
      </w:r>
    </w:p>
    <w:p>
      <w:pPr>
        <w:pStyle w:val="Point1letter"/>
        <w:numPr>
          <w:ilvl w:val="3"/>
          <w:numId w:val="14"/>
        </w:numPr>
        <w:rPr>
          <w:noProof/>
        </w:rPr>
      </w:pPr>
      <w:r>
        <w:rPr>
          <w:noProof/>
        </w:rPr>
        <w:t>manufacturer's or supplier's name or trademark;</w:t>
      </w:r>
    </w:p>
    <w:p>
      <w:pPr>
        <w:pStyle w:val="Point1letter"/>
        <w:rPr>
          <w:noProof/>
        </w:rPr>
      </w:pPr>
      <w:r>
        <w:rPr>
          <w:noProof/>
        </w:rPr>
        <w:t>the model identifier(s), including of all equivalent models;</w:t>
      </w:r>
    </w:p>
    <w:p>
      <w:pPr>
        <w:pStyle w:val="Point1letter"/>
        <w:rPr>
          <w:noProof/>
        </w:rPr>
      </w:pPr>
      <w:r>
        <w:rPr>
          <w:noProof/>
          <w:lang w:eastAsia="en-US"/>
        </w:rPr>
        <w:t>the label in electronic format</w:t>
      </w:r>
      <w:r>
        <w:rPr>
          <w:noProof/>
        </w:rPr>
        <w:t>;</w:t>
      </w:r>
    </w:p>
    <w:p>
      <w:pPr>
        <w:pStyle w:val="Point1letter"/>
        <w:rPr>
          <w:noProof/>
        </w:rPr>
      </w:pPr>
      <w:r>
        <w:rPr>
          <w:noProof/>
        </w:rPr>
        <w:t>the class(es) and other parameters on the label;</w:t>
      </w:r>
    </w:p>
    <w:p>
      <w:pPr>
        <w:pStyle w:val="Point1letter"/>
        <w:rPr>
          <w:noProof/>
        </w:rPr>
      </w:pPr>
      <w:r>
        <w:rPr>
          <w:noProof/>
        </w:rPr>
        <w:t>the product information sheet in electronic format.</w:t>
      </w:r>
    </w:p>
    <w:p>
      <w:pPr>
        <w:pStyle w:val="Heading1"/>
        <w:rPr>
          <w:noProof/>
        </w:rPr>
      </w:pPr>
      <w:r>
        <w:rPr>
          <w:smallCaps w:val="0"/>
          <w:noProof/>
        </w:rPr>
        <w:t>Compliance information, only available to Member States' market surveillance authorities and the Commission: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the technical documentation specified in the applicable delegated act;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test report or similar technical evidence enabling compliance with all requirements in the applicable delegated act to be assessed;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name and address of the supplier;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the contact details of a representative of the supplier.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ANNEX II</w:t>
      </w:r>
      <w:r>
        <w:rPr>
          <w:noProof/>
        </w:rPr>
        <w:br/>
        <w:t>Correlation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Directive 2010/30/EU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This Regulation</w:t>
            </w:r>
          </w:p>
        </w:tc>
      </w:tr>
      <w:tr>
        <w:tc>
          <w:tcPr>
            <w:tcW w:w="46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1(1)</w:t>
            </w:r>
          </w:p>
        </w:tc>
        <w:tc>
          <w:tcPr>
            <w:tcW w:w="464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1(1)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1(2)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1(3)(a) &amp; (b)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1(2)(a) &amp; (b)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Article 1(3)(c) 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2(a)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2(11)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2(17)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2(c)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2(d)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2(e)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2(f)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2(g)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2(9)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2(h)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2(5)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2(i)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2(2)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2(j)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2(4)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2(k)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Article 3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3(1)(a)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4(2)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3(1)(b)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3(3)(c)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3(1)(c)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4(4)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3(1)(d)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Article 5(2)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3(2)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3(4) 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lastRenderedPageBreak/>
              <w:t>Article 4(a)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4(b)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lastRenderedPageBreak/>
              <w:t>Article 3(3)(b) &amp; Article 6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5(1)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lastRenderedPageBreak/>
              <w:t>Article 3(2)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lastRenderedPageBreak/>
              <w:t>Article 4(c)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3(3)(a)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4(d)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3(3)(a)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5(b) points (i), (ii), (iii) and (iv)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5(c)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5(d)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5(d) 2</w:t>
            </w:r>
            <w:r>
              <w:rPr>
                <w:noProof/>
                <w:vertAlign w:val="superscript"/>
                <w:lang w:val="fr-BE"/>
              </w:rPr>
              <w:t>nd</w:t>
            </w:r>
            <w:r>
              <w:rPr>
                <w:noProof/>
                <w:lang w:val="fr-BE"/>
              </w:rPr>
              <w:t xml:space="preserve"> subparagraph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5(e)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5(f)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5(g)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5(h)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6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6(a)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6(b)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7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8(1)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8(2)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9(1)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9(2)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9(3)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9(4)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10(1)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10(1) second paragraph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10(1) third paragraph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10(1) fourth paragraph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10(2)(a)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10(2)(b)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3(1) &amp; 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3(1)(a)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3(1)(d) &amp; Annex I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3(1)(d)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3(1)(a)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3(1)(b)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3(1)(a)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3(1)(a)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3(2) &amp; 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3(2)(a)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3(2)(a)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12(3)(d) &amp; (f)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Article 4(1)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Repealed by Directive 2012/27/EU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Repealed by Directive 2012/27/EU 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12(2)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12(3)(c)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12(2)(a)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12(2)(b)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  <w:lang w:val="fr-BE"/>
              </w:rPr>
              <w:t>Article 10(2)(c)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—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10(3)(a)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lastRenderedPageBreak/>
              <w:t>Article 10(3)(b)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10(3)(c)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10(3)(d)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10(4)(b)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10(4)(c)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10(4)(d)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10(4)(d) second paragraph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10(4)(d) third paragraph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10(4)(d) fourth paragraph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10(4)(d) fifth  paragraph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10(4)(e)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10(4)(f)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10(4)(g)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10(4)(h)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10(4)(i)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10(4)(j)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11(1)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11(2)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11(3)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12(1)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12(2)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13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14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15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16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17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18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19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lastRenderedPageBreak/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lastRenderedPageBreak/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10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12(3)(a)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12(3)(k) 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12(3)(g) 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12(3)(b)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12(3)(b)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7(3)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7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12(3)(d)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12(3)(g) 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12(3)(j)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7(3)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12(3)(h)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12(3)(o)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13(2)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13(4)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13(1) 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 xml:space="preserve">Article 13(3) 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13(3)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13(5)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14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4(5)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15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16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Article 16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lastRenderedPageBreak/>
              <w:t>Annex I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-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—</w:t>
            </w:r>
          </w:p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Annex I</w:t>
            </w:r>
          </w:p>
        </w:tc>
      </w:tr>
      <w:tr>
        <w:tc>
          <w:tcPr>
            <w:tcW w:w="4644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Annex II</w:t>
            </w:r>
          </w:p>
        </w:tc>
        <w:tc>
          <w:tcPr>
            <w:tcW w:w="4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Annex II</w:t>
            </w:r>
          </w:p>
        </w:tc>
      </w:tr>
    </w:tbl>
    <w:p>
      <w:pPr>
        <w:rPr>
          <w:noProof/>
        </w:rPr>
      </w:pPr>
    </w:p>
    <w:sectPr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6006C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A227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2E48E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14A45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D3CAA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B744D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213AF0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6"/>
  </w:num>
  <w:num w:numId="7">
    <w:abstractNumId w:val="15"/>
  </w:num>
  <w:num w:numId="8">
    <w:abstractNumId w:val="2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2"/>
  </w:num>
  <w:num w:numId="18">
    <w:abstractNumId w:val="11"/>
  </w:num>
  <w:num w:numId="19">
    <w:abstractNumId w:val="13"/>
  </w:num>
  <w:num w:numId="20">
    <w:abstractNumId w:val="9"/>
  </w:num>
  <w:num w:numId="21">
    <w:abstractNumId w:val="21"/>
  </w:num>
  <w:num w:numId="22">
    <w:abstractNumId w:val="8"/>
  </w:num>
  <w:num w:numId="23">
    <w:abstractNumId w:val="14"/>
  </w:num>
  <w:num w:numId="24">
    <w:abstractNumId w:val="18"/>
  </w:num>
  <w:num w:numId="25">
    <w:abstractNumId w:val="19"/>
  </w:num>
  <w:num w:numId="26">
    <w:abstractNumId w:val="10"/>
  </w:num>
  <w:num w:numId="27">
    <w:abstractNumId w:val="17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06 16:51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9B92DFD51A7A47B7A736FE0E4E446A7C"/>
    <w:docVar w:name="LW_CROSSREFERENCE" w:val="{SWD(2015) 139 final}_x000b_{SWD(2015) 140 final}"/>
    <w:docVar w:name="LW_DocType" w:val="ANNEX"/>
    <w:docVar w:name="LW_EMISSION" w:val="15.7.2015"/>
    <w:docVar w:name="LW_EMISSION_ISODATE" w:val="2015-07-15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Regulation of the European Parliament and of the Council setting a framework for energy efficiency labelling and repealing Directive 2010/30/EU_x000b_"/>
    <w:docVar w:name="LW_OBJETACTEPRINCIPAL.CP" w:val="Regulation of the European Parliament and of the Council setting a framework for energy efficiency labelling and repealing Directive 2010/30/EU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341"/>
    <w:docVar w:name="LW_REF.INTERNE" w:val="&lt;UNUSED&gt;"/>
    <w:docVar w:name="LW_SUPERTITRE" w:val="&lt;UNUSED&gt;"/>
    <w:docVar w:name="LW_TITRE.OBJ.CP" w:val="&lt;UNUSED&gt;"/>
    <w:docVar w:name="LW_TYPE.DOC" w:val="ANNEXES"/>
    <w:docVar w:name="LW_TYPE.DOC.CP" w:val="ANNEXES"/>
    <w:docVar w:name="LW_TYPEACTEPRINCIPAL" w:val="Proposal for a_x000b_"/>
    <w:docVar w:name="LW_TYPEACTEPRINCIPAL.CP" w:val="Proposal for a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">
    <w:name w:val="List Number"/>
    <w:basedOn w:val="Normal"/>
    <w:pPr>
      <w:numPr>
        <w:numId w:val="8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5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6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7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8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8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8"/>
      </w:numPr>
    </w:pPr>
    <w:rPr>
      <w:rFonts w:eastAsia="Times New Roman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customStyle="1" w:styleId="Noram">
    <w:name w:val="Noram"/>
    <w:basedOn w:val="ListDash1"/>
    <w:pPr>
      <w:numPr>
        <w:numId w:val="0"/>
      </w:numPr>
      <w:ind w:left="1134" w:hanging="283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Number">
    <w:name w:val="List Number"/>
    <w:basedOn w:val="Normal"/>
    <w:pPr>
      <w:numPr>
        <w:numId w:val="8"/>
      </w:numPr>
    </w:pPr>
    <w:rPr>
      <w:rFonts w:eastAsia="Times New Roman"/>
      <w:lang w:eastAsia="de-DE"/>
    </w:rPr>
  </w:style>
  <w:style w:type="paragraph" w:customStyle="1" w:styleId="ListBullet1">
    <w:name w:val="List Bullet 1"/>
    <w:basedOn w:val="Normal"/>
    <w:pPr>
      <w:numPr>
        <w:numId w:val="5"/>
      </w:numPr>
    </w:pPr>
    <w:rPr>
      <w:rFonts w:eastAsia="Times New Roman"/>
      <w:lang w:eastAsia="de-DE"/>
    </w:rPr>
  </w:style>
  <w:style w:type="paragraph" w:customStyle="1" w:styleId="ListDash1">
    <w:name w:val="List Dash 1"/>
    <w:basedOn w:val="Normal"/>
    <w:pPr>
      <w:numPr>
        <w:numId w:val="6"/>
      </w:numPr>
    </w:pPr>
    <w:rPr>
      <w:rFonts w:eastAsia="Times New Roman"/>
      <w:lang w:eastAsia="de-DE"/>
    </w:rPr>
  </w:style>
  <w:style w:type="paragraph" w:customStyle="1" w:styleId="ListDash2">
    <w:name w:val="List Dash 2"/>
    <w:basedOn w:val="Normal"/>
    <w:pPr>
      <w:numPr>
        <w:numId w:val="7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pPr>
      <w:numPr>
        <w:ilvl w:val="1"/>
        <w:numId w:val="8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pPr>
      <w:numPr>
        <w:ilvl w:val="2"/>
        <w:numId w:val="8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pPr>
      <w:numPr>
        <w:ilvl w:val="3"/>
        <w:numId w:val="8"/>
      </w:numPr>
    </w:pPr>
    <w:rPr>
      <w:rFonts w:eastAsia="Times New Roman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customStyle="1" w:styleId="Noram">
    <w:name w:val="Noram"/>
    <w:basedOn w:val="ListDash1"/>
    <w:pPr>
      <w:numPr>
        <w:numId w:val="0"/>
      </w:numPr>
      <w:ind w:left="1134" w:hanging="283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B363-57D0-43DF-9F6F-3548D987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6</Pages>
  <Words>480</Words>
  <Characters>2843</Characters>
  <Application>Microsoft Office Word</Application>
  <DocSecurity>0</DocSecurity>
  <Lines>203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MICHIELS Isabelle (ENER)</dc:creator>
  <cp:lastModifiedBy>DIGIT/A3</cp:lastModifiedBy>
  <cp:revision>17</cp:revision>
  <cp:lastPrinted>2015-07-10T15:41:00Z</cp:lastPrinted>
  <dcterms:created xsi:type="dcterms:W3CDTF">2015-07-03T14:37:00Z</dcterms:created>
  <dcterms:modified xsi:type="dcterms:W3CDTF">2015-07-14T13:53:00Z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02)</vt:lpwstr>
  </property>
</Properties>
</file>