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C0D" w:rsidRDefault="00986C69">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E4FB20112904E4B9AE1EF33A3ABD35B" style="width:450.6pt;height:423.3pt">
            <v:imagedata r:id="rId9" o:title=""/>
          </v:shape>
        </w:pict>
      </w:r>
    </w:p>
    <w:p w:rsidR="00030C0D" w:rsidRDefault="00030C0D">
      <w:pPr>
        <w:rPr>
          <w:noProof/>
        </w:rPr>
        <w:sectPr w:rsidR="00030C0D">
          <w:footerReference w:type="default" r:id="rId10"/>
          <w:pgSz w:w="11907" w:h="16839"/>
          <w:pgMar w:top="1134" w:right="1417" w:bottom="1134" w:left="1417" w:header="709" w:footer="709" w:gutter="0"/>
          <w:pgNumType w:start="1"/>
          <w:cols w:space="720"/>
          <w:docGrid w:linePitch="360"/>
        </w:sectPr>
      </w:pPr>
    </w:p>
    <w:p w:rsidR="00030C0D" w:rsidRDefault="00986C69">
      <w:pPr>
        <w:pStyle w:val="Exposdesmotifstitre"/>
        <w:rPr>
          <w:noProof/>
        </w:rPr>
      </w:pPr>
      <w:r>
        <w:rPr>
          <w:noProof/>
        </w:rPr>
        <w:lastRenderedPageBreak/>
        <w:t>ОБЯСНИТЕЛЕН МЕМОРАНДУМ</w:t>
      </w:r>
    </w:p>
    <w:p w:rsidR="00030C0D" w:rsidRDefault="00986C69">
      <w:pPr>
        <w:pStyle w:val="ManualHeading1"/>
        <w:rPr>
          <w:noProof/>
        </w:rPr>
      </w:pPr>
      <w:r>
        <w:rPr>
          <w:noProof/>
        </w:rPr>
        <w:t>1.</w:t>
      </w:r>
      <w:r>
        <w:rPr>
          <w:noProof/>
        </w:rPr>
        <w:tab/>
        <w:t>КОНТЕКСТ НА ПРЕДЛОЖЕНИЕТО</w:t>
      </w:r>
    </w:p>
    <w:p w:rsidR="00030C0D" w:rsidRDefault="00986C69">
      <w:pPr>
        <w:pStyle w:val="ManualHeading2"/>
        <w:rPr>
          <w:noProof/>
        </w:rPr>
      </w:pPr>
      <w:r>
        <w:rPr>
          <w:noProof/>
        </w:rPr>
        <w:t>1.1.</w:t>
      </w:r>
      <w:r>
        <w:rPr>
          <w:noProof/>
        </w:rPr>
        <w:tab/>
        <w:t>Основания и цели на предложението</w:t>
      </w:r>
    </w:p>
    <w:p w:rsidR="00030C0D" w:rsidRDefault="00986C69">
      <w:pPr>
        <w:rPr>
          <w:noProof/>
        </w:rPr>
      </w:pPr>
      <w:r>
        <w:rPr>
          <w:noProof/>
        </w:rPr>
        <w:t xml:space="preserve">На </w:t>
      </w:r>
      <w:r>
        <w:rPr>
          <w:noProof/>
        </w:rPr>
        <w:t>25 февруари 2015 г. Европейската комисия обяви в своята Рамкова стратегия за устойчив енергиен съюз с насочена към бъдещето политика по въпросите на изменението на климата, че ще бъде преразгледана Директивата за енергийното етикетиране, с оглед по-нататъш</w:t>
      </w:r>
      <w:r>
        <w:rPr>
          <w:noProof/>
        </w:rPr>
        <w:t>но оползотворяване на потенциала за подобряване на енергийната ефективност, за да се постигне по-умерено енергопотребление и съответно намаляване на енергийната зависимост на Европейския съюз.</w:t>
      </w:r>
    </w:p>
    <w:p w:rsidR="00030C0D" w:rsidRDefault="00986C69">
      <w:pPr>
        <w:rPr>
          <w:noProof/>
        </w:rPr>
      </w:pPr>
      <w:r>
        <w:rPr>
          <w:noProof/>
        </w:rPr>
        <w:t>Енергийното етикетиране е благоприятно за околната среда, защот</w:t>
      </w:r>
      <w:r>
        <w:rPr>
          <w:noProof/>
        </w:rPr>
        <w:t>о купувачите могат да получават точна, съответстваща и сравнима информация за енергийната ефективност и консумацията на енергия на свързани с енергопотреблението продукти, където и да се намират в ЕС, и по този начин могат да вземат изгодни и екологосъобра</w:t>
      </w:r>
      <w:r>
        <w:rPr>
          <w:noProof/>
        </w:rPr>
        <w:t xml:space="preserve">зни решения за покупки, които едновременно да са полезни за околната среда и да спестяват пари. </w:t>
      </w:r>
    </w:p>
    <w:p w:rsidR="00030C0D" w:rsidRDefault="00986C69">
      <w:pPr>
        <w:pStyle w:val="ManualHeading2"/>
        <w:rPr>
          <w:noProof/>
          <w:color w:val="000000"/>
          <w:u w:color="000000"/>
          <w:bdr w:val="nil"/>
        </w:rPr>
      </w:pPr>
      <w:r>
        <w:rPr>
          <w:noProof/>
        </w:rPr>
        <w:t>1.2.</w:t>
      </w:r>
      <w:r>
        <w:rPr>
          <w:noProof/>
        </w:rPr>
        <w:tab/>
        <w:t>Съгласуваност със съществуващите разпоредби в тази област на политиката</w:t>
      </w:r>
    </w:p>
    <w:p w:rsidR="00030C0D" w:rsidRDefault="00986C69">
      <w:pPr>
        <w:rPr>
          <w:noProof/>
        </w:rPr>
      </w:pPr>
      <w:r>
        <w:rPr>
          <w:noProof/>
        </w:rPr>
        <w:t>През октомври 2014 г. Европейският съвет определи индикативна цел за ЕС за подобря</w:t>
      </w:r>
      <w:r>
        <w:rPr>
          <w:noProof/>
        </w:rPr>
        <w:t>ване на енергийната ефективност до 2030 г. с поне 27 %; като през 2020 г. тази цел ще бъде преразгледана, с оглед подобрението на равнището на ЕС евентуално да се увеличи на 30 %. Също така, Европейският съвет определи като цел за 2030 г. постигането на на</w:t>
      </w:r>
      <w:r>
        <w:rPr>
          <w:noProof/>
        </w:rPr>
        <w:t>маление на емисиите на парникови газове с 40 %.</w:t>
      </w:r>
    </w:p>
    <w:p w:rsidR="00030C0D" w:rsidRDefault="00986C69">
      <w:pPr>
        <w:rPr>
          <w:noProof/>
        </w:rPr>
      </w:pPr>
      <w:r>
        <w:rPr>
          <w:noProof/>
        </w:rPr>
        <w:t xml:space="preserve">Настоящото предложение е във връзка с Рамковата стратегия за енергиен съюз и има за цел да замени Директива 2010/30/ЕС на Европейския парламент и на Съвета относно посочването на консумацията на енергия и на </w:t>
      </w:r>
      <w:r>
        <w:rPr>
          <w:noProof/>
        </w:rPr>
        <w:t>други ресурси от продукти, свързани с енергопотреблението, върху етикети и в стандартна информация за продуктите. Предложението се прави идва след като бе извършена оценка на директивата</w:t>
      </w:r>
      <w:r>
        <w:rPr>
          <w:rStyle w:val="FootnoteReference"/>
          <w:noProof/>
        </w:rPr>
        <w:footnoteReference w:id="2"/>
      </w:r>
      <w:r>
        <w:rPr>
          <w:noProof/>
        </w:rPr>
        <w:t>. Приетите в съответствие с директивата нормативни документи за конкр</w:t>
      </w:r>
      <w:r>
        <w:rPr>
          <w:noProof/>
        </w:rPr>
        <w:t>етни продукти остават в сила, но ще бъдат преразгледани.</w:t>
      </w:r>
    </w:p>
    <w:p w:rsidR="00030C0D" w:rsidRDefault="00986C69">
      <w:pPr>
        <w:spacing w:before="0" w:after="0"/>
        <w:rPr>
          <w:noProof/>
        </w:rPr>
      </w:pPr>
      <w:r>
        <w:rPr>
          <w:noProof/>
        </w:rPr>
        <w:t>Настоящата инициатива е в съответствие с енергийната и климатичната политика на ЕС, тъй като тя актуализира и подобрява ефективността на съществуващата нормативна уредба в областта на енергийното ети</w:t>
      </w:r>
      <w:r>
        <w:rPr>
          <w:noProof/>
        </w:rPr>
        <w:t>кетиране.</w:t>
      </w:r>
    </w:p>
    <w:p w:rsidR="00030C0D" w:rsidRDefault="00986C69">
      <w:pPr>
        <w:pStyle w:val="ManualHeading2"/>
        <w:rPr>
          <w:noProof/>
        </w:rPr>
      </w:pPr>
      <w:r>
        <w:rPr>
          <w:noProof/>
        </w:rPr>
        <w:t>1.3.</w:t>
      </w:r>
      <w:r>
        <w:rPr>
          <w:noProof/>
        </w:rPr>
        <w:tab/>
        <w:t>Съгласуваност с другите политики на ЕС</w:t>
      </w:r>
    </w:p>
    <w:p w:rsidR="00030C0D" w:rsidRDefault="00986C69">
      <w:pPr>
        <w:spacing w:before="0" w:after="0"/>
        <w:rPr>
          <w:noProof/>
        </w:rPr>
      </w:pPr>
      <w:r>
        <w:rPr>
          <w:noProof/>
        </w:rPr>
        <w:t>Етикетирането на енергийната ефективност подобрява свободното движение на продукти, тъй като благодарение на него се осигурява да няма въвеждане на национални енергийни етикети от държавите членки. То с</w:t>
      </w:r>
      <w:r>
        <w:rPr>
          <w:noProof/>
        </w:rPr>
        <w:t>лужи за подобряване на конкурентоспособността на европейските дружества, като ги насърчава да иновират, дава предимство на първите реализатори, осигурява равноправни условия с производителите от трети държави посредством по-голям надзор на пазара и дава въ</w:t>
      </w:r>
      <w:r>
        <w:rPr>
          <w:noProof/>
        </w:rPr>
        <w:t>зможност за увеличение на маржа на печалбата от енергоефективни продукти, които са с по-висока покупна цена, но водят до нетни спестявания за крайните потребители в рамките на цялостния си жизнен цикъл.</w:t>
      </w:r>
    </w:p>
    <w:p w:rsidR="00030C0D" w:rsidRDefault="00986C69">
      <w:pPr>
        <w:pStyle w:val="ManualHeading1"/>
        <w:rPr>
          <w:noProof/>
        </w:rPr>
      </w:pPr>
      <w:r>
        <w:rPr>
          <w:noProof/>
        </w:rPr>
        <w:lastRenderedPageBreak/>
        <w:t>2.</w:t>
      </w:r>
      <w:r>
        <w:rPr>
          <w:noProof/>
        </w:rPr>
        <w:tab/>
        <w:t>ПРАВНО ОСНОВАНИЕ, СУБСИДИАРНОСТ И ПРОПОРЦИОНАЛНОСТ</w:t>
      </w:r>
    </w:p>
    <w:p w:rsidR="00030C0D" w:rsidRDefault="00986C69">
      <w:pPr>
        <w:pStyle w:val="ManualHeading2"/>
        <w:rPr>
          <w:noProof/>
          <w:u w:color="000000"/>
          <w:bdr w:val="nil"/>
        </w:rPr>
      </w:pPr>
      <w:r>
        <w:rPr>
          <w:noProof/>
        </w:rPr>
        <w:t>2.1.</w:t>
      </w:r>
      <w:r>
        <w:rPr>
          <w:noProof/>
        </w:rPr>
        <w:tab/>
        <w:t>Правно основание</w:t>
      </w:r>
    </w:p>
    <w:p w:rsidR="00030C0D" w:rsidRDefault="00986C69">
      <w:pPr>
        <w:rPr>
          <w:noProof/>
        </w:rPr>
      </w:pPr>
      <w:r>
        <w:rPr>
          <w:noProof/>
        </w:rPr>
        <w:t>Предложението се основава на член 194, параграф 2 от Договора за функционирането на Европейския съюз, който е правното основание за мерките в областта на енергетиката. При все че би могло да изглежда възможно член 114 да служи за пра</w:t>
      </w:r>
      <w:r>
        <w:rPr>
          <w:noProof/>
        </w:rPr>
        <w:t>вно основание и на етикетирането на енергийната ефективност (Директивата за енергийното етикетиране от 1992 г.</w:t>
      </w:r>
      <w:r>
        <w:rPr>
          <w:rStyle w:val="FootnoteReference"/>
          <w:noProof/>
        </w:rPr>
        <w:footnoteReference w:id="3"/>
      </w:r>
      <w:r>
        <w:rPr>
          <w:noProof/>
        </w:rPr>
        <w:t>, при отсъствието на енергийна разпоредба в Договора, имаше именно такова правно основание), съществува риск това да доведе до нежелано ограничен</w:t>
      </w:r>
      <w:r>
        <w:rPr>
          <w:noProof/>
        </w:rPr>
        <w:t>ие за държавите членки да въвеждат разпоредби относно информацията за свързани с енергопотреблението продукти, която да е допълнителна спрямо енергийните етикети</w:t>
      </w:r>
      <w:r>
        <w:rPr>
          <w:rStyle w:val="FootnoteReference"/>
          <w:noProof/>
        </w:rPr>
        <w:footnoteReference w:id="4"/>
      </w:r>
      <w:r>
        <w:rPr>
          <w:noProof/>
        </w:rPr>
        <w:t>. Етикетирането на енергийната ефективност се отнася само за енергията и ресурсите по време на</w:t>
      </w:r>
      <w:r>
        <w:rPr>
          <w:noProof/>
        </w:rPr>
        <w:t xml:space="preserve"> фазата на употреба на продукта. И накрая, след като Договорът съдържа специфично енергийно правно основание, уместно е то да бъде използвано.</w:t>
      </w:r>
    </w:p>
    <w:p w:rsidR="00030C0D" w:rsidRDefault="00986C69">
      <w:pPr>
        <w:pStyle w:val="ManualHeading2"/>
        <w:rPr>
          <w:noProof/>
        </w:rPr>
      </w:pPr>
      <w:r>
        <w:rPr>
          <w:noProof/>
        </w:rPr>
        <w:t>2.2.</w:t>
      </w:r>
      <w:r>
        <w:rPr>
          <w:noProof/>
        </w:rPr>
        <w:tab/>
        <w:t>Субсидиарност</w:t>
      </w:r>
    </w:p>
    <w:p w:rsidR="00030C0D" w:rsidRDefault="00986C69">
      <w:pPr>
        <w:rPr>
          <w:noProof/>
        </w:rPr>
      </w:pPr>
      <w:r>
        <w:rPr>
          <w:noProof/>
        </w:rPr>
        <w:t>Одобрените на равнище ЕС инструменти в областта на енергийната ефективност отразяват нарастващ</w:t>
      </w:r>
      <w:r>
        <w:rPr>
          <w:noProof/>
        </w:rPr>
        <w:t>ото значение на енергията като политическо и икономическо предизвикателство и нейната тясна взаимовръзка с политическите области на сигурността на енергийните доставки, изменението на климата, устойчивото развитие, околната среда, вътрешноевропейския пазар</w:t>
      </w:r>
      <w:r>
        <w:rPr>
          <w:noProof/>
        </w:rPr>
        <w:t xml:space="preserve"> и икономическото развитие. Засега целите в областта на енергийната ефективност не биха могли да бъдат постигнати в достатъчна степен самостоятелно от държавите членки и затова са необходими действия на равнище ЕС за улесняване и подпомагане на реализиране</w:t>
      </w:r>
      <w:r>
        <w:rPr>
          <w:noProof/>
        </w:rPr>
        <w:t>то на дейности на национално равнище.</w:t>
      </w:r>
    </w:p>
    <w:p w:rsidR="00030C0D" w:rsidRDefault="00986C69">
      <w:pPr>
        <w:rPr>
          <w:noProof/>
        </w:rPr>
      </w:pPr>
      <w:r>
        <w:rPr>
          <w:noProof/>
        </w:rPr>
        <w:t xml:space="preserve">От съществено значение е да се осигурят равноправни условия за производителите и търговците във връзка с предоставяната на потребителите информация за консумацията на енергия на даден конкретен продукт, който се </w:t>
      </w:r>
      <w:r>
        <w:rPr>
          <w:noProof/>
        </w:rPr>
        <w:t>продава във вътрешния пазар на ЕС. По тази причина е необходимо да има обхващащи целия ЕС правно обвързващи правила.</w:t>
      </w:r>
    </w:p>
    <w:p w:rsidR="00030C0D" w:rsidRDefault="00986C69">
      <w:pPr>
        <w:spacing w:before="0" w:after="0"/>
        <w:rPr>
          <w:noProof/>
          <w:szCs w:val="24"/>
        </w:rPr>
      </w:pPr>
      <w:r>
        <w:rPr>
          <w:noProof/>
        </w:rPr>
        <w:t>Що се отнася до надзора на пазара, това е дейност, която се извършва от властите в държавите — членки на Европейския съюз. За да бъдат ефек</w:t>
      </w:r>
      <w:r>
        <w:rPr>
          <w:noProof/>
        </w:rPr>
        <w:t>тивни, дейностите за надзор на пазара трябва да са еднакви в целия Европейски съюз, иначе би имало отрицателно въздействие върху вътрешноевропейския пазар, както и демотивиращ фактор за предприятията да инвестират ресурси в проектирането, изработката и про</w:t>
      </w:r>
      <w:r>
        <w:rPr>
          <w:noProof/>
        </w:rPr>
        <w:t>дажбата на енергоефективни продукти. Създаването на продуктова база данни ще допринесе за по-ефективен надзор на пазара.</w:t>
      </w:r>
    </w:p>
    <w:p w:rsidR="00030C0D" w:rsidRDefault="00986C69">
      <w:pPr>
        <w:pStyle w:val="ManualHeading2"/>
        <w:rPr>
          <w:noProof/>
          <w:u w:color="000000"/>
          <w:bdr w:val="nil"/>
        </w:rPr>
      </w:pPr>
      <w:r>
        <w:rPr>
          <w:noProof/>
        </w:rPr>
        <w:t>2.3.</w:t>
      </w:r>
      <w:r>
        <w:rPr>
          <w:noProof/>
        </w:rPr>
        <w:tab/>
        <w:t>Пропорционалност</w:t>
      </w:r>
    </w:p>
    <w:p w:rsidR="00030C0D" w:rsidRDefault="00986C69">
      <w:pPr>
        <w:rPr>
          <w:noProof/>
        </w:rPr>
      </w:pPr>
      <w:r>
        <w:rPr>
          <w:noProof/>
        </w:rPr>
        <w:t xml:space="preserve">В съответствие с принципа на пропорционалност, предложените изменения не надхвърлят необходимото за постигането </w:t>
      </w:r>
      <w:r>
        <w:rPr>
          <w:noProof/>
        </w:rPr>
        <w:t>на поставените цели. Въвежданите с регламента изменения в съществуващата нормативна уредба ще подобрят нейната яснота и функционалност. От доставчиците ще се изисква да въвеждат в новата база данни различни видове информация, но това е информация, която те</w:t>
      </w:r>
      <w:r>
        <w:rPr>
          <w:noProof/>
        </w:rPr>
        <w:t xml:space="preserve"> вече са длъжни при поискване да предоставят на националните органи за надзор на пазара, така че </w:t>
      </w:r>
      <w:r>
        <w:rPr>
          <w:noProof/>
        </w:rPr>
        <w:lastRenderedPageBreak/>
        <w:t>евентуалното допълнително натоварване се смята за минимално и пропорционално на ползата за правоприлагането и прозрачността, която се очаква да бъде породена о</w:t>
      </w:r>
      <w:r>
        <w:rPr>
          <w:noProof/>
        </w:rPr>
        <w:t>т продуктовата база данни. По-задълбочено разглеждане на пропорционалността на предложението е включено в глава 8 на Оценката на въздействието.</w:t>
      </w:r>
    </w:p>
    <w:p w:rsidR="00030C0D" w:rsidRDefault="00986C69">
      <w:pPr>
        <w:pStyle w:val="ManualHeading2"/>
        <w:rPr>
          <w:noProof/>
          <w:u w:color="000000"/>
          <w:bdr w:val="nil"/>
        </w:rPr>
      </w:pPr>
      <w:r>
        <w:rPr>
          <w:noProof/>
        </w:rPr>
        <w:t>2.4.</w:t>
      </w:r>
      <w:r>
        <w:rPr>
          <w:noProof/>
        </w:rPr>
        <w:tab/>
        <w:t>Избор на инструмент</w:t>
      </w:r>
    </w:p>
    <w:p w:rsidR="00030C0D" w:rsidRDefault="00986C69">
      <w:pPr>
        <w:rPr>
          <w:noProof/>
          <w:szCs w:val="24"/>
        </w:rPr>
      </w:pPr>
      <w:r>
        <w:rPr>
          <w:noProof/>
        </w:rPr>
        <w:t>За предлаганата промяна на инструмента от директива в регламент е взета предвид генерал</w:t>
      </w:r>
      <w:r>
        <w:rPr>
          <w:noProof/>
        </w:rPr>
        <w:t>ната цел на Комисията за опростяване на регулаторната среда за държавите членки и стопанските оператори, както и необходимостта от осигуряване на еднакво прилагане и изпълнение на предлагания законодателен акт в целия Европейски съюз.</w:t>
      </w:r>
    </w:p>
    <w:p w:rsidR="00030C0D" w:rsidRDefault="00030C0D">
      <w:pPr>
        <w:spacing w:before="0" w:after="0"/>
        <w:rPr>
          <w:noProof/>
        </w:rPr>
      </w:pPr>
    </w:p>
    <w:p w:rsidR="00030C0D" w:rsidRDefault="00986C69">
      <w:pPr>
        <w:pStyle w:val="ManualHeading1"/>
        <w:rPr>
          <w:noProof/>
        </w:rPr>
      </w:pPr>
      <w:r>
        <w:rPr>
          <w:noProof/>
        </w:rPr>
        <w:t>3.</w:t>
      </w:r>
      <w:r>
        <w:rPr>
          <w:noProof/>
        </w:rPr>
        <w:tab/>
        <w:t>РЕЗУЛТАТИ ОТ КОНС</w:t>
      </w:r>
      <w:r>
        <w:rPr>
          <w:noProof/>
        </w:rPr>
        <w:t>УЛТАЦИИТЕ СЪС ЗАИНТЕРЕСОВАНИТЕ СТРАНИ И ОТ ОЦЕНКИТЕ НА ВЪЗДЕЙСТВИЕТО</w:t>
      </w:r>
    </w:p>
    <w:p w:rsidR="00030C0D" w:rsidRDefault="00986C69">
      <w:pPr>
        <w:pStyle w:val="ManualHeading2"/>
        <w:rPr>
          <w:noProof/>
          <w:u w:color="000000"/>
          <w:bdr w:val="nil"/>
        </w:rPr>
      </w:pPr>
      <w:r>
        <w:rPr>
          <w:noProof/>
        </w:rPr>
        <w:t>3.1.</w:t>
      </w:r>
      <w:r>
        <w:rPr>
          <w:noProof/>
        </w:rPr>
        <w:tab/>
        <w:t>Последваща оценка на действащото законодателство</w:t>
      </w:r>
    </w:p>
    <w:p w:rsidR="00030C0D" w:rsidRDefault="00986C69">
      <w:pPr>
        <w:rPr>
          <w:noProof/>
          <w:szCs w:val="24"/>
        </w:rPr>
      </w:pPr>
      <w:r>
        <w:rPr>
          <w:noProof/>
        </w:rPr>
        <w:t>Комисията направи последваща оценка на Директивата за енергийното етикетиране и на определени аспекти на Директивата за екопроктиране</w:t>
      </w:r>
      <w:r>
        <w:rPr>
          <w:noProof/>
        </w:rPr>
        <w:t>то в придружаващия настоящото предложение Работен документ на службите на Комисията (SWD(2015)143). Основните констатации са следните:</w:t>
      </w:r>
    </w:p>
    <w:p w:rsidR="00030C0D" w:rsidRDefault="00986C69">
      <w:pPr>
        <w:pStyle w:val="ManualNumPar1"/>
        <w:rPr>
          <w:noProof/>
        </w:rPr>
      </w:pPr>
      <w:r>
        <w:rPr>
          <w:noProof/>
        </w:rPr>
        <w:t>1.</w:t>
      </w:r>
      <w:r>
        <w:rPr>
          <w:noProof/>
        </w:rPr>
        <w:tab/>
        <w:t>Съществуващите мерки за екопроектиране и енергийно етикетиране са ефикасни, доколкото пораждат осезаеми и значителни и</w:t>
      </w:r>
      <w:r>
        <w:rPr>
          <w:noProof/>
        </w:rPr>
        <w:t>кономии на енергия и на разходи</w:t>
      </w:r>
      <w:r>
        <w:rPr>
          <w:rStyle w:val="FootnoteReference"/>
          <w:noProof/>
        </w:rPr>
        <w:footnoteReference w:id="5"/>
      </w:r>
      <w:r>
        <w:rPr>
          <w:noProof/>
        </w:rPr>
        <w:t>.</w:t>
      </w:r>
    </w:p>
    <w:p w:rsidR="00030C0D" w:rsidRDefault="00986C69">
      <w:pPr>
        <w:pStyle w:val="ManualNumPar1"/>
        <w:rPr>
          <w:noProof/>
        </w:rPr>
      </w:pPr>
      <w:r>
        <w:rPr>
          <w:noProof/>
        </w:rPr>
        <w:t>2.</w:t>
      </w:r>
      <w:r>
        <w:rPr>
          <w:noProof/>
        </w:rPr>
        <w:tab/>
        <w:t>Препятствия за свободното движение на свързани с енергопотреблението продукти във вътрешния пазар на Европейския съюз не съществуват.</w:t>
      </w:r>
    </w:p>
    <w:p w:rsidR="00030C0D" w:rsidRDefault="00986C69">
      <w:pPr>
        <w:pStyle w:val="ManualNumPar1"/>
        <w:rPr>
          <w:noProof/>
        </w:rPr>
      </w:pPr>
      <w:r>
        <w:rPr>
          <w:noProof/>
        </w:rPr>
        <w:t>3.</w:t>
      </w:r>
      <w:r>
        <w:rPr>
          <w:noProof/>
        </w:rPr>
        <w:tab/>
        <w:t>Ползите са по-големи от разходите, както за предприятията, така и за обществото ка</w:t>
      </w:r>
      <w:r>
        <w:rPr>
          <w:noProof/>
        </w:rPr>
        <w:t>то цяло</w:t>
      </w:r>
      <w:r>
        <w:rPr>
          <w:rStyle w:val="FootnoteReference"/>
          <w:noProof/>
        </w:rPr>
        <w:footnoteReference w:id="6"/>
      </w:r>
      <w:r>
        <w:rPr>
          <w:noProof/>
        </w:rPr>
        <w:t>. Заедно с потребителското търсене и конкурентното позициониране, енергийното етикетиране представлява основна движеща сила за иновацията. Колкото по-амбициозни са изискванията за най-горните класове, толкова повече възможности имат предприятията д</w:t>
      </w:r>
      <w:r>
        <w:rPr>
          <w:noProof/>
        </w:rPr>
        <w:t>а разграничават своите продукти, което стимулира иновацията.</w:t>
      </w:r>
    </w:p>
    <w:p w:rsidR="00030C0D" w:rsidRDefault="00986C69">
      <w:pPr>
        <w:pStyle w:val="ManualNumPar1"/>
        <w:rPr>
          <w:noProof/>
        </w:rPr>
      </w:pPr>
      <w:r>
        <w:rPr>
          <w:noProof/>
        </w:rPr>
        <w:t>4.</w:t>
      </w:r>
      <w:r>
        <w:rPr>
          <w:noProof/>
        </w:rPr>
        <w:tab/>
        <w:t>Мнозинството от потребителите разпознават и разбират енергийния етикет и го използват при своите решения за покупки.</w:t>
      </w:r>
    </w:p>
    <w:p w:rsidR="00030C0D" w:rsidRDefault="00986C69">
      <w:pPr>
        <w:pStyle w:val="ManualNumPar1"/>
        <w:rPr>
          <w:noProof/>
        </w:rPr>
      </w:pPr>
      <w:r>
        <w:rPr>
          <w:noProof/>
        </w:rPr>
        <w:t>5.</w:t>
      </w:r>
      <w:r>
        <w:rPr>
          <w:noProof/>
        </w:rPr>
        <w:tab/>
        <w:t>Въвеждането на клас A+ и по-високи класове съгласно Директивата за енерг</w:t>
      </w:r>
      <w:r>
        <w:rPr>
          <w:noProof/>
        </w:rPr>
        <w:t>ийното етикетиране от 2010 г. намали ефикасността на енергийния етикет да мотивира потребителите да купуват по-ефективни продукти</w:t>
      </w:r>
      <w:r>
        <w:rPr>
          <w:rStyle w:val="FootnoteReference"/>
          <w:noProof/>
        </w:rPr>
        <w:footnoteReference w:id="7"/>
      </w:r>
      <w:r>
        <w:rPr>
          <w:noProof/>
        </w:rPr>
        <w:t>. Освен това някои пиктограми, използвани за изразяване на други параметри в етикетите, са трудни за разбиране.</w:t>
      </w:r>
    </w:p>
    <w:p w:rsidR="00030C0D" w:rsidRDefault="00986C69">
      <w:pPr>
        <w:pStyle w:val="ManualNumPar1"/>
        <w:rPr>
          <w:noProof/>
        </w:rPr>
      </w:pPr>
      <w:r>
        <w:rPr>
          <w:noProof/>
        </w:rPr>
        <w:t>6.</w:t>
      </w:r>
      <w:r>
        <w:rPr>
          <w:noProof/>
        </w:rPr>
        <w:tab/>
        <w:t xml:space="preserve">Съществува </w:t>
      </w:r>
      <w:r>
        <w:rPr>
          <w:noProof/>
        </w:rPr>
        <w:t xml:space="preserve">тенденция към купуване на по-големи продукти, които са ефективни и по този начин имат по-висок енергиен клас, но чиято абсолютна консумация на енергия е много по-голяма в сравнение с тази на по-малки уреди от същия вид. </w:t>
      </w:r>
    </w:p>
    <w:p w:rsidR="00030C0D" w:rsidRDefault="00986C69">
      <w:pPr>
        <w:pStyle w:val="ManualNumPar1"/>
        <w:rPr>
          <w:noProof/>
        </w:rPr>
      </w:pPr>
      <w:r>
        <w:rPr>
          <w:noProof/>
        </w:rPr>
        <w:t>7.</w:t>
      </w:r>
      <w:r>
        <w:rPr>
          <w:noProof/>
        </w:rPr>
        <w:tab/>
        <w:t xml:space="preserve">Слабата принуда, упражнявана от </w:t>
      </w:r>
      <w:r>
        <w:rPr>
          <w:noProof/>
        </w:rPr>
        <w:t>националните органи за надзор на пазара, допринася да не се спазват изискванията, което води до намаление на очакваните икономии на енергия, оценено на около 10 %. Вж. също и раздел 3.</w:t>
      </w:r>
    </w:p>
    <w:p w:rsidR="00030C0D" w:rsidRDefault="00986C69">
      <w:pPr>
        <w:pStyle w:val="ManualNumPar1"/>
        <w:rPr>
          <w:noProof/>
        </w:rPr>
      </w:pPr>
      <w:r>
        <w:rPr>
          <w:noProof/>
        </w:rPr>
        <w:t>8.</w:t>
      </w:r>
      <w:r>
        <w:rPr>
          <w:noProof/>
        </w:rPr>
        <w:tab/>
        <w:t>Мерките за някои продукти показват нива на амбициозност, които са пр</w:t>
      </w:r>
      <w:r>
        <w:rPr>
          <w:noProof/>
        </w:rPr>
        <w:t>екалено ниски в сравнение с технически и икономически осъществимото.</w:t>
      </w:r>
    </w:p>
    <w:p w:rsidR="00030C0D" w:rsidRDefault="00986C69">
      <w:pPr>
        <w:pStyle w:val="ManualNumPar1"/>
        <w:rPr>
          <w:noProof/>
        </w:rPr>
      </w:pPr>
      <w:r>
        <w:rPr>
          <w:noProof/>
        </w:rPr>
        <w:t>9.</w:t>
      </w:r>
      <w:r>
        <w:rPr>
          <w:noProof/>
        </w:rPr>
        <w:tab/>
        <w:t>При все че някои мерки са насочени и към други видове въздействия върху околната среда освен въздействията във връзка с енергопотреблението във фазата на употреба, съществуват възможно</w:t>
      </w:r>
      <w:r>
        <w:rPr>
          <w:noProof/>
        </w:rPr>
        <w:t>сти за по-нататъшно намаление на такива въздействия</w:t>
      </w:r>
      <w:r>
        <w:rPr>
          <w:rStyle w:val="FootnoteReference"/>
          <w:noProof/>
        </w:rPr>
        <w:footnoteReference w:id="8"/>
      </w:r>
      <w:r>
        <w:rPr>
          <w:noProof/>
        </w:rPr>
        <w:t>.</w:t>
      </w:r>
    </w:p>
    <w:p w:rsidR="00030C0D" w:rsidRDefault="00986C69">
      <w:pPr>
        <w:pStyle w:val="ManualNumPar1"/>
        <w:rPr>
          <w:noProof/>
        </w:rPr>
      </w:pPr>
      <w:r>
        <w:rPr>
          <w:noProof/>
        </w:rPr>
        <w:t>10.</w:t>
      </w:r>
      <w:r>
        <w:rPr>
          <w:noProof/>
        </w:rPr>
        <w:tab/>
        <w:t>От гледна точка на ефективността, процесът на нормотворчество е прекалено продължителен (средно 49 месеца) и понякога това води до използването на остарели технически и подготвителни работи по време</w:t>
      </w:r>
      <w:r>
        <w:rPr>
          <w:noProof/>
        </w:rPr>
        <w:t xml:space="preserve"> на определянето на политически решения, особено в областта на бързоразвиващите се електронни продукти.</w:t>
      </w:r>
    </w:p>
    <w:p w:rsidR="00030C0D" w:rsidRDefault="00986C69">
      <w:pPr>
        <w:pStyle w:val="ManualNumPar1"/>
        <w:rPr>
          <w:noProof/>
        </w:rPr>
      </w:pPr>
      <w:r>
        <w:rPr>
          <w:noProof/>
        </w:rPr>
        <w:t>11.</w:t>
      </w:r>
      <w:r>
        <w:rPr>
          <w:noProof/>
        </w:rPr>
        <w:tab/>
        <w:t xml:space="preserve">Двете директиви са допълващи се и тяхното прилагане се прави по до голяма степен съгласуван начин. </w:t>
      </w:r>
    </w:p>
    <w:p w:rsidR="00030C0D" w:rsidRDefault="00986C69">
      <w:pPr>
        <w:pStyle w:val="ManualNumPar1"/>
        <w:rPr>
          <w:noProof/>
        </w:rPr>
      </w:pPr>
      <w:r>
        <w:rPr>
          <w:noProof/>
        </w:rPr>
        <w:t>12.</w:t>
      </w:r>
      <w:r>
        <w:rPr>
          <w:noProof/>
        </w:rPr>
        <w:tab/>
        <w:t>За редица продукти по-ниските класове на ене</w:t>
      </w:r>
      <w:r>
        <w:rPr>
          <w:noProof/>
        </w:rPr>
        <w:t>ргийните етикети са празни, тъй като с мерките за екопроектиране се забраняват модели с ниски показатели и производителите са реагирали на техническия прогрес, изработвайки все по-ефективни продукти. При отсъствие на целия спектър за сравнение от А до G зн</w:t>
      </w:r>
      <w:r>
        <w:rPr>
          <w:noProof/>
        </w:rPr>
        <w:t>ачението на етикета за потребителите намалява.</w:t>
      </w:r>
    </w:p>
    <w:p w:rsidR="00030C0D" w:rsidRDefault="00986C69">
      <w:pPr>
        <w:pStyle w:val="ManualNumPar1"/>
        <w:rPr>
          <w:noProof/>
        </w:rPr>
      </w:pPr>
      <w:r>
        <w:rPr>
          <w:noProof/>
        </w:rPr>
        <w:t>13.</w:t>
      </w:r>
      <w:r>
        <w:rPr>
          <w:noProof/>
        </w:rPr>
        <w:tab/>
        <w:t>Добавената стойност на нивото на ЕС произтича от хармонизираната регулаторна уредба, която снижава съответните разходи на производителите и превръща ЕС във фактор, определящ тенденциите в международните ре</w:t>
      </w:r>
      <w:r>
        <w:rPr>
          <w:noProof/>
        </w:rPr>
        <w:t>гулаторни и стандартизационни дейности.</w:t>
      </w:r>
    </w:p>
    <w:p w:rsidR="00030C0D" w:rsidRDefault="00986C69">
      <w:pPr>
        <w:pStyle w:val="ManualNumPar1"/>
        <w:rPr>
          <w:noProof/>
        </w:rPr>
      </w:pPr>
      <w:r>
        <w:rPr>
          <w:noProof/>
        </w:rPr>
        <w:t>14.</w:t>
      </w:r>
      <w:r>
        <w:rPr>
          <w:noProof/>
        </w:rPr>
        <w:tab/>
        <w:t>Тази политика продължава да е актуална във връзка с постигането на целта за енергийна ефективност на ЕС за периода след 2020 г. Тя може да допринесе също за ресурсна ефективност и за кръговратна икономика.</w:t>
      </w:r>
    </w:p>
    <w:p w:rsidR="00030C0D" w:rsidRDefault="00986C69">
      <w:pPr>
        <w:pStyle w:val="ManualNumPar1"/>
        <w:rPr>
          <w:noProof/>
        </w:rPr>
      </w:pPr>
      <w:r>
        <w:rPr>
          <w:noProof/>
        </w:rPr>
        <w:t>15.</w:t>
      </w:r>
      <w:r>
        <w:rPr>
          <w:noProof/>
        </w:rPr>
        <w:tab/>
        <w:t>Ин</w:t>
      </w:r>
      <w:r>
        <w:rPr>
          <w:noProof/>
        </w:rPr>
        <w:t xml:space="preserve">формацията за потребителите продължава да има съществено значение и в дигиталната епоха. Неотдавна разпоредбите за енергийното етикетиране бяха адаптирани, така че енергийният етикет да се показва и в Интернет. </w:t>
      </w:r>
    </w:p>
    <w:p w:rsidR="00030C0D" w:rsidRDefault="00986C69">
      <w:pPr>
        <w:pStyle w:val="ManualNumPar1"/>
        <w:rPr>
          <w:noProof/>
        </w:rPr>
      </w:pPr>
      <w:r>
        <w:rPr>
          <w:noProof/>
        </w:rPr>
        <w:t>16.</w:t>
      </w:r>
      <w:r>
        <w:rPr>
          <w:noProof/>
        </w:rPr>
        <w:tab/>
        <w:t>Що се отнася до приноса на изискването р</w:t>
      </w:r>
      <w:r>
        <w:rPr>
          <w:noProof/>
        </w:rPr>
        <w:t>екламите да съдържат посочване на енергийния клас (член 4, буква в), неговият ефект не може да се определи количествено, но констатацията на оценката е, че това изискване е насочено към преодоляване на неефективността на пазара по отношение на информиранет</w:t>
      </w:r>
      <w:r>
        <w:rPr>
          <w:noProof/>
        </w:rPr>
        <w:t>о.</w:t>
      </w:r>
    </w:p>
    <w:p w:rsidR="00030C0D" w:rsidRDefault="00986C69">
      <w:pPr>
        <w:pStyle w:val="ManualNumPar1"/>
        <w:rPr>
          <w:noProof/>
        </w:rPr>
      </w:pPr>
      <w:r>
        <w:rPr>
          <w:noProof/>
        </w:rPr>
        <w:t>17.</w:t>
      </w:r>
      <w:r>
        <w:rPr>
          <w:noProof/>
        </w:rPr>
        <w:tab/>
        <w:t>Изискванията във връзка с обществените поръчки (член 9, параграф 1) бяха вече оценени в 2011 г. и резултатът бе, че отпаднаха от Директивата за енергийното етикетиране и бяха включени в изменен вид в Директивата за енергийната ефективност</w:t>
      </w:r>
      <w:r>
        <w:rPr>
          <w:rStyle w:val="FootnoteReference"/>
          <w:noProof/>
        </w:rPr>
        <w:footnoteReference w:id="9"/>
      </w:r>
      <w:r>
        <w:rPr>
          <w:noProof/>
        </w:rPr>
        <w:t>.</w:t>
      </w:r>
    </w:p>
    <w:p w:rsidR="00030C0D" w:rsidRDefault="00986C69">
      <w:pPr>
        <w:pStyle w:val="ManualNumPar1"/>
        <w:rPr>
          <w:noProof/>
        </w:rPr>
      </w:pPr>
      <w:r>
        <w:rPr>
          <w:noProof/>
        </w:rPr>
        <w:t>18.</w:t>
      </w:r>
      <w:r>
        <w:rPr>
          <w:noProof/>
        </w:rPr>
        <w:tab/>
        <w:t>От м</w:t>
      </w:r>
      <w:r>
        <w:rPr>
          <w:noProof/>
        </w:rPr>
        <w:t>едийното отразяване през последните години се вижда, че ползите от разглежданата политика не са достатъчно разгласени.</w:t>
      </w:r>
    </w:p>
    <w:p w:rsidR="00030C0D" w:rsidRDefault="00986C69">
      <w:pPr>
        <w:pStyle w:val="ManualHeading2"/>
        <w:rPr>
          <w:noProof/>
        </w:rPr>
      </w:pPr>
      <w:r>
        <w:rPr>
          <w:noProof/>
        </w:rPr>
        <w:t>3.2.</w:t>
      </w:r>
      <w:r>
        <w:rPr>
          <w:noProof/>
        </w:rPr>
        <w:tab/>
        <w:t>Консултации със заинтересовани страни</w:t>
      </w:r>
    </w:p>
    <w:p w:rsidR="00030C0D" w:rsidRDefault="00986C69">
      <w:pPr>
        <w:rPr>
          <w:noProof/>
        </w:rPr>
      </w:pPr>
      <w:r>
        <w:rPr>
          <w:noProof/>
        </w:rPr>
        <w:t>От 31 август до 30 ноември 2013 г. бе проведена публична консултация на уеб страницата „Вашият</w:t>
      </w:r>
      <w:r>
        <w:rPr>
          <w:noProof/>
        </w:rPr>
        <w:t xml:space="preserve"> глас в Европа“. Една по-дълга версия на анкетата бе насочена към заинтересовани групи, правителствени органи и експерти, а по-кратка версия — към потребители и отделни търговци на дребно и производители. Получени бяха 138 отговора на по-дългата анкета, от</w:t>
      </w:r>
      <w:r>
        <w:rPr>
          <w:noProof/>
        </w:rPr>
        <w:t xml:space="preserve"> които 58 от производители и техни заинтересовани групи, 20 от правителствени органи, 13 от групи с интереси в областта на околната среда и 9 от заинтересовани групи на потребители. По кратката анкета бяха получени 197 отговора, включително 127 от потребит</w:t>
      </w:r>
      <w:r>
        <w:rPr>
          <w:noProof/>
        </w:rPr>
        <w:t>ели, 40 от търговци на дребно и 30 от производители. Подробно обобщение на респондентите и отговорите бе публикувано през февруари 2014 г</w:t>
      </w:r>
      <w:r>
        <w:rPr>
          <w:rStyle w:val="FootnoteReference"/>
          <w:noProof/>
        </w:rPr>
        <w:footnoteReference w:id="10"/>
      </w:r>
      <w:r>
        <w:rPr>
          <w:noProof/>
        </w:rPr>
        <w:t>.</w:t>
      </w:r>
    </w:p>
    <w:p w:rsidR="00030C0D" w:rsidRDefault="00986C69">
      <w:pPr>
        <w:rPr>
          <w:noProof/>
        </w:rPr>
      </w:pPr>
      <w:r>
        <w:rPr>
          <w:noProof/>
        </w:rPr>
        <w:t xml:space="preserve">Бяха организирани три срещи със заинтересовани страни: на 27 юни 2013 г., 14 октомври 2013 г. и 18 февруари 2014 г. </w:t>
      </w:r>
      <w:r>
        <w:rPr>
          <w:noProof/>
        </w:rPr>
        <w:t>Във връзка с последната среща на изпълнителите на проучването Комисията организира и среща на заинтересовани страни на 19 февруари 2014 г. относно резултатите от изпробване на предварителен набор от оформления на етикети и относно оформленията на енергийни</w:t>
      </w:r>
      <w:r>
        <w:rPr>
          <w:noProof/>
        </w:rPr>
        <w:t xml:space="preserve"> етикети, които да бъдат подложени на допълнително изпробване.</w:t>
      </w:r>
    </w:p>
    <w:p w:rsidR="00030C0D" w:rsidRDefault="00986C69">
      <w:pPr>
        <w:pStyle w:val="ManualHeading2"/>
        <w:rPr>
          <w:noProof/>
          <w:u w:color="000000"/>
          <w:bdr w:val="nil"/>
        </w:rPr>
      </w:pPr>
      <w:r>
        <w:rPr>
          <w:noProof/>
        </w:rPr>
        <w:t>3.3.</w:t>
      </w:r>
      <w:r>
        <w:rPr>
          <w:noProof/>
        </w:rPr>
        <w:tab/>
        <w:t>Събиране и използване на експертиза</w:t>
      </w:r>
    </w:p>
    <w:p w:rsidR="00030C0D" w:rsidRDefault="00986C69">
      <w:pPr>
        <w:pStyle w:val="Text1"/>
        <w:ind w:left="0"/>
        <w:rPr>
          <w:noProof/>
        </w:rPr>
      </w:pPr>
      <w:r>
        <w:rPr>
          <w:noProof/>
        </w:rPr>
        <w:t>Във връзка с подготовката на прегледа специално бяха поръчани две проучвания:</w:t>
      </w:r>
    </w:p>
    <w:p w:rsidR="00030C0D" w:rsidRDefault="00986C69">
      <w:pPr>
        <w:pStyle w:val="Tiret1"/>
        <w:numPr>
          <w:ilvl w:val="0"/>
          <w:numId w:val="11"/>
        </w:numPr>
        <w:rPr>
          <w:noProof/>
        </w:rPr>
      </w:pPr>
      <w:r>
        <w:rPr>
          <w:noProof/>
        </w:rPr>
        <w:t>Проучване за оценка на Директивата за енергийно етикетиране и на специфичн</w:t>
      </w:r>
      <w:r>
        <w:rPr>
          <w:noProof/>
        </w:rPr>
        <w:t>и аспекти на Директивата за екопроектиране, завършено през юни 2014 г.;</w:t>
      </w:r>
    </w:p>
    <w:p w:rsidR="00030C0D" w:rsidRDefault="00986C69">
      <w:pPr>
        <w:pStyle w:val="Tiret1"/>
        <w:rPr>
          <w:noProof/>
        </w:rPr>
      </w:pPr>
      <w:r>
        <w:rPr>
          <w:noProof/>
        </w:rPr>
        <w:t>Проучване на въздействието на енергийния етикет — и на потенциалните изменения в него — върху разбирането на съответните въпроси от страна на потребителите и техните решения за покупки</w:t>
      </w:r>
      <w:r>
        <w:rPr>
          <w:noProof/>
        </w:rPr>
        <w:t>, приключило през октомври 2014 г.</w:t>
      </w:r>
    </w:p>
    <w:p w:rsidR="00030C0D" w:rsidRDefault="00986C69">
      <w:pPr>
        <w:rPr>
          <w:noProof/>
        </w:rPr>
      </w:pPr>
      <w:r>
        <w:rPr>
          <w:noProof/>
        </w:rPr>
        <w:t>И двете проучвания бяха публикувани в уебсайта Europa на Комисията</w:t>
      </w:r>
      <w:r>
        <w:rPr>
          <w:rStyle w:val="FootnoteReference"/>
          <w:noProof/>
        </w:rPr>
        <w:footnoteReference w:id="11"/>
      </w:r>
      <w:r>
        <w:rPr>
          <w:noProof/>
        </w:rPr>
        <w:t>.</w:t>
      </w:r>
    </w:p>
    <w:p w:rsidR="00030C0D" w:rsidRDefault="00986C69">
      <w:pPr>
        <w:pStyle w:val="ManualHeading2"/>
        <w:rPr>
          <w:noProof/>
        </w:rPr>
      </w:pPr>
      <w:r>
        <w:rPr>
          <w:noProof/>
        </w:rPr>
        <w:t>3.4.</w:t>
      </w:r>
      <w:r>
        <w:rPr>
          <w:noProof/>
        </w:rPr>
        <w:tab/>
        <w:t>Оценка на въздействието</w:t>
      </w:r>
    </w:p>
    <w:p w:rsidR="00030C0D" w:rsidRDefault="00986C69">
      <w:pPr>
        <w:rPr>
          <w:noProof/>
        </w:rPr>
      </w:pPr>
      <w:r>
        <w:rPr>
          <w:noProof/>
        </w:rPr>
        <w:t>Настоящото предложение се придружава от Оценка на въздействието (SWD(2015)139), публикувана на уебсайта Europa на Комисията</w:t>
      </w:r>
      <w:r>
        <w:rPr>
          <w:rStyle w:val="FootnoteReference"/>
          <w:noProof/>
        </w:rPr>
        <w:footnoteReference w:id="12"/>
      </w:r>
      <w:r>
        <w:rPr>
          <w:noProof/>
        </w:rPr>
        <w:t xml:space="preserve">, както и от благоприятно становище на Регулаторния контролен съвет (SEC(2015)323), прието на 16 юни 2015 г.. </w:t>
      </w:r>
    </w:p>
    <w:p w:rsidR="00030C0D" w:rsidRDefault="00986C69">
      <w:pPr>
        <w:rPr>
          <w:noProof/>
        </w:rPr>
      </w:pPr>
      <w:r>
        <w:rPr>
          <w:noProof/>
        </w:rPr>
        <w:t>Като продължение на горепосочената последваща оценка, в оценката на въздействието са разгледани както редица въпроси относно настоящата директив</w:t>
      </w:r>
      <w:r>
        <w:rPr>
          <w:noProof/>
        </w:rPr>
        <w:t xml:space="preserve">а, така и някои специфични въпроси във връзка с Директивата за екопроектирането. В оценката на въздействието не се препоръчва на този етап ново законодателно действие по отношение на Директивата за екопроектирането. </w:t>
      </w:r>
    </w:p>
    <w:p w:rsidR="00030C0D" w:rsidRDefault="00986C69">
      <w:pPr>
        <w:rPr>
          <w:noProof/>
        </w:rPr>
      </w:pPr>
      <w:r>
        <w:rPr>
          <w:noProof/>
        </w:rPr>
        <w:t>Двата най-важни въпроса относно Директи</w:t>
      </w:r>
      <w:r>
        <w:rPr>
          <w:noProof/>
        </w:rPr>
        <w:t>вата за енергийното етикетиране са намалялата ефективност на енергийния етикет и неспазването на изискванията поради слаба принуда. Други идентифицирани проблеми са дългият процес на нормотворчество, водещ до използване на остарели технически и подготвител</w:t>
      </w:r>
      <w:r>
        <w:rPr>
          <w:noProof/>
        </w:rPr>
        <w:t>ни работи.</w:t>
      </w:r>
    </w:p>
    <w:p w:rsidR="00030C0D" w:rsidRDefault="00986C69">
      <w:pPr>
        <w:rPr>
          <w:noProof/>
        </w:rPr>
      </w:pPr>
      <w:r>
        <w:rPr>
          <w:noProof/>
        </w:rPr>
        <w:t>При избрания окончателен вариант се предвижда да се подобри съществуващата регулаторна уредба за енергийното етикетиране, да се включи изискване продуктите с етикети да се регистрират в нова база данни, да се подобри правната структура чрез прео</w:t>
      </w:r>
      <w:r>
        <w:rPr>
          <w:noProof/>
        </w:rPr>
        <w:t>бразуване на сегашната Директива за енергийното етикетиране в регламент, да бъде той съгласуван с регламента за надзор на пазара</w:t>
      </w:r>
      <w:r>
        <w:rPr>
          <w:rStyle w:val="FootnoteReference"/>
          <w:noProof/>
        </w:rPr>
        <w:footnoteReference w:id="13"/>
      </w:r>
      <w:r>
        <w:rPr>
          <w:noProof/>
        </w:rPr>
        <w:t xml:space="preserve"> и да се финансират съвместни действия в ЕС за надзор на пазара.</w:t>
      </w:r>
    </w:p>
    <w:p w:rsidR="00030C0D" w:rsidRDefault="00986C69">
      <w:pPr>
        <w:rPr>
          <w:noProof/>
        </w:rPr>
      </w:pPr>
      <w:r>
        <w:rPr>
          <w:noProof/>
        </w:rPr>
        <w:t xml:space="preserve">Настоящото предложение е в изпълнение на законодателната част </w:t>
      </w:r>
      <w:r>
        <w:rPr>
          <w:noProof/>
        </w:rPr>
        <w:t>на варианта, избран в Оценката на въздействието. Допълнителните незаконодателни действия, планирани за реализирането на този вариант, са описани в доклада до Европейския парламент и Съвета, придружаващ настоящото предложение.</w:t>
      </w:r>
    </w:p>
    <w:p w:rsidR="00030C0D" w:rsidRDefault="00986C69">
      <w:pPr>
        <w:pStyle w:val="ManualHeading2"/>
        <w:rPr>
          <w:noProof/>
          <w:u w:color="000000"/>
          <w:bdr w:val="nil"/>
        </w:rPr>
      </w:pPr>
      <w:r>
        <w:rPr>
          <w:noProof/>
        </w:rPr>
        <w:t>3.5.</w:t>
      </w:r>
      <w:r>
        <w:rPr>
          <w:noProof/>
        </w:rPr>
        <w:tab/>
        <w:t xml:space="preserve">Пригодност и опростяване </w:t>
      </w:r>
      <w:r>
        <w:rPr>
          <w:noProof/>
        </w:rPr>
        <w:t>на законодателството</w:t>
      </w:r>
    </w:p>
    <w:p w:rsidR="00030C0D" w:rsidRDefault="00986C69">
      <w:pPr>
        <w:pBdr>
          <w:top w:val="nil"/>
          <w:left w:val="nil"/>
          <w:bottom w:val="nil"/>
          <w:right w:val="nil"/>
          <w:between w:val="nil"/>
          <w:bar w:val="nil"/>
        </w:pBdr>
        <w:spacing w:before="0" w:after="240"/>
        <w:rPr>
          <w:rFonts w:eastAsia="Arial Unicode MS"/>
          <w:noProof/>
        </w:rPr>
      </w:pPr>
      <w:r>
        <w:rPr>
          <w:noProof/>
        </w:rPr>
        <w:t>Положителното въздействие върху приходите (оценявано на 34 млрд. евро годишно в 2030 г.) ще се отрази по един и същ начин на големите, средните и малките предприятия, както и на микро предприятията. Не е оправдано да се предвижда разли</w:t>
      </w:r>
      <w:r>
        <w:rPr>
          <w:noProof/>
        </w:rPr>
        <w:t>чен режим за микро предприятията и за малките и средни предприятия. Едни и същи правила следва да са валидни за всички търговци на дребно, тъй като енергийните етикети са полезни само ако присъстват върху всички продукти във всички магазини. По отношение н</w:t>
      </w:r>
      <w:r>
        <w:rPr>
          <w:noProof/>
        </w:rPr>
        <w:t>а производителите, въздействие има само върху някои малки или средни предприятия, но микро предприятията не са засегнати. Едни и същи правила следва да са валидни за всички, за да се осигури равноправна конкуренция в единния пазар, както и съгласувана и по</w:t>
      </w:r>
      <w:r>
        <w:rPr>
          <w:noProof/>
        </w:rPr>
        <w:t>следователна информация за потребителите. Икономиите на потребителите се оценяват на 10—30 млрд. евро годишно в 2030 г. (в зависимост от оценките за бъдещите изменения на енергийните цени).</w:t>
      </w:r>
    </w:p>
    <w:p w:rsidR="00030C0D" w:rsidRDefault="00986C69">
      <w:pPr>
        <w:pBdr>
          <w:top w:val="nil"/>
          <w:left w:val="nil"/>
          <w:bottom w:val="nil"/>
          <w:right w:val="nil"/>
          <w:between w:val="nil"/>
          <w:bar w:val="nil"/>
        </w:pBdr>
        <w:spacing w:before="0" w:after="240"/>
        <w:rPr>
          <w:noProof/>
        </w:rPr>
      </w:pPr>
      <w:r>
        <w:rPr>
          <w:noProof/>
        </w:rPr>
        <w:t>Подобрява се конкурентоспособността на дружествата от ЕС като те с</w:t>
      </w:r>
      <w:r>
        <w:rPr>
          <w:noProof/>
        </w:rPr>
        <w:t xml:space="preserve">е насърчават да иновират, дава се предимство на първите реализатори, осигуряват се равноправни условия с производителите от трети държави посредством по-голям надзор на пазара и се дава възможност за увеличение на маржа на печалбата от ефективни продукти, </w:t>
      </w:r>
      <w:r>
        <w:rPr>
          <w:noProof/>
        </w:rPr>
        <w:t>които са с по-висока покупна цена, но водят до нетни спестявания за крайните потребители в рамките на цялостния си жизнен цикъл.</w:t>
      </w:r>
    </w:p>
    <w:p w:rsidR="00030C0D" w:rsidRDefault="00986C69">
      <w:pPr>
        <w:pBdr>
          <w:top w:val="nil"/>
          <w:left w:val="nil"/>
          <w:bottom w:val="nil"/>
          <w:right w:val="nil"/>
          <w:between w:val="nil"/>
          <w:bar w:val="nil"/>
        </w:pBdr>
        <w:spacing w:before="0" w:after="240"/>
        <w:rPr>
          <w:noProof/>
        </w:rPr>
      </w:pPr>
      <w:r>
        <w:rPr>
          <w:noProof/>
        </w:rPr>
        <w:t>Що се отнася до административните разходи, общите разходи на търговците за замяна на етикетите на всички продукти се оценяват н</w:t>
      </w:r>
      <w:r>
        <w:rPr>
          <w:noProof/>
        </w:rPr>
        <w:t>а 10 милиона евро за период от 10 години в Европейския съюз като цяло. Разходите на производителите се оценяват на 50 милиона евро за период от десет години. Сумарно това съответства на разходи в размер от 2 евроцента на продаден етикетиран продукт. Админи</w:t>
      </w:r>
      <w:r>
        <w:rPr>
          <w:noProof/>
        </w:rPr>
        <w:t>стративните разходи за регистриране на продукти се оценяват на 1,5 милиона евро годишно за цялата промишленост; това съответства на около 0,5 евроцента за продаден продукт. Действителните разходи, породени от изискването за регистриране на продуктите, ще б</w:t>
      </w:r>
      <w:r>
        <w:rPr>
          <w:noProof/>
        </w:rPr>
        <w:t xml:space="preserve">ъдат фактически по-малки или дори нулеви, тъй като производителите няма вече да са длъжни да съхраняват техническа документация на разположение на органите по надзор на пазара в продължение на пет години след производството на последния продукт. </w:t>
      </w:r>
    </w:p>
    <w:p w:rsidR="00030C0D" w:rsidRDefault="00986C69">
      <w:pPr>
        <w:pBdr>
          <w:top w:val="nil"/>
          <w:left w:val="nil"/>
          <w:bottom w:val="nil"/>
          <w:right w:val="nil"/>
          <w:between w:val="nil"/>
          <w:bar w:val="nil"/>
        </w:pBdr>
        <w:spacing w:before="0" w:after="240"/>
        <w:rPr>
          <w:noProof/>
        </w:rPr>
      </w:pPr>
      <w:r>
        <w:rPr>
          <w:noProof/>
        </w:rPr>
        <w:t>Производи</w:t>
      </w:r>
      <w:r>
        <w:rPr>
          <w:noProof/>
        </w:rPr>
        <w:t>телите и търговците могат да прехвърлят тези административни разходи върху потребителите, за които те ще са повече от компенсирани с икономиите на енергия от използването на по-ефективни продукти, които те купуват в резултат от действието на регламента.</w:t>
      </w:r>
    </w:p>
    <w:p w:rsidR="00030C0D" w:rsidRDefault="00986C69">
      <w:pPr>
        <w:rPr>
          <w:noProof/>
        </w:rPr>
      </w:pPr>
      <w:r>
        <w:rPr>
          <w:noProof/>
        </w:rPr>
        <w:t>Пр</w:t>
      </w:r>
      <w:r>
        <w:rPr>
          <w:noProof/>
        </w:rPr>
        <w:t>едложението е съобразено с Интернет, тъй като съдържа разпоредба за създаване на онлайн база данни, която ще опрости, ускори и подобри предаването на продуктова информация между производителите, търговците, органите за надзор на пазара и крайните потребите</w:t>
      </w:r>
      <w:r>
        <w:rPr>
          <w:noProof/>
        </w:rPr>
        <w:t>ли.</w:t>
      </w:r>
    </w:p>
    <w:p w:rsidR="00030C0D" w:rsidRDefault="00986C69">
      <w:pPr>
        <w:pStyle w:val="ManualHeading1"/>
        <w:rPr>
          <w:noProof/>
        </w:rPr>
      </w:pPr>
      <w:r>
        <w:rPr>
          <w:noProof/>
        </w:rPr>
        <w:t>4.</w:t>
      </w:r>
      <w:r>
        <w:rPr>
          <w:noProof/>
        </w:rPr>
        <w:tab/>
        <w:t xml:space="preserve">ОТРАЖЕНИЕ ВЪРХУ БЮДЖЕТА </w:t>
      </w:r>
    </w:p>
    <w:p w:rsidR="00030C0D" w:rsidRDefault="00986C69">
      <w:pPr>
        <w:rPr>
          <w:noProof/>
        </w:rPr>
      </w:pPr>
      <w:r>
        <w:rPr>
          <w:noProof/>
        </w:rPr>
        <w:t xml:space="preserve">Настоящото предложение е за замяна на съществуващата Директива за енергийното етикетиране и поради това административното въздействие и разходи за държавите членки се оценяват като умерени, тъй като те вече разполагат с </w:t>
      </w:r>
      <w:r>
        <w:rPr>
          <w:noProof/>
        </w:rPr>
        <w:t>повечето необходими структури и правила.</w:t>
      </w:r>
    </w:p>
    <w:p w:rsidR="00030C0D" w:rsidRDefault="00986C69">
      <w:pPr>
        <w:rPr>
          <w:noProof/>
          <w:color w:val="1F497D"/>
        </w:rPr>
      </w:pPr>
      <w:r>
        <w:rPr>
          <w:noProof/>
        </w:rPr>
        <w:t>За тази инициатива не са необходими допълнителни бюджетни средства на ЕС. Разходите за създаване на продуктова база данни (1 500 000 евро в 2016 г. и по 150 000 евро годишно за нейното поддържане в следващите години</w:t>
      </w:r>
      <w:r>
        <w:rPr>
          <w:noProof/>
        </w:rPr>
        <w:t>), както и за проучвания на разбирането от страна на потребителите на етикети за конкретни групи продукти (300 000 евро годишно от 2017 г. нататък) ще се финансират чрез реприоритизиране в рамките на съществуващия бюджет за изпълнението на политиката за ен</w:t>
      </w:r>
      <w:r>
        <w:rPr>
          <w:noProof/>
        </w:rPr>
        <w:t>ергийна ефективност на продуктите, която включва техническа помощ и/или проучвания за оценка на аспекти на групи продукти, необходими за подготовката на делегирани актове и за съдействие на стандартизацията. Този бюджет попада в разделите за навлизане на п</w:t>
      </w:r>
      <w:r>
        <w:rPr>
          <w:noProof/>
        </w:rPr>
        <w:t xml:space="preserve">азара и за иновация на частта за обществените предизвикателства на програмата „Хоризонт 2020“. </w:t>
      </w:r>
    </w:p>
    <w:p w:rsidR="00030C0D" w:rsidRDefault="00986C69">
      <w:pPr>
        <w:pStyle w:val="ManualHeading1"/>
        <w:rPr>
          <w:noProof/>
        </w:rPr>
      </w:pPr>
      <w:r>
        <w:rPr>
          <w:noProof/>
        </w:rPr>
        <w:t>5.</w:t>
      </w:r>
      <w:r>
        <w:rPr>
          <w:noProof/>
        </w:rPr>
        <w:tab/>
        <w:t>ДРУГИ ЕЛЕМЕНТИ</w:t>
      </w:r>
    </w:p>
    <w:p w:rsidR="00030C0D" w:rsidRDefault="00986C69">
      <w:pPr>
        <w:pStyle w:val="ManualHeading2"/>
        <w:rPr>
          <w:noProof/>
          <w:u w:color="000000"/>
          <w:bdr w:val="nil"/>
        </w:rPr>
      </w:pPr>
      <w:r>
        <w:rPr>
          <w:noProof/>
        </w:rPr>
        <w:t>5.1.</w:t>
      </w:r>
      <w:r>
        <w:rPr>
          <w:noProof/>
        </w:rPr>
        <w:tab/>
        <w:t>Условия във връзка с мониторинга, оценяването и докладването</w:t>
      </w:r>
    </w:p>
    <w:p w:rsidR="00030C0D" w:rsidRDefault="00986C69">
      <w:pPr>
        <w:pStyle w:val="Text1"/>
        <w:ind w:left="0"/>
        <w:rPr>
          <w:noProof/>
        </w:rPr>
      </w:pPr>
      <w:r>
        <w:rPr>
          <w:noProof/>
        </w:rPr>
        <w:t>Предвижда се следващото оценяване на нормативната уредба в областта на енерг</w:t>
      </w:r>
      <w:r>
        <w:rPr>
          <w:noProof/>
        </w:rPr>
        <w:t>ийното етикетиране да е след 8 години. То следва да се основава на последващо оценяване в специфични за отделни продукти проучвания за преглед на делегираните актове в рамките на разглежданата нормативна уредба и следва да включва оценяване на ефикасността</w:t>
      </w:r>
      <w:r>
        <w:rPr>
          <w:noProof/>
        </w:rPr>
        <w:t xml:space="preserve"> на нормативната уредба за осигуряване на свободно движение на стоки (напр. дали държавите членки се въздържат от предлагане на национално законодателство за енергийно етикетиране на продукти). Следва да бъде оценявано намаляването на консумацията на енерг</w:t>
      </w:r>
      <w:r>
        <w:rPr>
          <w:noProof/>
        </w:rPr>
        <w:t>ия и други значими екологични въздействия на продуктите, особено по отношение на подобренията, постигнати в степента на трансформация на пазара в резултат от етикети с преобразувана скала. Подобренията в степента на надзор на пазара и на спазване на изискв</w:t>
      </w:r>
      <w:r>
        <w:rPr>
          <w:noProof/>
        </w:rPr>
        <w:t>анията в резултат от продуктовата база данни могат да се оценяват чрез докладване от държавите членки за резултатите от надзора на пазара, в съответствие с регламента за надзора на пазара.</w:t>
      </w:r>
    </w:p>
    <w:p w:rsidR="00030C0D" w:rsidRDefault="00986C69">
      <w:pPr>
        <w:pStyle w:val="ManualHeading2"/>
        <w:rPr>
          <w:noProof/>
          <w:u w:color="000000"/>
          <w:bdr w:val="nil"/>
        </w:rPr>
      </w:pPr>
      <w:r>
        <w:rPr>
          <w:noProof/>
        </w:rPr>
        <w:t>5.2.</w:t>
      </w:r>
      <w:r>
        <w:rPr>
          <w:noProof/>
        </w:rPr>
        <w:tab/>
        <w:t>Подробно разяснение на конкретните разпоредби на предложението</w:t>
      </w:r>
    </w:p>
    <w:p w:rsidR="00030C0D" w:rsidRDefault="00986C69">
      <w:pPr>
        <w:rPr>
          <w:noProof/>
        </w:rPr>
      </w:pPr>
      <w:r>
        <w:rPr>
          <w:noProof/>
        </w:rPr>
        <w:t>В предложението се запазват целите и основните принципи на съществуващата Директива за енергийно етикетиране, като в същото време нейните разпоредби се изясняват и засилват и техният обхват се разширява посредством:</w:t>
      </w:r>
    </w:p>
    <w:p w:rsidR="00030C0D" w:rsidRDefault="00986C69">
      <w:pPr>
        <w:pStyle w:val="Bullet0"/>
        <w:numPr>
          <w:ilvl w:val="0"/>
          <w:numId w:val="12"/>
        </w:numPr>
        <w:rPr>
          <w:noProof/>
        </w:rPr>
      </w:pPr>
      <w:r>
        <w:rPr>
          <w:noProof/>
        </w:rPr>
        <w:t>Актуализация на етикета и осигуряване н</w:t>
      </w:r>
      <w:r>
        <w:rPr>
          <w:noProof/>
        </w:rPr>
        <w:t>а възможност за преобразуване на скалата</w:t>
      </w:r>
    </w:p>
    <w:p w:rsidR="00030C0D" w:rsidRDefault="00986C69">
      <w:pPr>
        <w:pStyle w:val="Bullet0"/>
        <w:rPr>
          <w:noProof/>
        </w:rPr>
      </w:pPr>
      <w:r>
        <w:rPr>
          <w:noProof/>
        </w:rPr>
        <w:t>Подобряване на правоприлагането</w:t>
      </w:r>
    </w:p>
    <w:p w:rsidR="00030C0D" w:rsidRDefault="00986C69">
      <w:pPr>
        <w:pStyle w:val="Bullet0"/>
        <w:rPr>
          <w:noProof/>
        </w:rPr>
      </w:pPr>
      <w:r>
        <w:rPr>
          <w:noProof/>
        </w:rPr>
        <w:t>Създаване на база данни за продуктите, попадащи в обхвата на енергийното етикетиране</w:t>
      </w:r>
    </w:p>
    <w:p w:rsidR="00030C0D" w:rsidRDefault="00986C69">
      <w:pPr>
        <w:pStyle w:val="Bullet0"/>
        <w:rPr>
          <w:noProof/>
        </w:rPr>
      </w:pPr>
      <w:r>
        <w:rPr>
          <w:noProof/>
        </w:rPr>
        <w:t>По-добро изясняване на задълженията на различните участващи страни</w:t>
      </w:r>
    </w:p>
    <w:p w:rsidR="00030C0D" w:rsidRDefault="00986C69">
      <w:pPr>
        <w:pStyle w:val="Bullet0"/>
        <w:rPr>
          <w:noProof/>
        </w:rPr>
      </w:pPr>
      <w:r>
        <w:rPr>
          <w:noProof/>
        </w:rPr>
        <w:t>Подобряване на връзката между е</w:t>
      </w:r>
      <w:r>
        <w:rPr>
          <w:noProof/>
        </w:rPr>
        <w:t>нергийното етикетиране и измервателните стандарти</w:t>
      </w:r>
    </w:p>
    <w:p w:rsidR="00030C0D" w:rsidRDefault="00986C69">
      <w:pPr>
        <w:pStyle w:val="ManualHeading3"/>
        <w:rPr>
          <w:noProof/>
        </w:rPr>
      </w:pPr>
      <w:r>
        <w:rPr>
          <w:noProof/>
        </w:rPr>
        <w:t>5.2.1.</w:t>
      </w:r>
      <w:r>
        <w:rPr>
          <w:noProof/>
        </w:rPr>
        <w:tab/>
        <w:t>Актуализация на етикета и осигуряване на възможност за преобразуване на скалата</w:t>
      </w:r>
    </w:p>
    <w:p w:rsidR="00030C0D" w:rsidRDefault="00986C69">
      <w:pPr>
        <w:rPr>
          <w:noProof/>
        </w:rPr>
      </w:pPr>
      <w:r>
        <w:rPr>
          <w:noProof/>
        </w:rPr>
        <w:t>Успехът на енергийното етикетиране за насърчаване на производството на все по-енергоефективни продукти означава, че ети</w:t>
      </w:r>
      <w:r>
        <w:rPr>
          <w:noProof/>
        </w:rPr>
        <w:t>кетите са вече близо до предела на своя потенциал. За много групи продукти повечето модели са вече в най-високите енергийни класове, което затруднява разграничаването на различните модели. При все че в 2010 г. бяха добавени за някои продукти класовете за е</w:t>
      </w:r>
      <w:r>
        <w:rPr>
          <w:noProof/>
        </w:rPr>
        <w:t>нергоефективност от A+ до A+++, всички модели са вече в тези нови класове и няма модели в по-ниските класове. Съществува системна необходимост да се променя мястото в скалата на продуктите и да се върнем към първоначалната скала на енергийните етикети от A</w:t>
      </w:r>
      <w:r>
        <w:rPr>
          <w:noProof/>
        </w:rPr>
        <w:t xml:space="preserve"> до G, която според проучванията най-добре се разбира от потребителите. Сега действащата директива дава възможност за прекласиране на продуктите посредством специфични делегирани актове, но в предложението необходимостта от преобразуване на скалата на енер</w:t>
      </w:r>
      <w:r>
        <w:rPr>
          <w:noProof/>
        </w:rPr>
        <w:t>гийните етикети е отразена по много по-системен начин. Също така, в него са отразени задълженията на доставчиците и търговците по време на фазата на преобразуване и замяна на скалата.</w:t>
      </w:r>
    </w:p>
    <w:p w:rsidR="00030C0D" w:rsidRDefault="00986C69">
      <w:pPr>
        <w:rPr>
          <w:noProof/>
        </w:rPr>
      </w:pPr>
      <w:r>
        <w:rPr>
          <w:noProof/>
        </w:rPr>
        <w:t>Съществуващите етикети ще бъдат преразгледани от Комисията в срок от пет</w:t>
      </w:r>
      <w:r>
        <w:rPr>
          <w:noProof/>
        </w:rPr>
        <w:t xml:space="preserve"> години след влизането в сила на настоящия регламент, с оглед преобразуване на техните скали. Най-напред ще се разглеждат тези групи продукти, чиито продукти на пазара са концентрирани в най-горните класове. Самото преобразуване на скалите ще продължава ня</w:t>
      </w:r>
      <w:r>
        <w:rPr>
          <w:noProof/>
        </w:rPr>
        <w:t>колко години след датата на преразглеждането.</w:t>
      </w:r>
    </w:p>
    <w:p w:rsidR="00030C0D" w:rsidRDefault="00986C69">
      <w:pPr>
        <w:rPr>
          <w:noProof/>
          <w:szCs w:val="24"/>
        </w:rPr>
      </w:pPr>
      <w:r>
        <w:rPr>
          <w:noProof/>
        </w:rPr>
        <w:t>За преобразуването е необходим известен преходен период, през който в магазините ще присъстват както старите етикети (отпреди преобразуването), така и новите преобразувани етикети. За да се сведе до минимум вся</w:t>
      </w:r>
      <w:r>
        <w:rPr>
          <w:noProof/>
        </w:rPr>
        <w:t>какъв риск за объркването на потребителите, да се намалят разходите за спазване на изискванията и да се осигури максимална правна сигурност за доставчиците и търговците, в проекторегламента е предвиден следният подход:</w:t>
      </w:r>
    </w:p>
    <w:p w:rsidR="00030C0D" w:rsidRDefault="00986C69">
      <w:pPr>
        <w:pStyle w:val="ListNumber"/>
        <w:ind w:left="709"/>
        <w:rPr>
          <w:noProof/>
        </w:rPr>
      </w:pPr>
      <w:r>
        <w:rPr>
          <w:noProof/>
        </w:rPr>
        <w:t>Публикува се делегиран акт за етикета</w:t>
      </w:r>
      <w:r>
        <w:rPr>
          <w:noProof/>
        </w:rPr>
        <w:t xml:space="preserve"> с преобразувана скала, който влиза в сила 20 дни по-късно (както се прави и сега). В делегирания акт енергийните изисквания се определят така, че никой от сега присъстващите продукти на пазара да не попада в най-високите класове, за да се насърчат техниче</w:t>
      </w:r>
      <w:r>
        <w:rPr>
          <w:noProof/>
        </w:rPr>
        <w:t xml:space="preserve">ският прогрес и иновативността и да се даде възможност за разпознаване на все по-ефективни продукти. В делегирания акт се посочва конкретна дата, до която „старите“ етикети да бъдат заменени с етикет с преобразувана скала („датата на замяна“). </w:t>
      </w:r>
    </w:p>
    <w:p w:rsidR="00030C0D" w:rsidRDefault="00986C69">
      <w:pPr>
        <w:pStyle w:val="ListNumber"/>
        <w:ind w:left="709"/>
        <w:rPr>
          <w:noProof/>
        </w:rPr>
      </w:pPr>
      <w:r>
        <w:rPr>
          <w:noProof/>
        </w:rPr>
        <w:t>За период о</w:t>
      </w:r>
      <w:r>
        <w:rPr>
          <w:noProof/>
        </w:rPr>
        <w:t>т шест месеца след влизането в сила на делегирания акт, но преди датата на замяна, доставчиците поставят в кутията с продукта и етикета с преобразувана скала, и съществуващия етикет.</w:t>
      </w:r>
    </w:p>
    <w:p w:rsidR="00030C0D" w:rsidRDefault="00986C69">
      <w:pPr>
        <w:pStyle w:val="ListNumber"/>
        <w:ind w:left="709"/>
        <w:rPr>
          <w:noProof/>
        </w:rPr>
      </w:pPr>
      <w:r>
        <w:rPr>
          <w:noProof/>
        </w:rPr>
        <w:t>След настъпването на датата на замяна от търговците се изисква да заменят</w:t>
      </w:r>
      <w:r>
        <w:rPr>
          <w:noProof/>
        </w:rPr>
        <w:t xml:space="preserve"> стария етикет с новия върху всички продукти, изложени в магазините. Те ще разполагат с една седмица за замяна на всички етикети с нови. </w:t>
      </w:r>
    </w:p>
    <w:p w:rsidR="00030C0D" w:rsidRDefault="00986C69">
      <w:pPr>
        <w:pStyle w:val="ListNumber"/>
        <w:ind w:left="709"/>
        <w:rPr>
          <w:noProof/>
        </w:rPr>
      </w:pPr>
      <w:r>
        <w:rPr>
          <w:noProof/>
        </w:rPr>
        <w:t>За продуктите, получени в магазина преди началото на 6-месечния преходен период, търговците трябва да поискат и получа</w:t>
      </w:r>
      <w:r>
        <w:rPr>
          <w:noProof/>
        </w:rPr>
        <w:t>т нов етикет от доставчика (възможно е също новият етикет да се предоставя онлайн за изтегляне от уебсайтовете на доставчиците).</w:t>
      </w:r>
    </w:p>
    <w:p w:rsidR="00030C0D" w:rsidRDefault="00986C69">
      <w:pPr>
        <w:pStyle w:val="ListNumber"/>
        <w:ind w:left="709"/>
        <w:rPr>
          <w:noProof/>
        </w:rPr>
      </w:pPr>
      <w:r>
        <w:rPr>
          <w:noProof/>
        </w:rPr>
        <w:t>От  държавите членки се изисква да провеждат промоционални информационни кампании с цел да информират потребителите за преобраз</w:t>
      </w:r>
      <w:r>
        <w:rPr>
          <w:noProof/>
        </w:rPr>
        <w:t>уването на скалата.</w:t>
      </w:r>
    </w:p>
    <w:p w:rsidR="00030C0D" w:rsidRDefault="00986C69">
      <w:pPr>
        <w:rPr>
          <w:noProof/>
        </w:rPr>
      </w:pPr>
      <w:r>
        <w:rPr>
          <w:noProof/>
        </w:rPr>
        <w:t>Така описаният подход е предназначен да намали, доколкото е възможно, едновременното присъствие на старите и новите етикети върху продукти от един и същ вид, изложени в магазините, като се направи процесът на преобразуване на скалата да</w:t>
      </w:r>
      <w:r>
        <w:rPr>
          <w:noProof/>
        </w:rPr>
        <w:t xml:space="preserve"> е възможно най-практичен, което на свой ред би увеличило ефикасността на етикета и би допринесло за икономия на енергия и разходи на потребителите. За въвеждането на този подход не е необходимо значително изменение на съществуващата система по отношение н</w:t>
      </w:r>
      <w:r>
        <w:rPr>
          <w:noProof/>
        </w:rPr>
        <w:t>а основната система за дистрибуция на етикетите, която вече се е доказала, че действа.</w:t>
      </w:r>
    </w:p>
    <w:p w:rsidR="00030C0D" w:rsidRDefault="00986C69">
      <w:pPr>
        <w:pStyle w:val="ManualHeading3"/>
        <w:rPr>
          <w:noProof/>
        </w:rPr>
      </w:pPr>
      <w:r>
        <w:rPr>
          <w:noProof/>
        </w:rPr>
        <w:t>5.2.2.</w:t>
      </w:r>
      <w:r>
        <w:rPr>
          <w:noProof/>
        </w:rPr>
        <w:tab/>
        <w:t>Подобряване на правоприлагането чрез създаване на база данни за продуктите, попадащи в обхвата на енергийното етикетиране</w:t>
      </w:r>
    </w:p>
    <w:p w:rsidR="00030C0D" w:rsidRDefault="00986C69">
      <w:pPr>
        <w:rPr>
          <w:noProof/>
        </w:rPr>
      </w:pPr>
      <w:r>
        <w:rPr>
          <w:noProof/>
        </w:rPr>
        <w:t>По отношение на правоприлагането, общият процент на неспазване на изискванията се оценява на 20 %, което води до около 10 % нереализирани икономии на енергия. Тези слаби резултати в областта на правоприлагането се дължат (поне отчасти) на трудностите, срещ</w:t>
      </w:r>
      <w:r>
        <w:rPr>
          <w:noProof/>
        </w:rPr>
        <w:t>ани от националните органи за надзор на пазара при своевременното оценяване на техническата документация, което още повече се усложнява от липсата на яснота във връзка с различните номера, използвани за един и същи модел в различни държави членки. Новата б</w:t>
      </w:r>
      <w:r>
        <w:rPr>
          <w:noProof/>
        </w:rPr>
        <w:t xml:space="preserve">аза данни за регистриране на продукти ще даде възможност на органите за надзор на пазара да имат много по-бърз достъп до необходимата информация. </w:t>
      </w:r>
    </w:p>
    <w:p w:rsidR="00030C0D" w:rsidRDefault="00986C69">
      <w:pPr>
        <w:rPr>
          <w:noProof/>
        </w:rPr>
      </w:pPr>
      <w:r>
        <w:rPr>
          <w:noProof/>
        </w:rPr>
        <w:t>Също така, наличието на продуктова база данни ще осигурява актуални пазарни данни и информация за енергийната</w:t>
      </w:r>
      <w:r>
        <w:rPr>
          <w:noProof/>
        </w:rPr>
        <w:t xml:space="preserve"> ефективност, което ще ускори подготвителните проучвания и проучванията за прегледи и последващия регулаторен процес, като по този начин ще съкрати сегашният продължителен регулаторен процес за делегираните актове.</w:t>
      </w:r>
    </w:p>
    <w:p w:rsidR="00030C0D" w:rsidRDefault="00986C69">
      <w:pPr>
        <w:rPr>
          <w:noProof/>
        </w:rPr>
      </w:pPr>
      <w:r>
        <w:rPr>
          <w:noProof/>
        </w:rPr>
        <w:t xml:space="preserve">Специално във връзка с Директивата за </w:t>
      </w:r>
      <w:r>
        <w:rPr>
          <w:noProof/>
        </w:rPr>
        <w:t>енергийното етикетиране необходимостта от регистрационна база данни изглежда голяма, тъй като енергийните етикети обхващат и областта на домакинските уреди, при които често има липса на достатъчен надзор на пазара и броят на еквивалентните модели е по-голя</w:t>
      </w:r>
      <w:r>
        <w:rPr>
          <w:noProof/>
        </w:rPr>
        <w:t>м.</w:t>
      </w:r>
    </w:p>
    <w:p w:rsidR="00030C0D" w:rsidRDefault="00986C69">
      <w:pPr>
        <w:rPr>
          <w:noProof/>
        </w:rPr>
      </w:pPr>
      <w:r>
        <w:rPr>
          <w:noProof/>
        </w:rPr>
        <w:t>В допълнение към преодоляване на слабостите на съществуващата система, базата данни би могло да бъде използвана в бъдеще за реализиране на нови начини на дистрибуция на енергийни етикети на търговците, тъй като в тази база данни би могло да са на разпол</w:t>
      </w:r>
      <w:r>
        <w:rPr>
          <w:noProof/>
        </w:rPr>
        <w:t>ожение енергийните етикети, включително новите енергийните етикети с преобразувана скала. С предложението се актуализират също изискванията в директивата за осигуряване на наличност на етикети в електронен вид, както и изискванията към доставчиците да осиг</w:t>
      </w:r>
      <w:r>
        <w:rPr>
          <w:noProof/>
        </w:rPr>
        <w:t>уряват достъп до тях в своите уебсайтове.</w:t>
      </w:r>
    </w:p>
    <w:p w:rsidR="00030C0D" w:rsidRDefault="00986C69">
      <w:pPr>
        <w:rPr>
          <w:bCs/>
          <w:noProof/>
        </w:rPr>
      </w:pPr>
      <w:r>
        <w:rPr>
          <w:noProof/>
        </w:rPr>
        <w:t>В сравнение със съществуващите изисквания към доставчиците за продуктова информация, с базата данни за регистриране на продукти се въвежда само новото задължение за регистриране на модела на продукта чрез въвеждане</w:t>
      </w:r>
      <w:r>
        <w:rPr>
          <w:noProof/>
        </w:rPr>
        <w:t xml:space="preserve"> на информация, която при сега действащата система вече се изисква съгласно различните делегирани актове. </w:t>
      </w:r>
    </w:p>
    <w:p w:rsidR="00030C0D" w:rsidRDefault="00986C69">
      <w:pPr>
        <w:rPr>
          <w:bCs/>
          <w:noProof/>
        </w:rPr>
      </w:pPr>
      <w:r>
        <w:rPr>
          <w:noProof/>
        </w:rPr>
        <w:t>Административната тежест за регистриране на продукти се оценява на 1,5 милиона евро годишно за цялата промишленост; това съответства на около 0,5 евр</w:t>
      </w:r>
      <w:r>
        <w:rPr>
          <w:noProof/>
        </w:rPr>
        <w:t xml:space="preserve">оцента за продаден продукт. Действителните разходи фактически ще бъдат по-малки или дори нулеви, тъй като доставчиците няма вече да са длъжни да съхраняват техническа документация на разположение на органите по надзор на пазара в продължение на пет години </w:t>
      </w:r>
      <w:r>
        <w:rPr>
          <w:noProof/>
        </w:rPr>
        <w:t>след производството на последния продукт. Понастоящем органите за надзор на пазара трябва да искат техническата документация от доставчиците, а също и търговците трябва да се обръщат към доставчиците за получаването на етикет, ако по някаква причина се нуж</w:t>
      </w:r>
      <w:r>
        <w:rPr>
          <w:noProof/>
        </w:rPr>
        <w:t>даят от такъв. Чрез базата данни ще бъде осигурена наличност в централно място както на техническата документация за целите на надзора на пазара, така и на етикетите.</w:t>
      </w:r>
    </w:p>
    <w:p w:rsidR="00030C0D" w:rsidRDefault="00986C69">
      <w:pPr>
        <w:pStyle w:val="ManualHeading3"/>
        <w:rPr>
          <w:noProof/>
        </w:rPr>
      </w:pPr>
      <w:r>
        <w:rPr>
          <w:noProof/>
        </w:rPr>
        <w:t>5.2.3.</w:t>
      </w:r>
      <w:r>
        <w:rPr>
          <w:noProof/>
        </w:rPr>
        <w:tab/>
        <w:t>По-добро изясняване на задълженията на различните участващи страни</w:t>
      </w:r>
    </w:p>
    <w:p w:rsidR="00030C0D" w:rsidRDefault="00986C69">
      <w:pPr>
        <w:rPr>
          <w:noProof/>
        </w:rPr>
      </w:pPr>
      <w:r>
        <w:rPr>
          <w:noProof/>
        </w:rPr>
        <w:t>В предложението</w:t>
      </w:r>
      <w:r>
        <w:rPr>
          <w:noProof/>
        </w:rPr>
        <w:t xml:space="preserve"> са прегрупирани съответните задължения на държавите членки, доставчиците и търговците, с оглед задълженията да бъдат по-съгласувани и опростени. </w:t>
      </w:r>
    </w:p>
    <w:p w:rsidR="00030C0D" w:rsidRDefault="00986C69">
      <w:pPr>
        <w:rPr>
          <w:noProof/>
        </w:rPr>
      </w:pPr>
      <w:r>
        <w:rPr>
          <w:noProof/>
        </w:rPr>
        <w:t>Замяната на директивата с регламент води до намаляване на административното натоварване на държавите членки (</w:t>
      </w:r>
      <w:r>
        <w:rPr>
          <w:noProof/>
        </w:rPr>
        <w:t>въпреки че все пак те ще трябва да отстранят от своето национално законодателство мерките за транспониране на Директива 2010/30/ЕС) и прави изискванията за доставчиците и търговците пряко приложими, което ще осигури пълна хармонизация в рамките на ЕС.</w:t>
      </w:r>
    </w:p>
    <w:p w:rsidR="00030C0D" w:rsidRDefault="00986C69">
      <w:pPr>
        <w:pStyle w:val="ManualHeading3"/>
        <w:rPr>
          <w:noProof/>
        </w:rPr>
      </w:pPr>
      <w:r>
        <w:rPr>
          <w:noProof/>
        </w:rPr>
        <w:t>5.2.</w:t>
      </w:r>
      <w:r>
        <w:rPr>
          <w:noProof/>
        </w:rPr>
        <w:t>4.</w:t>
      </w:r>
      <w:r>
        <w:rPr>
          <w:noProof/>
        </w:rPr>
        <w:tab/>
        <w:t>Подобряване на връзката между енергийното етикетиране и измервателните стандарти</w:t>
      </w:r>
    </w:p>
    <w:p w:rsidR="00030C0D" w:rsidRDefault="00986C69">
      <w:pPr>
        <w:rPr>
          <w:noProof/>
        </w:rPr>
      </w:pPr>
      <w:r>
        <w:rPr>
          <w:noProof/>
        </w:rPr>
        <w:t>В предложението е изяснен въпросът, че когато даден продукт е в съответствие с измервателните и изчислителните методи, дефинирани в съответния хармонизиран стандарт, се счи</w:t>
      </w:r>
      <w:r>
        <w:rPr>
          <w:noProof/>
        </w:rPr>
        <w:t>та че този продукт е в съответствие с отнасящите се за него разпоредби на приложимия делегиран акт.</w:t>
      </w:r>
    </w:p>
    <w:p w:rsidR="00030C0D" w:rsidRDefault="00030C0D">
      <w:pPr>
        <w:rPr>
          <w:noProof/>
        </w:rPr>
        <w:sectPr w:rsidR="00030C0D">
          <w:footerReference w:type="default" r:id="rId11"/>
          <w:footerReference w:type="first" r:id="rId12"/>
          <w:pgSz w:w="11907" w:h="16839"/>
          <w:pgMar w:top="1134" w:right="1417" w:bottom="1134" w:left="1417" w:header="709" w:footer="709" w:gutter="0"/>
          <w:cols w:space="708"/>
          <w:docGrid w:linePitch="360"/>
        </w:sectPr>
      </w:pPr>
    </w:p>
    <w:p w:rsidR="00030C0D" w:rsidRDefault="00986C69">
      <w:pPr>
        <w:pStyle w:val="Rfrenceinterinstitutionnelle"/>
        <w:rPr>
          <w:noProof/>
        </w:rPr>
      </w:pPr>
      <w:r>
        <w:rPr>
          <w:noProof/>
        </w:rPr>
        <w:t>2015/0149 (COD)</w:t>
      </w:r>
    </w:p>
    <w:p w:rsidR="00030C0D" w:rsidRDefault="00986C69">
      <w:pPr>
        <w:pStyle w:val="Statut"/>
        <w:rPr>
          <w:noProof/>
        </w:rPr>
      </w:pPr>
      <w:r>
        <w:rPr>
          <w:noProof/>
        </w:rPr>
        <w:t>Предложение за</w:t>
      </w:r>
    </w:p>
    <w:p w:rsidR="00030C0D" w:rsidRDefault="00986C69">
      <w:pPr>
        <w:pStyle w:val="Typedudocument"/>
        <w:rPr>
          <w:noProof/>
        </w:rPr>
      </w:pPr>
      <w:r>
        <w:rPr>
          <w:noProof/>
        </w:rPr>
        <w:t>РЕГЛАМЕНТ НА ЕВРОПЕЙСКИ</w:t>
      </w:r>
      <w:r>
        <w:rPr>
          <w:noProof/>
        </w:rPr>
        <w:t>Я ПАРЛАМЕНТ И НА СЪВЕТА</w:t>
      </w:r>
    </w:p>
    <w:p w:rsidR="00030C0D" w:rsidRDefault="00986C69">
      <w:pPr>
        <w:pStyle w:val="Titreobjet"/>
        <w:rPr>
          <w:noProof/>
        </w:rPr>
      </w:pPr>
      <w:r>
        <w:rPr>
          <w:noProof/>
        </w:rPr>
        <w:t>за определяне на нормативна рамка за етикетиране на енергийната ефективност и за отмяна на Директива 2010/30/ЕС</w:t>
      </w:r>
    </w:p>
    <w:p w:rsidR="00030C0D" w:rsidRDefault="00986C69">
      <w:pPr>
        <w:pStyle w:val="IntrtEEE"/>
        <w:rPr>
          <w:noProof/>
        </w:rPr>
      </w:pPr>
      <w:r>
        <w:rPr>
          <w:noProof/>
        </w:rPr>
        <w:t>(текст от значение за ЕИП)</w:t>
      </w:r>
    </w:p>
    <w:p w:rsidR="00030C0D" w:rsidRDefault="00986C69">
      <w:pPr>
        <w:pStyle w:val="Institutionquiagit"/>
        <w:rPr>
          <w:noProof/>
        </w:rPr>
      </w:pPr>
      <w:r>
        <w:rPr>
          <w:noProof/>
        </w:rPr>
        <w:t>ЕВРОПЕЙСКИЯТ ПАРЛАМЕНТ И СЪВЕТЪТ НА ЕВРОПЕЙСКИЯ СЪЮЗ,</w:t>
      </w:r>
    </w:p>
    <w:p w:rsidR="00030C0D" w:rsidRDefault="00986C69">
      <w:pPr>
        <w:rPr>
          <w:noProof/>
        </w:rPr>
      </w:pPr>
      <w:r>
        <w:rPr>
          <w:noProof/>
        </w:rPr>
        <w:t>като взеха предвид Договора за функцион</w:t>
      </w:r>
      <w:r>
        <w:rPr>
          <w:noProof/>
        </w:rPr>
        <w:t>ирането на Европейския съюз, и по-специално член 194, параграф 2 от него,</w:t>
      </w:r>
    </w:p>
    <w:p w:rsidR="00030C0D" w:rsidRDefault="00986C69">
      <w:pPr>
        <w:rPr>
          <w:noProof/>
        </w:rPr>
      </w:pPr>
      <w:r>
        <w:rPr>
          <w:noProof/>
        </w:rPr>
        <w:t>като взеха предвид предложението на Европейската комисия,</w:t>
      </w:r>
    </w:p>
    <w:p w:rsidR="00030C0D" w:rsidRDefault="00986C69">
      <w:pPr>
        <w:rPr>
          <w:noProof/>
        </w:rPr>
      </w:pPr>
      <w:r>
        <w:rPr>
          <w:noProof/>
        </w:rPr>
        <w:t>след предаване на проекта на законодателния акт на националните парламенти,</w:t>
      </w:r>
    </w:p>
    <w:p w:rsidR="00030C0D" w:rsidRDefault="00986C69">
      <w:pPr>
        <w:rPr>
          <w:noProof/>
        </w:rPr>
      </w:pPr>
      <w:r>
        <w:rPr>
          <w:noProof/>
        </w:rPr>
        <w:t>като взеха предвид становището на Европейския ик</w:t>
      </w:r>
      <w:r>
        <w:rPr>
          <w:noProof/>
        </w:rPr>
        <w:t>ономически и социален комитет</w:t>
      </w:r>
      <w:r>
        <w:rPr>
          <w:rStyle w:val="FootnoteReference"/>
          <w:noProof/>
        </w:rPr>
        <w:footnoteReference w:id="14"/>
      </w:r>
      <w:r>
        <w:rPr>
          <w:noProof/>
        </w:rPr>
        <w:t>,</w:t>
      </w:r>
    </w:p>
    <w:p w:rsidR="00030C0D" w:rsidRDefault="00986C69">
      <w:pPr>
        <w:rPr>
          <w:noProof/>
        </w:rPr>
      </w:pPr>
      <w:r>
        <w:rPr>
          <w:noProof/>
        </w:rPr>
        <w:t>като взеха предвид становището на Комитета на регионите</w:t>
      </w:r>
      <w:r>
        <w:rPr>
          <w:rStyle w:val="FootnoteReference"/>
          <w:noProof/>
        </w:rPr>
        <w:footnoteReference w:id="15"/>
      </w:r>
      <w:r>
        <w:rPr>
          <w:noProof/>
        </w:rPr>
        <w:t>,</w:t>
      </w:r>
    </w:p>
    <w:p w:rsidR="00030C0D" w:rsidRDefault="00986C69">
      <w:pPr>
        <w:rPr>
          <w:noProof/>
        </w:rPr>
      </w:pPr>
      <w:r>
        <w:rPr>
          <w:noProof/>
        </w:rPr>
        <w:t>в съответствие с обикновената законодателна процедура,</w:t>
      </w:r>
    </w:p>
    <w:p w:rsidR="00030C0D" w:rsidRDefault="00986C69">
      <w:pPr>
        <w:rPr>
          <w:noProof/>
        </w:rPr>
      </w:pPr>
      <w:r>
        <w:rPr>
          <w:noProof/>
        </w:rPr>
        <w:t>като имат предвид, че:</w:t>
      </w:r>
    </w:p>
    <w:p w:rsidR="00030C0D" w:rsidRDefault="00986C69">
      <w:pPr>
        <w:pStyle w:val="ManualConsidrant"/>
        <w:rPr>
          <w:noProof/>
        </w:rPr>
      </w:pPr>
      <w:r>
        <w:rPr>
          <w:noProof/>
        </w:rPr>
        <w:t>(1)</w:t>
      </w:r>
      <w:r>
        <w:rPr>
          <w:noProof/>
        </w:rPr>
        <w:tab/>
        <w:t>Европейският съюз се е ангажирал с изграждането на Енергиен съюз и с провеждането на</w:t>
      </w:r>
      <w:r>
        <w:rPr>
          <w:noProof/>
        </w:rPr>
        <w:t xml:space="preserve"> насочена към бъдещето политика в областта на климата. Енергийната ефективност представлява съществен елемент на Рамката на политики в областта на климата и енергетиката за периода до 2030 г. и има ключово значение за постигането на умерено енергопотреблен</w:t>
      </w:r>
      <w:r>
        <w:rPr>
          <w:noProof/>
        </w:rPr>
        <w:t xml:space="preserve">ие. </w:t>
      </w:r>
    </w:p>
    <w:p w:rsidR="00030C0D" w:rsidRDefault="00986C69">
      <w:pPr>
        <w:pStyle w:val="ManualConsidrant"/>
        <w:rPr>
          <w:noProof/>
        </w:rPr>
      </w:pPr>
      <w:r>
        <w:rPr>
          <w:noProof/>
        </w:rPr>
        <w:t>(2)</w:t>
      </w:r>
      <w:r>
        <w:rPr>
          <w:noProof/>
        </w:rPr>
        <w:tab/>
        <w:t>Етикетирането на енергийната ефективност дава възможност на потребителите да правят информиран избор във връзка с енергопотреблението на продуктите и по този начин насърчава иновацията.</w:t>
      </w:r>
    </w:p>
    <w:p w:rsidR="00030C0D" w:rsidRDefault="00986C69">
      <w:pPr>
        <w:pStyle w:val="ManualConsidrant"/>
        <w:rPr>
          <w:noProof/>
          <w:szCs w:val="24"/>
        </w:rPr>
      </w:pPr>
      <w:r>
        <w:rPr>
          <w:noProof/>
        </w:rPr>
        <w:t>(3)</w:t>
      </w:r>
      <w:r>
        <w:rPr>
          <w:noProof/>
        </w:rPr>
        <w:tab/>
        <w:t xml:space="preserve">За Директива 2010/30/ЕС на Европейския парламент и на </w:t>
      </w:r>
      <w:r>
        <w:rPr>
          <w:noProof/>
        </w:rPr>
        <w:t>Съвета</w:t>
      </w:r>
      <w:r>
        <w:rPr>
          <w:rStyle w:val="FootnoteReference"/>
          <w:noProof/>
        </w:rPr>
        <w:footnoteReference w:id="16"/>
      </w:r>
      <w:r>
        <w:rPr>
          <w:noProof/>
        </w:rPr>
        <w:t xml:space="preserve"> бе проведено оценяване на нейната ефективност</w:t>
      </w:r>
      <w:r>
        <w:rPr>
          <w:rStyle w:val="FootnoteReference"/>
          <w:noProof/>
        </w:rPr>
        <w:footnoteReference w:id="17"/>
      </w:r>
      <w:r>
        <w:rPr>
          <w:noProof/>
        </w:rPr>
        <w:t>. Това оценяване показа необходимостта от актуализиране на нормативната уредба в областта на енергийното етикетиране, за да се подобри нейната ефективност.</w:t>
      </w:r>
    </w:p>
    <w:p w:rsidR="00030C0D" w:rsidRDefault="00986C69">
      <w:pPr>
        <w:pStyle w:val="ManualConsidrant"/>
        <w:rPr>
          <w:noProof/>
          <w:szCs w:val="24"/>
        </w:rPr>
      </w:pPr>
      <w:r>
        <w:rPr>
          <w:noProof/>
        </w:rPr>
        <w:t>(4)</w:t>
      </w:r>
      <w:r>
        <w:rPr>
          <w:noProof/>
        </w:rPr>
        <w:tab/>
      </w:r>
      <w:r>
        <w:rPr>
          <w:noProof/>
        </w:rPr>
        <w:t>Уместно е Директива 2010/30/ЕС да бъде заменена с регламент, който да има същия обхват, но да включва промени в някои от разпоредбите, с цел да бъде изяснено и актуализирано тяхното съдържание. Подходящият правен инструмент е регламентът, тъй като с него с</w:t>
      </w:r>
      <w:r>
        <w:rPr>
          <w:noProof/>
        </w:rPr>
        <w:t>е определят ясни и подробни правила, без да има възможност за различаващо се транспониране от страна на държавите членки и се осигурява по-висока степен на хармонизиране в рамките на ЕС. Наличието на хармонизирана регулаторна рамка на равнището на ЕС вмест</w:t>
      </w:r>
      <w:r>
        <w:rPr>
          <w:noProof/>
        </w:rPr>
        <w:t xml:space="preserve">о на равнището на държавите членки води до намаление на разходите на производителите и осигурява равноправни условия. Хармонизирането в рамките на целия ЕС осигурява свободното движение на стоки в единния пазар. </w:t>
      </w:r>
    </w:p>
    <w:p w:rsidR="00030C0D" w:rsidRDefault="00986C69">
      <w:pPr>
        <w:pStyle w:val="ManualConsidrant"/>
        <w:rPr>
          <w:noProof/>
        </w:rPr>
      </w:pPr>
      <w:r>
        <w:rPr>
          <w:noProof/>
        </w:rPr>
        <w:t>(5)</w:t>
      </w:r>
      <w:r>
        <w:rPr>
          <w:noProof/>
        </w:rPr>
        <w:tab/>
        <w:t xml:space="preserve">Намаляването на търсенето на енергия е </w:t>
      </w:r>
      <w:r>
        <w:rPr>
          <w:noProof/>
        </w:rPr>
        <w:t>отбелязано като ключово действие в Европейската стратегия за енергийна сигурност</w:t>
      </w:r>
      <w:r>
        <w:rPr>
          <w:rStyle w:val="FootnoteReference"/>
          <w:noProof/>
        </w:rPr>
        <w:footnoteReference w:id="18"/>
      </w:r>
      <w:r>
        <w:rPr>
          <w:noProof/>
        </w:rPr>
        <w:t>. В Рамковата стратегия за енергиен съюз</w:t>
      </w:r>
      <w:r>
        <w:rPr>
          <w:rStyle w:val="FootnoteReference"/>
          <w:noProof/>
        </w:rPr>
        <w:footnoteReference w:id="19"/>
      </w:r>
      <w:r>
        <w:rPr>
          <w:noProof/>
        </w:rPr>
        <w:t xml:space="preserve"> също е изтъкнат принципът за поставяне на енергийната ефективност на първо място и необходимостта от цялостно прилагане на съществува</w:t>
      </w:r>
      <w:r>
        <w:rPr>
          <w:noProof/>
        </w:rPr>
        <w:t>щата нормативна уредба на ЕС в областта на енергетиката. В Пътната карта към нея е предвидено в 2015 г. да се направи преразглеждане на нормативната уредба за енергийната ефективност на продуктите. Настоящият регламент ще подобри нормативната уредба и рамк</w:t>
      </w:r>
      <w:r>
        <w:rPr>
          <w:noProof/>
        </w:rPr>
        <w:t>ата на правоприлагането в областта на енергийното етикетиране.</w:t>
      </w:r>
    </w:p>
    <w:p w:rsidR="00030C0D" w:rsidRDefault="00986C69">
      <w:pPr>
        <w:pStyle w:val="ManualConsidrant"/>
        <w:rPr>
          <w:noProof/>
        </w:rPr>
      </w:pPr>
      <w:r>
        <w:rPr>
          <w:noProof/>
        </w:rPr>
        <w:t>(7)</w:t>
      </w:r>
      <w:r>
        <w:rPr>
          <w:noProof/>
        </w:rPr>
        <w:tab/>
        <w:t>Подобряването на ефективността на свързаните с енергопотреблението продукти посредством информиран избор от страна на потребителите е от полза за икономиката на ЕС като цяло, предизвиква ин</w:t>
      </w:r>
      <w:r>
        <w:rPr>
          <w:noProof/>
        </w:rPr>
        <w:t>овация и ще допринесе за постигане на целите на ЕС за енергийна ефективност съответно за 2020 и 2030 г. Също така, то ще даде възможност на потребителите да постигнат парични икономии.</w:t>
      </w:r>
    </w:p>
    <w:p w:rsidR="00030C0D" w:rsidRDefault="00986C69">
      <w:pPr>
        <w:pStyle w:val="ManualConsidrant"/>
        <w:rPr>
          <w:noProof/>
        </w:rPr>
      </w:pPr>
      <w:r>
        <w:rPr>
          <w:noProof/>
        </w:rPr>
        <w:t>(8)</w:t>
      </w:r>
      <w:r>
        <w:rPr>
          <w:noProof/>
        </w:rPr>
        <w:tab/>
        <w:t>В заключенията на Европейския съвет от 23 и 24 октомври 2014 г. е п</w:t>
      </w:r>
      <w:r>
        <w:rPr>
          <w:noProof/>
        </w:rPr>
        <w:t>оставена индикативна цел на равнището на ЕС за подобрение на енергийната ефективност в 2030 г. с поне 27 % в сравнение с прогнозните стойности за бъдещото енергопотребление. Тази цел ще бъде преразгледана през 2020 г., с оглед евентуално да се зададе подоб</w:t>
      </w:r>
      <w:r>
        <w:rPr>
          <w:noProof/>
        </w:rPr>
        <w:t xml:space="preserve">рение на равнището на ЕС в размер на 30 %. Също така, в заключенията е зададена обвързваща цел за ЕС за намаление до 2030 г. на собствените емисии на парникови газове с 40 % в сравнение с количествата от 1990 г., включително и съответно намаление с 30 % в </w:t>
      </w:r>
      <w:r>
        <w:rPr>
          <w:noProof/>
        </w:rPr>
        <w:t>секторите, които са извън обхвата на Схемата за търговия с емисии.</w:t>
      </w:r>
    </w:p>
    <w:p w:rsidR="00030C0D" w:rsidRDefault="00986C69">
      <w:pPr>
        <w:pStyle w:val="ManualConsidrant"/>
        <w:rPr>
          <w:noProof/>
        </w:rPr>
      </w:pPr>
      <w:r>
        <w:rPr>
          <w:noProof/>
        </w:rPr>
        <w:t>(9)</w:t>
      </w:r>
      <w:r>
        <w:rPr>
          <w:noProof/>
        </w:rPr>
        <w:tab/>
        <w:t>Осигуряването на точна, релевантна и сравнима информация относно специфичната консумация на енергия на свързаните с енергопотреблението продукти улеснява консуматора да избере продукти,</w:t>
      </w:r>
      <w:r>
        <w:rPr>
          <w:noProof/>
        </w:rPr>
        <w:t xml:space="preserve"> консумиращи по време на употребата им по-малко енергия и други съществени ресурси. Стандартният задължителен етикет е ефективно средство за предоставяне на потенциалните консуматори на сравнима информация за консумацията на енергия на свързаните с енергоп</w:t>
      </w:r>
      <w:r>
        <w:rPr>
          <w:noProof/>
        </w:rPr>
        <w:t>отреблението продукти. Той следва да бъде допълнен от информационен лист за продукта. Етикетът следва да бъде лесно разпознаваем, прост и кратък. За тази цел съществуващата скала с цветове от тъмнозелен до червен следва да се запази като основно средство з</w:t>
      </w:r>
      <w:r>
        <w:rPr>
          <w:noProof/>
        </w:rPr>
        <w:t>а информиране на крайните потребителите относно енергийната ефективност на продуктите. Най-ефективна за потребителите се оказа класификацията с използване на буквите от A до G. В ситуациите, при които поради мерките за екопроектиране по Директива 2009/125/</w:t>
      </w:r>
      <w:r>
        <w:rPr>
          <w:noProof/>
        </w:rPr>
        <w:t>ЕО продуктите вече не могат да попадат в класовете „F“ и „G“, тези класове следва да не присъстват върху етикета. В изключителни случаи това следва да се прилага също и за класовете „D“ и „Е“, въпреки че такава ситуация е малко вероятно да настъпи, като се</w:t>
      </w:r>
      <w:r>
        <w:rPr>
          <w:noProof/>
        </w:rPr>
        <w:t xml:space="preserve"> има предвид че етикетът ще подлежи на преобразуване на скалата след като мнозинството от моделите продукти попаднат в най-горните два класа.</w:t>
      </w:r>
    </w:p>
    <w:p w:rsidR="00030C0D" w:rsidRDefault="00986C69">
      <w:pPr>
        <w:pStyle w:val="ManualConsidrant"/>
        <w:rPr>
          <w:noProof/>
        </w:rPr>
      </w:pPr>
      <w:r>
        <w:rPr>
          <w:noProof/>
        </w:rPr>
        <w:t>(10)</w:t>
      </w:r>
      <w:r>
        <w:rPr>
          <w:noProof/>
        </w:rPr>
        <w:tab/>
        <w:t>Напредъкът в цифровата технология дава възможност за алтернативни начини за предоставяне и показване на етике</w:t>
      </w:r>
      <w:r>
        <w:rPr>
          <w:noProof/>
        </w:rPr>
        <w:t>тите по електронен път, като например в Интернет, но също и на електронни монитори в магазините. С цел възползване от този технически прогрес, в настоящия регламент следва да се разреши използването на електронни етикети в замяна или като допълнение на ети</w:t>
      </w:r>
      <w:r>
        <w:rPr>
          <w:noProof/>
        </w:rPr>
        <w:t xml:space="preserve">кетите върху материален носител. В случаите, при които не е възможно излагане на енергийния етикет, като например при някои форми на продажба от разстояние, както и в рекламите и техническите промоционални материали, на потенциалните потребители следва да </w:t>
      </w:r>
      <w:r>
        <w:rPr>
          <w:noProof/>
        </w:rPr>
        <w:t xml:space="preserve">се дава информация поне за енергийния клас на продукта. </w:t>
      </w:r>
    </w:p>
    <w:p w:rsidR="00030C0D" w:rsidRDefault="00986C69">
      <w:pPr>
        <w:pStyle w:val="ManualConsidrant"/>
        <w:rPr>
          <w:noProof/>
        </w:rPr>
      </w:pPr>
      <w:r>
        <w:rPr>
          <w:noProof/>
        </w:rPr>
        <w:t>(11)</w:t>
      </w:r>
      <w:r>
        <w:rPr>
          <w:noProof/>
        </w:rPr>
        <w:tab/>
        <w:t>Производителите реагират на енергийните етикети като създават все по-ефективни продукти. Това техническо развитие води до продукти, намиращи се главно в най-високите класове на енергийния етикет</w:t>
      </w:r>
      <w:r>
        <w:rPr>
          <w:noProof/>
        </w:rPr>
        <w:t xml:space="preserve">. За да могат потребителите да правят адекватно сравнение, нужно е да има допълнително разграничаване на продуктите, което води до необходимост от преобразуване на скалата на етикетите. Подходящ по отношение на честотата на такова преобразуване на скалата </w:t>
      </w:r>
      <w:r>
        <w:rPr>
          <w:noProof/>
        </w:rPr>
        <w:t>би бил период от около десет години, като се има предвид необходимостта да се избягва прекомерно натоварване на производителите. Поради това в настоящия регламент следва да се формулират подробни разпоредби относно преобразуването на скалата, с цел постига</w:t>
      </w:r>
      <w:r>
        <w:rPr>
          <w:noProof/>
        </w:rPr>
        <w:t>не на максимална правна сигурност за доставчиците и търговците. Скалата за етикета следва да се преобразува така, че най-високите класове първоначално да са празни, за да се насърчава техническият прогрес и да се дава възможност за разработване и признаван</w:t>
      </w:r>
      <w:r>
        <w:rPr>
          <w:noProof/>
        </w:rPr>
        <w:t>е на още по-ефективни продукти. При преобразуването на скалата на даден етикет следва да се избягва пораждането на объркване сред потребителите, като за тази цел всички съответни енергийни етикети следва да бъдат подменяни в рамките на кратък период от вре</w:t>
      </w:r>
      <w:r>
        <w:rPr>
          <w:noProof/>
        </w:rPr>
        <w:t>ме.</w:t>
      </w:r>
    </w:p>
    <w:p w:rsidR="00030C0D" w:rsidRDefault="00986C69">
      <w:pPr>
        <w:pStyle w:val="ManualConsidrant"/>
        <w:rPr>
          <w:noProof/>
        </w:rPr>
      </w:pPr>
      <w:r>
        <w:rPr>
          <w:noProof/>
        </w:rPr>
        <w:t>(12)</w:t>
      </w:r>
      <w:r>
        <w:rPr>
          <w:noProof/>
        </w:rPr>
        <w:tab/>
        <w:t>Когато скалата на даден етикет се преобразува, в течение на известен период от време доставчиците следва да предоставят и стария, и новия етикет. Заменянето на съществуващите етикети върху изложените продукти, включително в Интернет, с етикети с п</w:t>
      </w:r>
      <w:r>
        <w:rPr>
          <w:noProof/>
        </w:rPr>
        <w:t>реобразувана скала следва да се извършва възможно най-бързо след датата на замяна, посочена в делегирания акт относно етикета с преобразувана скала. Търговците следва да не излагат етикетите с преобразувана скала преди датата на замяна.</w:t>
      </w:r>
    </w:p>
    <w:p w:rsidR="00030C0D" w:rsidRDefault="00986C69">
      <w:pPr>
        <w:pStyle w:val="ManualConsidrant"/>
        <w:rPr>
          <w:noProof/>
        </w:rPr>
      </w:pPr>
      <w:r>
        <w:rPr>
          <w:noProof/>
        </w:rPr>
        <w:t>(13)</w:t>
      </w:r>
      <w:r>
        <w:rPr>
          <w:noProof/>
        </w:rPr>
        <w:tab/>
        <w:t>Необходимо е д</w:t>
      </w:r>
      <w:r>
        <w:rPr>
          <w:noProof/>
        </w:rPr>
        <w:t>а се предвиди ясно и пропорционално разпределение на задълженията, отговарящо на ролята на всеки оператор в процеса на доставка и дистрибуция. Стопанските оператори следва да носят отговорност за спазването на изискванията във връзка с техните съответни ро</w:t>
      </w:r>
      <w:r>
        <w:rPr>
          <w:noProof/>
        </w:rPr>
        <w:t>ли във веригата на доставка и следва да вземат подходящи мерки за да гарантират, че предоставят на пазара само такива продукти, които са в съответствие с настоящия регламент и делегираните актове към него.</w:t>
      </w:r>
    </w:p>
    <w:p w:rsidR="00030C0D" w:rsidRDefault="00986C69">
      <w:pPr>
        <w:pStyle w:val="ManualConsidrant"/>
        <w:rPr>
          <w:noProof/>
        </w:rPr>
      </w:pPr>
      <w:r>
        <w:rPr>
          <w:noProof/>
        </w:rPr>
        <w:t>(14)</w:t>
      </w:r>
      <w:r>
        <w:rPr>
          <w:noProof/>
        </w:rPr>
        <w:tab/>
        <w:t xml:space="preserve">За да се запази доверието на потребителите в </w:t>
      </w:r>
      <w:r>
        <w:rPr>
          <w:noProof/>
        </w:rPr>
        <w:t xml:space="preserve">енергийния етикет, не следва да се позволява използването за свързани с енергопотреблението продукти на други етикети, които имитират енергийния етикет. Също така, не следва да се позволява и използването на етикети, марки, символи или надписи, които биха </w:t>
      </w:r>
      <w:r>
        <w:rPr>
          <w:noProof/>
        </w:rPr>
        <w:t>могли да заблудят или объркат потребителите по отношение на консумацията на енергия.</w:t>
      </w:r>
    </w:p>
    <w:p w:rsidR="00030C0D" w:rsidRDefault="00986C69">
      <w:pPr>
        <w:pStyle w:val="ManualConsidrant"/>
        <w:rPr>
          <w:noProof/>
        </w:rPr>
      </w:pPr>
      <w:r>
        <w:rPr>
          <w:noProof/>
        </w:rPr>
        <w:t>(15)</w:t>
      </w:r>
      <w:r>
        <w:rPr>
          <w:noProof/>
        </w:rPr>
        <w:tab/>
        <w:t>С цел осигуряване на правна сигурност е необходимо да се поясни, че посочените в Регламент (ЕО) № 765/2008 на Европейския парламент и на Съвета</w:t>
      </w:r>
      <w:r>
        <w:rPr>
          <w:rStyle w:val="FootnoteReference"/>
          <w:noProof/>
        </w:rPr>
        <w:footnoteReference w:id="20"/>
      </w:r>
      <w:r>
        <w:rPr>
          <w:noProof/>
        </w:rPr>
        <w:t xml:space="preserve"> правила за надзор на </w:t>
      </w:r>
      <w:r>
        <w:rPr>
          <w:noProof/>
        </w:rPr>
        <w:t>пазара в ЕС и за контрола на продуктите, въвеждани на пазара в ЕС, се отнасят и за свързаните с енергопотреблението продукти. Като се има предвид принципът за свободно движение на стоки, наложително е органите за надзор на пазара в държавите членки ефектив</w:t>
      </w:r>
      <w:r>
        <w:rPr>
          <w:noProof/>
        </w:rPr>
        <w:t>но да си сътрудничат помежду си. Това сътрудничество в областта на енергийното етикетиране следва да бъде подпомагано от Комисията.</w:t>
      </w:r>
    </w:p>
    <w:p w:rsidR="00030C0D" w:rsidRDefault="00986C69">
      <w:pPr>
        <w:pStyle w:val="ManualConsidrant"/>
        <w:rPr>
          <w:noProof/>
        </w:rPr>
      </w:pPr>
      <w:r>
        <w:rPr>
          <w:noProof/>
        </w:rPr>
        <w:t>(16)</w:t>
      </w:r>
      <w:r>
        <w:rPr>
          <w:noProof/>
        </w:rPr>
        <w:tab/>
        <w:t>С оглед да се улесни мониторингът на спазването на изискванията и за осигуряване на актуални пазарни данни за нуждите н</w:t>
      </w:r>
      <w:r>
        <w:rPr>
          <w:noProof/>
        </w:rPr>
        <w:t>а регулаторния процес за преразглеждане на етикетите и информационните листове за конкретни продукти, доставчиците следва да предоставят информацията за съответствието на своите продукти с изискванията по електронен път, в създадена от Комисията база данни</w:t>
      </w:r>
      <w:r>
        <w:rPr>
          <w:noProof/>
        </w:rPr>
        <w:t>. Информацията следва да бъде публично достъпна, така че да е на разположение на потребителите и да се даде възможност на търговците да получават етикетите по алтернативен път. Органите за надзор на пазара следва да имат достъп до информацията в базата дан</w:t>
      </w:r>
      <w:r>
        <w:rPr>
          <w:noProof/>
        </w:rPr>
        <w:t>ни.</w:t>
      </w:r>
    </w:p>
    <w:p w:rsidR="00030C0D" w:rsidRDefault="00986C69">
      <w:pPr>
        <w:pStyle w:val="ManualConsidrant"/>
        <w:rPr>
          <w:noProof/>
        </w:rPr>
      </w:pPr>
      <w:r>
        <w:rPr>
          <w:noProof/>
        </w:rPr>
        <w:t>(17)</w:t>
      </w:r>
      <w:r>
        <w:rPr>
          <w:noProof/>
        </w:rPr>
        <w:tab/>
        <w:t>Санкциите за нарушения на разпоредбите на настоящия регламент и на приетите във връзка с него делегирани актове следва да бъдат ефективни, пропорционални и възпиращи.</w:t>
      </w:r>
    </w:p>
    <w:p w:rsidR="00030C0D" w:rsidRDefault="00986C69">
      <w:pPr>
        <w:pStyle w:val="ManualConsidrant"/>
        <w:rPr>
          <w:noProof/>
        </w:rPr>
      </w:pPr>
      <w:r>
        <w:rPr>
          <w:noProof/>
        </w:rPr>
        <w:t>(18)</w:t>
      </w:r>
      <w:r>
        <w:rPr>
          <w:noProof/>
        </w:rPr>
        <w:tab/>
        <w:t>С оглед да се насърчава енергийната ефективност, смекчаването на изменениет</w:t>
      </w:r>
      <w:r>
        <w:rPr>
          <w:noProof/>
        </w:rPr>
        <w:t>о на климата и опазването на околната среда, държавите членки следва да имат възможност да създават стимули за използването на енергоефективни продукти. Държавите-членки сами определят вида на такива стимули. Тези стимули следва да са в съответствие с разп</w:t>
      </w:r>
      <w:r>
        <w:rPr>
          <w:noProof/>
        </w:rPr>
        <w:t>оредбите за държавната помощ в ЕС и да не представляват необосновани пазарни препятствия. Настоящият регламент не засяга резултатите от евентуални бъдещи процедури за държавна помощ, които могат да бъдат предприети съгласно членове 107 и 108 от Договора за</w:t>
      </w:r>
      <w:r>
        <w:rPr>
          <w:noProof/>
        </w:rPr>
        <w:t xml:space="preserve"> функционирането на Европейския съюз (ДФЕС) по отношение на тези стимули.</w:t>
      </w:r>
    </w:p>
    <w:p w:rsidR="00030C0D" w:rsidRDefault="00986C69">
      <w:pPr>
        <w:pStyle w:val="ManualConsidrant"/>
        <w:rPr>
          <w:noProof/>
        </w:rPr>
      </w:pPr>
      <w:r>
        <w:rPr>
          <w:noProof/>
        </w:rPr>
        <w:t>(19)</w:t>
      </w:r>
      <w:r>
        <w:rPr>
          <w:noProof/>
        </w:rPr>
        <w:tab/>
        <w:t>Консумацията на енергия и други данни за продуктите, попадащи в обхвата на продуктово специфични изисквания съгласно настоящия регламент, следва да се измерват чрез използване н</w:t>
      </w:r>
      <w:r>
        <w:rPr>
          <w:noProof/>
        </w:rPr>
        <w:t xml:space="preserve">а надеждни, точни и възпроизводими методи, съобразени с общопризнатото съвременно равнище на измервателните и изчислителните методи. В интерес на функционирането на вътрешноевропейския пазар е да има стандарти, които са хармонизирани на равнището на ЕС. В </w:t>
      </w:r>
      <w:r>
        <w:rPr>
          <w:noProof/>
        </w:rPr>
        <w:t xml:space="preserve">случай на отсъствие на публикувани стандарти към момента на въвеждането на продуктово специфични изисквания, Комисията следва да публикува в </w:t>
      </w:r>
      <w:r>
        <w:rPr>
          <w:i/>
          <w:noProof/>
        </w:rPr>
        <w:t>Официален вестник на Европейския съюз</w:t>
      </w:r>
      <w:r>
        <w:rPr>
          <w:noProof/>
        </w:rPr>
        <w:t xml:space="preserve"> временни измервателни и изчислителни методи във връзка с тези продуктово спец</w:t>
      </w:r>
      <w:r>
        <w:rPr>
          <w:noProof/>
        </w:rPr>
        <w:t xml:space="preserve">ифични изисквания. Веднъж след като бъде публикувано позоваване на такъв стандарт в </w:t>
      </w:r>
      <w:r>
        <w:rPr>
          <w:i/>
          <w:noProof/>
        </w:rPr>
        <w:t>Официален вестник на Европейския съюз</w:t>
      </w:r>
      <w:r>
        <w:rPr>
          <w:noProof/>
        </w:rPr>
        <w:t>, неговото спазване ще дава презумпция за съответствие с тези продуктово специфични изисквания за измервателните методи, приети въз осн</w:t>
      </w:r>
      <w:r>
        <w:rPr>
          <w:noProof/>
        </w:rPr>
        <w:t>ова на настоящия регламент.</w:t>
      </w:r>
    </w:p>
    <w:p w:rsidR="00030C0D" w:rsidRDefault="00986C69">
      <w:pPr>
        <w:pStyle w:val="ManualConsidrant"/>
        <w:rPr>
          <w:noProof/>
        </w:rPr>
      </w:pPr>
      <w:r>
        <w:rPr>
          <w:noProof/>
        </w:rPr>
        <w:t>(20)</w:t>
      </w:r>
      <w:r>
        <w:rPr>
          <w:noProof/>
        </w:rPr>
        <w:tab/>
        <w:t>Комисията следва да осигури работен план за преразглеждане на етикетите на конкретни продукти, включващ и индикативен списък на допълнителни свързани с енергопотреблението продукти, за които може да бъде въведен енергиен ет</w:t>
      </w:r>
      <w:r>
        <w:rPr>
          <w:noProof/>
        </w:rPr>
        <w:t>икет. Изпълнението на работния план следва да започва с технически, екологичен и икономически анализ на съответната група продукти. В този анализ следва да се разглежда също и въпросът за допълнителната информация, включително възможността и разходите за п</w:t>
      </w:r>
      <w:r>
        <w:rPr>
          <w:noProof/>
        </w:rPr>
        <w:t>редоставяне на потребителите на информация относно експлоатационните показатели на свързания с енергопотреблението продукт, като например относно неговата абсолютна консумация на енергия, дълготрайност или въздействие върху околната среда, в съответствие с</w:t>
      </w:r>
      <w:r>
        <w:rPr>
          <w:noProof/>
        </w:rPr>
        <w:t xml:space="preserve"> целта за насърчаване на кръговратна икономика. Такава допълнителна информация следва да подобрява разбираемостта и ефективността на етикета за потребителите и да не води до никакво отрицателно въздействие върху тях.</w:t>
      </w:r>
    </w:p>
    <w:p w:rsidR="00030C0D" w:rsidRDefault="00986C69">
      <w:pPr>
        <w:pStyle w:val="ManualConsidrant"/>
        <w:rPr>
          <w:noProof/>
        </w:rPr>
      </w:pPr>
      <w:r>
        <w:rPr>
          <w:noProof/>
        </w:rPr>
        <w:t>(21)</w:t>
      </w:r>
      <w:r>
        <w:rPr>
          <w:noProof/>
        </w:rPr>
        <w:tab/>
        <w:t>С оглед определянето на продуктово</w:t>
      </w:r>
      <w:r>
        <w:rPr>
          <w:noProof/>
        </w:rPr>
        <w:t xml:space="preserve"> специфични етикети и информационни листове, както и на работни процедури във връзка с продуктовата база данни, на Комисията следва да бъде делегирано правомощие да приема актове в съответствие с член 290 от Договора за функционирането на Европейския съюз.</w:t>
      </w:r>
      <w:r>
        <w:rPr>
          <w:noProof/>
        </w:rPr>
        <w:t xml:space="preserve"> От особено значение е Комисията да провежда съответни консултации по време на подготвителната си работа, включително на експертно равнище и с Консултационния форум.</w:t>
      </w:r>
    </w:p>
    <w:p w:rsidR="00030C0D" w:rsidRDefault="00986C69">
      <w:pPr>
        <w:pStyle w:val="ManualConsidrant"/>
        <w:rPr>
          <w:noProof/>
        </w:rPr>
      </w:pPr>
      <w:r>
        <w:rPr>
          <w:noProof/>
        </w:rPr>
        <w:t>(22)</w:t>
      </w:r>
      <w:r>
        <w:rPr>
          <w:noProof/>
        </w:rPr>
        <w:tab/>
        <w:t>Настоящият регламент не следва да засяга задълженията на държавите членки по отношени</w:t>
      </w:r>
      <w:r>
        <w:rPr>
          <w:noProof/>
        </w:rPr>
        <w:t>е на сроковете за транспониране в националното право и за прилагане на Директива 2010/30/ЕС.</w:t>
      </w:r>
    </w:p>
    <w:p w:rsidR="00030C0D" w:rsidRDefault="00986C69">
      <w:pPr>
        <w:pStyle w:val="ManualConsidrant"/>
        <w:rPr>
          <w:noProof/>
        </w:rPr>
      </w:pPr>
      <w:r>
        <w:rPr>
          <w:noProof/>
        </w:rPr>
        <w:t>(23)</w:t>
      </w:r>
      <w:r>
        <w:rPr>
          <w:noProof/>
        </w:rPr>
        <w:tab/>
        <w:t>Поради това Директива 2010/30/ЕИО следва да бъде отменена.</w:t>
      </w:r>
    </w:p>
    <w:p w:rsidR="00030C0D" w:rsidRDefault="00986C69">
      <w:pPr>
        <w:pStyle w:val="Formuledadoption"/>
        <w:rPr>
          <w:noProof/>
        </w:rPr>
      </w:pPr>
      <w:r>
        <w:rPr>
          <w:noProof/>
        </w:rPr>
        <w:t>ПРИЕХА НАСТОЯЩИЯ РЕГЛАМЕНТ:</w:t>
      </w:r>
    </w:p>
    <w:p w:rsidR="00030C0D" w:rsidRDefault="00986C69">
      <w:pPr>
        <w:pStyle w:val="Titrearticle"/>
        <w:rPr>
          <w:b/>
          <w:i w:val="0"/>
          <w:noProof/>
        </w:rPr>
      </w:pPr>
      <w:r>
        <w:rPr>
          <w:noProof/>
        </w:rPr>
        <w:t>Член 1</w:t>
      </w:r>
      <w:r>
        <w:rPr>
          <w:noProof/>
        </w:rPr>
        <w:br/>
      </w:r>
      <w:r>
        <w:rPr>
          <w:b/>
          <w:i w:val="0"/>
          <w:noProof/>
        </w:rPr>
        <w:t>Предмет и приложно поле</w:t>
      </w:r>
    </w:p>
    <w:p w:rsidR="00030C0D" w:rsidRDefault="00986C69">
      <w:pPr>
        <w:pStyle w:val="ManualNumPar1"/>
        <w:rPr>
          <w:noProof/>
        </w:rPr>
      </w:pPr>
      <w:r>
        <w:rPr>
          <w:noProof/>
        </w:rPr>
        <w:t>1.</w:t>
      </w:r>
      <w:r>
        <w:rPr>
          <w:noProof/>
        </w:rPr>
        <w:tab/>
        <w:t>С настоящия регламент се определя нор</w:t>
      </w:r>
      <w:r>
        <w:rPr>
          <w:noProof/>
        </w:rPr>
        <w:t>мативна рамка относно посочването чрез етикетиране и в стандартна информация за продуктите на консумацията на енергия и на други ресурси от свързани с енергопотреблението продукти по време на тяхната употреба, както и на допълнителна информация относно свъ</w:t>
      </w:r>
      <w:r>
        <w:rPr>
          <w:noProof/>
        </w:rPr>
        <w:t xml:space="preserve">рзаните с енергопотреблението продукти, с цел да се даде възможност на потребителите да избират по-ефективни продукти. </w:t>
      </w:r>
    </w:p>
    <w:p w:rsidR="00030C0D" w:rsidRDefault="00986C69">
      <w:pPr>
        <w:pStyle w:val="ManualNumPar1"/>
        <w:rPr>
          <w:noProof/>
        </w:rPr>
      </w:pPr>
      <w:r>
        <w:rPr>
          <w:noProof/>
        </w:rPr>
        <w:t>2.</w:t>
      </w:r>
      <w:r>
        <w:rPr>
          <w:noProof/>
        </w:rPr>
        <w:tab/>
        <w:t>Настоящият регламент не се отнася за:</w:t>
      </w:r>
    </w:p>
    <w:p w:rsidR="00030C0D" w:rsidRDefault="00986C69">
      <w:pPr>
        <w:pStyle w:val="Point1"/>
        <w:rPr>
          <w:noProof/>
        </w:rPr>
      </w:pPr>
      <w:r>
        <w:rPr>
          <w:noProof/>
        </w:rPr>
        <w:t>а)</w:t>
      </w:r>
      <w:r>
        <w:rPr>
          <w:noProof/>
        </w:rPr>
        <w:tab/>
        <w:t>Продукти втора употреба;</w:t>
      </w:r>
    </w:p>
    <w:p w:rsidR="00030C0D" w:rsidRDefault="00986C69">
      <w:pPr>
        <w:pStyle w:val="Point1"/>
        <w:rPr>
          <w:noProof/>
        </w:rPr>
      </w:pPr>
      <w:r>
        <w:rPr>
          <w:noProof/>
        </w:rPr>
        <w:t>б)</w:t>
      </w:r>
      <w:r>
        <w:rPr>
          <w:noProof/>
        </w:rPr>
        <w:tab/>
        <w:t>Транспортни средства за хора и товари, различни от транспортните</w:t>
      </w:r>
      <w:r>
        <w:rPr>
          <w:noProof/>
        </w:rPr>
        <w:t xml:space="preserve"> средства, задвижвани от стационарен мотор.</w:t>
      </w:r>
    </w:p>
    <w:p w:rsidR="00030C0D" w:rsidRDefault="00986C69">
      <w:pPr>
        <w:pStyle w:val="Titrearticle"/>
        <w:rPr>
          <w:b/>
          <w:i w:val="0"/>
          <w:noProof/>
        </w:rPr>
      </w:pPr>
      <w:r>
        <w:rPr>
          <w:noProof/>
        </w:rPr>
        <w:t>Член 2</w:t>
      </w:r>
      <w:r>
        <w:rPr>
          <w:noProof/>
        </w:rPr>
        <w:br/>
      </w:r>
      <w:r>
        <w:rPr>
          <w:b/>
          <w:i w:val="0"/>
          <w:noProof/>
        </w:rPr>
        <w:t>Определения</w:t>
      </w:r>
    </w:p>
    <w:p w:rsidR="00030C0D" w:rsidRDefault="00986C69">
      <w:pPr>
        <w:rPr>
          <w:noProof/>
        </w:rPr>
      </w:pPr>
      <w:r>
        <w:rPr>
          <w:noProof/>
        </w:rPr>
        <w:t>За целите на настоящия регламент се прилагат следните определения:</w:t>
      </w:r>
    </w:p>
    <w:p w:rsidR="00030C0D" w:rsidRDefault="00986C69">
      <w:pPr>
        <w:pStyle w:val="Point0number"/>
        <w:numPr>
          <w:ilvl w:val="0"/>
          <w:numId w:val="10"/>
        </w:numPr>
        <w:rPr>
          <w:noProof/>
        </w:rPr>
      </w:pPr>
      <w:r>
        <w:rPr>
          <w:noProof/>
        </w:rPr>
        <w:t xml:space="preserve">„Потребител“ означава всяко физическо или юридическо лице, което купува или наема попадащ в обхвата на настоящия регламент </w:t>
      </w:r>
      <w:r>
        <w:rPr>
          <w:noProof/>
        </w:rPr>
        <w:t>продукт за свое собствено ползване, независимо дали действа или не за цели извън своята търговска дейност, бизнес, занаят или професия;</w:t>
      </w:r>
    </w:p>
    <w:p w:rsidR="00030C0D" w:rsidRDefault="00986C69">
      <w:pPr>
        <w:pStyle w:val="Point0number"/>
        <w:rPr>
          <w:noProof/>
        </w:rPr>
      </w:pPr>
      <w:r>
        <w:rPr>
          <w:noProof/>
        </w:rPr>
        <w:t>„Пускане на пазара“ означава предоставянето за пръв път на даден продукт на пазара на ЕС;</w:t>
      </w:r>
    </w:p>
    <w:p w:rsidR="00030C0D" w:rsidRDefault="00986C69">
      <w:pPr>
        <w:pStyle w:val="Point0number"/>
        <w:rPr>
          <w:noProof/>
        </w:rPr>
      </w:pPr>
      <w:r>
        <w:rPr>
          <w:noProof/>
        </w:rPr>
        <w:t>„Предоставяне на пазара“ означ</w:t>
      </w:r>
      <w:r>
        <w:rPr>
          <w:noProof/>
        </w:rPr>
        <w:t>ава всяка доставка на продукта за дистрибуция или използване на пазара в ЕС в процеса на търговска дейност, срещу заплащане или безплатно;</w:t>
      </w:r>
    </w:p>
    <w:p w:rsidR="00030C0D" w:rsidRPr="00986C69" w:rsidRDefault="00986C69">
      <w:pPr>
        <w:pStyle w:val="Point0number"/>
        <w:rPr>
          <w:noProof/>
        </w:rPr>
      </w:pPr>
      <w:r>
        <w:rPr>
          <w:noProof/>
        </w:rPr>
        <w:t>"Пускане в експлоатация" означава първото използване по предназначение на продукт на пазара в ЕС;</w:t>
      </w:r>
    </w:p>
    <w:p w:rsidR="00030C0D" w:rsidRPr="00986C69" w:rsidRDefault="00986C69">
      <w:pPr>
        <w:pStyle w:val="Point0number"/>
        <w:rPr>
          <w:noProof/>
        </w:rPr>
      </w:pPr>
      <w:r w:rsidRPr="00986C69">
        <w:rPr>
          <w:noProof/>
        </w:rPr>
        <w:t>„Доставчик“ означав</w:t>
      </w:r>
      <w:r w:rsidRPr="00986C69">
        <w:rPr>
          <w:noProof/>
        </w:rPr>
        <w:t xml:space="preserve">а производителя в ЕС, упълномощения представител </w:t>
      </w:r>
      <w:r w:rsidRPr="00986C69">
        <w:rPr>
          <w:noProof/>
        </w:rPr>
        <w:t>на производител, чието седалище не е в ЕС</w:t>
      </w:r>
      <w:r w:rsidRPr="00986C69">
        <w:rPr>
          <w:noProof/>
        </w:rPr>
        <w:t>, или вносителя, който пуска на пазара в ЕС продукти, попадащи в обхвата на настоящия регламент;</w:t>
      </w:r>
    </w:p>
    <w:p w:rsidR="00030C0D" w:rsidRDefault="00986C69">
      <w:pPr>
        <w:pStyle w:val="Point0number"/>
        <w:rPr>
          <w:noProof/>
        </w:rPr>
      </w:pPr>
      <w:r w:rsidRPr="00986C69">
        <w:rPr>
          <w:noProof/>
        </w:rPr>
        <w:t xml:space="preserve">"Производител" означава всяко физическо или юридическо </w:t>
      </w:r>
      <w:r>
        <w:rPr>
          <w:noProof/>
        </w:rPr>
        <w:t xml:space="preserve">лице, което </w:t>
      </w:r>
      <w:r>
        <w:rPr>
          <w:noProof/>
        </w:rPr>
        <w:t>произвежда свързан с енергопотреблението продукт или възлага проектирането или производството на такъв продукт и предлага на пазара този свързан с енергопотреблението продукт със своето име или търговска марка;</w:t>
      </w:r>
    </w:p>
    <w:p w:rsidR="00030C0D" w:rsidRDefault="00986C69">
      <w:pPr>
        <w:pStyle w:val="Point0number"/>
        <w:rPr>
          <w:noProof/>
        </w:rPr>
      </w:pPr>
      <w:r>
        <w:rPr>
          <w:noProof/>
        </w:rPr>
        <w:t>„Упълномощен представител“ означава всяко физ</w:t>
      </w:r>
      <w:r>
        <w:rPr>
          <w:noProof/>
        </w:rPr>
        <w:t>ическо или юридическо лице, установено в ЕС, което е упълномощено писмено от производител да действа от негово име във връзка с определени задачи;</w:t>
      </w:r>
    </w:p>
    <w:p w:rsidR="00030C0D" w:rsidRDefault="00986C69">
      <w:pPr>
        <w:pStyle w:val="Point0number"/>
        <w:rPr>
          <w:noProof/>
        </w:rPr>
      </w:pPr>
      <w:r>
        <w:rPr>
          <w:noProof/>
        </w:rPr>
        <w:t xml:space="preserve">„Вносител“ означава всяко физическо или юридическо лице, установено в ЕС, което пуска на пазара в ЕС свързан </w:t>
      </w:r>
      <w:r>
        <w:rPr>
          <w:noProof/>
        </w:rPr>
        <w:t>с енергопотреблението продукт от трета държава;</w:t>
      </w:r>
    </w:p>
    <w:p w:rsidR="00030C0D" w:rsidRDefault="00986C69">
      <w:pPr>
        <w:pStyle w:val="Point0number"/>
        <w:rPr>
          <w:noProof/>
        </w:rPr>
      </w:pPr>
      <w:r>
        <w:rPr>
          <w:noProof/>
        </w:rPr>
        <w:t>„Търговец“ означава търговец на дребно или друго лице, което продава, дава под наем, продава на лизинг или излага продукти на крайни потребители;</w:t>
      </w:r>
    </w:p>
    <w:p w:rsidR="00030C0D" w:rsidRDefault="00986C69">
      <w:pPr>
        <w:pStyle w:val="Point0number"/>
        <w:rPr>
          <w:noProof/>
        </w:rPr>
      </w:pPr>
      <w:r>
        <w:rPr>
          <w:noProof/>
        </w:rPr>
        <w:t>„Продажба от разстояние“ означава продажба, даване под наем ил</w:t>
      </w:r>
      <w:r>
        <w:rPr>
          <w:noProof/>
        </w:rPr>
        <w:t>и продажба на лизинг чрез поръчка по пощата, каталог, Интернет, телемаркетинг или всеки друг метод, при който не може да се очаква потенциалният потребител да види продукта изложен;</w:t>
      </w:r>
    </w:p>
    <w:p w:rsidR="00030C0D" w:rsidRDefault="00986C69">
      <w:pPr>
        <w:pStyle w:val="Point0number"/>
        <w:rPr>
          <w:noProof/>
        </w:rPr>
      </w:pPr>
      <w:r>
        <w:rPr>
          <w:noProof/>
        </w:rPr>
        <w:t xml:space="preserve">„Свързан с енергопотреблението продукт“ означава всяка стока, система или </w:t>
      </w:r>
      <w:r>
        <w:rPr>
          <w:noProof/>
        </w:rPr>
        <w:t>услуга, имаща въздействие върху консумацията на енергия по време на нейната употреба, която е пусната на пазара или в експлоатация в ЕС, включително части, които се монтират в свързани с енергопотреблението продукти и които са пуснати на пазара или в експл</w:t>
      </w:r>
      <w:r>
        <w:rPr>
          <w:noProof/>
        </w:rPr>
        <w:t>оатация;</w:t>
      </w:r>
    </w:p>
    <w:p w:rsidR="00030C0D" w:rsidRDefault="00986C69">
      <w:pPr>
        <w:pStyle w:val="Point0number"/>
        <w:rPr>
          <w:noProof/>
        </w:rPr>
      </w:pPr>
      <w:r>
        <w:rPr>
          <w:noProof/>
        </w:rPr>
        <w:t>„Хармонизиран стандарт“ означава европейски стандарт, както е определен в член 2, параграф 1, буква в) от Регламент (ЕС) № 1025/2012</w:t>
      </w:r>
      <w:r>
        <w:rPr>
          <w:rStyle w:val="FootnoteReference"/>
          <w:noProof/>
        </w:rPr>
        <w:footnoteReference w:id="21"/>
      </w:r>
      <w:r>
        <w:rPr>
          <w:noProof/>
        </w:rPr>
        <w:t>;</w:t>
      </w:r>
    </w:p>
    <w:p w:rsidR="00030C0D" w:rsidRDefault="00986C69">
      <w:pPr>
        <w:pStyle w:val="Point0number"/>
        <w:rPr>
          <w:noProof/>
        </w:rPr>
      </w:pPr>
      <w:r>
        <w:rPr>
          <w:noProof/>
        </w:rPr>
        <w:t>„Етикет“ означава графична диаграма, включваща класификация с използване на буквите от А до G и на седем различн</w:t>
      </w:r>
      <w:r>
        <w:rPr>
          <w:noProof/>
        </w:rPr>
        <w:t>и цвята от тъмнозелено до червено, изразяваща консумацията на енергия;</w:t>
      </w:r>
    </w:p>
    <w:p w:rsidR="00030C0D" w:rsidRDefault="00986C69">
      <w:pPr>
        <w:pStyle w:val="Point0number"/>
        <w:rPr>
          <w:noProof/>
        </w:rPr>
      </w:pPr>
      <w:r>
        <w:rPr>
          <w:noProof/>
        </w:rPr>
        <w:t>„Модел“ означава версия на продукт, в която всички екземпляри имат едни и същи технически характеристики от значение за етикета и продуктовия информационен лист и имат един и същ иденти</w:t>
      </w:r>
      <w:r>
        <w:rPr>
          <w:noProof/>
        </w:rPr>
        <w:t>фикатор на модела;</w:t>
      </w:r>
    </w:p>
    <w:p w:rsidR="00030C0D" w:rsidRDefault="00986C69">
      <w:pPr>
        <w:pStyle w:val="Point0number"/>
        <w:rPr>
          <w:noProof/>
        </w:rPr>
      </w:pPr>
      <w:r>
        <w:rPr>
          <w:noProof/>
        </w:rPr>
        <w:t>„Идентификатор на модела“ означава кода, обикновено буквено-цифров, който разграничава даден конкретен модел от другите модели със същата търговска марка или име на доставчик.</w:t>
      </w:r>
    </w:p>
    <w:p w:rsidR="00030C0D" w:rsidRDefault="00986C69">
      <w:pPr>
        <w:pStyle w:val="Point0number"/>
        <w:rPr>
          <w:noProof/>
        </w:rPr>
      </w:pPr>
      <w:r>
        <w:rPr>
          <w:noProof/>
        </w:rPr>
        <w:t>„Еквивалентен модел“ означава модел, който е пуснат на пазара</w:t>
      </w:r>
      <w:r>
        <w:rPr>
          <w:noProof/>
        </w:rPr>
        <w:t xml:space="preserve"> от същия доставчик и има същия етикет и продуктова информация като друг модел, но е с различен идентификатор на модела;</w:t>
      </w:r>
    </w:p>
    <w:p w:rsidR="00030C0D" w:rsidRDefault="00986C69">
      <w:pPr>
        <w:pStyle w:val="Point0number"/>
        <w:rPr>
          <w:noProof/>
        </w:rPr>
      </w:pPr>
      <w:r>
        <w:rPr>
          <w:noProof/>
        </w:rPr>
        <w:t>„Продуктов информационен лист“ означава стандартна таблица с информация за даден продукт;</w:t>
      </w:r>
    </w:p>
    <w:p w:rsidR="00030C0D" w:rsidRDefault="00986C69">
      <w:pPr>
        <w:pStyle w:val="Point0number"/>
        <w:rPr>
          <w:noProof/>
        </w:rPr>
      </w:pPr>
      <w:r>
        <w:rPr>
          <w:noProof/>
        </w:rPr>
        <w:t>„Преобразуване на скалата“ („Rescale“) означа</w:t>
      </w:r>
      <w:r>
        <w:rPr>
          <w:noProof/>
        </w:rPr>
        <w:t xml:space="preserve">ва периодично провеждана дейност за повишаване на строгостта на изискванията за достигане на енергийния клас в етикета за определен продукт, като при съществуващите етикети преобразуването на скалата може да води до отпадане на някои енергийни класове; </w:t>
      </w:r>
    </w:p>
    <w:p w:rsidR="00030C0D" w:rsidRDefault="00986C69">
      <w:pPr>
        <w:pStyle w:val="Point0number"/>
        <w:rPr>
          <w:noProof/>
        </w:rPr>
      </w:pPr>
      <w:r>
        <w:rPr>
          <w:noProof/>
        </w:rPr>
        <w:t>„Е</w:t>
      </w:r>
      <w:r>
        <w:rPr>
          <w:noProof/>
        </w:rPr>
        <w:t>тикет с преобразувана скала“ означава етикет за конкретен продукт, който е бил подложен на преобразуване на скалата.</w:t>
      </w:r>
    </w:p>
    <w:p w:rsidR="00030C0D" w:rsidRDefault="00986C69">
      <w:pPr>
        <w:pStyle w:val="Point0number"/>
        <w:rPr>
          <w:noProof/>
        </w:rPr>
      </w:pPr>
      <w:r>
        <w:rPr>
          <w:noProof/>
        </w:rPr>
        <w:t>„Допълнителна информация“ означава информация за функционалните и екологични показатели на свързания с енергопотреблението продукт, като на</w:t>
      </w:r>
      <w:r>
        <w:rPr>
          <w:noProof/>
        </w:rPr>
        <w:t>пример неговата абсолютна консумация на енергия или дълготрайността му, която информация е определена въз основа на данни, измерими от органите за надзор на пазара, недвусмислена е и няма отрицателно въздействие върху ясната разбираемост и ефективност на е</w:t>
      </w:r>
      <w:r>
        <w:rPr>
          <w:noProof/>
        </w:rPr>
        <w:t>тикета като цяло за потребителите.</w:t>
      </w:r>
    </w:p>
    <w:p w:rsidR="00030C0D" w:rsidRDefault="00986C69">
      <w:pPr>
        <w:pStyle w:val="Titrearticle"/>
        <w:spacing w:before="240"/>
        <w:rPr>
          <w:b/>
          <w:i w:val="0"/>
          <w:noProof/>
        </w:rPr>
      </w:pPr>
      <w:r>
        <w:rPr>
          <w:noProof/>
        </w:rPr>
        <w:t>Член 3</w:t>
      </w:r>
      <w:r>
        <w:rPr>
          <w:noProof/>
        </w:rPr>
        <w:br/>
      </w:r>
      <w:r>
        <w:rPr>
          <w:b/>
          <w:i w:val="0"/>
          <w:noProof/>
        </w:rPr>
        <w:t>Задължения на доставчиците и търговците</w:t>
      </w:r>
    </w:p>
    <w:p w:rsidR="00030C0D" w:rsidRDefault="00986C69">
      <w:pPr>
        <w:pStyle w:val="ManualNumPar1"/>
        <w:rPr>
          <w:noProof/>
        </w:rPr>
      </w:pPr>
      <w:r>
        <w:rPr>
          <w:noProof/>
        </w:rPr>
        <w:t>1.</w:t>
      </w:r>
      <w:r>
        <w:rPr>
          <w:noProof/>
        </w:rPr>
        <w:tab/>
        <w:t>Доставчиците трябва да спазват следните задължения:</w:t>
      </w:r>
    </w:p>
    <w:p w:rsidR="00030C0D" w:rsidRDefault="00986C69">
      <w:pPr>
        <w:pStyle w:val="Point1"/>
        <w:rPr>
          <w:noProof/>
        </w:rPr>
      </w:pPr>
      <w:r>
        <w:rPr>
          <w:noProof/>
        </w:rPr>
        <w:t>а)</w:t>
      </w:r>
      <w:r>
        <w:rPr>
          <w:noProof/>
        </w:rPr>
        <w:tab/>
        <w:t>да осигуряват за пуснатите на пазара продукти безплатно предоставяне на точни етикети и продуктови информационни лис</w:t>
      </w:r>
      <w:r>
        <w:rPr>
          <w:noProof/>
        </w:rPr>
        <w:t>тове в съответствие с настоящия регламент и съответните делегирани актове;</w:t>
      </w:r>
    </w:p>
    <w:p w:rsidR="00030C0D" w:rsidRDefault="00986C69">
      <w:pPr>
        <w:pStyle w:val="Point1"/>
        <w:rPr>
          <w:noProof/>
        </w:rPr>
      </w:pPr>
      <w:r>
        <w:rPr>
          <w:noProof/>
        </w:rPr>
        <w:t>б)</w:t>
      </w:r>
      <w:r>
        <w:rPr>
          <w:noProof/>
        </w:rPr>
        <w:tab/>
        <w:t xml:space="preserve">при поискване от търговците да доставят етикети бързо и безплатно; </w:t>
      </w:r>
    </w:p>
    <w:p w:rsidR="00030C0D" w:rsidRDefault="00986C69">
      <w:pPr>
        <w:pStyle w:val="Point1"/>
        <w:rPr>
          <w:noProof/>
        </w:rPr>
      </w:pPr>
      <w:r>
        <w:rPr>
          <w:noProof/>
        </w:rPr>
        <w:t>в)</w:t>
      </w:r>
      <w:r>
        <w:rPr>
          <w:noProof/>
        </w:rPr>
        <w:tab/>
        <w:t>да осигуряват точност на предоставяните от тях етикети и продуктови информационни листове и да представят т</w:t>
      </w:r>
      <w:r>
        <w:rPr>
          <w:noProof/>
        </w:rPr>
        <w:t>ехническа документация, достатъчна за оценяване на точността;</w:t>
      </w:r>
    </w:p>
    <w:p w:rsidR="00030C0D" w:rsidRDefault="00986C69">
      <w:pPr>
        <w:pStyle w:val="Point1"/>
        <w:rPr>
          <w:noProof/>
        </w:rPr>
      </w:pPr>
      <w:r>
        <w:rPr>
          <w:noProof/>
        </w:rPr>
        <w:t>г)</w:t>
      </w:r>
      <w:r>
        <w:rPr>
          <w:noProof/>
        </w:rPr>
        <w:tab/>
        <w:t>преди пускането на пазара на даден модел продукт, да въвеждат в продуктовата база данни, създадена съгласно член 8, информацията, посочена в приложение I.</w:t>
      </w:r>
    </w:p>
    <w:p w:rsidR="00030C0D" w:rsidRDefault="00986C69">
      <w:pPr>
        <w:pStyle w:val="ManualNumPar1"/>
        <w:rPr>
          <w:noProof/>
        </w:rPr>
      </w:pPr>
      <w:r>
        <w:rPr>
          <w:noProof/>
        </w:rPr>
        <w:t>2.</w:t>
      </w:r>
      <w:r>
        <w:rPr>
          <w:noProof/>
        </w:rPr>
        <w:tab/>
        <w:t>Търговците трябва да спазват след</w:t>
      </w:r>
      <w:r>
        <w:rPr>
          <w:noProof/>
        </w:rPr>
        <w:t>ните задължения:</w:t>
      </w:r>
    </w:p>
    <w:p w:rsidR="00030C0D" w:rsidRDefault="00986C69">
      <w:pPr>
        <w:pStyle w:val="Point1"/>
        <w:rPr>
          <w:noProof/>
        </w:rPr>
      </w:pPr>
      <w:r>
        <w:rPr>
          <w:noProof/>
        </w:rPr>
        <w:t>а)</w:t>
      </w:r>
      <w:r>
        <w:rPr>
          <w:noProof/>
        </w:rPr>
        <w:tab/>
        <w:t>да излагат по видим начин предоставения от доставчика или по друг начин станал разполагаем етикет, попадащ в обхвата на делегиран акт;</w:t>
      </w:r>
    </w:p>
    <w:p w:rsidR="00030C0D" w:rsidRDefault="00986C69">
      <w:pPr>
        <w:pStyle w:val="Point1"/>
        <w:rPr>
          <w:noProof/>
        </w:rPr>
      </w:pPr>
      <w:r>
        <w:rPr>
          <w:noProof/>
        </w:rPr>
        <w:t>б)</w:t>
      </w:r>
      <w:r>
        <w:rPr>
          <w:noProof/>
        </w:rPr>
        <w:tab/>
        <w:t xml:space="preserve">в случай, че не разполагат с етикет или с етикет с преобразувана скала, те трябва: </w:t>
      </w:r>
    </w:p>
    <w:p w:rsidR="00030C0D" w:rsidRDefault="00986C69">
      <w:pPr>
        <w:pStyle w:val="Point2"/>
        <w:rPr>
          <w:noProof/>
        </w:rPr>
      </w:pPr>
      <w:r>
        <w:rPr>
          <w:noProof/>
        </w:rPr>
        <w:t>i)</w:t>
      </w:r>
      <w:r>
        <w:rPr>
          <w:noProof/>
        </w:rPr>
        <w:tab/>
        <w:t xml:space="preserve">да поискат </w:t>
      </w:r>
      <w:r>
        <w:rPr>
          <w:noProof/>
        </w:rPr>
        <w:t>етикета или етикета с преобразувана скала от доставчика;</w:t>
      </w:r>
    </w:p>
    <w:p w:rsidR="00030C0D" w:rsidRDefault="00986C69">
      <w:pPr>
        <w:pStyle w:val="Point2"/>
        <w:rPr>
          <w:noProof/>
        </w:rPr>
      </w:pPr>
      <w:r>
        <w:rPr>
          <w:noProof/>
        </w:rPr>
        <w:t>ii)</w:t>
      </w:r>
      <w:r>
        <w:rPr>
          <w:noProof/>
        </w:rPr>
        <w:tab/>
        <w:t>да разпечатват етикета от продуктовата база данни, създадена съгласно член 8, ако тази функция е разполагаема за съответния продукт; или</w:t>
      </w:r>
    </w:p>
    <w:p w:rsidR="00030C0D" w:rsidRDefault="00986C69">
      <w:pPr>
        <w:pStyle w:val="Point2"/>
        <w:rPr>
          <w:noProof/>
        </w:rPr>
      </w:pPr>
      <w:r>
        <w:rPr>
          <w:noProof/>
        </w:rPr>
        <w:t>iii)</w:t>
      </w:r>
      <w:r>
        <w:rPr>
          <w:noProof/>
        </w:rPr>
        <w:tab/>
        <w:t>да разпечатват етикета или етикета с преобразувана ск</w:t>
      </w:r>
      <w:r>
        <w:rPr>
          <w:noProof/>
        </w:rPr>
        <w:t xml:space="preserve">ала от уебсайта на доставчика, ако тази функция е разполагаема за съответния продукт. </w:t>
      </w:r>
    </w:p>
    <w:p w:rsidR="00030C0D" w:rsidRDefault="00986C69">
      <w:pPr>
        <w:pStyle w:val="Point1"/>
        <w:rPr>
          <w:noProof/>
        </w:rPr>
      </w:pPr>
      <w:r>
        <w:rPr>
          <w:noProof/>
        </w:rPr>
        <w:t>в)</w:t>
      </w:r>
      <w:r>
        <w:rPr>
          <w:noProof/>
        </w:rPr>
        <w:tab/>
        <w:t>да предоставят на потребителите продуктовия информационен лист.</w:t>
      </w:r>
    </w:p>
    <w:p w:rsidR="00030C0D" w:rsidRDefault="00986C69">
      <w:pPr>
        <w:pStyle w:val="ManualNumPar1"/>
        <w:rPr>
          <w:noProof/>
        </w:rPr>
      </w:pPr>
      <w:r>
        <w:rPr>
          <w:noProof/>
        </w:rPr>
        <w:t>3.</w:t>
      </w:r>
      <w:r>
        <w:rPr>
          <w:noProof/>
        </w:rPr>
        <w:tab/>
        <w:t>Доставчиците и търговците трябва да спазват следните задължения:</w:t>
      </w:r>
    </w:p>
    <w:p w:rsidR="00030C0D" w:rsidRDefault="00986C69">
      <w:pPr>
        <w:pStyle w:val="Point1"/>
        <w:rPr>
          <w:noProof/>
        </w:rPr>
      </w:pPr>
      <w:r>
        <w:rPr>
          <w:noProof/>
        </w:rPr>
        <w:t>а)</w:t>
      </w:r>
      <w:r>
        <w:rPr>
          <w:noProof/>
        </w:rPr>
        <w:tab/>
        <w:t>да споменават класа на енергийн</w:t>
      </w:r>
      <w:r>
        <w:rPr>
          <w:noProof/>
        </w:rPr>
        <w:t>а ефективност на продукта във всяка реклама или технически промоционален материал за конкретен модел продукти, в съответствие със съответния делегиран акт;</w:t>
      </w:r>
    </w:p>
    <w:p w:rsidR="00030C0D" w:rsidRDefault="00986C69">
      <w:pPr>
        <w:pStyle w:val="Point1"/>
        <w:rPr>
          <w:noProof/>
        </w:rPr>
      </w:pPr>
      <w:r>
        <w:rPr>
          <w:noProof/>
        </w:rPr>
        <w:t>б)</w:t>
      </w:r>
      <w:r>
        <w:rPr>
          <w:noProof/>
        </w:rPr>
        <w:tab/>
        <w:t>да сътрудничат с органите за надзор на пазара и да предприемат незабавни действия за коригиране н</w:t>
      </w:r>
      <w:r>
        <w:rPr>
          <w:noProof/>
        </w:rPr>
        <w:t>а ситуации на неспазване на изискванията, определени в настоящия регламент и в делегираните актове към него, и които са в областта на тяхната отговорност, по своя собствена инициатива или когато органите за надзор на пазара поискат това;</w:t>
      </w:r>
    </w:p>
    <w:p w:rsidR="00030C0D" w:rsidRDefault="00986C69">
      <w:pPr>
        <w:pStyle w:val="Point1"/>
        <w:rPr>
          <w:noProof/>
        </w:rPr>
      </w:pPr>
      <w:r>
        <w:rPr>
          <w:noProof/>
        </w:rPr>
        <w:t>в)</w:t>
      </w:r>
      <w:r>
        <w:rPr>
          <w:noProof/>
        </w:rPr>
        <w:tab/>
        <w:t>да не предостав</w:t>
      </w:r>
      <w:r>
        <w:rPr>
          <w:noProof/>
        </w:rPr>
        <w:t>ят или излагат за обхванатите от настоящия регламент продукти други етикети, маркировки, символи или надписи, които не съответстват на изискванията на настоящия регламент и на съответните делегирани актове, ако това може да подведе или обърка крайните потр</w:t>
      </w:r>
      <w:r>
        <w:rPr>
          <w:noProof/>
        </w:rPr>
        <w:t>ебители относно консумацията при тяхната употреба на енергия или на други ресурси;</w:t>
      </w:r>
    </w:p>
    <w:p w:rsidR="00030C0D" w:rsidRDefault="00986C69">
      <w:pPr>
        <w:pStyle w:val="Point1"/>
        <w:rPr>
          <w:noProof/>
        </w:rPr>
      </w:pPr>
      <w:r>
        <w:rPr>
          <w:noProof/>
        </w:rPr>
        <w:t>г)</w:t>
      </w:r>
      <w:r>
        <w:rPr>
          <w:noProof/>
        </w:rPr>
        <w:tab/>
        <w:t>да не предоставят или излагат за продуктите извън обхвата на настоящия регламент етикети, които имитират етикета, дефиниран в настоящия регламент.</w:t>
      </w:r>
    </w:p>
    <w:p w:rsidR="00030C0D" w:rsidRDefault="00986C69">
      <w:pPr>
        <w:pStyle w:val="Titrearticle"/>
        <w:rPr>
          <w:b/>
          <w:i w:val="0"/>
          <w:noProof/>
        </w:rPr>
      </w:pPr>
      <w:r>
        <w:rPr>
          <w:noProof/>
        </w:rPr>
        <w:t>Член 4</w:t>
      </w:r>
      <w:r>
        <w:rPr>
          <w:noProof/>
        </w:rPr>
        <w:br/>
      </w:r>
      <w:r>
        <w:rPr>
          <w:b/>
          <w:i w:val="0"/>
          <w:noProof/>
        </w:rPr>
        <w:t>Задължения на дъ</w:t>
      </w:r>
      <w:r>
        <w:rPr>
          <w:b/>
          <w:i w:val="0"/>
          <w:noProof/>
        </w:rPr>
        <w:t>ржавите членки</w:t>
      </w:r>
    </w:p>
    <w:p w:rsidR="00030C0D" w:rsidRDefault="00986C69">
      <w:pPr>
        <w:pStyle w:val="ManualNumPar1"/>
        <w:rPr>
          <w:noProof/>
        </w:rPr>
      </w:pPr>
      <w:r>
        <w:rPr>
          <w:noProof/>
        </w:rPr>
        <w:t>1.</w:t>
      </w:r>
      <w:r>
        <w:rPr>
          <w:noProof/>
        </w:rPr>
        <w:tab/>
        <w:t>Държавите членки са длъжни да не забраняват, ограничават или възпрепятстват предлагането на пазара или пускането в експлоатация на своите територии на свързани с енергопотреблението продукти, които отговарят на изискванията на настоящия р</w:t>
      </w:r>
      <w:r>
        <w:rPr>
          <w:noProof/>
        </w:rPr>
        <w:t>егламент и на съответните делегирани актове.</w:t>
      </w:r>
    </w:p>
    <w:p w:rsidR="00030C0D" w:rsidRDefault="00986C69">
      <w:pPr>
        <w:pStyle w:val="ManualNumPar1"/>
        <w:rPr>
          <w:noProof/>
        </w:rPr>
      </w:pPr>
      <w:r>
        <w:rPr>
          <w:noProof/>
        </w:rPr>
        <w:t>2.</w:t>
      </w:r>
      <w:r>
        <w:rPr>
          <w:noProof/>
        </w:rPr>
        <w:tab/>
        <w:t>Държавите членки са длъжни да вземат всички подходящи мерки за осигуряването на спазване от страна на доставчиците и търговците на задълженията и изискванията по настоящия регламент и съответните делегирани а</w:t>
      </w:r>
      <w:r>
        <w:rPr>
          <w:noProof/>
        </w:rPr>
        <w:t>ктове.</w:t>
      </w:r>
    </w:p>
    <w:p w:rsidR="00030C0D" w:rsidRDefault="00986C69">
      <w:pPr>
        <w:pStyle w:val="ManualNumPar1"/>
        <w:rPr>
          <w:noProof/>
        </w:rPr>
      </w:pPr>
      <w:r>
        <w:rPr>
          <w:noProof/>
        </w:rPr>
        <w:t>3.</w:t>
      </w:r>
      <w:r>
        <w:rPr>
          <w:noProof/>
        </w:rPr>
        <w:tab/>
        <w:t>В случаите, при които държавите членки предоставят стимули за продукт, попадащ в обхвата на настоящия регламент и специфициран в делегиран акт, тези стимули трябва да са насочени към най-високия клас на енергийна ефективност, определен в приложим</w:t>
      </w:r>
      <w:r>
        <w:rPr>
          <w:noProof/>
        </w:rPr>
        <w:t>ия делегиран акт.</w:t>
      </w:r>
    </w:p>
    <w:p w:rsidR="00030C0D" w:rsidRDefault="00986C69">
      <w:pPr>
        <w:pStyle w:val="ManualNumPar1"/>
        <w:rPr>
          <w:noProof/>
        </w:rPr>
      </w:pPr>
      <w:r>
        <w:rPr>
          <w:noProof/>
        </w:rPr>
        <w:t>4.</w:t>
      </w:r>
      <w:r>
        <w:rPr>
          <w:noProof/>
        </w:rPr>
        <w:tab/>
        <w:t xml:space="preserve">При въвеждането на етикети, включително на етикети с преобразувана скала, както и на продуктови информационни листове, държавите членки трябва да осигуряват въвеждането да бъде придружено от образователни и промоционални информационни </w:t>
      </w:r>
      <w:r>
        <w:rPr>
          <w:noProof/>
        </w:rPr>
        <w:t>кампании, насочени към поощряване на енергийната ефективност и към по-отговорно използване на енергията и провеждани, ако е подходящо, съвместно със съответни търговци.</w:t>
      </w:r>
    </w:p>
    <w:p w:rsidR="00030C0D" w:rsidRDefault="00986C69">
      <w:pPr>
        <w:pStyle w:val="ManualNumPar1"/>
        <w:rPr>
          <w:noProof/>
        </w:rPr>
      </w:pPr>
      <w:r>
        <w:rPr>
          <w:noProof/>
        </w:rPr>
        <w:t>5.</w:t>
      </w:r>
      <w:r>
        <w:rPr>
          <w:noProof/>
        </w:rPr>
        <w:tab/>
        <w:t>Държавите членки трябва да въведат разпоредби за санкции и механизми за принуда, при</w:t>
      </w:r>
      <w:r>
        <w:rPr>
          <w:noProof/>
        </w:rPr>
        <w:t>ложими при нарушения на разпоредбите на настоящия регламент и на делегираните актове към него, и да вземат всички необходими мерки за осигуряване на тяхното прилагане. Санкциите трябва да бъдат ефективни, пропорционални и възпиращи. Държавите членки трябва</w:t>
      </w:r>
      <w:r>
        <w:rPr>
          <w:noProof/>
        </w:rPr>
        <w:t xml:space="preserve"> да уведомят Комисията за тези разпоредби до датата на влизане в сила на настоящия регламент и да я уведомяват във възможно най-кратък срок за всяко последващо изменение, което ги засяга.</w:t>
      </w:r>
    </w:p>
    <w:p w:rsidR="00030C0D" w:rsidRDefault="00986C69">
      <w:pPr>
        <w:pStyle w:val="Titrearticle"/>
        <w:rPr>
          <w:noProof/>
        </w:rPr>
      </w:pPr>
      <w:r>
        <w:rPr>
          <w:noProof/>
        </w:rPr>
        <w:t>Член 5</w:t>
      </w:r>
    </w:p>
    <w:p w:rsidR="00030C0D" w:rsidRDefault="00986C69">
      <w:pPr>
        <w:jc w:val="center"/>
        <w:rPr>
          <w:b/>
          <w:noProof/>
        </w:rPr>
      </w:pPr>
      <w:r>
        <w:rPr>
          <w:b/>
          <w:noProof/>
        </w:rPr>
        <w:t xml:space="preserve">Надзор на пазара в ЕС и контрол върху свързаните с </w:t>
      </w:r>
      <w:r>
        <w:rPr>
          <w:b/>
          <w:noProof/>
        </w:rPr>
        <w:t>енергопотреблението продукти, постъпващи на пазара в ЕС</w:t>
      </w:r>
    </w:p>
    <w:p w:rsidR="00030C0D" w:rsidRDefault="00986C69">
      <w:pPr>
        <w:pStyle w:val="ManualNumPar1"/>
        <w:rPr>
          <w:noProof/>
        </w:rPr>
      </w:pPr>
      <w:r>
        <w:rPr>
          <w:noProof/>
        </w:rPr>
        <w:t>1.</w:t>
      </w:r>
      <w:r>
        <w:rPr>
          <w:noProof/>
        </w:rPr>
        <w:tab/>
        <w:t>По отношение на свързаните с енергопотреблението продукти, попадащи в обхвата на настоящия регламент и на делегираните актове към него, се прилагат членове 16—29 от Регламент (ЕО) № 765/2008.</w:t>
      </w:r>
    </w:p>
    <w:p w:rsidR="00030C0D" w:rsidRDefault="00986C69">
      <w:pPr>
        <w:pStyle w:val="ManualNumPar1"/>
        <w:rPr>
          <w:noProof/>
        </w:rPr>
      </w:pPr>
      <w:r>
        <w:rPr>
          <w:noProof/>
        </w:rPr>
        <w:t>2.</w:t>
      </w:r>
      <w:r>
        <w:rPr>
          <w:noProof/>
        </w:rPr>
        <w:tab/>
        <w:t>Ко</w:t>
      </w:r>
      <w:r>
        <w:rPr>
          <w:noProof/>
        </w:rPr>
        <w:t>мисията трябва да подкрепя сътрудничеството и обмена на информация относно пазарния надзор на енергийното етикетиране на продуктите между националните органи на държавите членки, отговарящи за надзора на пазара или контрола по външните граници, както и меж</w:t>
      </w:r>
      <w:r>
        <w:rPr>
          <w:noProof/>
        </w:rPr>
        <w:t>ду тези органи и Комисията.</w:t>
      </w:r>
    </w:p>
    <w:p w:rsidR="00030C0D" w:rsidRDefault="00986C69">
      <w:pPr>
        <w:pStyle w:val="Titrearticle"/>
        <w:rPr>
          <w:noProof/>
        </w:rPr>
      </w:pPr>
      <w:r>
        <w:rPr>
          <w:noProof/>
        </w:rPr>
        <w:t>Член 6</w:t>
      </w:r>
    </w:p>
    <w:p w:rsidR="00030C0D" w:rsidRDefault="00986C69">
      <w:pPr>
        <w:jc w:val="center"/>
        <w:rPr>
          <w:b/>
          <w:noProof/>
        </w:rPr>
      </w:pPr>
      <w:r>
        <w:rPr>
          <w:b/>
          <w:noProof/>
        </w:rPr>
        <w:t>Предпазна процедура на ЕС</w:t>
      </w:r>
    </w:p>
    <w:p w:rsidR="00030C0D" w:rsidRDefault="00986C69">
      <w:pPr>
        <w:pStyle w:val="ManualNumPar1"/>
        <w:rPr>
          <w:noProof/>
        </w:rPr>
      </w:pPr>
      <w:r>
        <w:rPr>
          <w:noProof/>
        </w:rPr>
        <w:t>1.</w:t>
      </w:r>
      <w:r>
        <w:rPr>
          <w:noProof/>
        </w:rPr>
        <w:tab/>
        <w:t>В случай че органите за надзор на пазара на една държава членка имат достатъчно основание да смятат, че даден свързан с енергопотреблението продукт, попадащ в обхвата на делегиран акт по насто</w:t>
      </w:r>
      <w:r>
        <w:rPr>
          <w:noProof/>
        </w:rPr>
        <w:t>ящия регламент, поражда риск по аспекти на защита на публичния интерес, обхванати от настоящия регламент, те трябва да проведат оценка по отношение на съответния свързан с енергопотреблението продукт, включваща всички изисквания, определени в настоящия рег</w:t>
      </w:r>
      <w:r>
        <w:rPr>
          <w:noProof/>
        </w:rPr>
        <w:t>ламент и съответните делегирани актове към него. За тази цел доставчикът трябва да сътрудничи както е необходимо с органите за надзор на пазара.</w:t>
      </w:r>
    </w:p>
    <w:p w:rsidR="00030C0D" w:rsidRDefault="00986C69">
      <w:pPr>
        <w:pStyle w:val="ManualNumPar1"/>
        <w:rPr>
          <w:noProof/>
        </w:rPr>
      </w:pPr>
      <w:r>
        <w:rPr>
          <w:noProof/>
        </w:rPr>
        <w:t>2.</w:t>
      </w:r>
      <w:r>
        <w:rPr>
          <w:noProof/>
        </w:rPr>
        <w:tab/>
        <w:t>В случай, че при такава оценка органите за надзор на пазара открият, че свързаният с енергопотреблението про</w:t>
      </w:r>
      <w:r>
        <w:rPr>
          <w:noProof/>
        </w:rPr>
        <w:t>дукт не отговаря на изискванията, определени в настоящия регламент и съответните делегирани актове към него, те трябва незабавно да изискат от съответния стопански оператор да предприеме подходящи коригиращи действия, за да приведе свързания с енергопотреб</w:t>
      </w:r>
      <w:r>
        <w:rPr>
          <w:noProof/>
        </w:rPr>
        <w:t>лението продукт в съответствие с тези изисквания, или да изтегли този продукт от пазара, или да го изземе в рамките на определен от тях разумен срок, съобразен с естеството на риска, в съответствие с евентуално тяхно предписание. По отношение на посочените</w:t>
      </w:r>
      <w:r>
        <w:rPr>
          <w:noProof/>
        </w:rPr>
        <w:t xml:space="preserve"> в настоящия параграф мерки се прилага член 21 от Регламент (ЕО) № 765/2008.</w:t>
      </w:r>
    </w:p>
    <w:p w:rsidR="00030C0D" w:rsidRDefault="00986C69">
      <w:pPr>
        <w:pStyle w:val="ManualNumPar1"/>
        <w:rPr>
          <w:noProof/>
        </w:rPr>
      </w:pPr>
      <w:r>
        <w:rPr>
          <w:noProof/>
        </w:rPr>
        <w:t>3.</w:t>
      </w:r>
      <w:r>
        <w:rPr>
          <w:noProof/>
        </w:rPr>
        <w:tab/>
        <w:t>В случаите, при които органите за надзор на пазара счетат, че несъответствието с изискванията не е ограничено само в тяхната национална територия, те трябва да информират Комис</w:t>
      </w:r>
      <w:r>
        <w:rPr>
          <w:noProof/>
        </w:rPr>
        <w:t>ията и другите държави членки за резултатите от оценката и за действията, които те са изискали да бъдат предприети от стопанския оператор.</w:t>
      </w:r>
    </w:p>
    <w:p w:rsidR="00030C0D" w:rsidRDefault="00986C69">
      <w:pPr>
        <w:pStyle w:val="ManualNumPar1"/>
        <w:rPr>
          <w:noProof/>
        </w:rPr>
      </w:pPr>
      <w:r>
        <w:rPr>
          <w:noProof/>
        </w:rPr>
        <w:t>4.</w:t>
      </w:r>
      <w:r>
        <w:rPr>
          <w:noProof/>
        </w:rPr>
        <w:tab/>
        <w:t>Стопанският оператор трябва да осигури извършването на всички подходящи коригиращи действия по отношение на всички</w:t>
      </w:r>
      <w:r>
        <w:rPr>
          <w:noProof/>
        </w:rPr>
        <w:t xml:space="preserve"> съответни свързани с енергопотреблението продукти, които той е предоставил на пазара в целия ЕС.</w:t>
      </w:r>
    </w:p>
    <w:p w:rsidR="00030C0D" w:rsidRDefault="00986C69">
      <w:pPr>
        <w:pStyle w:val="ManualNumPar1"/>
        <w:rPr>
          <w:noProof/>
        </w:rPr>
      </w:pPr>
      <w:r>
        <w:rPr>
          <w:noProof/>
        </w:rPr>
        <w:t>5.</w:t>
      </w:r>
      <w:r>
        <w:rPr>
          <w:noProof/>
        </w:rPr>
        <w:tab/>
        <w:t>В случай че съответният стопански оператор не предприеме подходящи коригиращи действия в срока по параграф 2, органите за надзор на пазара трябва да предпр</w:t>
      </w:r>
      <w:r>
        <w:rPr>
          <w:noProof/>
        </w:rPr>
        <w:t>иемат всички подходящи временни мерки за да забранят или ограничат предоставянето на свързания с енергопотреблението продукт на националния им пазар, или за да изтеглят продукта от този пазар, или съответно да го изземат. Органите за надзор на пазара трябв</w:t>
      </w:r>
      <w:r>
        <w:rPr>
          <w:noProof/>
        </w:rPr>
        <w:t>а незабавно да информират Комисията и другите държави членки за тези мерки.</w:t>
      </w:r>
    </w:p>
    <w:p w:rsidR="00030C0D" w:rsidRDefault="00986C69">
      <w:pPr>
        <w:pStyle w:val="ManualNumPar1"/>
        <w:rPr>
          <w:noProof/>
        </w:rPr>
      </w:pPr>
      <w:r>
        <w:rPr>
          <w:noProof/>
        </w:rPr>
        <w:t>6.</w:t>
      </w:r>
      <w:r>
        <w:rPr>
          <w:noProof/>
        </w:rPr>
        <w:tab/>
        <w:t>Информацията по параграф 5 трябва да включва всички налични данни, по-специално данните, необходими за идентифицирането на несъответстващия на изискванията продукт, свързан с зл</w:t>
      </w:r>
      <w:r>
        <w:rPr>
          <w:noProof/>
        </w:rPr>
        <w:t>оупотреблението, данни за произхода на продукта, за естеството на изтъкваното несъответствие с изискванията и съпътстващия го риск, за естеството и продължителността на предприетите национални мерки, както и аргументите, посочени от съответния стопански оп</w:t>
      </w:r>
      <w:r>
        <w:rPr>
          <w:noProof/>
        </w:rPr>
        <w:t>ератор. По-специално органите за надзор на пазара трябва да посочат дали неспазването на изискванията се изразява в несъответствие на свързания с енергопотреблението продукт с изискванията, отнасящи се за определени в настоящия регламент аспекти на защитат</w:t>
      </w:r>
      <w:r>
        <w:rPr>
          <w:noProof/>
        </w:rPr>
        <w:t>а на публичния интерес, или на несъвършенства на хармонизираните стандарти по член 9, даващи презумпция за съответствие.</w:t>
      </w:r>
    </w:p>
    <w:p w:rsidR="00030C0D" w:rsidRDefault="00986C69">
      <w:pPr>
        <w:pStyle w:val="ManualNumPar1"/>
        <w:rPr>
          <w:noProof/>
        </w:rPr>
      </w:pPr>
      <w:r>
        <w:rPr>
          <w:noProof/>
        </w:rPr>
        <w:t>7.</w:t>
      </w:r>
      <w:r>
        <w:rPr>
          <w:noProof/>
        </w:rPr>
        <w:tab/>
        <w:t xml:space="preserve">Държавите членки, различни от започналата процедурата държава членка, трябва незабавно да информират Комисията и другите държави </w:t>
      </w:r>
      <w:r>
        <w:rPr>
          <w:noProof/>
        </w:rPr>
        <w:t>членки за всички приети мерки и за всяка допълнителна информация, с която разполагат и която е свързана с несъответствието на въпросния свързан с енергопотреблението продукт, а в случай на несъгласие с нотифицираната национална мярка — за своите възражения</w:t>
      </w:r>
      <w:r>
        <w:rPr>
          <w:noProof/>
        </w:rPr>
        <w:t>.</w:t>
      </w:r>
    </w:p>
    <w:p w:rsidR="00030C0D" w:rsidRDefault="00986C69">
      <w:pPr>
        <w:pStyle w:val="ManualNumPar1"/>
        <w:rPr>
          <w:noProof/>
        </w:rPr>
      </w:pPr>
      <w:r>
        <w:rPr>
          <w:noProof/>
        </w:rPr>
        <w:t>8.</w:t>
      </w:r>
      <w:r>
        <w:rPr>
          <w:noProof/>
        </w:rPr>
        <w:tab/>
        <w:t>Ако в срок от 60 дни след получаването на информацията по параграф 5 не бъде повдигнато възражение — нито от държава членка, нито от Комисията — във връзка с предприета от държава членка временна мярка, тази мярка се счита за основателна.</w:t>
      </w:r>
    </w:p>
    <w:p w:rsidR="00030C0D" w:rsidRDefault="00986C69">
      <w:pPr>
        <w:pStyle w:val="ManualNumPar1"/>
        <w:rPr>
          <w:noProof/>
        </w:rPr>
      </w:pPr>
      <w:r>
        <w:rPr>
          <w:noProof/>
        </w:rPr>
        <w:t>9.</w:t>
      </w:r>
      <w:r>
        <w:rPr>
          <w:noProof/>
        </w:rPr>
        <w:tab/>
        <w:t>Държавите</w:t>
      </w:r>
      <w:r>
        <w:rPr>
          <w:noProof/>
        </w:rPr>
        <w:t xml:space="preserve"> членки трябва да осигуряват незабавно вземане на подходящи рестриктивни мерки по отношение на съответния свързан с енергопотреблението продукт, като например изтегляне от техния пазар на този продукт.</w:t>
      </w:r>
    </w:p>
    <w:p w:rsidR="00030C0D" w:rsidRDefault="00986C69">
      <w:pPr>
        <w:pStyle w:val="ManualNumPar1"/>
        <w:rPr>
          <w:noProof/>
        </w:rPr>
      </w:pPr>
      <w:r>
        <w:rPr>
          <w:noProof/>
        </w:rPr>
        <w:t>10.</w:t>
      </w:r>
      <w:r>
        <w:rPr>
          <w:noProof/>
        </w:rPr>
        <w:tab/>
        <w:t>Ако при приключване на процедурата по параграф 4 и</w:t>
      </w:r>
      <w:r>
        <w:rPr>
          <w:noProof/>
        </w:rPr>
        <w:t xml:space="preserve"> параграф 5 бъдат повдигнати възражения срещу дадена мярка на държава членка, или ако Комисията прецени, че дадена национална мярка противоречи на законодателството на ЕС, Комисията трябва незабавно да започне консултации с държавите членки и с доставчика </w:t>
      </w:r>
      <w:r>
        <w:rPr>
          <w:noProof/>
        </w:rPr>
        <w:t>и да оцени националната мярка. Въз основа на резултатите от тази оценка Комисията трябва да вземе решение дали националната мярка е оправдана или не.</w:t>
      </w:r>
    </w:p>
    <w:p w:rsidR="00030C0D" w:rsidRDefault="00986C69">
      <w:pPr>
        <w:pStyle w:val="ManualNumPar1"/>
        <w:rPr>
          <w:noProof/>
        </w:rPr>
      </w:pPr>
      <w:r>
        <w:rPr>
          <w:noProof/>
        </w:rPr>
        <w:t>11.</w:t>
      </w:r>
      <w:r>
        <w:rPr>
          <w:noProof/>
        </w:rPr>
        <w:tab/>
        <w:t>Комисията трябва да адресира своето решение до всички държави членки и незабавно да го съобщи на тях и</w:t>
      </w:r>
      <w:r>
        <w:rPr>
          <w:noProof/>
        </w:rPr>
        <w:t xml:space="preserve"> на доставчика.</w:t>
      </w:r>
    </w:p>
    <w:p w:rsidR="00030C0D" w:rsidRDefault="00986C69">
      <w:pPr>
        <w:pStyle w:val="ManualNumPar1"/>
        <w:rPr>
          <w:noProof/>
        </w:rPr>
      </w:pPr>
      <w:r>
        <w:rPr>
          <w:noProof/>
        </w:rPr>
        <w:t>12.</w:t>
      </w:r>
      <w:r>
        <w:rPr>
          <w:noProof/>
        </w:rPr>
        <w:tab/>
        <w:t>Ако е преценено, че националната мярка е обоснована, всички държави членки трябва да предприемат необходимите мерки, за да осигурят изтеглянето от своя пазар на несъответстващия продукт и да информират за това Комисията. Ако е преценено</w:t>
      </w:r>
      <w:r>
        <w:rPr>
          <w:noProof/>
        </w:rPr>
        <w:t>, че националната мярка не е обоснована, съответната държава членка оттегля мярката.</w:t>
      </w:r>
    </w:p>
    <w:p w:rsidR="00030C0D" w:rsidRDefault="00986C69">
      <w:pPr>
        <w:pStyle w:val="ManualNumPar1"/>
        <w:rPr>
          <w:noProof/>
        </w:rPr>
      </w:pPr>
      <w:r>
        <w:rPr>
          <w:noProof/>
        </w:rPr>
        <w:t>13.</w:t>
      </w:r>
      <w:r>
        <w:rPr>
          <w:noProof/>
        </w:rPr>
        <w:tab/>
        <w:t>Ако е преценено, че националната мярка е оправдана и несъответствието на свързания с енергопотреблението продукт се дължи на несъвършенства в хармонизираните стандарти</w:t>
      </w:r>
      <w:r>
        <w:rPr>
          <w:noProof/>
        </w:rPr>
        <w:t xml:space="preserve"> по параграф 6, Комисията трябва да приложи процедурата, предвидена в член 11 от Регламент (ЕС) № 1025/2012.</w:t>
      </w:r>
    </w:p>
    <w:p w:rsidR="00030C0D" w:rsidRDefault="00986C69">
      <w:pPr>
        <w:pStyle w:val="Titrearticle"/>
        <w:rPr>
          <w:b/>
          <w:i w:val="0"/>
          <w:noProof/>
        </w:rPr>
      </w:pPr>
      <w:r>
        <w:rPr>
          <w:noProof/>
        </w:rPr>
        <w:t>Член 7</w:t>
      </w:r>
      <w:r>
        <w:rPr>
          <w:noProof/>
        </w:rPr>
        <w:br/>
      </w:r>
      <w:r>
        <w:rPr>
          <w:b/>
          <w:i w:val="0"/>
          <w:noProof/>
        </w:rPr>
        <w:t xml:space="preserve">Етикети и преобразуване на скалата </w:t>
      </w:r>
    </w:p>
    <w:p w:rsidR="00030C0D" w:rsidRDefault="00986C69">
      <w:pPr>
        <w:pStyle w:val="ManualNumPar1"/>
        <w:rPr>
          <w:noProof/>
        </w:rPr>
      </w:pPr>
      <w:r>
        <w:rPr>
          <w:noProof/>
        </w:rPr>
        <w:t>1.</w:t>
      </w:r>
      <w:r>
        <w:rPr>
          <w:noProof/>
        </w:rPr>
        <w:tab/>
        <w:t>Посредством делегирани актове, приети в съответствие с член 12 и член 13, Комисията може да въвежда н</w:t>
      </w:r>
      <w:r>
        <w:rPr>
          <w:noProof/>
        </w:rPr>
        <w:t>ови етикети или да преобразува скалата на съществуващи етикети.</w:t>
      </w:r>
    </w:p>
    <w:p w:rsidR="00030C0D" w:rsidRDefault="00986C69">
      <w:pPr>
        <w:pStyle w:val="ManualNumPar1"/>
        <w:rPr>
          <w:noProof/>
        </w:rPr>
      </w:pPr>
      <w:r>
        <w:rPr>
          <w:noProof/>
        </w:rPr>
        <w:t>2.</w:t>
      </w:r>
      <w:r>
        <w:rPr>
          <w:noProof/>
        </w:rPr>
        <w:tab/>
        <w:t xml:space="preserve">Когато в резултат от мярка за изпълнение, приета съгласно Директива 2009/125/ЕО, в рамките на дадена група продукти не е разрешено вече пускането на пазара на нито един от </w:t>
      </w:r>
      <w:r w:rsidRPr="00986C69">
        <w:rPr>
          <w:noProof/>
        </w:rPr>
        <w:t>моделите, принадл</w:t>
      </w:r>
      <w:r w:rsidRPr="00986C69">
        <w:rPr>
          <w:noProof/>
        </w:rPr>
        <w:t xml:space="preserve">ежащи към енергийните класове </w:t>
      </w:r>
      <w:r w:rsidRPr="00986C69">
        <w:rPr>
          <w:noProof/>
        </w:rPr>
        <w:t>D, E,</w:t>
      </w:r>
      <w:r w:rsidRPr="00986C69">
        <w:rPr>
          <w:noProof/>
        </w:rPr>
        <w:t xml:space="preserve"> F или G, въпросният клас не трябва повече да присъства </w:t>
      </w:r>
      <w:r>
        <w:rPr>
          <w:noProof/>
        </w:rPr>
        <w:t>върху етикета.</w:t>
      </w:r>
    </w:p>
    <w:p w:rsidR="00030C0D" w:rsidRDefault="00986C69">
      <w:pPr>
        <w:pStyle w:val="ManualNumPar1"/>
        <w:rPr>
          <w:noProof/>
        </w:rPr>
      </w:pPr>
      <w:r>
        <w:rPr>
          <w:noProof/>
        </w:rPr>
        <w:t>3.</w:t>
      </w:r>
      <w:r>
        <w:rPr>
          <w:noProof/>
        </w:rPr>
        <w:tab/>
        <w:t>Комисията трябва да осигурява, че при въвеждането или преобразуването на скалата на даден етикет изискванията се формулират по такъв начин, че да н</w:t>
      </w:r>
      <w:r>
        <w:rPr>
          <w:noProof/>
        </w:rPr>
        <w:t xml:space="preserve">е се очаква присъствие на продукти в класовете А или В в момента на въвеждането на етикета, и също така, че прогнозният период от време, след който мнозинството от моделите ще попаднат в тези класове, да е поне десет години. </w:t>
      </w:r>
    </w:p>
    <w:p w:rsidR="00030C0D" w:rsidRDefault="00986C69">
      <w:pPr>
        <w:pStyle w:val="ManualNumPar1"/>
        <w:rPr>
          <w:noProof/>
        </w:rPr>
      </w:pPr>
      <w:r>
        <w:rPr>
          <w:noProof/>
        </w:rPr>
        <w:t>4.</w:t>
      </w:r>
      <w:r>
        <w:rPr>
          <w:noProof/>
        </w:rPr>
        <w:tab/>
        <w:t>Скалите на етикетите трябва</w:t>
      </w:r>
      <w:r>
        <w:rPr>
          <w:noProof/>
        </w:rPr>
        <w:t xml:space="preserve"> периодично да се преобразуват.</w:t>
      </w:r>
    </w:p>
    <w:p w:rsidR="00030C0D" w:rsidRDefault="00986C69">
      <w:pPr>
        <w:pStyle w:val="ManualNumPar1"/>
        <w:rPr>
          <w:noProof/>
        </w:rPr>
      </w:pPr>
      <w:r>
        <w:rPr>
          <w:noProof/>
        </w:rPr>
        <w:t>5.</w:t>
      </w:r>
      <w:r>
        <w:rPr>
          <w:noProof/>
        </w:rPr>
        <w:tab/>
        <w:t xml:space="preserve">Когато скалата на даден етикет бъде преобразувана: </w:t>
      </w:r>
    </w:p>
    <w:p w:rsidR="00030C0D" w:rsidRDefault="00986C69">
      <w:pPr>
        <w:pStyle w:val="Point1"/>
        <w:rPr>
          <w:noProof/>
        </w:rPr>
      </w:pPr>
      <w:r>
        <w:rPr>
          <w:noProof/>
        </w:rPr>
        <w:t>а)</w:t>
      </w:r>
      <w:r>
        <w:rPr>
          <w:noProof/>
        </w:rPr>
        <w:tab/>
        <w:t>доставчиците трябва да предоставят и текущия етикет, и етикета с преобразувана скала в продължение на период от шест месеца след датата, посочена в буква б).</w:t>
      </w:r>
    </w:p>
    <w:p w:rsidR="00030C0D" w:rsidRDefault="00986C69">
      <w:pPr>
        <w:pStyle w:val="Point1"/>
        <w:rPr>
          <w:noProof/>
        </w:rPr>
      </w:pPr>
      <w:r>
        <w:rPr>
          <w:noProof/>
        </w:rPr>
        <w:t>б)</w:t>
      </w:r>
      <w:r>
        <w:rPr>
          <w:noProof/>
        </w:rPr>
        <w:tab/>
        <w:t>търго</w:t>
      </w:r>
      <w:r>
        <w:rPr>
          <w:noProof/>
        </w:rPr>
        <w:t>вците трябва да заменят съществуващите етикети върху изложените продукти, включително в Интернет, с етикети с преобразувана скала в срок от една седмица след датата, посочена за тази цел в съответния делегиран акт. Търговците не трябва да излагат етикетите</w:t>
      </w:r>
      <w:r>
        <w:rPr>
          <w:noProof/>
        </w:rPr>
        <w:t xml:space="preserve"> с преобразувана скала преди тази дата.</w:t>
      </w:r>
    </w:p>
    <w:p w:rsidR="00030C0D" w:rsidRDefault="00986C69">
      <w:pPr>
        <w:pStyle w:val="ManualNumPar1"/>
        <w:rPr>
          <w:noProof/>
        </w:rPr>
      </w:pPr>
      <w:r>
        <w:rPr>
          <w:noProof/>
        </w:rPr>
        <w:t>6.</w:t>
      </w:r>
      <w:r>
        <w:rPr>
          <w:noProof/>
        </w:rPr>
        <w:tab/>
        <w:t>Етикетите, въведени с делегирани актове, приети в съответствие с член 10 от Директива 2010/30/ЕС преди датата на прилагане на настоящия регламент, се считат за етикети за целите по настоящия регламент. Комисията т</w:t>
      </w:r>
      <w:r>
        <w:rPr>
          <w:noProof/>
        </w:rPr>
        <w:t>рябва да преразгледа тези етикети в срок от пет години след влизането в сила на настоящия регламент, с оглед преобразуване на техните скали.</w:t>
      </w:r>
    </w:p>
    <w:p w:rsidR="00030C0D" w:rsidRDefault="00986C69">
      <w:pPr>
        <w:pStyle w:val="Titrearticle"/>
        <w:spacing w:before="120" w:after="0"/>
        <w:rPr>
          <w:b/>
          <w:i w:val="0"/>
          <w:noProof/>
        </w:rPr>
      </w:pPr>
      <w:r>
        <w:rPr>
          <w:noProof/>
        </w:rPr>
        <w:t>Член 8</w:t>
      </w:r>
      <w:r>
        <w:rPr>
          <w:noProof/>
        </w:rPr>
        <w:br/>
      </w:r>
      <w:r>
        <w:rPr>
          <w:b/>
          <w:i w:val="0"/>
          <w:noProof/>
        </w:rPr>
        <w:t>Продуктова база фанни</w:t>
      </w:r>
    </w:p>
    <w:p w:rsidR="00030C0D" w:rsidRDefault="00986C69">
      <w:pPr>
        <w:rPr>
          <w:i/>
          <w:noProof/>
        </w:rPr>
      </w:pPr>
      <w:r>
        <w:rPr>
          <w:noProof/>
        </w:rPr>
        <w:t xml:space="preserve">Комисията трябва да създаде и поддържа продуктова база данни, включваща информацията, </w:t>
      </w:r>
      <w:r>
        <w:rPr>
          <w:noProof/>
        </w:rPr>
        <w:t>посочена в приложение I. Информацията, описана в точка 1 от приложение I трябва да бъде публично достъпна.</w:t>
      </w:r>
    </w:p>
    <w:p w:rsidR="00030C0D" w:rsidRDefault="00986C69">
      <w:pPr>
        <w:pStyle w:val="Titrearticle"/>
        <w:rPr>
          <w:b/>
          <w:i w:val="0"/>
          <w:noProof/>
        </w:rPr>
      </w:pPr>
      <w:r>
        <w:rPr>
          <w:noProof/>
        </w:rPr>
        <w:t>Член 9</w:t>
      </w:r>
      <w:r>
        <w:rPr>
          <w:noProof/>
        </w:rPr>
        <w:br/>
      </w:r>
      <w:r>
        <w:rPr>
          <w:b/>
          <w:i w:val="0"/>
          <w:noProof/>
        </w:rPr>
        <w:t>Хармонизирани стандарти</w:t>
      </w:r>
    </w:p>
    <w:p w:rsidR="00030C0D" w:rsidRDefault="00986C69">
      <w:pPr>
        <w:rPr>
          <w:noProof/>
        </w:rPr>
      </w:pPr>
      <w:r>
        <w:rPr>
          <w:noProof/>
        </w:rPr>
        <w:t>След приемането на делегиран акт по настоящия регламент, определящ специфични изисквания за етикетиране, приети съглас</w:t>
      </w:r>
      <w:r>
        <w:rPr>
          <w:noProof/>
        </w:rPr>
        <w:t>но член 13 от настоящия регламент, Комисията трябва, в съответствие с Регламент (ЕС) № 1025/2012</w:t>
      </w:r>
      <w:r>
        <w:rPr>
          <w:rStyle w:val="FootnoteReference"/>
          <w:noProof/>
        </w:rPr>
        <w:footnoteReference w:id="22"/>
      </w:r>
      <w:r>
        <w:rPr>
          <w:noProof/>
        </w:rPr>
        <w:t xml:space="preserve">, да публикува в </w:t>
      </w:r>
      <w:r>
        <w:rPr>
          <w:i/>
          <w:noProof/>
        </w:rPr>
        <w:t>Официален вестник на Европейския съюз</w:t>
      </w:r>
      <w:r>
        <w:rPr>
          <w:noProof/>
        </w:rPr>
        <w:t xml:space="preserve"> позовавания на хармонизирани стандарти, отговарящи на съответните измервателни и изчислителни изисквания</w:t>
      </w:r>
      <w:r>
        <w:rPr>
          <w:noProof/>
        </w:rPr>
        <w:t xml:space="preserve"> в делегирания акт.</w:t>
      </w:r>
    </w:p>
    <w:p w:rsidR="00030C0D" w:rsidRDefault="00986C69">
      <w:pPr>
        <w:rPr>
          <w:noProof/>
        </w:rPr>
      </w:pPr>
      <w:r>
        <w:rPr>
          <w:noProof/>
        </w:rPr>
        <w:t>Ако при оценяването на съответствието на даден продукт са приложени такива хармонизирани стандарти, ще се счита че продуктът отговаря на съответните измервателни и изчислителни изисквания в делегирания акт.</w:t>
      </w:r>
    </w:p>
    <w:p w:rsidR="00030C0D" w:rsidRDefault="00986C69">
      <w:pPr>
        <w:pStyle w:val="Titrearticle"/>
        <w:rPr>
          <w:b/>
          <w:i w:val="0"/>
          <w:noProof/>
        </w:rPr>
      </w:pPr>
      <w:r>
        <w:rPr>
          <w:noProof/>
        </w:rPr>
        <w:t>Член 10</w:t>
      </w:r>
      <w:r>
        <w:rPr>
          <w:noProof/>
        </w:rPr>
        <w:br/>
      </w:r>
      <w:r>
        <w:rPr>
          <w:b/>
          <w:i w:val="0"/>
          <w:noProof/>
        </w:rPr>
        <w:t>Консултации</w:t>
      </w:r>
    </w:p>
    <w:p w:rsidR="00030C0D" w:rsidRDefault="00986C69">
      <w:pPr>
        <w:rPr>
          <w:noProof/>
        </w:rPr>
      </w:pPr>
      <w:r>
        <w:rPr>
          <w:noProof/>
        </w:rPr>
        <w:t xml:space="preserve">При </w:t>
      </w:r>
      <w:r>
        <w:rPr>
          <w:noProof/>
        </w:rPr>
        <w:t xml:space="preserve">провеждането на дейностите по настоящия регламент Комисията трябва да осигурява по отношение на всеки делегиран акт балансирано участие на представители на държавите членки и на заинтересованите страни, които се занимават с въпросната група продукти, като </w:t>
      </w:r>
      <w:r>
        <w:rPr>
          <w:noProof/>
        </w:rPr>
        <w:t>например представители на съответния отрасъл, включително на малки и средни предприятия и на занаятчийски производства, на профсъюзи, търговци, търговци на дребно, вносители, групи за защита на околната среда и организации на потребителите. За тази цел Ком</w:t>
      </w:r>
      <w:r>
        <w:rPr>
          <w:noProof/>
        </w:rPr>
        <w:t>исията трябва да създава консултативен форум, в който да се срещат тези заинтересовани страни. Този Консултативен форум може да бъде комбиниран с консултативния форум по член 18 от Директива 2009/125/ЕО.</w:t>
      </w:r>
    </w:p>
    <w:p w:rsidR="00030C0D" w:rsidRDefault="00986C69">
      <w:pPr>
        <w:rPr>
          <w:noProof/>
        </w:rPr>
      </w:pPr>
      <w:r>
        <w:rPr>
          <w:noProof/>
        </w:rPr>
        <w:t>В случаите, при които това е уместно, Комисията тряб</w:t>
      </w:r>
      <w:r>
        <w:rPr>
          <w:noProof/>
        </w:rPr>
        <w:t>ва преди приемането на делегирани актове да изпробва пред потребители оформлението и съдържанието на етикетите за конкретни групи продукти, с цел да осигури ясна разбираемост на етикетите.</w:t>
      </w:r>
    </w:p>
    <w:p w:rsidR="00030C0D" w:rsidRDefault="00986C69">
      <w:pPr>
        <w:pStyle w:val="Titrearticle"/>
        <w:rPr>
          <w:b/>
          <w:i w:val="0"/>
          <w:noProof/>
        </w:rPr>
      </w:pPr>
      <w:r>
        <w:rPr>
          <w:noProof/>
        </w:rPr>
        <w:t>Член 11</w:t>
      </w:r>
      <w:r>
        <w:rPr>
          <w:noProof/>
        </w:rPr>
        <w:br/>
      </w:r>
      <w:r>
        <w:rPr>
          <w:b/>
          <w:i w:val="0"/>
          <w:noProof/>
        </w:rPr>
        <w:t>Работен план</w:t>
      </w:r>
    </w:p>
    <w:p w:rsidR="00030C0D" w:rsidRDefault="00986C69">
      <w:pPr>
        <w:rPr>
          <w:noProof/>
        </w:rPr>
      </w:pPr>
      <w:r>
        <w:rPr>
          <w:noProof/>
        </w:rPr>
        <w:t>Комисията трябва, след консултация с консултат</w:t>
      </w:r>
      <w:r>
        <w:rPr>
          <w:noProof/>
        </w:rPr>
        <w:t>ивния форум по член 10, да определи работен план, който да е публично достъпен. В работния план трябва да е посочен индикативен списък на групи продукти, считани за приоритетни за приемането на делегирани актове. Също така, в работния план трябва да са опр</w:t>
      </w:r>
      <w:r>
        <w:rPr>
          <w:noProof/>
        </w:rPr>
        <w:t>еделени планове за преразглеждане или преобразуване на скалите на етикетите на продукти или групи от продукти. Работният план може да бъде периодично изменян от Комисията, след консултация с консултативния форум. Работният план може да бъде комбиниран с ра</w:t>
      </w:r>
      <w:r>
        <w:rPr>
          <w:noProof/>
        </w:rPr>
        <w:t>ботния план, изискван по член 16 от Директива 2009/125/ЕО.</w:t>
      </w:r>
    </w:p>
    <w:p w:rsidR="00030C0D" w:rsidRDefault="00986C69">
      <w:pPr>
        <w:pStyle w:val="Titrearticle"/>
        <w:rPr>
          <w:b/>
          <w:noProof/>
        </w:rPr>
      </w:pPr>
      <w:r>
        <w:rPr>
          <w:noProof/>
        </w:rPr>
        <w:t>Член 12</w:t>
      </w:r>
      <w:r>
        <w:rPr>
          <w:noProof/>
        </w:rPr>
        <w:br/>
      </w:r>
      <w:r>
        <w:rPr>
          <w:b/>
          <w:i w:val="0"/>
          <w:noProof/>
        </w:rPr>
        <w:t>Делегирани актове</w:t>
      </w:r>
    </w:p>
    <w:p w:rsidR="00030C0D" w:rsidRDefault="00986C69">
      <w:pPr>
        <w:pStyle w:val="ManualNumPar1"/>
        <w:rPr>
          <w:noProof/>
        </w:rPr>
      </w:pPr>
      <w:r>
        <w:rPr>
          <w:noProof/>
        </w:rPr>
        <w:t>1.</w:t>
      </w:r>
      <w:r>
        <w:rPr>
          <w:noProof/>
        </w:rPr>
        <w:tab/>
        <w:t>На Комисията се предоставят правомощия да приема делегирани актове относно подробните изисквания във връзка с етикети за конкретни групи от свързани с енергопотребление</w:t>
      </w:r>
      <w:r>
        <w:rPr>
          <w:noProof/>
        </w:rPr>
        <w:t>то продукти („конкретни групи продукти“), в съответствие с член 13.</w:t>
      </w:r>
    </w:p>
    <w:p w:rsidR="00030C0D" w:rsidRDefault="00986C69">
      <w:pPr>
        <w:pStyle w:val="ManualNumPar1"/>
        <w:rPr>
          <w:noProof/>
        </w:rPr>
      </w:pPr>
      <w:r>
        <w:rPr>
          <w:noProof/>
        </w:rPr>
        <w:t>2.</w:t>
      </w:r>
      <w:r>
        <w:rPr>
          <w:noProof/>
        </w:rPr>
        <w:tab/>
        <w:t>В делегираните актове се определят групи продукти, отговарящи на следните изисквания:</w:t>
      </w:r>
    </w:p>
    <w:p w:rsidR="00030C0D" w:rsidRDefault="00986C69">
      <w:pPr>
        <w:pStyle w:val="Point1"/>
        <w:rPr>
          <w:noProof/>
        </w:rPr>
      </w:pPr>
      <w:r>
        <w:rPr>
          <w:noProof/>
        </w:rPr>
        <w:t>а)</w:t>
      </w:r>
      <w:r>
        <w:rPr>
          <w:noProof/>
        </w:rPr>
        <w:tab/>
        <w:t xml:space="preserve">съгласно най-новите налични данни и предвид предлаганите на пазара на ЕС количества, групата </w:t>
      </w:r>
      <w:r>
        <w:rPr>
          <w:noProof/>
        </w:rPr>
        <w:t>продукти трябва да имат значителен потенциал за икономия на енергия и, в съответните случаи, на други основни ресурси;</w:t>
      </w:r>
    </w:p>
    <w:p w:rsidR="00030C0D" w:rsidRDefault="00986C69">
      <w:pPr>
        <w:pStyle w:val="Point1"/>
        <w:rPr>
          <w:noProof/>
        </w:rPr>
      </w:pPr>
      <w:r>
        <w:rPr>
          <w:noProof/>
        </w:rPr>
        <w:t>б)</w:t>
      </w:r>
      <w:r>
        <w:rPr>
          <w:noProof/>
        </w:rPr>
        <w:tab/>
        <w:t>групите продукти, имащи еквивалентна функционалност, трябва да се различават значително по съответните експлоатационни показатели;</w:t>
      </w:r>
    </w:p>
    <w:p w:rsidR="00030C0D" w:rsidRDefault="00986C69">
      <w:pPr>
        <w:pStyle w:val="Point1"/>
        <w:rPr>
          <w:noProof/>
        </w:rPr>
      </w:pPr>
      <w:r>
        <w:rPr>
          <w:noProof/>
        </w:rPr>
        <w:t>в)</w:t>
      </w:r>
      <w:r>
        <w:rPr>
          <w:noProof/>
        </w:rPr>
        <w:tab/>
      </w:r>
      <w:r>
        <w:rPr>
          <w:noProof/>
        </w:rPr>
        <w:t xml:space="preserve">да няма значимо отрицателно въздействие върху потребителите във връзка с достъпността и разходите през цялостния жизнен цикъл на групата продукти; </w:t>
      </w:r>
    </w:p>
    <w:p w:rsidR="00030C0D" w:rsidRDefault="00986C69">
      <w:pPr>
        <w:pStyle w:val="ManualNumPar1"/>
        <w:rPr>
          <w:noProof/>
        </w:rPr>
      </w:pPr>
      <w:r>
        <w:rPr>
          <w:noProof/>
        </w:rPr>
        <w:t>3.</w:t>
      </w:r>
      <w:r>
        <w:rPr>
          <w:noProof/>
        </w:rPr>
        <w:tab/>
        <w:t>В делегираните актове за конкретни групи продукти се определят по-специално следните елементи:</w:t>
      </w:r>
    </w:p>
    <w:p w:rsidR="00030C0D" w:rsidRDefault="00986C69">
      <w:pPr>
        <w:pStyle w:val="Point1"/>
        <w:rPr>
          <w:noProof/>
        </w:rPr>
      </w:pPr>
      <w:r>
        <w:rPr>
          <w:noProof/>
        </w:rPr>
        <w:t>а)</w:t>
      </w:r>
      <w:r>
        <w:rPr>
          <w:noProof/>
        </w:rPr>
        <w:tab/>
        <w:t>дефинир</w:t>
      </w:r>
      <w:r>
        <w:rPr>
          <w:noProof/>
        </w:rPr>
        <w:t>ането на конкретните групи продукти, попадащи под определението „свързан с енергопотреблението продукт“, дадено в член 2, параграф 11, за които се отнася делегираният акт;</w:t>
      </w:r>
    </w:p>
    <w:p w:rsidR="00030C0D" w:rsidRDefault="00986C69">
      <w:pPr>
        <w:pStyle w:val="Point1"/>
        <w:rPr>
          <w:noProof/>
        </w:rPr>
      </w:pPr>
      <w:r>
        <w:rPr>
          <w:noProof/>
        </w:rPr>
        <w:t>б)</w:t>
      </w:r>
      <w:r>
        <w:rPr>
          <w:noProof/>
        </w:rPr>
        <w:tab/>
        <w:t>оформлението и съдържанието на етикета, включващ скала за консумацията на енергия</w:t>
      </w:r>
      <w:r>
        <w:rPr>
          <w:noProof/>
        </w:rPr>
        <w:t xml:space="preserve"> с класове от А до G, който трябва да има, доколкото е възможно, еднакво оформление за всички групи продукти, и във всички случаи трябва да е ясен и четлив;</w:t>
      </w:r>
    </w:p>
    <w:p w:rsidR="00030C0D" w:rsidRDefault="00986C69">
      <w:pPr>
        <w:pStyle w:val="Point1"/>
        <w:rPr>
          <w:noProof/>
        </w:rPr>
      </w:pPr>
      <w:r>
        <w:rPr>
          <w:noProof/>
        </w:rPr>
        <w:t>в)</w:t>
      </w:r>
      <w:r>
        <w:rPr>
          <w:noProof/>
        </w:rPr>
        <w:tab/>
        <w:t>в случаите, при които това е от значение, използването на други ресурси и допълнителна информаци</w:t>
      </w:r>
      <w:r>
        <w:rPr>
          <w:noProof/>
        </w:rPr>
        <w:t xml:space="preserve">я относно свързаните с енергопотреблението продукти, като в този случай в етикета трябва приоритетно да се показва енергийната ефективност на продукта; </w:t>
      </w:r>
    </w:p>
    <w:p w:rsidR="00030C0D" w:rsidRDefault="00986C69">
      <w:pPr>
        <w:pStyle w:val="Point1"/>
        <w:rPr>
          <w:noProof/>
        </w:rPr>
      </w:pPr>
      <w:r>
        <w:rPr>
          <w:noProof/>
        </w:rPr>
        <w:t>г)</w:t>
      </w:r>
      <w:r>
        <w:rPr>
          <w:noProof/>
        </w:rPr>
        <w:tab/>
        <w:t>мястото, където етикетът трябва да бъде изложен, като например да е прикрепен към продукта, да е отп</w:t>
      </w:r>
      <w:r>
        <w:rPr>
          <w:noProof/>
        </w:rPr>
        <w:t>ечатан върху опаковката, да се предоставя в електронен формат или да е изложен онлайн;</w:t>
      </w:r>
    </w:p>
    <w:p w:rsidR="00030C0D" w:rsidRDefault="00986C69">
      <w:pPr>
        <w:pStyle w:val="Point1"/>
        <w:rPr>
          <w:noProof/>
        </w:rPr>
      </w:pPr>
      <w:r>
        <w:rPr>
          <w:noProof/>
        </w:rPr>
        <w:t>д)</w:t>
      </w:r>
      <w:r>
        <w:rPr>
          <w:noProof/>
        </w:rPr>
        <w:tab/>
        <w:t>в съответните случаи, електронни средства за етикетиране на продукти;</w:t>
      </w:r>
    </w:p>
    <w:p w:rsidR="00030C0D" w:rsidRDefault="00986C69">
      <w:pPr>
        <w:pStyle w:val="Point1"/>
        <w:rPr>
          <w:noProof/>
        </w:rPr>
      </w:pPr>
      <w:r>
        <w:rPr>
          <w:noProof/>
        </w:rPr>
        <w:t>е)</w:t>
      </w:r>
      <w:r>
        <w:rPr>
          <w:noProof/>
        </w:rPr>
        <w:tab/>
        <w:t>начинът, по който етикетът и техническата информация да се предоставят в случай на продажба о</w:t>
      </w:r>
      <w:r>
        <w:rPr>
          <w:noProof/>
        </w:rPr>
        <w:t>т разстояние;</w:t>
      </w:r>
    </w:p>
    <w:p w:rsidR="00030C0D" w:rsidRDefault="00986C69">
      <w:pPr>
        <w:pStyle w:val="Point1"/>
        <w:rPr>
          <w:noProof/>
        </w:rPr>
      </w:pPr>
      <w:r>
        <w:rPr>
          <w:noProof/>
        </w:rPr>
        <w:t>ж)</w:t>
      </w:r>
      <w:r>
        <w:rPr>
          <w:noProof/>
        </w:rPr>
        <w:tab/>
        <w:t xml:space="preserve">съдържанието и, в съответните случаи, формата и други въпроси относно техническата документация и продуктовия информационен лист; </w:t>
      </w:r>
    </w:p>
    <w:p w:rsidR="00030C0D" w:rsidRDefault="00986C69">
      <w:pPr>
        <w:pStyle w:val="Point1"/>
        <w:rPr>
          <w:noProof/>
        </w:rPr>
      </w:pPr>
      <w:r>
        <w:rPr>
          <w:noProof/>
        </w:rPr>
        <w:t>з)</w:t>
      </w:r>
      <w:r>
        <w:rPr>
          <w:noProof/>
        </w:rPr>
        <w:tab/>
        <w:t>да е уточнено, че при проверка на съответствието с изискванията се прилагат само тези верификационни допу</w:t>
      </w:r>
      <w:r>
        <w:rPr>
          <w:noProof/>
        </w:rPr>
        <w:t>стими отклонения, които са посочени в делегирания акт (делегираните актове);</w:t>
      </w:r>
    </w:p>
    <w:p w:rsidR="00030C0D" w:rsidRDefault="00986C69">
      <w:pPr>
        <w:pStyle w:val="Point1"/>
        <w:rPr>
          <w:noProof/>
        </w:rPr>
      </w:pPr>
      <w:r>
        <w:rPr>
          <w:noProof/>
        </w:rPr>
        <w:t>и)</w:t>
      </w:r>
      <w:r>
        <w:rPr>
          <w:noProof/>
        </w:rPr>
        <w:tab/>
        <w:t>задълженията на доставчиците и търговците във връзка с продуктовата база данни;</w:t>
      </w:r>
    </w:p>
    <w:p w:rsidR="00030C0D" w:rsidRDefault="00986C69">
      <w:pPr>
        <w:pStyle w:val="Point1"/>
        <w:rPr>
          <w:noProof/>
        </w:rPr>
      </w:pPr>
      <w:r>
        <w:rPr>
          <w:noProof/>
        </w:rPr>
        <w:t>й)</w:t>
      </w:r>
      <w:r>
        <w:rPr>
          <w:noProof/>
        </w:rPr>
        <w:tab/>
        <w:t>изричното посочване на енергийния клас, което да се включва в рекламите и техническите промоц</w:t>
      </w:r>
      <w:r>
        <w:rPr>
          <w:noProof/>
        </w:rPr>
        <w:t>ионални материали, включително изисквания това да бъде направено по четлив и видим начин;</w:t>
      </w:r>
    </w:p>
    <w:p w:rsidR="00030C0D" w:rsidRDefault="00986C69">
      <w:pPr>
        <w:pStyle w:val="Point1"/>
        <w:rPr>
          <w:noProof/>
        </w:rPr>
      </w:pPr>
      <w:r>
        <w:rPr>
          <w:noProof/>
        </w:rPr>
        <w:t>к)</w:t>
      </w:r>
      <w:r>
        <w:rPr>
          <w:noProof/>
        </w:rPr>
        <w:tab/>
        <w:t>процедурите за оценка на съответствието и измервателните и изчислителни методи, които да се използват за определяне на данните, посочвани в етикета и в информацион</w:t>
      </w:r>
      <w:r>
        <w:rPr>
          <w:noProof/>
        </w:rPr>
        <w:t>ния лист;</w:t>
      </w:r>
    </w:p>
    <w:p w:rsidR="00030C0D" w:rsidRDefault="00986C69">
      <w:pPr>
        <w:pStyle w:val="Point1"/>
        <w:rPr>
          <w:noProof/>
        </w:rPr>
      </w:pPr>
      <w:r>
        <w:rPr>
          <w:noProof/>
        </w:rPr>
        <w:t>л)</w:t>
      </w:r>
      <w:r>
        <w:rPr>
          <w:noProof/>
        </w:rPr>
        <w:tab/>
        <w:t>дали за по-големите уреди е необходима по-висока степен на енергийна ефективност, за да бъдат включени в даден енергиен клас;</w:t>
      </w:r>
    </w:p>
    <w:p w:rsidR="00030C0D" w:rsidRDefault="00986C69">
      <w:pPr>
        <w:pStyle w:val="Point1"/>
        <w:rPr>
          <w:noProof/>
        </w:rPr>
      </w:pPr>
      <w:r>
        <w:rPr>
          <w:noProof/>
        </w:rPr>
        <w:t>м)</w:t>
      </w:r>
      <w:r>
        <w:rPr>
          <w:noProof/>
        </w:rPr>
        <w:tab/>
        <w:t>форматът на всякакви допълнителни позовавания в етикета, даващи възможност на потребителите да имат достъп чрез ел</w:t>
      </w:r>
      <w:r>
        <w:rPr>
          <w:noProof/>
        </w:rPr>
        <w:t>ектронни средства до по-подробна информация относно експлоатационните показатели на продукта, които са посочени в продуктовия информационен лист;</w:t>
      </w:r>
    </w:p>
    <w:p w:rsidR="00030C0D" w:rsidRDefault="00986C69">
      <w:pPr>
        <w:pStyle w:val="Point1"/>
        <w:rPr>
          <w:noProof/>
        </w:rPr>
      </w:pPr>
      <w:r>
        <w:rPr>
          <w:noProof/>
        </w:rPr>
        <w:t>н)</w:t>
      </w:r>
      <w:r>
        <w:rPr>
          <w:noProof/>
        </w:rPr>
        <w:tab/>
        <w:t>посочване дали и как енергийните класове, описващи консумацията на енергия на продукта по време на употреба</w:t>
      </w:r>
      <w:r>
        <w:rPr>
          <w:noProof/>
        </w:rPr>
        <w:t xml:space="preserve">, следва да се показват върху интелигентни измервателни уреди или върху интерактивния дисплей на продукта; </w:t>
      </w:r>
    </w:p>
    <w:p w:rsidR="00030C0D" w:rsidRDefault="00986C69">
      <w:pPr>
        <w:pStyle w:val="Point1"/>
        <w:rPr>
          <w:noProof/>
        </w:rPr>
      </w:pPr>
      <w:r>
        <w:rPr>
          <w:noProof/>
        </w:rPr>
        <w:t>о)</w:t>
      </w:r>
      <w:r>
        <w:rPr>
          <w:noProof/>
        </w:rPr>
        <w:tab/>
        <w:t xml:space="preserve">датата на оценяване и възможно преразглеждане на делегирания акт. </w:t>
      </w:r>
    </w:p>
    <w:p w:rsidR="00030C0D" w:rsidRDefault="00986C69">
      <w:pPr>
        <w:pStyle w:val="Text1"/>
        <w:rPr>
          <w:noProof/>
        </w:rPr>
      </w:pPr>
      <w:r>
        <w:rPr>
          <w:noProof/>
        </w:rPr>
        <w:t>Относно съдържанието на етикета, споменато в буква б) от първата алинея, стъпк</w:t>
      </w:r>
      <w:r>
        <w:rPr>
          <w:noProof/>
        </w:rPr>
        <w:t>ите между класовете по скалата А—G трябва да съответстват на значителни икономии на енергия и разходи от гледна точка на потребителя.</w:t>
      </w:r>
    </w:p>
    <w:p w:rsidR="00030C0D" w:rsidRDefault="00986C69">
      <w:pPr>
        <w:pStyle w:val="Text1"/>
        <w:rPr>
          <w:noProof/>
        </w:rPr>
      </w:pPr>
      <w:r>
        <w:rPr>
          <w:noProof/>
        </w:rPr>
        <w:t>По отношение на формата на позоваванията, споменат в буква м) от първата алинея, тези позовавания могат да бъдат под форма</w:t>
      </w:r>
      <w:r>
        <w:rPr>
          <w:noProof/>
        </w:rPr>
        <w:t>та на адрес на уебсайт, двумерен баркод (QR код), линк към онлайн етикети, или всякакво друго подходящо за потребителя средство.</w:t>
      </w:r>
    </w:p>
    <w:p w:rsidR="00030C0D" w:rsidRDefault="00986C69">
      <w:pPr>
        <w:pStyle w:val="Text1"/>
        <w:rPr>
          <w:noProof/>
        </w:rPr>
      </w:pPr>
      <w:r>
        <w:rPr>
          <w:noProof/>
        </w:rPr>
        <w:t>Въвеждането на изискване за етикет за даден продукт, попадащ в обхвата на делегиран акт, не трябва да има значимо отрицателно в</w:t>
      </w:r>
      <w:r>
        <w:rPr>
          <w:noProof/>
        </w:rPr>
        <w:t xml:space="preserve">ъздействие върху функционалните възможности на продукта от гледна точка на потребителя. </w:t>
      </w:r>
    </w:p>
    <w:p w:rsidR="00030C0D" w:rsidRDefault="00986C69">
      <w:pPr>
        <w:pStyle w:val="Text1"/>
        <w:rPr>
          <w:noProof/>
        </w:rPr>
      </w:pPr>
      <w:r>
        <w:rPr>
          <w:noProof/>
        </w:rPr>
        <w:t>На Комисията се предоставят правомощия да приема делегирани актове относно оперативните въпроси във връзка с продуктовата база данни, включително относно всякакви задъ</w:t>
      </w:r>
      <w:r>
        <w:rPr>
          <w:noProof/>
        </w:rPr>
        <w:t>лжения на доставчиците и търговците в съответствие с член 13.</w:t>
      </w:r>
    </w:p>
    <w:p w:rsidR="00030C0D" w:rsidRDefault="00986C69">
      <w:pPr>
        <w:pStyle w:val="Titrearticle"/>
        <w:rPr>
          <w:b/>
          <w:i w:val="0"/>
          <w:noProof/>
        </w:rPr>
      </w:pPr>
      <w:r>
        <w:rPr>
          <w:noProof/>
        </w:rPr>
        <w:t>Член 13</w:t>
      </w:r>
      <w:r>
        <w:rPr>
          <w:noProof/>
        </w:rPr>
        <w:br/>
      </w:r>
      <w:r>
        <w:rPr>
          <w:b/>
          <w:i w:val="0"/>
          <w:noProof/>
        </w:rPr>
        <w:t xml:space="preserve">Упражняване на делегирането </w:t>
      </w:r>
    </w:p>
    <w:p w:rsidR="00030C0D" w:rsidRDefault="00986C69">
      <w:pPr>
        <w:pStyle w:val="ManualNumPar1"/>
        <w:rPr>
          <w:noProof/>
        </w:rPr>
      </w:pPr>
      <w:r>
        <w:rPr>
          <w:noProof/>
        </w:rPr>
        <w:t>1.</w:t>
      </w:r>
      <w:r>
        <w:rPr>
          <w:noProof/>
        </w:rPr>
        <w:tab/>
        <w:t>Правомощието да приема делегирани актове се предоставя на Комисията при спазване на предвидените в настоящия член условия.</w:t>
      </w:r>
    </w:p>
    <w:p w:rsidR="00030C0D" w:rsidRDefault="00986C69">
      <w:pPr>
        <w:pStyle w:val="ManualNumPar1"/>
        <w:rPr>
          <w:noProof/>
        </w:rPr>
      </w:pPr>
      <w:r>
        <w:rPr>
          <w:noProof/>
        </w:rPr>
        <w:t>2.</w:t>
      </w:r>
      <w:r>
        <w:rPr>
          <w:noProof/>
        </w:rPr>
        <w:tab/>
        <w:t xml:space="preserve">Делегирането на правомощия, </w:t>
      </w:r>
      <w:r>
        <w:rPr>
          <w:noProof/>
        </w:rPr>
        <w:t>посочено в член 7 и член 12, се предоставя на Комисията за неопределен срок, считано от датата на влизане в сила на настоящия регламент.</w:t>
      </w:r>
    </w:p>
    <w:p w:rsidR="00030C0D" w:rsidRDefault="00986C69">
      <w:pPr>
        <w:pStyle w:val="ManualNumPar1"/>
        <w:rPr>
          <w:noProof/>
        </w:rPr>
      </w:pPr>
      <w:r>
        <w:rPr>
          <w:noProof/>
        </w:rPr>
        <w:t>3.</w:t>
      </w:r>
      <w:r>
        <w:rPr>
          <w:noProof/>
        </w:rPr>
        <w:tab/>
        <w:t>Това делегиране на правомощия, посочено в член 7 и член 12, може да бъде оттеглено по всяко време от Европейския пар</w:t>
      </w:r>
      <w:r>
        <w:rPr>
          <w:noProof/>
        </w:rPr>
        <w:t xml:space="preserve">ламент или от Съвета. Определеното в настоящия регламент делегиране на правомощия може да бъде прекратено с решение за оттегляне. 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посочена в</w:t>
      </w:r>
      <w:r>
        <w:rPr>
          <w:noProof/>
        </w:rPr>
        <w:t xml:space="preserve"> решението дата. То не засяга валидността на делегираните актове, които вече са в сила. </w:t>
      </w:r>
    </w:p>
    <w:p w:rsidR="00030C0D" w:rsidRDefault="00986C69">
      <w:pPr>
        <w:pStyle w:val="ManualNumPar1"/>
        <w:rPr>
          <w:noProof/>
        </w:rPr>
      </w:pPr>
      <w:r>
        <w:rPr>
          <w:noProof/>
        </w:rPr>
        <w:t>4.</w:t>
      </w:r>
      <w:r>
        <w:rPr>
          <w:noProof/>
        </w:rPr>
        <w:tab/>
        <w:t xml:space="preserve">Веднага след като приеме делегиран акт, Комисията нотифицира акта едновременно на Европейския парламент и на Съвета. </w:t>
      </w:r>
    </w:p>
    <w:p w:rsidR="00030C0D" w:rsidRDefault="00986C69">
      <w:pPr>
        <w:pStyle w:val="ManualNumPar1"/>
        <w:rPr>
          <w:noProof/>
        </w:rPr>
      </w:pPr>
      <w:r>
        <w:rPr>
          <w:noProof/>
        </w:rPr>
        <w:t>5.</w:t>
      </w:r>
      <w:r>
        <w:rPr>
          <w:noProof/>
        </w:rPr>
        <w:tab/>
        <w:t xml:space="preserve">Делегиран акт, приет съгласно член 7 и </w:t>
      </w:r>
      <w:r>
        <w:rPr>
          <w:noProof/>
        </w:rPr>
        <w:t>член 12, влиза в сила единствено ако нито Европейският парламент, нито Съветът не са представили възражения в срок от два месеца след нотифицирането на акта до Европейския парламент и до Съвета, или ако преди изтичането на този срок и Европейският парламен</w:t>
      </w:r>
      <w:r>
        <w:rPr>
          <w:noProof/>
        </w:rPr>
        <w:t>т, и Съветът са уведомили Комисията, че няма да представят възражения. Този срок може да бъде удължен с два месеца по инициатива на Европейския парламент или на Съвета.</w:t>
      </w:r>
    </w:p>
    <w:p w:rsidR="00030C0D" w:rsidRDefault="00986C69">
      <w:pPr>
        <w:pStyle w:val="Titrearticle"/>
        <w:rPr>
          <w:b/>
          <w:i w:val="0"/>
          <w:noProof/>
        </w:rPr>
      </w:pPr>
      <w:r>
        <w:rPr>
          <w:noProof/>
        </w:rPr>
        <w:t>Член 14</w:t>
      </w:r>
      <w:r>
        <w:rPr>
          <w:noProof/>
        </w:rPr>
        <w:br/>
      </w:r>
      <w:r>
        <w:rPr>
          <w:b/>
          <w:i w:val="0"/>
          <w:noProof/>
        </w:rPr>
        <w:t>Оценяване</w:t>
      </w:r>
    </w:p>
    <w:p w:rsidR="00030C0D" w:rsidRDefault="00986C69">
      <w:pPr>
        <w:autoSpaceDE w:val="0"/>
        <w:autoSpaceDN w:val="0"/>
        <w:adjustRightInd w:val="0"/>
        <w:spacing w:before="0" w:after="0"/>
        <w:rPr>
          <w:noProof/>
        </w:rPr>
      </w:pPr>
      <w:r>
        <w:rPr>
          <w:noProof/>
          <w:color w:val="000000"/>
        </w:rPr>
        <w:t xml:space="preserve">Не-по късно от осем години след неговото влизане в сила Комисията </w:t>
      </w:r>
      <w:r>
        <w:rPr>
          <w:noProof/>
          <w:color w:val="000000"/>
        </w:rPr>
        <w:t>трябва да оцени прилагането на настоящия регламент и да предаде съответен доклад на Европейския парламент и на Съвета. Този доклад трябва да съдържа оценка доколко ефективно настоящият регламент е дал възможност на потребителите да избират по-ефективни про</w:t>
      </w:r>
      <w:r>
        <w:rPr>
          <w:noProof/>
          <w:color w:val="000000"/>
        </w:rPr>
        <w:t>дукти, вземайки предвид неговите въздействия върху бизнеса.</w:t>
      </w:r>
    </w:p>
    <w:p w:rsidR="00030C0D" w:rsidRDefault="00986C69">
      <w:pPr>
        <w:pStyle w:val="Titrearticle"/>
        <w:rPr>
          <w:b/>
          <w:i w:val="0"/>
          <w:noProof/>
        </w:rPr>
      </w:pPr>
      <w:r>
        <w:rPr>
          <w:noProof/>
        </w:rPr>
        <w:t>Член 15</w:t>
      </w:r>
      <w:r>
        <w:rPr>
          <w:noProof/>
        </w:rPr>
        <w:br/>
      </w:r>
      <w:r>
        <w:rPr>
          <w:b/>
          <w:i w:val="0"/>
          <w:noProof/>
        </w:rPr>
        <w:t>Отмяна</w:t>
      </w:r>
    </w:p>
    <w:p w:rsidR="00030C0D" w:rsidRDefault="00986C69">
      <w:pPr>
        <w:rPr>
          <w:noProof/>
        </w:rPr>
      </w:pPr>
      <w:r>
        <w:rPr>
          <w:noProof/>
        </w:rPr>
        <w:t xml:space="preserve">Директива 2010/30/ЕС се отменя, считано от 1 януари 2017 г. </w:t>
      </w:r>
    </w:p>
    <w:p w:rsidR="00030C0D" w:rsidRDefault="00986C69">
      <w:pPr>
        <w:rPr>
          <w:noProof/>
        </w:rPr>
      </w:pPr>
      <w:r>
        <w:rPr>
          <w:noProof/>
        </w:rPr>
        <w:t>Позоваванията на Директива 2010/30/ЕС се считат за позовавания към настоящия регламент и се четат в съответствие с табли</w:t>
      </w:r>
      <w:r>
        <w:rPr>
          <w:noProof/>
        </w:rPr>
        <w:t>цата на съответствието в приложение II.</w:t>
      </w:r>
    </w:p>
    <w:p w:rsidR="00030C0D" w:rsidRDefault="00986C69">
      <w:pPr>
        <w:pStyle w:val="Titrearticle"/>
        <w:rPr>
          <w:b/>
          <w:i w:val="0"/>
          <w:noProof/>
        </w:rPr>
      </w:pPr>
      <w:r>
        <w:rPr>
          <w:noProof/>
        </w:rPr>
        <w:t>Член 16</w:t>
      </w:r>
      <w:r>
        <w:rPr>
          <w:noProof/>
        </w:rPr>
        <w:br/>
      </w:r>
      <w:r>
        <w:rPr>
          <w:b/>
          <w:i w:val="0"/>
          <w:noProof/>
        </w:rPr>
        <w:t>Влизане в сила</w:t>
      </w:r>
    </w:p>
    <w:p w:rsidR="00030C0D" w:rsidRDefault="00986C69">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rsidR="00030C0D" w:rsidRDefault="00986C69">
      <w:pPr>
        <w:rPr>
          <w:noProof/>
        </w:rPr>
      </w:pPr>
      <w:r>
        <w:rPr>
          <w:noProof/>
        </w:rPr>
        <w:t xml:space="preserve">Той се прилага от 1 януари 2017 г. </w:t>
      </w:r>
    </w:p>
    <w:p w:rsidR="00030C0D" w:rsidRDefault="00986C69">
      <w:pPr>
        <w:rPr>
          <w:noProof/>
        </w:rPr>
      </w:pPr>
      <w:r>
        <w:rPr>
          <w:noProof/>
        </w:rPr>
        <w:t>Член 3, параграф 1, буква а) се прилага обаче</w:t>
      </w:r>
      <w:r>
        <w:rPr>
          <w:noProof/>
        </w:rPr>
        <w:t xml:space="preserve"> от 1 януари 2019 г.</w:t>
      </w:r>
    </w:p>
    <w:p w:rsidR="00030C0D" w:rsidRDefault="00986C69">
      <w:pPr>
        <w:pStyle w:val="Applicationdirecte"/>
        <w:rPr>
          <w:noProof/>
        </w:rPr>
      </w:pPr>
      <w:r>
        <w:rPr>
          <w:noProof/>
        </w:rPr>
        <w:t>Настоящият регламент е задължителен в своята цялост и се прилага пряко във всички държави членки.</w:t>
      </w:r>
    </w:p>
    <w:p w:rsidR="00030C0D" w:rsidRDefault="00986C69">
      <w:pPr>
        <w:pStyle w:val="Fait"/>
        <w:rPr>
          <w:noProof/>
        </w:rPr>
      </w:pPr>
      <w:r>
        <w:rPr>
          <w:noProof/>
        </w:rPr>
        <w:t>Съставено в Брюксел на  година.</w:t>
      </w:r>
    </w:p>
    <w:p w:rsidR="00030C0D" w:rsidRDefault="00986C69">
      <w:pPr>
        <w:pStyle w:val="Institutionquisigne"/>
        <w:rPr>
          <w:noProof/>
        </w:rPr>
      </w:pPr>
      <w:r>
        <w:rPr>
          <w:noProof/>
        </w:rPr>
        <w:t>За Европейския парламент</w:t>
      </w:r>
      <w:r>
        <w:rPr>
          <w:noProof/>
        </w:rPr>
        <w:tab/>
        <w:t>За Съвета</w:t>
      </w:r>
    </w:p>
    <w:p w:rsidR="00030C0D" w:rsidRDefault="00986C69">
      <w:pPr>
        <w:pStyle w:val="Personnequisigne"/>
        <w:rPr>
          <w:noProof/>
        </w:rPr>
        <w:sectPr w:rsidR="00030C0D" w:rsidSect="00986C69">
          <w:pgSz w:w="11907" w:h="16839"/>
          <w:pgMar w:top="1134" w:right="1417" w:bottom="1134" w:left="1417" w:header="709" w:footer="709" w:gutter="0"/>
          <w:cols w:space="720"/>
          <w:docGrid w:linePitch="360"/>
        </w:sectPr>
      </w:pPr>
      <w:r>
        <w:rPr>
          <w:noProof/>
        </w:rPr>
        <w:t>Председател</w:t>
      </w:r>
      <w:r>
        <w:rPr>
          <w:noProof/>
        </w:rPr>
        <w:tab/>
        <w:t>Председател</w:t>
      </w:r>
    </w:p>
    <w:p w:rsidR="00030C0D" w:rsidRDefault="00986C69">
      <w:pPr>
        <w:pStyle w:val="Fichefinanciretitre"/>
        <w:rPr>
          <w:noProof/>
        </w:rPr>
      </w:pPr>
      <w:r>
        <w:rPr>
          <w:noProof/>
        </w:rPr>
        <w:t xml:space="preserve">ЗАКОНОДАТЕЛНА ФИНАНСОВА </w:t>
      </w:r>
      <w:r>
        <w:rPr>
          <w:noProof/>
        </w:rPr>
        <w:t>ОБОСНОВКА</w:t>
      </w:r>
    </w:p>
    <w:p w:rsidR="00030C0D" w:rsidRDefault="00986C69">
      <w:pPr>
        <w:pStyle w:val="ManualHeading1"/>
        <w:rPr>
          <w:noProof/>
        </w:rPr>
      </w:pPr>
      <w:r>
        <w:rPr>
          <w:noProof/>
        </w:rPr>
        <w:t>1.</w:t>
      </w:r>
      <w:r>
        <w:rPr>
          <w:noProof/>
        </w:rPr>
        <w:tab/>
        <w:t xml:space="preserve">РАМКА НА ПРЕДЛОЖЕНИЕТО/ИНИЦИАТИВАТА </w:t>
      </w:r>
    </w:p>
    <w:p w:rsidR="00030C0D" w:rsidRDefault="00986C69">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rsidR="00030C0D" w:rsidRDefault="00986C69">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rsidR="00030C0D" w:rsidRDefault="00986C69">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rsidR="00030C0D" w:rsidRDefault="00986C69">
      <w:pPr>
        <w:pStyle w:val="ManualHeading2"/>
        <w:rPr>
          <w:b w:val="0"/>
          <w:noProof/>
        </w:rPr>
      </w:pPr>
      <w:r>
        <w:rPr>
          <w:noProof/>
        </w:rPr>
        <w:tab/>
      </w:r>
      <w:r>
        <w:rPr>
          <w:b w:val="0"/>
          <w:noProof/>
        </w:rPr>
        <w:t>1.4.</w:t>
      </w:r>
      <w:r>
        <w:rPr>
          <w:noProof/>
        </w:rPr>
        <w:tab/>
      </w:r>
      <w:r>
        <w:rPr>
          <w:b w:val="0"/>
          <w:noProof/>
        </w:rPr>
        <w:t xml:space="preserve">Цел(и) </w:t>
      </w:r>
    </w:p>
    <w:p w:rsidR="00030C0D" w:rsidRDefault="00986C69">
      <w:pPr>
        <w:pStyle w:val="ManualHeading2"/>
        <w:rPr>
          <w:b w:val="0"/>
          <w:noProof/>
        </w:rPr>
      </w:pPr>
      <w:r>
        <w:rPr>
          <w:noProof/>
        </w:rPr>
        <w:tab/>
      </w:r>
      <w:r>
        <w:rPr>
          <w:b w:val="0"/>
          <w:noProof/>
        </w:rPr>
        <w:t>1.5.</w:t>
      </w:r>
      <w:r>
        <w:rPr>
          <w:noProof/>
        </w:rPr>
        <w:tab/>
      </w:r>
      <w:r>
        <w:rPr>
          <w:b w:val="0"/>
          <w:noProof/>
        </w:rPr>
        <w:t>Мотиви за предложението/иници</w:t>
      </w:r>
      <w:r>
        <w:rPr>
          <w:b w:val="0"/>
          <w:noProof/>
        </w:rPr>
        <w:t xml:space="preserve">ативата </w:t>
      </w:r>
    </w:p>
    <w:p w:rsidR="00030C0D" w:rsidRDefault="00986C69">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rsidR="00030C0D" w:rsidRDefault="00986C69">
      <w:pPr>
        <w:pStyle w:val="ManualHeading2"/>
        <w:rPr>
          <w:b w:val="0"/>
          <w:noProof/>
        </w:rPr>
      </w:pPr>
      <w:r>
        <w:rPr>
          <w:noProof/>
        </w:rPr>
        <w:tab/>
      </w:r>
      <w:r>
        <w:rPr>
          <w:b w:val="0"/>
          <w:noProof/>
        </w:rPr>
        <w:t>1.7.</w:t>
      </w:r>
      <w:r>
        <w:rPr>
          <w:noProof/>
        </w:rPr>
        <w:tab/>
      </w:r>
      <w:r>
        <w:rPr>
          <w:b w:val="0"/>
          <w:noProof/>
        </w:rPr>
        <w:t xml:space="preserve">Планирани методи за управление </w:t>
      </w:r>
    </w:p>
    <w:p w:rsidR="00030C0D" w:rsidRDefault="00986C69">
      <w:pPr>
        <w:pStyle w:val="ManualHeading1"/>
        <w:rPr>
          <w:noProof/>
        </w:rPr>
      </w:pPr>
      <w:r>
        <w:rPr>
          <w:noProof/>
        </w:rPr>
        <w:t>2.</w:t>
      </w:r>
      <w:r>
        <w:rPr>
          <w:noProof/>
        </w:rPr>
        <w:tab/>
        <w:t xml:space="preserve">МЕРКИ ЗА УПРАВЛЕНИЕ </w:t>
      </w:r>
    </w:p>
    <w:p w:rsidR="00030C0D" w:rsidRDefault="00986C69">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rsidR="00030C0D" w:rsidRDefault="00986C69">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rsidR="00030C0D" w:rsidRDefault="00986C69">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rsidR="00030C0D" w:rsidRDefault="00986C69">
      <w:pPr>
        <w:pStyle w:val="ManualHeading1"/>
        <w:rPr>
          <w:noProof/>
        </w:rPr>
      </w:pPr>
      <w:r>
        <w:rPr>
          <w:noProof/>
        </w:rPr>
        <w:t>3.</w:t>
      </w:r>
      <w:r>
        <w:rPr>
          <w:noProof/>
        </w:rPr>
        <w:tab/>
      </w:r>
      <w:r>
        <w:rPr>
          <w:noProof/>
        </w:rPr>
        <w:t xml:space="preserve">ОЧАКВАНО ФИНАНСОВО ОТРАЖЕНИЕ НА ПРЕДЛОЖЕНИЕТО/ИНИЦИАТИВАТА </w:t>
      </w:r>
    </w:p>
    <w:p w:rsidR="00030C0D" w:rsidRDefault="00986C69">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rsidR="00030C0D" w:rsidRDefault="00986C69">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rsidR="00030C0D" w:rsidRDefault="00986C69">
      <w:pPr>
        <w:pStyle w:val="ManualHeading3"/>
        <w:rPr>
          <w:noProof/>
        </w:rPr>
      </w:pPr>
      <w:r>
        <w:rPr>
          <w:noProof/>
        </w:rPr>
        <w:tab/>
        <w:t>3.2.1.</w:t>
      </w:r>
      <w:r>
        <w:rPr>
          <w:noProof/>
        </w:rPr>
        <w:tab/>
        <w:t xml:space="preserve">Обобщение на очакваното отражение върху разходите </w:t>
      </w:r>
    </w:p>
    <w:p w:rsidR="00030C0D" w:rsidRDefault="00986C69">
      <w:pPr>
        <w:pStyle w:val="ManualHeading3"/>
        <w:rPr>
          <w:noProof/>
        </w:rPr>
      </w:pPr>
      <w:r>
        <w:rPr>
          <w:noProof/>
        </w:rPr>
        <w:tab/>
        <w:t>3.2.2.</w:t>
      </w:r>
      <w:r>
        <w:rPr>
          <w:noProof/>
        </w:rPr>
        <w:tab/>
        <w:t>О</w:t>
      </w:r>
      <w:r>
        <w:rPr>
          <w:noProof/>
        </w:rPr>
        <w:t xml:space="preserve">чаквано отражение върху бюджетните кредити за оперативни разходи </w:t>
      </w:r>
    </w:p>
    <w:p w:rsidR="00030C0D" w:rsidRDefault="00986C69">
      <w:pPr>
        <w:pStyle w:val="ManualHeading3"/>
        <w:rPr>
          <w:noProof/>
        </w:rPr>
      </w:pPr>
      <w:r>
        <w:rPr>
          <w:noProof/>
        </w:rPr>
        <w:tab/>
        <w:t>3.2.3.</w:t>
      </w:r>
      <w:r>
        <w:rPr>
          <w:noProof/>
        </w:rPr>
        <w:tab/>
        <w:t>Очаквано отражение върху бюджетните кредити за административни разходи</w:t>
      </w:r>
    </w:p>
    <w:p w:rsidR="00030C0D" w:rsidRDefault="00986C69">
      <w:pPr>
        <w:pStyle w:val="ManualHeading3"/>
        <w:rPr>
          <w:noProof/>
        </w:rPr>
      </w:pPr>
      <w:r>
        <w:rPr>
          <w:noProof/>
        </w:rPr>
        <w:tab/>
        <w:t>3.2.4.</w:t>
      </w:r>
      <w:r>
        <w:rPr>
          <w:noProof/>
        </w:rPr>
        <w:tab/>
        <w:t>Съвместимост с настоящата многогодишна финансова рамка</w:t>
      </w:r>
    </w:p>
    <w:p w:rsidR="00030C0D" w:rsidRDefault="00986C69">
      <w:pPr>
        <w:pStyle w:val="ManualHeading3"/>
        <w:rPr>
          <w:noProof/>
        </w:rPr>
      </w:pPr>
      <w:r>
        <w:rPr>
          <w:noProof/>
        </w:rPr>
        <w:tab/>
        <w:t>3.2.5.</w:t>
      </w:r>
      <w:r>
        <w:rPr>
          <w:noProof/>
        </w:rPr>
        <w:tab/>
        <w:t>Участие на трети страни във финансиранет</w:t>
      </w:r>
      <w:r>
        <w:rPr>
          <w:noProof/>
        </w:rPr>
        <w:t xml:space="preserve">о </w:t>
      </w:r>
    </w:p>
    <w:p w:rsidR="00030C0D" w:rsidRDefault="00986C69">
      <w:pPr>
        <w:pStyle w:val="ManualHeading2"/>
        <w:jc w:val="left"/>
        <w:rPr>
          <w:b w:val="0"/>
          <w:noProof/>
        </w:rPr>
        <w:sectPr w:rsidR="00030C0D">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rsidR="00030C0D" w:rsidRDefault="00986C69">
      <w:pPr>
        <w:jc w:val="center"/>
        <w:rPr>
          <w:noProof/>
        </w:rPr>
      </w:pPr>
      <w:r>
        <w:rPr>
          <w:b/>
          <w:noProof/>
          <w:u w:val="single"/>
        </w:rPr>
        <w:t>ЗАКОНОДАТЕЛНА ФИНАНСОВА ОБОСНОВКА</w:t>
      </w:r>
    </w:p>
    <w:p w:rsidR="00030C0D" w:rsidRDefault="00986C69">
      <w:pPr>
        <w:pStyle w:val="ManualHeading1"/>
        <w:rPr>
          <w:noProof/>
        </w:rPr>
      </w:pPr>
      <w:r>
        <w:rPr>
          <w:noProof/>
        </w:rPr>
        <w:t>1.</w:t>
      </w:r>
      <w:r>
        <w:rPr>
          <w:noProof/>
        </w:rPr>
        <w:tab/>
        <w:t xml:space="preserve">РАМКА НА ПРЕДЛОЖЕНИЕТО/ИНИЦИАТИВАТА </w:t>
      </w:r>
    </w:p>
    <w:p w:rsidR="00030C0D" w:rsidRDefault="00986C69">
      <w:pPr>
        <w:pStyle w:val="ManualHeading2"/>
        <w:rPr>
          <w:noProof/>
        </w:rPr>
      </w:pPr>
      <w:r>
        <w:rPr>
          <w:noProof/>
        </w:rPr>
        <w:t>1.1.</w:t>
      </w:r>
      <w:r>
        <w:rPr>
          <w:noProof/>
        </w:rPr>
        <w:tab/>
        <w:t xml:space="preserve">Наименование на предложението/инициативата </w:t>
      </w:r>
    </w:p>
    <w:p w:rsidR="00030C0D" w:rsidRDefault="00986C69">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за о</w:t>
      </w:r>
      <w:r>
        <w:rPr>
          <w:noProof/>
        </w:rPr>
        <w:t>пределяне на нормативна рамка за етикетиране на енергийната ефективност и за отмяна на Директива 2010/30/ЕС</w:t>
      </w:r>
    </w:p>
    <w:p w:rsidR="00030C0D" w:rsidRDefault="00986C69">
      <w:pPr>
        <w:pStyle w:val="ManualHeading2"/>
        <w:rPr>
          <w:noProof/>
          <w:szCs w:val="24"/>
        </w:rPr>
      </w:pPr>
      <w:r>
        <w:rPr>
          <w:noProof/>
        </w:rPr>
        <w:t>1.2.</w:t>
      </w:r>
      <w:r>
        <w:rPr>
          <w:noProof/>
        </w:rPr>
        <w:tab/>
        <w:t>Съответни области на политиката в структурата на УД/БД</w:t>
      </w:r>
      <w:r>
        <w:rPr>
          <w:rStyle w:val="FootnoteReference"/>
          <w:noProof/>
        </w:rPr>
        <w:footnoteReference w:id="23"/>
      </w:r>
      <w:r>
        <w:rPr>
          <w:i/>
          <w:noProof/>
        </w:rPr>
        <w:t xml:space="preserve"> </w:t>
      </w:r>
    </w:p>
    <w:p w:rsidR="00030C0D" w:rsidRDefault="00986C69">
      <w:pPr>
        <w:pStyle w:val="Text1"/>
        <w:pBdr>
          <w:top w:val="single" w:sz="4" w:space="1" w:color="auto"/>
          <w:left w:val="single" w:sz="4" w:space="4" w:color="auto"/>
          <w:bottom w:val="single" w:sz="4" w:space="1" w:color="auto"/>
          <w:right w:val="single" w:sz="4" w:space="4" w:color="auto"/>
        </w:pBdr>
        <w:rPr>
          <w:noProof/>
        </w:rPr>
      </w:pPr>
      <w:r>
        <w:rPr>
          <w:noProof/>
        </w:rPr>
        <w:t>Дял 32 — Енергетика</w:t>
      </w:r>
    </w:p>
    <w:p w:rsidR="00030C0D" w:rsidRDefault="00986C69">
      <w:pPr>
        <w:pStyle w:val="Text1"/>
        <w:pBdr>
          <w:top w:val="single" w:sz="4" w:space="1" w:color="auto"/>
          <w:left w:val="single" w:sz="4" w:space="4" w:color="auto"/>
          <w:bottom w:val="single" w:sz="4" w:space="1" w:color="auto"/>
          <w:right w:val="single" w:sz="4" w:space="4" w:color="auto"/>
        </w:pBdr>
        <w:rPr>
          <w:noProof/>
        </w:rPr>
      </w:pPr>
      <w:r>
        <w:rPr>
          <w:noProof/>
        </w:rPr>
        <w:t>32 04 „Хоризонт 2020“ – Научни изследвания и иновации във връзка с</w:t>
      </w:r>
      <w:r>
        <w:rPr>
          <w:noProof/>
        </w:rPr>
        <w:t xml:space="preserve"> енергетиката</w:t>
      </w:r>
    </w:p>
    <w:p w:rsidR="00030C0D" w:rsidRDefault="00986C69">
      <w:pPr>
        <w:pStyle w:val="ManualHeading2"/>
        <w:rPr>
          <w:bCs/>
          <w:noProof/>
          <w:szCs w:val="24"/>
        </w:rPr>
      </w:pPr>
      <w:r>
        <w:rPr>
          <w:noProof/>
        </w:rPr>
        <w:t>1.3.</w:t>
      </w:r>
      <w:r>
        <w:rPr>
          <w:noProof/>
        </w:rPr>
        <w:tab/>
        <w:t xml:space="preserve">Естество на предложението/инициативата </w:t>
      </w:r>
    </w:p>
    <w:p w:rsidR="00030C0D" w:rsidRDefault="00986C69">
      <w:pPr>
        <w:pStyle w:val="Text1"/>
        <w:rPr>
          <w:noProof/>
          <w:sz w:val="22"/>
        </w:rPr>
      </w:pPr>
      <w:r>
        <w:rPr>
          <w:noProof/>
        </w:rPr>
        <w:t>Предложението/инициативата е във връзка с продължаване на съществуваща дейност</w:t>
      </w:r>
      <w:r>
        <w:rPr>
          <w:noProof/>
          <w:sz w:val="22"/>
        </w:rPr>
        <w:t xml:space="preserve"> </w:t>
      </w:r>
    </w:p>
    <w:p w:rsidR="00030C0D" w:rsidRDefault="00986C69">
      <w:pPr>
        <w:pStyle w:val="ManualHeading2"/>
        <w:rPr>
          <w:bCs/>
          <w:noProof/>
          <w:szCs w:val="24"/>
        </w:rPr>
      </w:pPr>
      <w:r>
        <w:rPr>
          <w:noProof/>
        </w:rPr>
        <w:t>1.4.</w:t>
      </w:r>
      <w:r>
        <w:rPr>
          <w:noProof/>
        </w:rPr>
        <w:tab/>
        <w:t>Цел(и)</w:t>
      </w:r>
    </w:p>
    <w:p w:rsidR="00030C0D" w:rsidRDefault="00986C69">
      <w:pPr>
        <w:pStyle w:val="ManualHeading3"/>
        <w:rPr>
          <w:noProof/>
        </w:rPr>
      </w:pPr>
      <w:r>
        <w:rPr>
          <w:noProof/>
        </w:rPr>
        <w:t>1.4.1.</w:t>
      </w:r>
      <w:r>
        <w:rPr>
          <w:noProof/>
        </w:rPr>
        <w:tab/>
        <w:t>Многогодишни стратегически цели на Комисията, за чието изпълнение е предназначено предложението/ин</w:t>
      </w:r>
      <w:r>
        <w:rPr>
          <w:noProof/>
        </w:rPr>
        <w:t xml:space="preserve">ициативата </w:t>
      </w:r>
    </w:p>
    <w:p w:rsidR="00030C0D" w:rsidRDefault="00986C69">
      <w:pPr>
        <w:pStyle w:val="Text1"/>
        <w:pBdr>
          <w:top w:val="single" w:sz="4" w:space="1" w:color="auto"/>
          <w:left w:val="single" w:sz="4" w:space="4" w:color="auto"/>
          <w:bottom w:val="single" w:sz="4" w:space="1" w:color="auto"/>
          <w:right w:val="single" w:sz="4" w:space="4" w:color="auto"/>
        </w:pBdr>
        <w:rPr>
          <w:noProof/>
        </w:rPr>
      </w:pPr>
      <w:r>
        <w:rPr>
          <w:noProof/>
        </w:rPr>
        <w:t>Енергиен съюз</w:t>
      </w:r>
    </w:p>
    <w:p w:rsidR="00030C0D" w:rsidRDefault="00986C69">
      <w:pPr>
        <w:pStyle w:val="ManualHeading3"/>
        <w:rPr>
          <w:bCs/>
          <w:noProof/>
          <w:szCs w:val="24"/>
        </w:rPr>
      </w:pPr>
      <w:r>
        <w:rPr>
          <w:noProof/>
        </w:rPr>
        <w:t>1.4.2.</w:t>
      </w:r>
      <w:r>
        <w:rPr>
          <w:noProof/>
        </w:rPr>
        <w:tab/>
        <w:t xml:space="preserve">Конкретни цели и съответни дейности във връзка с УД/БД </w:t>
      </w:r>
    </w:p>
    <w:p w:rsidR="00030C0D" w:rsidRDefault="00986C69">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w:t>
      </w:r>
    </w:p>
    <w:p w:rsidR="00030C0D" w:rsidRDefault="00986C69">
      <w:pPr>
        <w:pStyle w:val="Text1"/>
        <w:pBdr>
          <w:top w:val="single" w:sz="4" w:space="1" w:color="auto"/>
          <w:left w:val="single" w:sz="4" w:space="4" w:color="auto"/>
          <w:bottom w:val="single" w:sz="4" w:space="1" w:color="auto"/>
          <w:right w:val="single" w:sz="4" w:space="4" w:color="auto"/>
        </w:pBdr>
        <w:rPr>
          <w:noProof/>
          <w:highlight w:val="yellow"/>
        </w:rPr>
      </w:pPr>
      <w:r>
        <w:rPr>
          <w:noProof/>
        </w:rPr>
        <w:t>Насърчаване на по-умерено енергопотребление.</w:t>
      </w:r>
    </w:p>
    <w:p w:rsidR="00030C0D" w:rsidRDefault="00986C69">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rsidR="00030C0D" w:rsidRDefault="00986C69">
      <w:pPr>
        <w:pStyle w:val="Text1"/>
        <w:pBdr>
          <w:top w:val="single" w:sz="4" w:space="1" w:color="auto"/>
          <w:left w:val="single" w:sz="4" w:space="4" w:color="auto"/>
          <w:bottom w:val="single" w:sz="4" w:space="1" w:color="auto"/>
          <w:right w:val="single" w:sz="4" w:space="4" w:color="auto"/>
        </w:pBdr>
        <w:rPr>
          <w:noProof/>
        </w:rPr>
      </w:pPr>
      <w:r>
        <w:rPr>
          <w:noProof/>
        </w:rPr>
        <w:t xml:space="preserve">БД 2 Научно-изследователски и иновационни дейности във връзка с </w:t>
      </w:r>
      <w:r>
        <w:rPr>
          <w:noProof/>
        </w:rPr>
        <w:t>енергетиката</w:t>
      </w:r>
    </w:p>
    <w:p w:rsidR="00030C0D" w:rsidRDefault="00986C69">
      <w:pPr>
        <w:pStyle w:val="ManualHeading3"/>
        <w:rPr>
          <w:bCs/>
          <w:noProof/>
          <w:szCs w:val="24"/>
        </w:rPr>
      </w:pPr>
      <w:r>
        <w:rPr>
          <w:noProof/>
        </w:rPr>
        <w:br w:type="page"/>
        <w:t>1.4.3.</w:t>
      </w:r>
      <w:r>
        <w:rPr>
          <w:noProof/>
        </w:rPr>
        <w:tab/>
        <w:t>Очаквани резултати и отражение</w:t>
      </w:r>
    </w:p>
    <w:p w:rsidR="00030C0D" w:rsidRDefault="00986C69">
      <w:pPr>
        <w:pStyle w:val="Text1"/>
        <w:pBdr>
          <w:top w:val="single" w:sz="4" w:space="1" w:color="auto"/>
          <w:left w:val="single" w:sz="4" w:space="4" w:color="auto"/>
          <w:bottom w:val="single" w:sz="4" w:space="1" w:color="auto"/>
          <w:right w:val="single" w:sz="4" w:space="4" w:color="auto"/>
        </w:pBdr>
        <w:rPr>
          <w:noProof/>
        </w:rPr>
      </w:pPr>
      <w:r>
        <w:rPr>
          <w:noProof/>
        </w:rPr>
        <w:t>Очакваният резултат от настоящата инициатива е подобряване на нормативната рамка за етикетирането на енергийната ефективност в ЕС, която понастоящем не е оптимална по отношение на нейната ефективност за п</w:t>
      </w:r>
      <w:r>
        <w:rPr>
          <w:noProof/>
        </w:rPr>
        <w:t>отребителите, на спазването на изискванията и на степента на амбициозност.</w:t>
      </w:r>
    </w:p>
    <w:p w:rsidR="00030C0D" w:rsidRDefault="00986C69">
      <w:pPr>
        <w:pStyle w:val="Text1"/>
        <w:pBdr>
          <w:top w:val="single" w:sz="4" w:space="1" w:color="auto"/>
          <w:left w:val="single" w:sz="4" w:space="4" w:color="auto"/>
          <w:bottom w:val="single" w:sz="4" w:space="1" w:color="auto"/>
          <w:right w:val="single" w:sz="4" w:space="4" w:color="auto"/>
        </w:pBdr>
        <w:rPr>
          <w:noProof/>
        </w:rPr>
      </w:pPr>
      <w:r>
        <w:rPr>
          <w:noProof/>
        </w:rPr>
        <w:t>Настоящото предложение ще засили защитата на потребителите и другите ползватели на свързаните с енергопотреблението продукти посредством по-ефективни енергийни етикети и по-добро пр</w:t>
      </w:r>
      <w:r>
        <w:rPr>
          <w:noProof/>
        </w:rPr>
        <w:t>авоприлагане.</w:t>
      </w:r>
    </w:p>
    <w:p w:rsidR="00030C0D" w:rsidRDefault="00986C69">
      <w:pPr>
        <w:pStyle w:val="Text1"/>
        <w:pBdr>
          <w:top w:val="single" w:sz="4" w:space="1" w:color="auto"/>
          <w:left w:val="single" w:sz="4" w:space="4" w:color="auto"/>
          <w:bottom w:val="single" w:sz="4" w:space="1" w:color="auto"/>
          <w:right w:val="single" w:sz="4" w:space="4" w:color="auto"/>
        </w:pBdr>
        <w:rPr>
          <w:noProof/>
        </w:rPr>
      </w:pPr>
      <w:r>
        <w:rPr>
          <w:noProof/>
        </w:rPr>
        <w:t>Предложението няма да има въздействие върху стопанските оператори, които ще трябва да продължат да предоставят и излагат енергийни етикети и да предоставят информация за целите на надзора на пазара, макар и във втория случай чрез различни кан</w:t>
      </w:r>
      <w:r>
        <w:rPr>
          <w:noProof/>
        </w:rPr>
        <w:t xml:space="preserve">али.  </w:t>
      </w:r>
    </w:p>
    <w:p w:rsidR="00030C0D" w:rsidRDefault="00986C69">
      <w:pPr>
        <w:pStyle w:val="Text1"/>
        <w:pBdr>
          <w:top w:val="single" w:sz="4" w:space="1" w:color="auto"/>
          <w:left w:val="single" w:sz="4" w:space="4" w:color="auto"/>
          <w:bottom w:val="single" w:sz="4" w:space="1" w:color="auto"/>
          <w:right w:val="single" w:sz="4" w:space="4" w:color="auto"/>
        </w:pBdr>
        <w:rPr>
          <w:noProof/>
        </w:rPr>
      </w:pPr>
      <w:r>
        <w:rPr>
          <w:noProof/>
        </w:rPr>
        <w:t>Предложението ще има въздействие върху националните органи, които ще могат по-добре да изпълняват дейностите си по надзор на пазара.</w:t>
      </w:r>
    </w:p>
    <w:p w:rsidR="00030C0D" w:rsidRDefault="00986C69">
      <w:pPr>
        <w:pStyle w:val="ManualHeading3"/>
        <w:rPr>
          <w:bCs/>
          <w:noProof/>
          <w:szCs w:val="24"/>
        </w:rPr>
      </w:pPr>
      <w:r>
        <w:rPr>
          <w:noProof/>
        </w:rPr>
        <w:t>1.4.4.</w:t>
      </w:r>
      <w:r>
        <w:rPr>
          <w:noProof/>
        </w:rPr>
        <w:tab/>
        <w:t xml:space="preserve">Показатели за резултатите и за отражението </w:t>
      </w:r>
    </w:p>
    <w:p w:rsidR="00030C0D" w:rsidRDefault="00986C69">
      <w:pPr>
        <w:pStyle w:val="Text1"/>
        <w:pBdr>
          <w:top w:val="single" w:sz="4" w:space="1" w:color="auto"/>
          <w:left w:val="single" w:sz="4" w:space="4" w:color="auto"/>
          <w:bottom w:val="single" w:sz="4" w:space="1" w:color="auto"/>
          <w:right w:val="single" w:sz="4" w:space="4" w:color="auto"/>
        </w:pBdr>
        <w:rPr>
          <w:noProof/>
        </w:rPr>
      </w:pPr>
      <w:r>
        <w:rPr>
          <w:noProof/>
        </w:rPr>
        <w:t>Дял на продуктите от клас А, клас В и т.н. според скалата на енер</w:t>
      </w:r>
      <w:r>
        <w:rPr>
          <w:noProof/>
        </w:rPr>
        <w:t>гийния етикет</w:t>
      </w:r>
    </w:p>
    <w:p w:rsidR="00030C0D" w:rsidRDefault="00986C69">
      <w:pPr>
        <w:pStyle w:val="Text1"/>
        <w:pBdr>
          <w:top w:val="single" w:sz="4" w:space="1" w:color="auto"/>
          <w:left w:val="single" w:sz="4" w:space="4" w:color="auto"/>
          <w:bottom w:val="single" w:sz="4" w:space="1" w:color="auto"/>
          <w:right w:val="single" w:sz="4" w:space="4" w:color="auto"/>
        </w:pBdr>
        <w:rPr>
          <w:noProof/>
        </w:rPr>
      </w:pPr>
      <w:r>
        <w:rPr>
          <w:noProof/>
        </w:rPr>
        <w:t>Дял на несъответстващите на изискванията продукти, открити при надзора на пазара</w:t>
      </w:r>
    </w:p>
    <w:p w:rsidR="00030C0D" w:rsidRDefault="00986C69">
      <w:pPr>
        <w:pStyle w:val="ManualHeading2"/>
        <w:rPr>
          <w:bCs/>
          <w:noProof/>
          <w:szCs w:val="24"/>
        </w:rPr>
      </w:pPr>
      <w:r>
        <w:rPr>
          <w:noProof/>
        </w:rPr>
        <w:t>1.5.</w:t>
      </w:r>
      <w:r>
        <w:rPr>
          <w:noProof/>
        </w:rPr>
        <w:tab/>
        <w:t xml:space="preserve">Мотиви за предложението/инициативата </w:t>
      </w:r>
    </w:p>
    <w:p w:rsidR="00030C0D" w:rsidRDefault="00986C69">
      <w:pPr>
        <w:pStyle w:val="ManualHeading3"/>
        <w:rPr>
          <w:noProof/>
        </w:rPr>
      </w:pPr>
      <w:r>
        <w:rPr>
          <w:noProof/>
        </w:rPr>
        <w:t>1.5.1.</w:t>
      </w:r>
      <w:r>
        <w:rPr>
          <w:noProof/>
        </w:rPr>
        <w:tab/>
        <w:t xml:space="preserve">Нужди, които трябва да бъдат задоволени в краткосрочен или дългосрочен план </w:t>
      </w:r>
    </w:p>
    <w:p w:rsidR="00030C0D" w:rsidRDefault="00986C69">
      <w:pPr>
        <w:pStyle w:val="Text1"/>
        <w:pBdr>
          <w:top w:val="single" w:sz="4" w:space="1" w:color="auto"/>
          <w:left w:val="single" w:sz="4" w:space="4" w:color="auto"/>
          <w:bottom w:val="single" w:sz="4" w:space="1" w:color="auto"/>
          <w:right w:val="single" w:sz="4" w:space="4" w:color="auto"/>
        </w:pBdr>
        <w:rPr>
          <w:noProof/>
        </w:rPr>
      </w:pPr>
      <w:r>
        <w:rPr>
          <w:noProof/>
        </w:rPr>
        <w:t>Генералната цел на настоящата иниц</w:t>
      </w:r>
      <w:r>
        <w:rPr>
          <w:noProof/>
        </w:rPr>
        <w:t>иатива е да се осигури функционирането на вътрешноевропейския пазар посредством свободно движение на стоки, осигуряващи висока степен на защита на околната среда и на потребителите.</w:t>
      </w:r>
    </w:p>
    <w:p w:rsidR="00030C0D" w:rsidRDefault="00986C69">
      <w:pPr>
        <w:pStyle w:val="ManualHeading3"/>
        <w:rPr>
          <w:bCs/>
          <w:noProof/>
          <w:szCs w:val="24"/>
        </w:rPr>
      </w:pPr>
      <w:r>
        <w:rPr>
          <w:noProof/>
        </w:rPr>
        <w:t>1.5.2.</w:t>
      </w:r>
      <w:r>
        <w:rPr>
          <w:noProof/>
        </w:rPr>
        <w:tab/>
        <w:t>Добавена стойност от намесата на ЕС</w:t>
      </w:r>
    </w:p>
    <w:p w:rsidR="00030C0D" w:rsidRDefault="00986C69">
      <w:pPr>
        <w:pStyle w:val="Text1"/>
        <w:pBdr>
          <w:top w:val="single" w:sz="4" w:space="1" w:color="auto"/>
          <w:left w:val="single" w:sz="4" w:space="4" w:color="auto"/>
          <w:bottom w:val="single" w:sz="4" w:space="1" w:color="auto"/>
          <w:right w:val="single" w:sz="4" w:space="4" w:color="auto"/>
        </w:pBdr>
        <w:rPr>
          <w:noProof/>
        </w:rPr>
      </w:pPr>
      <w:r>
        <w:rPr>
          <w:noProof/>
        </w:rPr>
        <w:t>Целта да се намалят отрицателни</w:t>
      </w:r>
      <w:r>
        <w:rPr>
          <w:noProof/>
        </w:rPr>
        <w:t>те въздействия на продуктите върху околната среда, и по-специално да се намали използването на енергия, не може да бъде постигната в достатъчна степен от държавите членки, защото това би довело до различаващи се национални разпоредби и процедури (макар и и</w:t>
      </w:r>
      <w:r>
        <w:rPr>
          <w:noProof/>
        </w:rPr>
        <w:t>мащи подобни цели), които биха породили излишни разходи за промишлеността (и евентуално за потребителите) и биха представлявали препятствия за свободното движение на стоки в ЕС. Само чрез хармонизирани правила на ЕС за енергийното етикетиране и съответни и</w:t>
      </w:r>
      <w:r>
        <w:rPr>
          <w:noProof/>
        </w:rPr>
        <w:t>змервания и изпитвания може да се осигури щото един и същ модел продукт да има еднакъв публикуван енергиен клас навсякъде в ЕС.</w:t>
      </w:r>
    </w:p>
    <w:p w:rsidR="00030C0D" w:rsidRDefault="00986C69">
      <w:pPr>
        <w:pStyle w:val="Text1"/>
        <w:pBdr>
          <w:top w:val="single" w:sz="4" w:space="1" w:color="auto"/>
          <w:left w:val="single" w:sz="4" w:space="4" w:color="auto"/>
          <w:bottom w:val="single" w:sz="4" w:space="1" w:color="auto"/>
          <w:right w:val="single" w:sz="4" w:space="4" w:color="auto"/>
        </w:pBdr>
        <w:rPr>
          <w:noProof/>
        </w:rPr>
      </w:pPr>
      <w:r>
        <w:rPr>
          <w:noProof/>
        </w:rPr>
        <w:t>В отсъствието на нормативна уредба на ЕС вероятно всички държави членки биха въвели енергийни етикети за някои групи продукти, п</w:t>
      </w:r>
      <w:r>
        <w:rPr>
          <w:noProof/>
        </w:rPr>
        <w:t>о съображения за защита на потребителите и за постигане на икономии на енергия. Предприемането на действие на равнището на ЕС е единственият начин да се осигури еквивалентност на етикетите за продуктите във всички държави членки, което служи за осигуряване</w:t>
      </w:r>
      <w:r>
        <w:rPr>
          <w:noProof/>
        </w:rPr>
        <w:t xml:space="preserve"> на функционирането на вътрешноевропейския пазар, съгласно посоченото в член 26 от Договора за функционирането на Европейския съюз.</w:t>
      </w:r>
    </w:p>
    <w:p w:rsidR="00030C0D" w:rsidRDefault="00986C69">
      <w:pPr>
        <w:pStyle w:val="ManualHeading3"/>
        <w:rPr>
          <w:bCs/>
          <w:noProof/>
          <w:szCs w:val="24"/>
        </w:rPr>
      </w:pPr>
      <w:r>
        <w:rPr>
          <w:noProof/>
        </w:rPr>
        <w:t>1.5.3.</w:t>
      </w:r>
      <w:r>
        <w:rPr>
          <w:noProof/>
        </w:rPr>
        <w:tab/>
        <w:t>Изводи от подобен опит в миналото</w:t>
      </w:r>
    </w:p>
    <w:p w:rsidR="00030C0D" w:rsidRDefault="00986C69">
      <w:pPr>
        <w:pStyle w:val="Text1"/>
        <w:pBdr>
          <w:top w:val="single" w:sz="4" w:space="1" w:color="auto"/>
          <w:left w:val="single" w:sz="4" w:space="4" w:color="auto"/>
          <w:bottom w:val="single" w:sz="4" w:space="1" w:color="auto"/>
          <w:right w:val="single" w:sz="4" w:space="4" w:color="auto"/>
        </w:pBdr>
        <w:rPr>
          <w:noProof/>
        </w:rPr>
      </w:pPr>
      <w:r>
        <w:rPr>
          <w:noProof/>
        </w:rPr>
        <w:t>При все че ЕС е постигнал единен пазар в областта на енергийните етикети, етикетите</w:t>
      </w:r>
      <w:r>
        <w:rPr>
          <w:noProof/>
        </w:rPr>
        <w:t xml:space="preserve"> се нуждаят от актуализиране, тъй като в резултат от техническия прогрес много модели достигат до най-високите класове и по този начин се губи разграничението между моделите за потребителите. При преразглеждането на Директивата за енергийното етикетиране в</w:t>
      </w:r>
      <w:r>
        <w:rPr>
          <w:noProof/>
        </w:rPr>
        <w:t xml:space="preserve"> 2010 г. към скалата с класове от А до G бяха добавени класовете A+, A++ и A+++ именно с цел да бъде преодолян този проблем. Преразглеждането показа, че тези класове не са така ефективни за потребителите както първоначалната скала от А до G. Поради това, н</w:t>
      </w:r>
      <w:r>
        <w:rPr>
          <w:noProof/>
        </w:rPr>
        <w:t>астоящото предложение е проблемът да бъде решен чрез връщане към етикет със скала от А до G и периодично преобразуване на скалата.</w:t>
      </w:r>
    </w:p>
    <w:p w:rsidR="00030C0D" w:rsidRDefault="00986C69">
      <w:pPr>
        <w:pStyle w:val="Text1"/>
        <w:pBdr>
          <w:top w:val="single" w:sz="4" w:space="1" w:color="auto"/>
          <w:left w:val="single" w:sz="4" w:space="4" w:color="auto"/>
          <w:bottom w:val="single" w:sz="4" w:space="1" w:color="auto"/>
          <w:right w:val="single" w:sz="4" w:space="4" w:color="auto"/>
        </w:pBdr>
        <w:rPr>
          <w:noProof/>
        </w:rPr>
      </w:pPr>
      <w:r>
        <w:rPr>
          <w:noProof/>
        </w:rPr>
        <w:t>Спазването на изискванията за енергийните етикети се проверява от органите за надзор на пазара. При все това, неспазването на</w:t>
      </w:r>
      <w:r>
        <w:rPr>
          <w:noProof/>
        </w:rPr>
        <w:t xml:space="preserve"> тези изисквания все още води до загуба на приблизително 10 % от очакваните икономии на енергия (и съответно икономии на разходи на потребителите). Предложението на Комисията за нов регламент за надзор на пазара (COM(2013)75) е насочено към преодоляването </w:t>
      </w:r>
      <w:r>
        <w:rPr>
          <w:noProof/>
        </w:rPr>
        <w:t>на такива предизвикателства във връзка с хармонизационното законодателство на ЕС за продуктите. Но органите за надзор на пазара в областта на енергийното етикетиране са изправени пред проблеми, които не се решават с цитираното предложение, а именно: своевр</w:t>
      </w:r>
      <w:r>
        <w:rPr>
          <w:noProof/>
        </w:rPr>
        <w:t>еменен достъп до техническа документация, проблеми при идентифицирането на чуждестранни производители и намирането на информация как да се влезе в контакт с тях, липса на централна система за идентифициране на еквивалентни модели, които може вече да са бил</w:t>
      </w:r>
      <w:r>
        <w:rPr>
          <w:noProof/>
        </w:rPr>
        <w:t>и инспектирани от други органи за надзор на пазара. Освен това Комисията се сблъска с трудности по определянето на подходящи изисквания по класовете в етикета за всяка продуктова група поради липсата на неотдавнашни публични данни за енергийните показатели</w:t>
      </w:r>
      <w:r>
        <w:rPr>
          <w:noProof/>
        </w:rPr>
        <w:t xml:space="preserve"> на продуктите. За много продукти праговете за новите енергийни класове A+, A++ и A+++ бяха определени по не толкова амбициозен начин, колкото сега вече се вижда, че е следвало да бъде, което води до необходимост те да бъдат преразгледани по-рано от очаква</w:t>
      </w:r>
      <w:r>
        <w:rPr>
          <w:noProof/>
        </w:rPr>
        <w:t>ното. С оглед да се избягва честото преразглеждане и преобразуване на скалата, от съществено значение е да се разполага с актуални данни. Настоящото предложение е насочено към решаване и на двата посочени проблема чрез създаването на база данни за регистри</w:t>
      </w:r>
      <w:r>
        <w:rPr>
          <w:noProof/>
        </w:rPr>
        <w:t>ране на продуктите, в която производителите да предоставят своите данни за експлоатационните показатели и спазването на изискванията на централно място, достъпно за органите за надзор на пазара и за Комисията.</w:t>
      </w:r>
    </w:p>
    <w:p w:rsidR="00030C0D" w:rsidRDefault="00986C69">
      <w:pPr>
        <w:pStyle w:val="ManualHeading3"/>
        <w:rPr>
          <w:bCs/>
          <w:noProof/>
          <w:szCs w:val="24"/>
        </w:rPr>
      </w:pPr>
      <w:r>
        <w:rPr>
          <w:noProof/>
        </w:rPr>
        <w:t>1.5.4.</w:t>
      </w:r>
      <w:r>
        <w:rPr>
          <w:noProof/>
        </w:rPr>
        <w:tab/>
        <w:t>Съвместимост и евентуална синергия с др</w:t>
      </w:r>
      <w:r>
        <w:rPr>
          <w:noProof/>
        </w:rPr>
        <w:t>уги подходящи инструменти</w:t>
      </w:r>
    </w:p>
    <w:p w:rsidR="00030C0D" w:rsidRDefault="00986C69">
      <w:pPr>
        <w:pStyle w:val="Text1"/>
        <w:pBdr>
          <w:top w:val="single" w:sz="4" w:space="1" w:color="auto"/>
          <w:left w:val="single" w:sz="4" w:space="4" w:color="auto"/>
          <w:bottom w:val="single" w:sz="4" w:space="1" w:color="auto"/>
          <w:right w:val="single" w:sz="4" w:space="4" w:color="auto"/>
        </w:pBdr>
        <w:rPr>
          <w:noProof/>
        </w:rPr>
      </w:pPr>
      <w:r>
        <w:rPr>
          <w:noProof/>
        </w:rPr>
        <w:t>Настоящата инициатива е съгласувана с Директива 2009/125/ЕО, в която са зададени минимално допустими изисквания за свързаните с енергопотреблението продукти, някои от които носят също и енергиен етикет. По-специално, настоящата ин</w:t>
      </w:r>
      <w:r>
        <w:rPr>
          <w:noProof/>
        </w:rPr>
        <w:t>ициатива осигурява общ работен план и процес на консултиране със заинтересованите страни във връзка с работата по нормативните актове за конкретни продукти.</w:t>
      </w:r>
    </w:p>
    <w:p w:rsidR="00030C0D" w:rsidRDefault="00986C69">
      <w:pPr>
        <w:pStyle w:val="Text1"/>
        <w:pBdr>
          <w:top w:val="single" w:sz="4" w:space="1" w:color="auto"/>
          <w:left w:val="single" w:sz="4" w:space="4" w:color="auto"/>
          <w:bottom w:val="single" w:sz="4" w:space="1" w:color="auto"/>
          <w:right w:val="single" w:sz="4" w:space="4" w:color="auto"/>
        </w:pBdr>
        <w:rPr>
          <w:noProof/>
        </w:rPr>
      </w:pPr>
      <w:r>
        <w:rPr>
          <w:noProof/>
        </w:rPr>
        <w:t>Настоящата инициатива е съгласувана с Регламент (ЕО) № 765/2008 относно надзора на пазара, като по-</w:t>
      </w:r>
      <w:r>
        <w:rPr>
          <w:noProof/>
        </w:rPr>
        <w:t>специално са отстранени припокриващите се разпоредби в нормативната уредба за енергийното етикетиране, които вече са включени в регламента относно надзора на пазара по отношение на цялото хармонизационно законодателство на ЕС.</w:t>
      </w:r>
    </w:p>
    <w:p w:rsidR="00030C0D" w:rsidRDefault="00986C69">
      <w:pPr>
        <w:pStyle w:val="Text1"/>
        <w:pBdr>
          <w:top w:val="single" w:sz="4" w:space="1" w:color="auto"/>
          <w:left w:val="single" w:sz="4" w:space="4" w:color="auto"/>
          <w:bottom w:val="single" w:sz="4" w:space="1" w:color="auto"/>
          <w:right w:val="single" w:sz="4" w:space="4" w:color="auto"/>
        </w:pBdr>
        <w:rPr>
          <w:noProof/>
        </w:rPr>
      </w:pPr>
      <w:r>
        <w:rPr>
          <w:noProof/>
        </w:rPr>
        <w:t xml:space="preserve">Предложената база данни за регистриране на продукти дава възможности за синергии с други актове от хармонизационното законодателство на ЕС, по които са създадени или могат да бъдат създадени в бъдеще подобни бази данни (по-специално с Директива 2014/53/ЕС </w:t>
      </w:r>
      <w:r>
        <w:rPr>
          <w:noProof/>
        </w:rPr>
        <w:t xml:space="preserve">за хармонизиране на законодателствата на държавите членки във връзка с предоставянето на пазара на радиосъоръжения). </w:t>
      </w:r>
    </w:p>
    <w:p w:rsidR="00030C0D" w:rsidRDefault="00986C69">
      <w:pPr>
        <w:pStyle w:val="ManualHeading2"/>
        <w:rPr>
          <w:bCs/>
          <w:noProof/>
          <w:szCs w:val="24"/>
        </w:rPr>
      </w:pPr>
      <w:r>
        <w:rPr>
          <w:noProof/>
        </w:rPr>
        <w:br w:type="page"/>
        <w:t>1.6.</w:t>
      </w:r>
      <w:r>
        <w:rPr>
          <w:noProof/>
        </w:rPr>
        <w:tab/>
        <w:t xml:space="preserve">Срок на действие и финансово отражение </w:t>
      </w:r>
    </w:p>
    <w:p w:rsidR="00030C0D" w:rsidRDefault="00986C69">
      <w:pPr>
        <w:pStyle w:val="Text1"/>
        <w:rPr>
          <w:noProof/>
        </w:rPr>
      </w:pPr>
      <w:r>
        <w:rPr>
          <w:noProof/>
        </w:rPr>
        <w:t xml:space="preserve">Предложение/инициатива с </w:t>
      </w:r>
      <w:r>
        <w:rPr>
          <w:b/>
          <w:noProof/>
        </w:rPr>
        <w:t>неограничен срок на действие</w:t>
      </w:r>
    </w:p>
    <w:p w:rsidR="00030C0D" w:rsidRDefault="00986C69">
      <w:pPr>
        <w:pStyle w:val="ListDash1"/>
        <w:rPr>
          <w:noProof/>
        </w:rPr>
      </w:pPr>
      <w:r>
        <w:rPr>
          <w:noProof/>
        </w:rPr>
        <w:t>Осъществяване с период на започване на</w:t>
      </w:r>
      <w:r>
        <w:rPr>
          <w:noProof/>
        </w:rPr>
        <w:t xml:space="preserve"> дейност от 07/2016 г.</w:t>
      </w:r>
    </w:p>
    <w:p w:rsidR="00030C0D" w:rsidRDefault="00986C69">
      <w:pPr>
        <w:pStyle w:val="ListDash1"/>
        <w:rPr>
          <w:noProof/>
        </w:rPr>
      </w:pPr>
      <w:r>
        <w:rPr>
          <w:noProof/>
        </w:rPr>
        <w:t>последван от функциониране с пълен капацитет.</w:t>
      </w:r>
    </w:p>
    <w:p w:rsidR="00030C0D" w:rsidRDefault="00986C69">
      <w:pPr>
        <w:pStyle w:val="ManualHeading2"/>
        <w:rPr>
          <w:bCs/>
          <w:noProof/>
          <w:szCs w:val="24"/>
        </w:rPr>
      </w:pPr>
      <w:r>
        <w:rPr>
          <w:noProof/>
        </w:rPr>
        <w:t>1.7.</w:t>
      </w:r>
      <w:r>
        <w:rPr>
          <w:noProof/>
        </w:rPr>
        <w:tab/>
        <w:t>Планирани методи за управление</w:t>
      </w:r>
      <w:r>
        <w:rPr>
          <w:rStyle w:val="FootnoteReference"/>
          <w:noProof/>
        </w:rPr>
        <w:footnoteReference w:id="24"/>
      </w:r>
      <w:r>
        <w:rPr>
          <w:rStyle w:val="FootnoteReference"/>
          <w:noProof/>
        </w:rPr>
        <w:t xml:space="preserve"> </w:t>
      </w:r>
    </w:p>
    <w:p w:rsidR="00030C0D" w:rsidRDefault="00986C69">
      <w:pPr>
        <w:pStyle w:val="Text1"/>
        <w:rPr>
          <w:noProof/>
        </w:rPr>
      </w:pPr>
      <w:r>
        <w:rPr>
          <w:b/>
          <w:noProof/>
        </w:rPr>
        <w:t>Пряко управление</w:t>
      </w:r>
      <w:r>
        <w:rPr>
          <w:noProof/>
        </w:rPr>
        <w:t xml:space="preserve"> от Комисията</w:t>
      </w:r>
    </w:p>
    <w:p w:rsidR="00030C0D" w:rsidRDefault="00986C69">
      <w:pPr>
        <w:pStyle w:val="ListDash2"/>
        <w:rPr>
          <w:rFonts w:cs="EUAlbertina"/>
          <w:noProof/>
        </w:rPr>
      </w:pPr>
      <w:r>
        <w:rPr>
          <w:noProof/>
        </w:rPr>
        <w:t xml:space="preserve">от нейните служби, включително от нейния персонал в делегациите на Съюза; </w:t>
      </w:r>
    </w:p>
    <w:p w:rsidR="00030C0D" w:rsidRDefault="00986C69">
      <w:pPr>
        <w:rPr>
          <w:noProof/>
        </w:rPr>
      </w:pPr>
      <w:r>
        <w:rPr>
          <w:noProof/>
        </w:rPr>
        <w:t xml:space="preserve">Забележки </w:t>
      </w:r>
    </w:p>
    <w:p w:rsidR="00030C0D" w:rsidRDefault="00986C69">
      <w:pPr>
        <w:pBdr>
          <w:top w:val="single" w:sz="4" w:space="1" w:color="auto"/>
          <w:left w:val="single" w:sz="4" w:space="4" w:color="auto"/>
          <w:bottom w:val="single" w:sz="4" w:space="1" w:color="auto"/>
          <w:right w:val="single" w:sz="4" w:space="4" w:color="auto"/>
        </w:pBdr>
        <w:rPr>
          <w:noProof/>
        </w:rPr>
      </w:pPr>
      <w:r>
        <w:rPr>
          <w:noProof/>
        </w:rPr>
        <w:t>За тази инициатива не са необходи</w:t>
      </w:r>
      <w:r>
        <w:rPr>
          <w:noProof/>
        </w:rPr>
        <w:t>ми допълнителни бюджетни средства. Предложената база данни за регистриране на свързани с енергопотреблението продукти (прогнозният бюджет за която е 1 500 000 евро в 2016 г. плюс разходи за нейното поддържане в размер на 150 000 евро годишно през следващит</w:t>
      </w:r>
      <w:r>
        <w:rPr>
          <w:noProof/>
        </w:rPr>
        <w:t>е години) ще бъде финансирана посредством реприоритизиране на средства, предвидени за прилагане на политиката за енергийна ефективност на продуктите в контекста на тяхното навлизане на пазара и иновацията във връзка с обществените предизвикателства по прог</w:t>
      </w:r>
      <w:r>
        <w:rPr>
          <w:noProof/>
        </w:rPr>
        <w:t>рамата „Хоризонт 2020“ (които по-рано бяха по програмата „Интелигентна енергия — Европа“). Тези ресурси възлизат на 2 500 000 евро в 2015 г. за всички данни за енергийната ефективност на продуктите във връзка с комбинация от политики (включваща енергийното</w:t>
      </w:r>
      <w:r>
        <w:rPr>
          <w:noProof/>
        </w:rPr>
        <w:t xml:space="preserve"> етикетиране, екорпоектирането, етикетът „Energy Star“ и етикетирането на автомобилни гуми). Тези средства включват сума, оценена на около 700 000 евро, за техническа помощ и проучвания в областта на енергийното етикетиране (по-специално за подготвителни п</w:t>
      </w:r>
      <w:r>
        <w:rPr>
          <w:noProof/>
        </w:rPr>
        <w:t xml:space="preserve">роучвания, осигуряващи база за подготовката на нови нормативни документи или за преразглеждане на съществуващи такива) и се очаква да такава сума да продължи да е необходима и през следващите години. В резултат от настоящото предложение от 2017 г. нататък </w:t>
      </w:r>
      <w:r>
        <w:rPr>
          <w:noProof/>
        </w:rPr>
        <w:t>ще бъде необходима допълнителна сума от 300 000 евро годишно за проучвания на разбирането от страна на потребителите на етикетите за конкретни групи продукти, както се предлага в настоящия регламент. Това остава достатъчна възможност в рамките на общите ко</w:t>
      </w:r>
      <w:r>
        <w:rPr>
          <w:noProof/>
        </w:rPr>
        <w:t xml:space="preserve">мбинирани ресурси за политиката за енергийна ефективност на продуктите за покриване на разходите за базата данни за регистриране на продукти. Разполагаемостта на данни в базата данни за регистриране на продукти ще даде възможност за намаление на разходите </w:t>
      </w:r>
      <w:r>
        <w:rPr>
          <w:noProof/>
        </w:rPr>
        <w:t>за подготвителни проучвания във връзка с екопроектирането на продукти, които попадат в обхвата и на енергийното етикетиране, тъй като за тези продукти ще е необходимо по-малко събиране на данни.</w:t>
      </w:r>
    </w:p>
    <w:p w:rsidR="00030C0D" w:rsidRDefault="00986C69">
      <w:pPr>
        <w:pBdr>
          <w:top w:val="single" w:sz="4" w:space="1" w:color="auto"/>
          <w:left w:val="single" w:sz="4" w:space="4" w:color="auto"/>
          <w:bottom w:val="single" w:sz="4" w:space="1" w:color="auto"/>
          <w:right w:val="single" w:sz="4" w:space="4" w:color="auto"/>
        </w:pBdr>
        <w:rPr>
          <w:noProof/>
        </w:rPr>
      </w:pPr>
      <w:r>
        <w:rPr>
          <w:noProof/>
        </w:rPr>
        <w:t xml:space="preserve">Предложеното въздействие върху бюджета попада в пакета, </w:t>
      </w:r>
      <w:r>
        <w:rPr>
          <w:noProof/>
        </w:rPr>
        <w:t>предвиден в дефинираните доходи (ДД) за 2016 г. и във финансовото програмиране за годините 2017—2020 по бюджетен ред 32 04 03 01.</w:t>
      </w:r>
    </w:p>
    <w:p w:rsidR="00030C0D" w:rsidRDefault="00986C69">
      <w:pPr>
        <w:pBdr>
          <w:top w:val="single" w:sz="4" w:space="1" w:color="auto"/>
          <w:left w:val="single" w:sz="4" w:space="4" w:color="auto"/>
          <w:bottom w:val="single" w:sz="4" w:space="1" w:color="auto"/>
          <w:right w:val="single" w:sz="4" w:space="4" w:color="auto"/>
        </w:pBdr>
        <w:rPr>
          <w:noProof/>
        </w:rPr>
      </w:pPr>
      <w:r>
        <w:rPr>
          <w:noProof/>
        </w:rPr>
        <w:t xml:space="preserve">В раздел 3.2.2 горепосочените числа са разгледани в многогодишен контекст. </w:t>
      </w:r>
    </w:p>
    <w:p w:rsidR="00030C0D" w:rsidRDefault="00030C0D">
      <w:pPr>
        <w:pBdr>
          <w:top w:val="single" w:sz="4" w:space="1" w:color="auto"/>
          <w:left w:val="single" w:sz="4" w:space="4" w:color="auto"/>
          <w:bottom w:val="single" w:sz="4" w:space="1" w:color="auto"/>
          <w:right w:val="single" w:sz="4" w:space="4" w:color="auto"/>
        </w:pBdr>
        <w:rPr>
          <w:noProof/>
        </w:rPr>
        <w:sectPr w:rsidR="00030C0D">
          <w:pgSz w:w="11907" w:h="16840" w:code="9"/>
          <w:pgMar w:top="1134" w:right="1418" w:bottom="1134" w:left="1418" w:header="709" w:footer="709" w:gutter="0"/>
          <w:cols w:space="708"/>
          <w:docGrid w:linePitch="360"/>
        </w:sectPr>
      </w:pPr>
    </w:p>
    <w:p w:rsidR="00030C0D" w:rsidRDefault="00986C69">
      <w:pPr>
        <w:pStyle w:val="ManualHeading1"/>
        <w:rPr>
          <w:bCs/>
          <w:noProof/>
          <w:szCs w:val="24"/>
        </w:rPr>
      </w:pPr>
      <w:r>
        <w:rPr>
          <w:noProof/>
        </w:rPr>
        <w:t>2.</w:t>
      </w:r>
      <w:r>
        <w:rPr>
          <w:noProof/>
        </w:rPr>
        <w:tab/>
        <w:t xml:space="preserve">МЕРКИ ЗА УПРАВЛЕНИЕ </w:t>
      </w:r>
    </w:p>
    <w:p w:rsidR="00030C0D" w:rsidRDefault="00986C69">
      <w:pPr>
        <w:pStyle w:val="ManualHeading2"/>
        <w:rPr>
          <w:noProof/>
        </w:rPr>
      </w:pPr>
      <w:r>
        <w:rPr>
          <w:noProof/>
        </w:rPr>
        <w:t>2.</w:t>
      </w:r>
      <w:r>
        <w:rPr>
          <w:noProof/>
        </w:rPr>
        <w:t>1.</w:t>
      </w:r>
      <w:r>
        <w:rPr>
          <w:noProof/>
        </w:rPr>
        <w:tab/>
        <w:t xml:space="preserve">Правила за мониторинг и докладване </w:t>
      </w:r>
    </w:p>
    <w:p w:rsidR="00030C0D" w:rsidRDefault="00986C69">
      <w:pPr>
        <w:pStyle w:val="Text1"/>
        <w:pBdr>
          <w:top w:val="single" w:sz="4" w:space="1" w:color="auto"/>
          <w:left w:val="single" w:sz="4" w:space="4" w:color="auto"/>
          <w:bottom w:val="single" w:sz="4" w:space="1" w:color="auto"/>
          <w:right w:val="single" w:sz="4" w:space="4" w:color="auto"/>
        </w:pBdr>
        <w:rPr>
          <w:noProof/>
        </w:rPr>
      </w:pPr>
      <w:r>
        <w:rPr>
          <w:noProof/>
        </w:rPr>
        <w:t>Платформа за дискусии относно правилното прилагане на предлагания регламент ще бъде консултативният форум.</w:t>
      </w:r>
    </w:p>
    <w:p w:rsidR="00030C0D" w:rsidRDefault="00986C69">
      <w:pPr>
        <w:pStyle w:val="Text1"/>
        <w:pBdr>
          <w:top w:val="single" w:sz="4" w:space="1" w:color="auto"/>
          <w:left w:val="single" w:sz="4" w:space="4" w:color="auto"/>
          <w:bottom w:val="single" w:sz="4" w:space="1" w:color="auto"/>
          <w:right w:val="single" w:sz="4" w:space="4" w:color="auto"/>
        </w:pBdr>
        <w:rPr>
          <w:noProof/>
        </w:rPr>
      </w:pPr>
      <w:r>
        <w:rPr>
          <w:noProof/>
        </w:rPr>
        <w:t xml:space="preserve">В заключителните разпоредби също така се предлага Комисията да изготви оценка и доклад относно прилагането на </w:t>
      </w:r>
      <w:r>
        <w:rPr>
          <w:noProof/>
        </w:rPr>
        <w:t>регламента, осем години след влизането му в сила. В този доклад следва да бъдат идентифицирани възможните проблеми и недостатъци на регламента и той би могъл да е отправна точка за по-нататъшни действия, включително за евентуално предложение за неговото из</w:t>
      </w:r>
      <w:r>
        <w:rPr>
          <w:noProof/>
        </w:rPr>
        <w:t>менение.</w:t>
      </w:r>
    </w:p>
    <w:p w:rsidR="00030C0D" w:rsidRDefault="00986C69">
      <w:pPr>
        <w:pStyle w:val="ManualHeading2"/>
        <w:rPr>
          <w:bCs/>
          <w:noProof/>
          <w:szCs w:val="24"/>
        </w:rPr>
      </w:pPr>
      <w:r>
        <w:rPr>
          <w:noProof/>
        </w:rPr>
        <w:t>2.2.</w:t>
      </w:r>
      <w:r>
        <w:rPr>
          <w:noProof/>
        </w:rPr>
        <w:tab/>
        <w:t xml:space="preserve">Система за управление и контрол </w:t>
      </w:r>
    </w:p>
    <w:p w:rsidR="00030C0D" w:rsidRDefault="00986C69">
      <w:pPr>
        <w:pStyle w:val="ManualHeading3"/>
        <w:rPr>
          <w:noProof/>
        </w:rPr>
      </w:pPr>
      <w:r>
        <w:rPr>
          <w:noProof/>
        </w:rPr>
        <w:t>2.2.1.</w:t>
      </w:r>
      <w:r>
        <w:rPr>
          <w:noProof/>
        </w:rPr>
        <w:tab/>
        <w:t xml:space="preserve">Установени рискове </w:t>
      </w:r>
    </w:p>
    <w:p w:rsidR="00030C0D" w:rsidRDefault="00986C69">
      <w:pPr>
        <w:pStyle w:val="Text1"/>
        <w:pBdr>
          <w:top w:val="single" w:sz="4" w:space="1" w:color="auto"/>
          <w:left w:val="single" w:sz="4" w:space="4" w:color="auto"/>
          <w:bottom w:val="single" w:sz="4" w:space="1" w:color="auto"/>
          <w:right w:val="single" w:sz="4" w:space="4" w:color="auto"/>
        </w:pBdr>
        <w:rPr>
          <w:noProof/>
        </w:rPr>
      </w:pPr>
      <w:r>
        <w:rPr>
          <w:noProof/>
        </w:rPr>
        <w:t>Създаването на база данни за регистриране на продукти, бюджетът за което се оценява на 1 500 000 евро (плюс 150 000 евро годишно за нейното поддържане).</w:t>
      </w:r>
    </w:p>
    <w:p w:rsidR="00030C0D" w:rsidRDefault="00986C69">
      <w:pPr>
        <w:pStyle w:val="Text1"/>
        <w:pBdr>
          <w:top w:val="single" w:sz="4" w:space="1" w:color="auto"/>
          <w:left w:val="single" w:sz="4" w:space="4" w:color="auto"/>
          <w:bottom w:val="single" w:sz="4" w:space="1" w:color="auto"/>
          <w:right w:val="single" w:sz="4" w:space="4" w:color="auto"/>
        </w:pBdr>
        <w:rPr>
          <w:noProof/>
        </w:rPr>
      </w:pPr>
      <w:r>
        <w:rPr>
          <w:noProof/>
        </w:rPr>
        <w:t xml:space="preserve">Рисковете във връзка с </w:t>
      </w:r>
      <w:r>
        <w:rPr>
          <w:noProof/>
        </w:rPr>
        <w:t>функционирането на базата данни за регистриране на продукти са свързани главно с проблеми от областта на информационните технологии, като например възможна повреда на системата и въпроси, свързани с поверителността.</w:t>
      </w:r>
    </w:p>
    <w:p w:rsidR="00030C0D" w:rsidRDefault="00986C69">
      <w:pPr>
        <w:pStyle w:val="ManualHeading3"/>
        <w:rPr>
          <w:bCs/>
          <w:noProof/>
          <w:szCs w:val="24"/>
        </w:rPr>
      </w:pPr>
      <w:r>
        <w:rPr>
          <w:noProof/>
        </w:rPr>
        <w:t>2.2.2.</w:t>
      </w:r>
      <w:r>
        <w:rPr>
          <w:noProof/>
        </w:rPr>
        <w:tab/>
        <w:t>Информация за изградената система</w:t>
      </w:r>
      <w:r>
        <w:rPr>
          <w:noProof/>
        </w:rPr>
        <w:t xml:space="preserve"> за вътрешен контрол</w:t>
      </w:r>
    </w:p>
    <w:p w:rsidR="00030C0D" w:rsidRDefault="00986C69">
      <w:pPr>
        <w:pStyle w:val="Text1"/>
        <w:pBdr>
          <w:top w:val="single" w:sz="4" w:space="1" w:color="auto"/>
          <w:left w:val="single" w:sz="4" w:space="4" w:color="auto"/>
          <w:bottom w:val="single" w:sz="4" w:space="1" w:color="auto"/>
          <w:right w:val="single" w:sz="4" w:space="4" w:color="auto"/>
        </w:pBdr>
        <w:rPr>
          <w:noProof/>
        </w:rPr>
      </w:pPr>
      <w:r>
        <w:rPr>
          <w:noProof/>
        </w:rPr>
        <w:t>Предвидените методи за контрол са определени във Финансовия регламент и в Правилата за прилагане.</w:t>
      </w:r>
    </w:p>
    <w:p w:rsidR="00030C0D" w:rsidRDefault="00986C69">
      <w:pPr>
        <w:pStyle w:val="ManualHeading2"/>
        <w:rPr>
          <w:bCs/>
          <w:noProof/>
          <w:szCs w:val="24"/>
        </w:rPr>
      </w:pPr>
      <w:r>
        <w:rPr>
          <w:noProof/>
        </w:rPr>
        <w:t>2.3.</w:t>
      </w:r>
      <w:r>
        <w:rPr>
          <w:noProof/>
        </w:rPr>
        <w:tab/>
        <w:t xml:space="preserve">Мерки за предотвратяване на измами и нередности </w:t>
      </w:r>
    </w:p>
    <w:p w:rsidR="00030C0D" w:rsidRDefault="00986C69">
      <w:pPr>
        <w:pStyle w:val="Text1"/>
        <w:pBdr>
          <w:top w:val="single" w:sz="4" w:space="1" w:color="auto"/>
          <w:left w:val="single" w:sz="4" w:space="4" w:color="auto"/>
          <w:bottom w:val="single" w:sz="4" w:space="1" w:color="auto"/>
          <w:right w:val="single" w:sz="4" w:space="4" w:color="auto"/>
        </w:pBdr>
        <w:rPr>
          <w:noProof/>
          <w:szCs w:val="24"/>
        </w:rPr>
      </w:pPr>
      <w:r>
        <w:rPr>
          <w:noProof/>
        </w:rPr>
        <w:t>Не се предвиждат специфични мерки, различни от прилагането на Финансовия регламент.</w:t>
      </w:r>
    </w:p>
    <w:p w:rsidR="00030C0D" w:rsidRDefault="00986C69">
      <w:pPr>
        <w:pStyle w:val="ManualHeading1"/>
        <w:rPr>
          <w:bCs/>
          <w:noProof/>
          <w:szCs w:val="24"/>
        </w:rPr>
      </w:pPr>
      <w:r>
        <w:rPr>
          <w:noProof/>
        </w:rPr>
        <w:t>3.</w:t>
      </w:r>
      <w:r>
        <w:rPr>
          <w:noProof/>
        </w:rPr>
        <w:tab/>
        <w:t xml:space="preserve">ОЧАКВАНО ФИНАНСОВО ОТРАЖЕНИЕ НА ПРЕДЛОЖЕНИЕТО/ИНИЦИАТИВАТА </w:t>
      </w:r>
    </w:p>
    <w:p w:rsidR="00030C0D" w:rsidRDefault="00986C69">
      <w:pPr>
        <w:pStyle w:val="ManualHeading2"/>
        <w:rPr>
          <w:noProof/>
        </w:rPr>
      </w:pPr>
      <w:r>
        <w:rPr>
          <w:noProof/>
        </w:rPr>
        <w:t>3.1.</w:t>
      </w:r>
      <w:r>
        <w:rPr>
          <w:noProof/>
        </w:rPr>
        <w:tab/>
        <w:t xml:space="preserve">Съответни функции от многогодишната финансова рамка и разходни бюджетни редове </w:t>
      </w:r>
    </w:p>
    <w:p w:rsidR="00030C0D" w:rsidRDefault="00986C69">
      <w:pPr>
        <w:pStyle w:val="ListBullet1"/>
        <w:rPr>
          <w:noProof/>
        </w:rPr>
      </w:pPr>
      <w:r>
        <w:rPr>
          <w:noProof/>
        </w:rPr>
        <w:t xml:space="preserve">Съществуващи бюджетни редове </w:t>
      </w:r>
    </w:p>
    <w:p w:rsidR="00030C0D" w:rsidRDefault="00986C69">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r>
        <w:rPr>
          <w:noProof/>
        </w:rPr>
        <w:t>.</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030C0D">
        <w:tc>
          <w:tcPr>
            <w:tcW w:w="1080" w:type="dxa"/>
            <w:vMerge w:val="restart"/>
            <w:vAlign w:val="center"/>
          </w:tcPr>
          <w:p w:rsidR="00030C0D" w:rsidRDefault="00986C69">
            <w:pPr>
              <w:spacing w:before="60" w:after="60"/>
              <w:jc w:val="center"/>
              <w:rPr>
                <w:noProof/>
                <w:sz w:val="22"/>
              </w:rPr>
            </w:pPr>
            <w:r>
              <w:rPr>
                <w:noProof/>
                <w:sz w:val="18"/>
              </w:rPr>
              <w:t>Функция от многогодишната финансова рамка</w:t>
            </w:r>
          </w:p>
        </w:tc>
        <w:tc>
          <w:tcPr>
            <w:tcW w:w="3960" w:type="dxa"/>
            <w:vAlign w:val="center"/>
          </w:tcPr>
          <w:p w:rsidR="00030C0D" w:rsidRDefault="00986C69">
            <w:pPr>
              <w:spacing w:before="60" w:after="60"/>
              <w:jc w:val="center"/>
              <w:rPr>
                <w:noProof/>
                <w:sz w:val="22"/>
              </w:rPr>
            </w:pPr>
            <w:r>
              <w:rPr>
                <w:noProof/>
                <w:sz w:val="20"/>
              </w:rPr>
              <w:t>Бюджетен ред</w:t>
            </w:r>
          </w:p>
        </w:tc>
        <w:tc>
          <w:tcPr>
            <w:tcW w:w="1080" w:type="dxa"/>
            <w:vAlign w:val="center"/>
          </w:tcPr>
          <w:p w:rsidR="00030C0D" w:rsidRDefault="00986C69">
            <w:pPr>
              <w:spacing w:before="60" w:after="60"/>
              <w:jc w:val="center"/>
              <w:rPr>
                <w:noProof/>
                <w:sz w:val="22"/>
              </w:rPr>
            </w:pPr>
            <w:r>
              <w:rPr>
                <w:noProof/>
                <w:sz w:val="18"/>
              </w:rPr>
              <w:t xml:space="preserve">Вид на </w:t>
            </w:r>
            <w:r>
              <w:rPr>
                <w:noProof/>
                <w:sz w:val="22"/>
              </w:rPr>
              <w:br/>
            </w:r>
            <w:r>
              <w:rPr>
                <w:noProof/>
                <w:sz w:val="18"/>
              </w:rPr>
              <w:t>разхода</w:t>
            </w:r>
          </w:p>
        </w:tc>
        <w:tc>
          <w:tcPr>
            <w:tcW w:w="4440" w:type="dxa"/>
            <w:gridSpan w:val="4"/>
            <w:vAlign w:val="center"/>
          </w:tcPr>
          <w:p w:rsidR="00030C0D" w:rsidRDefault="00986C69">
            <w:pPr>
              <w:spacing w:before="60" w:after="60"/>
              <w:jc w:val="center"/>
              <w:rPr>
                <w:noProof/>
                <w:sz w:val="22"/>
              </w:rPr>
            </w:pPr>
            <w:r>
              <w:rPr>
                <w:noProof/>
                <w:sz w:val="20"/>
              </w:rPr>
              <w:t xml:space="preserve">Вноска </w:t>
            </w:r>
          </w:p>
        </w:tc>
      </w:tr>
      <w:tr w:rsidR="00030C0D">
        <w:tc>
          <w:tcPr>
            <w:tcW w:w="1080" w:type="dxa"/>
            <w:vMerge/>
            <w:vAlign w:val="center"/>
          </w:tcPr>
          <w:p w:rsidR="00030C0D" w:rsidRDefault="00030C0D">
            <w:pPr>
              <w:jc w:val="center"/>
              <w:rPr>
                <w:noProof/>
                <w:sz w:val="22"/>
              </w:rPr>
            </w:pPr>
          </w:p>
        </w:tc>
        <w:tc>
          <w:tcPr>
            <w:tcW w:w="3960" w:type="dxa"/>
            <w:vAlign w:val="center"/>
          </w:tcPr>
          <w:p w:rsidR="00030C0D" w:rsidRDefault="00986C69">
            <w:pPr>
              <w:rPr>
                <w:noProof/>
                <w:sz w:val="22"/>
              </w:rPr>
            </w:pPr>
            <w:r>
              <w:rPr>
                <w:noProof/>
                <w:sz w:val="20"/>
              </w:rPr>
              <w:t xml:space="preserve">Номер </w:t>
            </w:r>
            <w:r>
              <w:rPr>
                <w:noProof/>
                <w:sz w:val="22"/>
              </w:rPr>
              <w:br/>
            </w:r>
            <w:r>
              <w:rPr>
                <w:noProof/>
                <w:sz w:val="20"/>
              </w:rPr>
              <w:t>[Функция………………….……………]</w:t>
            </w:r>
          </w:p>
        </w:tc>
        <w:tc>
          <w:tcPr>
            <w:tcW w:w="1080" w:type="dxa"/>
            <w:vAlign w:val="center"/>
          </w:tcPr>
          <w:p w:rsidR="00030C0D" w:rsidRDefault="00986C69">
            <w:pPr>
              <w:jc w:val="center"/>
              <w:rPr>
                <w:noProof/>
                <w:sz w:val="22"/>
              </w:rPr>
            </w:pPr>
            <w:r>
              <w:rPr>
                <w:noProof/>
                <w:sz w:val="18"/>
              </w:rPr>
              <w:t>Многогод./Едногод.</w:t>
            </w:r>
            <w:r>
              <w:rPr>
                <w:rStyle w:val="FootnoteReference"/>
                <w:noProof/>
                <w:sz w:val="18"/>
              </w:rPr>
              <w:footnoteReference w:id="25"/>
            </w:r>
            <w:r>
              <w:rPr>
                <w:noProof/>
              </w:rPr>
              <w:t>.</w:t>
            </w:r>
          </w:p>
        </w:tc>
        <w:tc>
          <w:tcPr>
            <w:tcW w:w="956" w:type="dxa"/>
            <w:vAlign w:val="center"/>
          </w:tcPr>
          <w:p w:rsidR="00030C0D" w:rsidRDefault="00986C69">
            <w:pPr>
              <w:jc w:val="center"/>
              <w:rPr>
                <w:noProof/>
                <w:sz w:val="22"/>
              </w:rPr>
            </w:pPr>
            <w:r>
              <w:rPr>
                <w:noProof/>
                <w:sz w:val="18"/>
              </w:rPr>
              <w:t>от държави от ЕАСТ</w:t>
            </w:r>
            <w:r>
              <w:rPr>
                <w:rStyle w:val="FootnoteReference"/>
                <w:noProof/>
                <w:sz w:val="18"/>
              </w:rPr>
              <w:footnoteReference w:id="26"/>
            </w:r>
          </w:p>
          <w:p w:rsidR="00030C0D" w:rsidRDefault="00030C0D">
            <w:pPr>
              <w:spacing w:before="0" w:after="0"/>
              <w:jc w:val="center"/>
              <w:rPr>
                <w:b/>
                <w:noProof/>
                <w:sz w:val="18"/>
              </w:rPr>
            </w:pPr>
          </w:p>
        </w:tc>
        <w:tc>
          <w:tcPr>
            <w:tcW w:w="1080" w:type="dxa"/>
            <w:vAlign w:val="center"/>
          </w:tcPr>
          <w:p w:rsidR="00030C0D" w:rsidRDefault="00986C69">
            <w:pPr>
              <w:jc w:val="center"/>
              <w:rPr>
                <w:noProof/>
                <w:sz w:val="22"/>
              </w:rPr>
            </w:pPr>
            <w:r>
              <w:rPr>
                <w:noProof/>
                <w:sz w:val="18"/>
              </w:rPr>
              <w:t>от държави кандидатки</w:t>
            </w:r>
            <w:r>
              <w:rPr>
                <w:rStyle w:val="FootnoteReference"/>
                <w:noProof/>
                <w:sz w:val="18"/>
              </w:rPr>
              <w:footnoteReference w:id="27"/>
            </w:r>
          </w:p>
          <w:p w:rsidR="00030C0D" w:rsidRDefault="00030C0D">
            <w:pPr>
              <w:spacing w:before="0" w:after="0"/>
              <w:jc w:val="center"/>
              <w:rPr>
                <w:noProof/>
                <w:sz w:val="18"/>
              </w:rPr>
            </w:pPr>
          </w:p>
        </w:tc>
        <w:tc>
          <w:tcPr>
            <w:tcW w:w="956" w:type="dxa"/>
            <w:vAlign w:val="center"/>
          </w:tcPr>
          <w:p w:rsidR="00030C0D" w:rsidRDefault="00986C69">
            <w:pPr>
              <w:jc w:val="center"/>
              <w:rPr>
                <w:noProof/>
                <w:sz w:val="18"/>
              </w:rPr>
            </w:pPr>
            <w:r>
              <w:rPr>
                <w:noProof/>
                <w:sz w:val="18"/>
              </w:rPr>
              <w:t>от трети държави</w:t>
            </w:r>
          </w:p>
        </w:tc>
        <w:tc>
          <w:tcPr>
            <w:tcW w:w="1448" w:type="dxa"/>
            <w:vAlign w:val="center"/>
          </w:tcPr>
          <w:p w:rsidR="00030C0D" w:rsidRDefault="00986C69">
            <w:pPr>
              <w:jc w:val="center"/>
              <w:rPr>
                <w:noProof/>
                <w:sz w:val="22"/>
              </w:rPr>
            </w:pPr>
            <w:r>
              <w:rPr>
                <w:noProof/>
                <w:sz w:val="16"/>
              </w:rPr>
              <w:t xml:space="preserve">по смисъла на член 21, параграф 2, буква б) от Финансовия регламент </w:t>
            </w:r>
          </w:p>
        </w:tc>
      </w:tr>
      <w:tr w:rsidR="00030C0D">
        <w:tc>
          <w:tcPr>
            <w:tcW w:w="1080" w:type="dxa"/>
            <w:vAlign w:val="center"/>
          </w:tcPr>
          <w:p w:rsidR="00030C0D" w:rsidRDefault="00986C69">
            <w:pPr>
              <w:jc w:val="center"/>
              <w:rPr>
                <w:noProof/>
                <w:sz w:val="22"/>
              </w:rPr>
            </w:pPr>
            <w:r>
              <w:rPr>
                <w:noProof/>
                <w:sz w:val="22"/>
              </w:rPr>
              <w:t>Конкурентоспособност за растеж и работни места</w:t>
            </w:r>
          </w:p>
        </w:tc>
        <w:tc>
          <w:tcPr>
            <w:tcW w:w="3960" w:type="dxa"/>
            <w:vAlign w:val="center"/>
          </w:tcPr>
          <w:p w:rsidR="00030C0D" w:rsidRDefault="00986C69">
            <w:pPr>
              <w:rPr>
                <w:noProof/>
                <w:sz w:val="20"/>
              </w:rPr>
            </w:pPr>
            <w:r>
              <w:rPr>
                <w:noProof/>
                <w:sz w:val="20"/>
              </w:rPr>
              <w:t>32 04 03 01</w:t>
            </w:r>
          </w:p>
          <w:p w:rsidR="00030C0D" w:rsidRDefault="00986C69">
            <w:pPr>
              <w:rPr>
                <w:noProof/>
                <w:sz w:val="20"/>
              </w:rPr>
            </w:pPr>
            <w:r>
              <w:rPr>
                <w:noProof/>
                <w:sz w:val="20"/>
              </w:rPr>
              <w:t>Хоризонт 2020 — научни изследвания и иновации във връзка с енергетиката, Предизвикателства за обществото— Реализиране на преход</w:t>
            </w:r>
            <w:r>
              <w:rPr>
                <w:noProof/>
                <w:sz w:val="20"/>
              </w:rPr>
              <w:t xml:space="preserve"> към надеждна, устойчиво развита и конкурентоспособна енергийна система</w:t>
            </w:r>
          </w:p>
        </w:tc>
        <w:tc>
          <w:tcPr>
            <w:tcW w:w="1080" w:type="dxa"/>
            <w:vAlign w:val="center"/>
          </w:tcPr>
          <w:p w:rsidR="00030C0D" w:rsidRDefault="00986C69">
            <w:pPr>
              <w:jc w:val="center"/>
              <w:rPr>
                <w:noProof/>
                <w:sz w:val="22"/>
              </w:rPr>
            </w:pPr>
            <w:r>
              <w:rPr>
                <w:noProof/>
                <w:sz w:val="22"/>
              </w:rPr>
              <w:t>Различен</w:t>
            </w:r>
          </w:p>
        </w:tc>
        <w:tc>
          <w:tcPr>
            <w:tcW w:w="956" w:type="dxa"/>
            <w:vAlign w:val="center"/>
          </w:tcPr>
          <w:p w:rsidR="00030C0D" w:rsidRDefault="00986C69">
            <w:pPr>
              <w:jc w:val="center"/>
              <w:rPr>
                <w:noProof/>
                <w:sz w:val="22"/>
              </w:rPr>
            </w:pPr>
            <w:r>
              <w:rPr>
                <w:noProof/>
                <w:sz w:val="22"/>
              </w:rPr>
              <w:t>ДА</w:t>
            </w:r>
          </w:p>
        </w:tc>
        <w:tc>
          <w:tcPr>
            <w:tcW w:w="1080" w:type="dxa"/>
            <w:vAlign w:val="center"/>
          </w:tcPr>
          <w:p w:rsidR="00030C0D" w:rsidRDefault="00986C69">
            <w:pPr>
              <w:jc w:val="center"/>
              <w:rPr>
                <w:noProof/>
                <w:sz w:val="22"/>
              </w:rPr>
            </w:pPr>
            <w:r>
              <w:rPr>
                <w:noProof/>
                <w:sz w:val="22"/>
              </w:rPr>
              <w:t>НЕ</w:t>
            </w:r>
          </w:p>
        </w:tc>
        <w:tc>
          <w:tcPr>
            <w:tcW w:w="956" w:type="dxa"/>
            <w:vAlign w:val="center"/>
          </w:tcPr>
          <w:p w:rsidR="00030C0D" w:rsidRDefault="00986C69">
            <w:pPr>
              <w:jc w:val="center"/>
              <w:rPr>
                <w:noProof/>
                <w:sz w:val="22"/>
              </w:rPr>
            </w:pPr>
            <w:r>
              <w:rPr>
                <w:noProof/>
                <w:sz w:val="22"/>
              </w:rPr>
              <w:t>ДА</w:t>
            </w:r>
          </w:p>
        </w:tc>
        <w:tc>
          <w:tcPr>
            <w:tcW w:w="1448" w:type="dxa"/>
            <w:vAlign w:val="center"/>
          </w:tcPr>
          <w:p w:rsidR="00030C0D" w:rsidRDefault="00986C69">
            <w:pPr>
              <w:jc w:val="center"/>
              <w:rPr>
                <w:noProof/>
                <w:sz w:val="22"/>
              </w:rPr>
            </w:pPr>
            <w:r>
              <w:rPr>
                <w:noProof/>
                <w:sz w:val="22"/>
              </w:rPr>
              <w:t>НЕ</w:t>
            </w:r>
          </w:p>
        </w:tc>
      </w:tr>
      <w:tr w:rsidR="00030C0D">
        <w:tc>
          <w:tcPr>
            <w:tcW w:w="1080" w:type="dxa"/>
            <w:vAlign w:val="center"/>
          </w:tcPr>
          <w:p w:rsidR="00030C0D" w:rsidRDefault="00986C69">
            <w:pPr>
              <w:jc w:val="center"/>
              <w:rPr>
                <w:noProof/>
                <w:sz w:val="22"/>
              </w:rPr>
            </w:pPr>
            <w:r>
              <w:rPr>
                <w:noProof/>
                <w:sz w:val="22"/>
              </w:rPr>
              <w:t>5 Администрация</w:t>
            </w:r>
          </w:p>
        </w:tc>
        <w:tc>
          <w:tcPr>
            <w:tcW w:w="3960" w:type="dxa"/>
            <w:vAlign w:val="center"/>
          </w:tcPr>
          <w:p w:rsidR="00030C0D" w:rsidRDefault="00986C69">
            <w:pPr>
              <w:rPr>
                <w:noProof/>
                <w:sz w:val="20"/>
              </w:rPr>
            </w:pPr>
            <w:r>
              <w:rPr>
                <w:noProof/>
                <w:sz w:val="20"/>
              </w:rPr>
              <w:t>32 01 01</w:t>
            </w:r>
          </w:p>
          <w:p w:rsidR="00030C0D" w:rsidRDefault="00986C69">
            <w:pPr>
              <w:spacing w:after="60"/>
              <w:rPr>
                <w:noProof/>
                <w:sz w:val="22"/>
              </w:rPr>
            </w:pPr>
            <w:r>
              <w:rPr>
                <w:noProof/>
                <w:sz w:val="20"/>
              </w:rPr>
              <w:t>Разходи, свързани с длъжностните лица и временно наетите лица в област на политика „Енергетика“</w:t>
            </w:r>
          </w:p>
        </w:tc>
        <w:tc>
          <w:tcPr>
            <w:tcW w:w="1080" w:type="dxa"/>
            <w:vAlign w:val="center"/>
          </w:tcPr>
          <w:p w:rsidR="00030C0D" w:rsidRDefault="00986C69">
            <w:pPr>
              <w:jc w:val="center"/>
              <w:rPr>
                <w:noProof/>
                <w:color w:val="0000FF"/>
                <w:sz w:val="22"/>
              </w:rPr>
            </w:pPr>
            <w:r>
              <w:rPr>
                <w:noProof/>
                <w:sz w:val="22"/>
              </w:rPr>
              <w:t>Едногод.</w:t>
            </w:r>
          </w:p>
        </w:tc>
        <w:tc>
          <w:tcPr>
            <w:tcW w:w="956" w:type="dxa"/>
            <w:vAlign w:val="center"/>
          </w:tcPr>
          <w:p w:rsidR="00030C0D" w:rsidRDefault="00986C69">
            <w:pPr>
              <w:jc w:val="center"/>
              <w:rPr>
                <w:noProof/>
                <w:sz w:val="22"/>
              </w:rPr>
            </w:pPr>
            <w:r>
              <w:rPr>
                <w:noProof/>
                <w:sz w:val="22"/>
              </w:rPr>
              <w:t>НЕ</w:t>
            </w:r>
          </w:p>
        </w:tc>
        <w:tc>
          <w:tcPr>
            <w:tcW w:w="1080" w:type="dxa"/>
            <w:vAlign w:val="center"/>
          </w:tcPr>
          <w:p w:rsidR="00030C0D" w:rsidRDefault="00986C69">
            <w:pPr>
              <w:jc w:val="center"/>
              <w:rPr>
                <w:noProof/>
                <w:sz w:val="22"/>
              </w:rPr>
            </w:pPr>
            <w:r>
              <w:rPr>
                <w:noProof/>
                <w:sz w:val="22"/>
              </w:rPr>
              <w:t>НЕ</w:t>
            </w:r>
          </w:p>
        </w:tc>
        <w:tc>
          <w:tcPr>
            <w:tcW w:w="956" w:type="dxa"/>
            <w:vAlign w:val="center"/>
          </w:tcPr>
          <w:p w:rsidR="00030C0D" w:rsidRDefault="00986C69">
            <w:pPr>
              <w:jc w:val="center"/>
              <w:rPr>
                <w:noProof/>
                <w:sz w:val="22"/>
              </w:rPr>
            </w:pPr>
            <w:r>
              <w:rPr>
                <w:noProof/>
                <w:sz w:val="22"/>
              </w:rPr>
              <w:t>НЕ</w:t>
            </w:r>
          </w:p>
        </w:tc>
        <w:tc>
          <w:tcPr>
            <w:tcW w:w="1448" w:type="dxa"/>
            <w:vAlign w:val="center"/>
          </w:tcPr>
          <w:p w:rsidR="00030C0D" w:rsidRDefault="00986C69">
            <w:pPr>
              <w:jc w:val="center"/>
              <w:rPr>
                <w:noProof/>
                <w:sz w:val="22"/>
              </w:rPr>
            </w:pPr>
            <w:r>
              <w:rPr>
                <w:noProof/>
                <w:sz w:val="22"/>
              </w:rPr>
              <w:t>НЕ</w:t>
            </w:r>
          </w:p>
        </w:tc>
      </w:tr>
      <w:tr w:rsidR="00030C0D">
        <w:tc>
          <w:tcPr>
            <w:tcW w:w="1080" w:type="dxa"/>
            <w:vAlign w:val="center"/>
          </w:tcPr>
          <w:p w:rsidR="00030C0D" w:rsidRDefault="00986C69">
            <w:pPr>
              <w:jc w:val="center"/>
              <w:rPr>
                <w:noProof/>
                <w:sz w:val="22"/>
              </w:rPr>
            </w:pPr>
            <w:r>
              <w:rPr>
                <w:noProof/>
                <w:sz w:val="22"/>
              </w:rPr>
              <w:t>5 Администрация</w:t>
            </w:r>
          </w:p>
        </w:tc>
        <w:tc>
          <w:tcPr>
            <w:tcW w:w="3960" w:type="dxa"/>
            <w:vAlign w:val="center"/>
          </w:tcPr>
          <w:p w:rsidR="00030C0D" w:rsidRDefault="00986C69">
            <w:pPr>
              <w:rPr>
                <w:noProof/>
                <w:sz w:val="20"/>
              </w:rPr>
            </w:pPr>
            <w:r>
              <w:rPr>
                <w:noProof/>
                <w:sz w:val="20"/>
              </w:rPr>
              <w:t xml:space="preserve">32 </w:t>
            </w:r>
            <w:r>
              <w:rPr>
                <w:noProof/>
                <w:sz w:val="20"/>
              </w:rPr>
              <w:t>01 02</w:t>
            </w:r>
          </w:p>
          <w:p w:rsidR="00030C0D" w:rsidRDefault="00986C69">
            <w:pPr>
              <w:rPr>
                <w:noProof/>
                <w:sz w:val="20"/>
              </w:rPr>
            </w:pPr>
            <w:r>
              <w:rPr>
                <w:noProof/>
                <w:sz w:val="20"/>
              </w:rPr>
              <w:t>Разходи за външен персонал и други разходи за управление в подкрепа на област на политика „Енергетика“</w:t>
            </w:r>
          </w:p>
        </w:tc>
        <w:tc>
          <w:tcPr>
            <w:tcW w:w="1080" w:type="dxa"/>
            <w:vAlign w:val="center"/>
          </w:tcPr>
          <w:p w:rsidR="00030C0D" w:rsidRDefault="00986C69">
            <w:pPr>
              <w:jc w:val="center"/>
              <w:rPr>
                <w:noProof/>
                <w:color w:val="0000FF"/>
                <w:sz w:val="22"/>
              </w:rPr>
            </w:pPr>
            <w:r>
              <w:rPr>
                <w:noProof/>
                <w:sz w:val="22"/>
              </w:rPr>
              <w:t>Едногод.</w:t>
            </w:r>
          </w:p>
        </w:tc>
        <w:tc>
          <w:tcPr>
            <w:tcW w:w="956" w:type="dxa"/>
            <w:vAlign w:val="center"/>
          </w:tcPr>
          <w:p w:rsidR="00030C0D" w:rsidRDefault="00986C69">
            <w:pPr>
              <w:jc w:val="center"/>
              <w:rPr>
                <w:noProof/>
                <w:sz w:val="22"/>
              </w:rPr>
            </w:pPr>
            <w:r>
              <w:rPr>
                <w:noProof/>
                <w:sz w:val="22"/>
              </w:rPr>
              <w:t>НЕ</w:t>
            </w:r>
          </w:p>
        </w:tc>
        <w:tc>
          <w:tcPr>
            <w:tcW w:w="1080" w:type="dxa"/>
            <w:vAlign w:val="center"/>
          </w:tcPr>
          <w:p w:rsidR="00030C0D" w:rsidRDefault="00986C69">
            <w:pPr>
              <w:jc w:val="center"/>
              <w:rPr>
                <w:noProof/>
                <w:sz w:val="22"/>
              </w:rPr>
            </w:pPr>
            <w:r>
              <w:rPr>
                <w:noProof/>
                <w:sz w:val="22"/>
              </w:rPr>
              <w:t>НЕ</w:t>
            </w:r>
          </w:p>
        </w:tc>
        <w:tc>
          <w:tcPr>
            <w:tcW w:w="956" w:type="dxa"/>
            <w:vAlign w:val="center"/>
          </w:tcPr>
          <w:p w:rsidR="00030C0D" w:rsidRDefault="00986C69">
            <w:pPr>
              <w:jc w:val="center"/>
              <w:rPr>
                <w:noProof/>
                <w:sz w:val="22"/>
              </w:rPr>
            </w:pPr>
            <w:r>
              <w:rPr>
                <w:noProof/>
                <w:sz w:val="22"/>
              </w:rPr>
              <w:t>НЕ</w:t>
            </w:r>
          </w:p>
        </w:tc>
        <w:tc>
          <w:tcPr>
            <w:tcW w:w="1448" w:type="dxa"/>
            <w:vAlign w:val="center"/>
          </w:tcPr>
          <w:p w:rsidR="00030C0D" w:rsidRDefault="00986C69">
            <w:pPr>
              <w:jc w:val="center"/>
              <w:rPr>
                <w:noProof/>
                <w:sz w:val="22"/>
              </w:rPr>
            </w:pPr>
            <w:r>
              <w:rPr>
                <w:noProof/>
                <w:sz w:val="22"/>
              </w:rPr>
              <w:t>НЕ</w:t>
            </w:r>
          </w:p>
        </w:tc>
      </w:tr>
    </w:tbl>
    <w:p w:rsidR="00030C0D" w:rsidRDefault="00986C69">
      <w:pPr>
        <w:pStyle w:val="ListBullet1"/>
        <w:rPr>
          <w:noProof/>
        </w:rPr>
      </w:pPr>
      <w:r>
        <w:rPr>
          <w:noProof/>
        </w:rPr>
        <w:t xml:space="preserve">Поискани нови бюджетни редове </w:t>
      </w:r>
    </w:p>
    <w:p w:rsidR="00030C0D" w:rsidRDefault="00986C69">
      <w:pPr>
        <w:pStyle w:val="Text1"/>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030C0D">
        <w:tc>
          <w:tcPr>
            <w:tcW w:w="1080" w:type="dxa"/>
            <w:vMerge w:val="restart"/>
            <w:vAlign w:val="center"/>
          </w:tcPr>
          <w:p w:rsidR="00030C0D" w:rsidRDefault="00986C69">
            <w:pPr>
              <w:spacing w:before="60" w:after="60"/>
              <w:jc w:val="center"/>
              <w:rPr>
                <w:noProof/>
                <w:sz w:val="18"/>
                <w:szCs w:val="18"/>
              </w:rPr>
            </w:pPr>
            <w:r>
              <w:rPr>
                <w:noProof/>
                <w:sz w:val="18"/>
              </w:rPr>
              <w:t xml:space="preserve">Функция от </w:t>
            </w:r>
            <w:r>
              <w:rPr>
                <w:noProof/>
                <w:sz w:val="18"/>
              </w:rPr>
              <w:t>многогодишната финансова рамка</w:t>
            </w:r>
          </w:p>
        </w:tc>
        <w:tc>
          <w:tcPr>
            <w:tcW w:w="3960" w:type="dxa"/>
            <w:vAlign w:val="center"/>
          </w:tcPr>
          <w:p w:rsidR="00030C0D" w:rsidRDefault="00986C69">
            <w:pPr>
              <w:spacing w:before="60" w:after="60"/>
              <w:jc w:val="center"/>
              <w:rPr>
                <w:noProof/>
                <w:sz w:val="22"/>
              </w:rPr>
            </w:pPr>
            <w:r>
              <w:rPr>
                <w:noProof/>
                <w:sz w:val="20"/>
              </w:rPr>
              <w:t>Бюджетен ред</w:t>
            </w:r>
          </w:p>
        </w:tc>
        <w:tc>
          <w:tcPr>
            <w:tcW w:w="1080" w:type="dxa"/>
            <w:vAlign w:val="center"/>
          </w:tcPr>
          <w:p w:rsidR="00030C0D" w:rsidRDefault="00986C69">
            <w:pPr>
              <w:spacing w:before="60" w:after="60"/>
              <w:jc w:val="center"/>
              <w:rPr>
                <w:noProof/>
                <w:sz w:val="22"/>
              </w:rPr>
            </w:pPr>
            <w:r>
              <w:rPr>
                <w:noProof/>
                <w:sz w:val="18"/>
              </w:rPr>
              <w:t xml:space="preserve">Вид на </w:t>
            </w:r>
            <w:r>
              <w:rPr>
                <w:noProof/>
                <w:sz w:val="22"/>
              </w:rPr>
              <w:br/>
            </w:r>
            <w:r>
              <w:rPr>
                <w:noProof/>
                <w:sz w:val="18"/>
              </w:rPr>
              <w:t>разхода</w:t>
            </w:r>
          </w:p>
        </w:tc>
        <w:tc>
          <w:tcPr>
            <w:tcW w:w="4440" w:type="dxa"/>
            <w:gridSpan w:val="4"/>
            <w:vAlign w:val="center"/>
          </w:tcPr>
          <w:p w:rsidR="00030C0D" w:rsidRDefault="00986C69">
            <w:pPr>
              <w:spacing w:before="60" w:after="60"/>
              <w:jc w:val="center"/>
              <w:rPr>
                <w:noProof/>
                <w:sz w:val="22"/>
              </w:rPr>
            </w:pPr>
            <w:r>
              <w:rPr>
                <w:noProof/>
                <w:sz w:val="20"/>
              </w:rPr>
              <w:t xml:space="preserve">Вноска </w:t>
            </w:r>
          </w:p>
        </w:tc>
      </w:tr>
      <w:tr w:rsidR="00030C0D">
        <w:tc>
          <w:tcPr>
            <w:tcW w:w="1080" w:type="dxa"/>
            <w:vMerge/>
            <w:vAlign w:val="center"/>
          </w:tcPr>
          <w:p w:rsidR="00030C0D" w:rsidRDefault="00030C0D">
            <w:pPr>
              <w:jc w:val="center"/>
              <w:rPr>
                <w:noProof/>
                <w:sz w:val="22"/>
              </w:rPr>
            </w:pPr>
          </w:p>
        </w:tc>
        <w:tc>
          <w:tcPr>
            <w:tcW w:w="3960" w:type="dxa"/>
            <w:vAlign w:val="center"/>
          </w:tcPr>
          <w:p w:rsidR="00030C0D" w:rsidRDefault="00986C69">
            <w:pPr>
              <w:rPr>
                <w:noProof/>
                <w:sz w:val="22"/>
              </w:rPr>
            </w:pPr>
            <w:r>
              <w:rPr>
                <w:noProof/>
                <w:sz w:val="20"/>
              </w:rPr>
              <w:t xml:space="preserve">Номер </w:t>
            </w:r>
            <w:r>
              <w:rPr>
                <w:noProof/>
                <w:sz w:val="22"/>
              </w:rPr>
              <w:br/>
            </w:r>
            <w:r>
              <w:rPr>
                <w:noProof/>
                <w:sz w:val="20"/>
              </w:rPr>
              <w:t>[Функция………………………………]</w:t>
            </w:r>
          </w:p>
        </w:tc>
        <w:tc>
          <w:tcPr>
            <w:tcW w:w="1080" w:type="dxa"/>
            <w:vAlign w:val="center"/>
          </w:tcPr>
          <w:p w:rsidR="00030C0D" w:rsidRDefault="00986C69">
            <w:pPr>
              <w:jc w:val="center"/>
              <w:rPr>
                <w:noProof/>
                <w:sz w:val="22"/>
              </w:rPr>
            </w:pPr>
            <w:r>
              <w:rPr>
                <w:noProof/>
                <w:sz w:val="18"/>
              </w:rPr>
              <w:t>Многогод./едногод.</w:t>
            </w:r>
          </w:p>
        </w:tc>
        <w:tc>
          <w:tcPr>
            <w:tcW w:w="956" w:type="dxa"/>
            <w:vAlign w:val="center"/>
          </w:tcPr>
          <w:p w:rsidR="00030C0D" w:rsidRDefault="00986C69">
            <w:pPr>
              <w:jc w:val="center"/>
              <w:rPr>
                <w:noProof/>
                <w:sz w:val="18"/>
              </w:rPr>
            </w:pPr>
            <w:r>
              <w:rPr>
                <w:noProof/>
                <w:sz w:val="18"/>
              </w:rPr>
              <w:t>от държави от ЕАСТ</w:t>
            </w:r>
          </w:p>
        </w:tc>
        <w:tc>
          <w:tcPr>
            <w:tcW w:w="1080" w:type="dxa"/>
            <w:vAlign w:val="center"/>
          </w:tcPr>
          <w:p w:rsidR="00030C0D" w:rsidRDefault="00986C69">
            <w:pPr>
              <w:jc w:val="center"/>
              <w:rPr>
                <w:noProof/>
                <w:sz w:val="18"/>
              </w:rPr>
            </w:pPr>
            <w:r>
              <w:rPr>
                <w:noProof/>
                <w:sz w:val="18"/>
              </w:rPr>
              <w:t>от държави кандидатки</w:t>
            </w:r>
          </w:p>
        </w:tc>
        <w:tc>
          <w:tcPr>
            <w:tcW w:w="956" w:type="dxa"/>
            <w:vAlign w:val="center"/>
          </w:tcPr>
          <w:p w:rsidR="00030C0D" w:rsidRDefault="00986C69">
            <w:pPr>
              <w:jc w:val="center"/>
              <w:rPr>
                <w:noProof/>
                <w:sz w:val="18"/>
              </w:rPr>
            </w:pPr>
            <w:r>
              <w:rPr>
                <w:noProof/>
                <w:sz w:val="18"/>
              </w:rPr>
              <w:t>от трети държави</w:t>
            </w:r>
          </w:p>
        </w:tc>
        <w:tc>
          <w:tcPr>
            <w:tcW w:w="1448" w:type="dxa"/>
            <w:vAlign w:val="center"/>
          </w:tcPr>
          <w:p w:rsidR="00030C0D" w:rsidRDefault="00986C69">
            <w:pPr>
              <w:jc w:val="center"/>
              <w:rPr>
                <w:noProof/>
                <w:sz w:val="22"/>
              </w:rPr>
            </w:pPr>
            <w:r>
              <w:rPr>
                <w:noProof/>
                <w:sz w:val="16"/>
              </w:rPr>
              <w:t xml:space="preserve">по смисъла на член 21, параграф 2, буква б) от Финансовия регламент </w:t>
            </w:r>
          </w:p>
        </w:tc>
      </w:tr>
      <w:tr w:rsidR="00030C0D">
        <w:tc>
          <w:tcPr>
            <w:tcW w:w="1080" w:type="dxa"/>
            <w:vAlign w:val="center"/>
          </w:tcPr>
          <w:p w:rsidR="00030C0D" w:rsidRDefault="00030C0D">
            <w:pPr>
              <w:jc w:val="center"/>
              <w:rPr>
                <w:noProof/>
                <w:color w:val="0000FF"/>
                <w:sz w:val="22"/>
              </w:rPr>
            </w:pPr>
          </w:p>
        </w:tc>
        <w:tc>
          <w:tcPr>
            <w:tcW w:w="3960" w:type="dxa"/>
            <w:vAlign w:val="center"/>
          </w:tcPr>
          <w:p w:rsidR="00030C0D" w:rsidRDefault="00030C0D">
            <w:pPr>
              <w:spacing w:after="60"/>
              <w:rPr>
                <w:noProof/>
                <w:color w:val="0000FF"/>
                <w:sz w:val="22"/>
              </w:rPr>
            </w:pPr>
          </w:p>
        </w:tc>
        <w:tc>
          <w:tcPr>
            <w:tcW w:w="1080" w:type="dxa"/>
            <w:vAlign w:val="center"/>
          </w:tcPr>
          <w:p w:rsidR="00030C0D" w:rsidRDefault="00030C0D">
            <w:pPr>
              <w:jc w:val="center"/>
              <w:rPr>
                <w:noProof/>
                <w:color w:val="0000FF"/>
                <w:sz w:val="22"/>
              </w:rPr>
            </w:pPr>
          </w:p>
        </w:tc>
        <w:tc>
          <w:tcPr>
            <w:tcW w:w="956" w:type="dxa"/>
            <w:vAlign w:val="center"/>
          </w:tcPr>
          <w:p w:rsidR="00030C0D" w:rsidRDefault="00030C0D">
            <w:pPr>
              <w:jc w:val="center"/>
              <w:rPr>
                <w:noProof/>
                <w:sz w:val="22"/>
              </w:rPr>
            </w:pPr>
          </w:p>
        </w:tc>
        <w:tc>
          <w:tcPr>
            <w:tcW w:w="1080" w:type="dxa"/>
            <w:vAlign w:val="center"/>
          </w:tcPr>
          <w:p w:rsidR="00030C0D" w:rsidRDefault="00030C0D">
            <w:pPr>
              <w:jc w:val="center"/>
              <w:rPr>
                <w:noProof/>
                <w:color w:val="0000FF"/>
                <w:sz w:val="18"/>
              </w:rPr>
            </w:pPr>
          </w:p>
        </w:tc>
        <w:tc>
          <w:tcPr>
            <w:tcW w:w="956" w:type="dxa"/>
            <w:vAlign w:val="center"/>
          </w:tcPr>
          <w:p w:rsidR="00030C0D" w:rsidRDefault="00030C0D">
            <w:pPr>
              <w:jc w:val="center"/>
              <w:rPr>
                <w:noProof/>
                <w:color w:val="0000FF"/>
                <w:sz w:val="18"/>
              </w:rPr>
            </w:pPr>
          </w:p>
        </w:tc>
        <w:tc>
          <w:tcPr>
            <w:tcW w:w="1448" w:type="dxa"/>
            <w:vAlign w:val="center"/>
          </w:tcPr>
          <w:p w:rsidR="00030C0D" w:rsidRDefault="00030C0D">
            <w:pPr>
              <w:jc w:val="center"/>
              <w:rPr>
                <w:noProof/>
                <w:sz w:val="22"/>
              </w:rPr>
            </w:pPr>
          </w:p>
        </w:tc>
      </w:tr>
    </w:tbl>
    <w:p w:rsidR="00030C0D" w:rsidRDefault="00030C0D">
      <w:pPr>
        <w:rPr>
          <w:noProof/>
        </w:rPr>
        <w:sectPr w:rsidR="00030C0D">
          <w:pgSz w:w="11907" w:h="16840" w:code="1"/>
          <w:pgMar w:top="1134" w:right="1418" w:bottom="1134" w:left="1418" w:header="709" w:footer="709" w:gutter="0"/>
          <w:cols w:space="708"/>
          <w:docGrid w:linePitch="360"/>
        </w:sectPr>
      </w:pPr>
    </w:p>
    <w:p w:rsidR="00030C0D" w:rsidRDefault="00986C69">
      <w:pPr>
        <w:pStyle w:val="ManualHeading2"/>
        <w:rPr>
          <w:bCs/>
          <w:noProof/>
          <w:szCs w:val="24"/>
        </w:rPr>
      </w:pPr>
      <w:r>
        <w:rPr>
          <w:noProof/>
        </w:rPr>
        <w:t>3.2.</w:t>
      </w:r>
      <w:r>
        <w:rPr>
          <w:noProof/>
        </w:rPr>
        <w:tab/>
        <w:t xml:space="preserve">Очаквано отражение върху разходите </w:t>
      </w:r>
    </w:p>
    <w:p w:rsidR="00030C0D" w:rsidRDefault="00986C69">
      <w:pPr>
        <w:pStyle w:val="ManualHeading3"/>
        <w:rPr>
          <w:noProof/>
          <w:u w:val="single"/>
        </w:rPr>
      </w:pPr>
      <w:r>
        <w:rPr>
          <w:noProof/>
        </w:rPr>
        <w:t>3.2.1.</w:t>
      </w:r>
      <w:r>
        <w:rPr>
          <w:noProof/>
        </w:rPr>
        <w:tab/>
        <w:t xml:space="preserve">Обобщение на очакваното отражение върху разходите </w:t>
      </w:r>
    </w:p>
    <w:p w:rsidR="00030C0D" w:rsidRDefault="00986C69">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6"/>
        <w:gridCol w:w="1080"/>
        <w:gridCol w:w="7817"/>
      </w:tblGrid>
      <w:tr w:rsidR="00030C0D">
        <w:tc>
          <w:tcPr>
            <w:tcW w:w="4996" w:type="dxa"/>
            <w:shd w:val="thinDiagStripe" w:color="C0C0C0" w:fill="auto"/>
            <w:vAlign w:val="center"/>
          </w:tcPr>
          <w:p w:rsidR="00030C0D" w:rsidRDefault="00986C69">
            <w:pPr>
              <w:spacing w:before="60" w:after="60"/>
              <w:jc w:val="center"/>
              <w:rPr>
                <w:b/>
                <w:noProof/>
                <w:sz w:val="22"/>
              </w:rPr>
            </w:pPr>
            <w:r>
              <w:rPr>
                <w:b/>
                <w:noProof/>
              </w:rPr>
              <w:t>Функция от многогодишната финансова</w:t>
            </w:r>
            <w:r>
              <w:rPr>
                <w:noProof/>
                <w:sz w:val="22"/>
              </w:rPr>
              <w:br/>
            </w:r>
            <w:r>
              <w:rPr>
                <w:b/>
                <w:noProof/>
                <w:sz w:val="22"/>
              </w:rPr>
              <w:t xml:space="preserve">рамка </w:t>
            </w:r>
          </w:p>
        </w:tc>
        <w:tc>
          <w:tcPr>
            <w:tcW w:w="1080" w:type="dxa"/>
            <w:vAlign w:val="center"/>
          </w:tcPr>
          <w:p w:rsidR="00030C0D" w:rsidRDefault="00986C69">
            <w:pPr>
              <w:spacing w:before="60" w:after="60"/>
              <w:jc w:val="center"/>
              <w:rPr>
                <w:noProof/>
                <w:sz w:val="22"/>
              </w:rPr>
            </w:pPr>
            <w:r>
              <w:rPr>
                <w:noProof/>
                <w:sz w:val="22"/>
              </w:rPr>
              <w:t>Номер</w:t>
            </w:r>
          </w:p>
        </w:tc>
        <w:tc>
          <w:tcPr>
            <w:tcW w:w="7817" w:type="dxa"/>
            <w:vAlign w:val="center"/>
          </w:tcPr>
          <w:p w:rsidR="00030C0D" w:rsidRDefault="00986C69">
            <w:pPr>
              <w:spacing w:before="60" w:after="60"/>
              <w:rPr>
                <w:noProof/>
                <w:sz w:val="22"/>
              </w:rPr>
            </w:pPr>
            <w:r>
              <w:rPr>
                <w:noProof/>
              </w:rPr>
              <w:t>Конкурентоспособност за растеж и</w:t>
            </w:r>
            <w:r>
              <w:rPr>
                <w:noProof/>
              </w:rPr>
              <w:t xml:space="preserve"> заетост</w:t>
            </w:r>
          </w:p>
        </w:tc>
      </w:tr>
    </w:tbl>
    <w:p w:rsidR="00030C0D" w:rsidRDefault="00030C0D">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030C0D">
        <w:tc>
          <w:tcPr>
            <w:tcW w:w="3960" w:type="dxa"/>
            <w:vAlign w:val="center"/>
          </w:tcPr>
          <w:p w:rsidR="00030C0D" w:rsidRDefault="00986C69">
            <w:pPr>
              <w:jc w:val="center"/>
              <w:rPr>
                <w:noProof/>
                <w:sz w:val="22"/>
              </w:rPr>
            </w:pPr>
            <w:r>
              <w:rPr>
                <w:noProof/>
                <w:sz w:val="22"/>
              </w:rPr>
              <w:t>ГД: „Енергетика“ (ENER)</w:t>
            </w:r>
          </w:p>
        </w:tc>
        <w:tc>
          <w:tcPr>
            <w:tcW w:w="1560" w:type="dxa"/>
            <w:gridSpan w:val="2"/>
          </w:tcPr>
          <w:p w:rsidR="00030C0D" w:rsidRDefault="00030C0D">
            <w:pPr>
              <w:rPr>
                <w:noProof/>
                <w:sz w:val="20"/>
              </w:rPr>
            </w:pPr>
          </w:p>
        </w:tc>
        <w:tc>
          <w:tcPr>
            <w:tcW w:w="534" w:type="dxa"/>
          </w:tcPr>
          <w:p w:rsidR="00030C0D" w:rsidRDefault="00030C0D">
            <w:pPr>
              <w:jc w:val="center"/>
              <w:rPr>
                <w:noProof/>
                <w:sz w:val="20"/>
              </w:rPr>
            </w:pPr>
          </w:p>
        </w:tc>
        <w:tc>
          <w:tcPr>
            <w:tcW w:w="868" w:type="dxa"/>
            <w:vAlign w:val="center"/>
          </w:tcPr>
          <w:p w:rsidR="00030C0D" w:rsidRDefault="00986C69">
            <w:pPr>
              <w:jc w:val="center"/>
              <w:rPr>
                <w:noProof/>
                <w:sz w:val="20"/>
              </w:rPr>
            </w:pPr>
            <w:r>
              <w:rPr>
                <w:noProof/>
                <w:sz w:val="20"/>
              </w:rPr>
              <w:t>2016</w:t>
            </w:r>
          </w:p>
        </w:tc>
        <w:tc>
          <w:tcPr>
            <w:tcW w:w="868" w:type="dxa"/>
            <w:vAlign w:val="center"/>
          </w:tcPr>
          <w:p w:rsidR="00030C0D" w:rsidRDefault="00986C69">
            <w:pPr>
              <w:jc w:val="center"/>
              <w:rPr>
                <w:noProof/>
                <w:sz w:val="20"/>
              </w:rPr>
            </w:pPr>
            <w:r>
              <w:rPr>
                <w:noProof/>
                <w:sz w:val="20"/>
              </w:rPr>
              <w:t>2017</w:t>
            </w:r>
          </w:p>
        </w:tc>
        <w:tc>
          <w:tcPr>
            <w:tcW w:w="868" w:type="dxa"/>
            <w:vAlign w:val="center"/>
          </w:tcPr>
          <w:p w:rsidR="00030C0D" w:rsidRDefault="00986C69">
            <w:pPr>
              <w:jc w:val="center"/>
              <w:rPr>
                <w:noProof/>
                <w:sz w:val="20"/>
              </w:rPr>
            </w:pPr>
            <w:r>
              <w:rPr>
                <w:noProof/>
                <w:sz w:val="20"/>
              </w:rPr>
              <w:t>2018</w:t>
            </w:r>
          </w:p>
        </w:tc>
        <w:tc>
          <w:tcPr>
            <w:tcW w:w="868" w:type="dxa"/>
            <w:vAlign w:val="center"/>
          </w:tcPr>
          <w:p w:rsidR="00030C0D" w:rsidRDefault="00986C69">
            <w:pPr>
              <w:jc w:val="center"/>
              <w:rPr>
                <w:noProof/>
                <w:sz w:val="20"/>
              </w:rPr>
            </w:pPr>
            <w:r>
              <w:rPr>
                <w:noProof/>
                <w:sz w:val="20"/>
              </w:rPr>
              <w:t>2019</w:t>
            </w:r>
          </w:p>
        </w:tc>
        <w:tc>
          <w:tcPr>
            <w:tcW w:w="868" w:type="dxa"/>
            <w:vAlign w:val="center"/>
          </w:tcPr>
          <w:p w:rsidR="00030C0D" w:rsidRDefault="00986C69">
            <w:pPr>
              <w:jc w:val="center"/>
              <w:rPr>
                <w:b/>
                <w:noProof/>
                <w:sz w:val="18"/>
              </w:rPr>
            </w:pPr>
            <w:r>
              <w:rPr>
                <w:noProof/>
                <w:sz w:val="18"/>
              </w:rPr>
              <w:t>2020</w:t>
            </w:r>
          </w:p>
        </w:tc>
        <w:tc>
          <w:tcPr>
            <w:tcW w:w="868" w:type="dxa"/>
            <w:vAlign w:val="center"/>
          </w:tcPr>
          <w:p w:rsidR="00030C0D" w:rsidRDefault="00030C0D">
            <w:pPr>
              <w:jc w:val="center"/>
              <w:rPr>
                <w:b/>
                <w:noProof/>
                <w:sz w:val="18"/>
              </w:rPr>
            </w:pPr>
          </w:p>
        </w:tc>
        <w:tc>
          <w:tcPr>
            <w:tcW w:w="868" w:type="dxa"/>
            <w:vAlign w:val="center"/>
          </w:tcPr>
          <w:p w:rsidR="00030C0D" w:rsidRDefault="00030C0D">
            <w:pPr>
              <w:jc w:val="center"/>
              <w:rPr>
                <w:b/>
                <w:noProof/>
                <w:sz w:val="18"/>
              </w:rPr>
            </w:pPr>
          </w:p>
        </w:tc>
        <w:tc>
          <w:tcPr>
            <w:tcW w:w="1777" w:type="dxa"/>
            <w:vAlign w:val="center"/>
          </w:tcPr>
          <w:p w:rsidR="00030C0D" w:rsidRDefault="00986C69">
            <w:pPr>
              <w:jc w:val="center"/>
              <w:rPr>
                <w:b/>
                <w:noProof/>
                <w:sz w:val="20"/>
              </w:rPr>
            </w:pPr>
            <w:r>
              <w:rPr>
                <w:b/>
                <w:noProof/>
                <w:sz w:val="20"/>
              </w:rPr>
              <w:t>ОБЩО</w:t>
            </w:r>
          </w:p>
        </w:tc>
      </w:tr>
      <w:tr w:rsidR="00030C0D">
        <w:trPr>
          <w:trHeight w:val="213"/>
        </w:trPr>
        <w:tc>
          <w:tcPr>
            <w:tcW w:w="6054" w:type="dxa"/>
            <w:gridSpan w:val="4"/>
            <w:vAlign w:val="center"/>
          </w:tcPr>
          <w:p w:rsidR="00030C0D" w:rsidRDefault="00986C69">
            <w:pPr>
              <w:spacing w:before="20" w:after="20"/>
              <w:rPr>
                <w:noProof/>
                <w:sz w:val="21"/>
              </w:rPr>
            </w:pPr>
            <w:r>
              <w:rPr>
                <w:noProof/>
                <w:sz w:val="21"/>
              </w:rPr>
              <w:sym w:font="Wingdings" w:char="F09F"/>
            </w:r>
            <w:r>
              <w:rPr>
                <w:noProof/>
                <w:sz w:val="21"/>
              </w:rPr>
              <w:t xml:space="preserve"> Бюджетни кредити за оперативни разходи</w:t>
            </w:r>
          </w:p>
        </w:tc>
        <w:tc>
          <w:tcPr>
            <w:tcW w:w="868" w:type="dxa"/>
            <w:vAlign w:val="center"/>
          </w:tcPr>
          <w:p w:rsidR="00030C0D" w:rsidRDefault="00030C0D">
            <w:pPr>
              <w:rPr>
                <w:noProof/>
                <w:sz w:val="20"/>
              </w:rPr>
            </w:pPr>
          </w:p>
        </w:tc>
        <w:tc>
          <w:tcPr>
            <w:tcW w:w="868" w:type="dxa"/>
            <w:vAlign w:val="center"/>
          </w:tcPr>
          <w:p w:rsidR="00030C0D" w:rsidRDefault="00030C0D">
            <w:pPr>
              <w:rPr>
                <w:noProof/>
                <w:sz w:val="20"/>
              </w:rPr>
            </w:pPr>
          </w:p>
        </w:tc>
        <w:tc>
          <w:tcPr>
            <w:tcW w:w="868" w:type="dxa"/>
            <w:vAlign w:val="center"/>
          </w:tcPr>
          <w:p w:rsidR="00030C0D" w:rsidRDefault="00030C0D">
            <w:pPr>
              <w:rPr>
                <w:noProof/>
                <w:sz w:val="20"/>
              </w:rPr>
            </w:pPr>
          </w:p>
        </w:tc>
        <w:tc>
          <w:tcPr>
            <w:tcW w:w="868" w:type="dxa"/>
            <w:vAlign w:val="center"/>
          </w:tcPr>
          <w:p w:rsidR="00030C0D" w:rsidRDefault="00030C0D">
            <w:pPr>
              <w:rPr>
                <w:noProof/>
                <w:sz w:val="20"/>
              </w:rPr>
            </w:pPr>
          </w:p>
        </w:tc>
        <w:tc>
          <w:tcPr>
            <w:tcW w:w="868" w:type="dxa"/>
            <w:vAlign w:val="center"/>
          </w:tcPr>
          <w:p w:rsidR="00030C0D" w:rsidRDefault="00030C0D">
            <w:pPr>
              <w:rPr>
                <w:noProof/>
                <w:sz w:val="20"/>
              </w:rPr>
            </w:pPr>
          </w:p>
        </w:tc>
        <w:tc>
          <w:tcPr>
            <w:tcW w:w="868" w:type="dxa"/>
            <w:vAlign w:val="center"/>
          </w:tcPr>
          <w:p w:rsidR="00030C0D" w:rsidRDefault="00030C0D">
            <w:pPr>
              <w:rPr>
                <w:noProof/>
                <w:sz w:val="20"/>
              </w:rPr>
            </w:pPr>
          </w:p>
        </w:tc>
        <w:tc>
          <w:tcPr>
            <w:tcW w:w="868" w:type="dxa"/>
            <w:vAlign w:val="center"/>
          </w:tcPr>
          <w:p w:rsidR="00030C0D" w:rsidRDefault="00030C0D">
            <w:pPr>
              <w:rPr>
                <w:b/>
                <w:noProof/>
                <w:sz w:val="20"/>
              </w:rPr>
            </w:pPr>
          </w:p>
        </w:tc>
        <w:tc>
          <w:tcPr>
            <w:tcW w:w="1777" w:type="dxa"/>
            <w:vAlign w:val="center"/>
          </w:tcPr>
          <w:p w:rsidR="00030C0D" w:rsidRDefault="00030C0D">
            <w:pPr>
              <w:rPr>
                <w:b/>
                <w:noProof/>
                <w:sz w:val="20"/>
              </w:rPr>
            </w:pPr>
          </w:p>
        </w:tc>
      </w:tr>
      <w:tr w:rsidR="00030C0D">
        <w:trPr>
          <w:trHeight w:val="277"/>
        </w:trPr>
        <w:tc>
          <w:tcPr>
            <w:tcW w:w="3960" w:type="dxa"/>
            <w:vMerge w:val="restart"/>
            <w:vAlign w:val="center"/>
          </w:tcPr>
          <w:p w:rsidR="00030C0D" w:rsidRDefault="00030C0D">
            <w:pPr>
              <w:rPr>
                <w:noProof/>
                <w:sz w:val="20"/>
              </w:rPr>
            </w:pPr>
          </w:p>
        </w:tc>
        <w:tc>
          <w:tcPr>
            <w:tcW w:w="1440" w:type="dxa"/>
            <w:vAlign w:val="center"/>
          </w:tcPr>
          <w:p w:rsidR="00030C0D" w:rsidRDefault="00030C0D">
            <w:pPr>
              <w:spacing w:before="20" w:after="20"/>
              <w:rPr>
                <w:noProof/>
                <w:sz w:val="18"/>
              </w:rPr>
            </w:pPr>
          </w:p>
        </w:tc>
        <w:tc>
          <w:tcPr>
            <w:tcW w:w="654" w:type="dxa"/>
            <w:gridSpan w:val="2"/>
            <w:vAlign w:val="center"/>
          </w:tcPr>
          <w:p w:rsidR="00030C0D" w:rsidRDefault="00030C0D">
            <w:pPr>
              <w:spacing w:before="20" w:after="20"/>
              <w:jc w:val="center"/>
              <w:rPr>
                <w:noProof/>
                <w:sz w:val="14"/>
              </w:rPr>
            </w:pPr>
          </w:p>
        </w:tc>
        <w:tc>
          <w:tcPr>
            <w:tcW w:w="868" w:type="dxa"/>
            <w:vAlign w:val="center"/>
          </w:tcPr>
          <w:p w:rsidR="00030C0D" w:rsidRDefault="00030C0D">
            <w:pPr>
              <w:spacing w:before="20" w:after="20"/>
              <w:jc w:val="right"/>
              <w:rPr>
                <w:noProof/>
                <w:sz w:val="20"/>
              </w:rPr>
            </w:pPr>
          </w:p>
        </w:tc>
        <w:tc>
          <w:tcPr>
            <w:tcW w:w="868" w:type="dxa"/>
            <w:vAlign w:val="center"/>
          </w:tcPr>
          <w:p w:rsidR="00030C0D" w:rsidRDefault="00030C0D">
            <w:pPr>
              <w:spacing w:before="20" w:after="20"/>
              <w:jc w:val="right"/>
              <w:rPr>
                <w:noProof/>
                <w:sz w:val="20"/>
              </w:rPr>
            </w:pPr>
          </w:p>
        </w:tc>
        <w:tc>
          <w:tcPr>
            <w:tcW w:w="868" w:type="dxa"/>
            <w:vAlign w:val="center"/>
          </w:tcPr>
          <w:p w:rsidR="00030C0D" w:rsidRDefault="00030C0D">
            <w:pPr>
              <w:spacing w:before="20" w:after="20"/>
              <w:jc w:val="right"/>
              <w:rPr>
                <w:noProof/>
                <w:sz w:val="20"/>
              </w:rPr>
            </w:pPr>
          </w:p>
        </w:tc>
        <w:tc>
          <w:tcPr>
            <w:tcW w:w="868" w:type="dxa"/>
            <w:vAlign w:val="center"/>
          </w:tcPr>
          <w:p w:rsidR="00030C0D" w:rsidRDefault="00030C0D">
            <w:pPr>
              <w:spacing w:before="20" w:after="20"/>
              <w:jc w:val="right"/>
              <w:rPr>
                <w:noProof/>
                <w:sz w:val="20"/>
              </w:rPr>
            </w:pPr>
          </w:p>
        </w:tc>
        <w:tc>
          <w:tcPr>
            <w:tcW w:w="868" w:type="dxa"/>
            <w:vAlign w:val="center"/>
          </w:tcPr>
          <w:p w:rsidR="00030C0D" w:rsidRDefault="00030C0D">
            <w:pPr>
              <w:spacing w:before="20" w:after="20"/>
              <w:jc w:val="right"/>
              <w:rPr>
                <w:noProof/>
                <w:sz w:val="20"/>
              </w:rPr>
            </w:pPr>
          </w:p>
        </w:tc>
        <w:tc>
          <w:tcPr>
            <w:tcW w:w="868" w:type="dxa"/>
            <w:vAlign w:val="center"/>
          </w:tcPr>
          <w:p w:rsidR="00030C0D" w:rsidRDefault="00030C0D">
            <w:pPr>
              <w:spacing w:before="20" w:after="20"/>
              <w:jc w:val="right"/>
              <w:rPr>
                <w:noProof/>
                <w:sz w:val="20"/>
              </w:rPr>
            </w:pPr>
          </w:p>
        </w:tc>
        <w:tc>
          <w:tcPr>
            <w:tcW w:w="868" w:type="dxa"/>
            <w:vAlign w:val="center"/>
          </w:tcPr>
          <w:p w:rsidR="00030C0D" w:rsidRDefault="00030C0D">
            <w:pPr>
              <w:spacing w:before="20" w:after="20"/>
              <w:jc w:val="right"/>
              <w:rPr>
                <w:b/>
                <w:noProof/>
                <w:sz w:val="20"/>
              </w:rPr>
            </w:pPr>
          </w:p>
        </w:tc>
        <w:tc>
          <w:tcPr>
            <w:tcW w:w="1777" w:type="dxa"/>
            <w:vAlign w:val="center"/>
          </w:tcPr>
          <w:p w:rsidR="00030C0D" w:rsidRDefault="00030C0D">
            <w:pPr>
              <w:spacing w:before="20" w:after="20"/>
              <w:jc w:val="right"/>
              <w:rPr>
                <w:noProof/>
                <w:sz w:val="20"/>
              </w:rPr>
            </w:pPr>
          </w:p>
        </w:tc>
      </w:tr>
      <w:tr w:rsidR="00030C0D">
        <w:tc>
          <w:tcPr>
            <w:tcW w:w="3960" w:type="dxa"/>
            <w:vMerge/>
          </w:tcPr>
          <w:p w:rsidR="00030C0D" w:rsidRDefault="00030C0D">
            <w:pPr>
              <w:jc w:val="center"/>
              <w:rPr>
                <w:noProof/>
                <w:sz w:val="20"/>
              </w:rPr>
            </w:pPr>
          </w:p>
        </w:tc>
        <w:tc>
          <w:tcPr>
            <w:tcW w:w="1440" w:type="dxa"/>
            <w:vAlign w:val="center"/>
          </w:tcPr>
          <w:p w:rsidR="00030C0D" w:rsidRDefault="00030C0D">
            <w:pPr>
              <w:spacing w:before="20" w:after="20"/>
              <w:rPr>
                <w:noProof/>
                <w:sz w:val="18"/>
              </w:rPr>
            </w:pPr>
          </w:p>
        </w:tc>
        <w:tc>
          <w:tcPr>
            <w:tcW w:w="654" w:type="dxa"/>
            <w:gridSpan w:val="2"/>
            <w:vAlign w:val="center"/>
          </w:tcPr>
          <w:p w:rsidR="00030C0D" w:rsidRDefault="00030C0D">
            <w:pPr>
              <w:spacing w:before="20" w:after="20"/>
              <w:jc w:val="center"/>
              <w:rPr>
                <w:noProof/>
                <w:sz w:val="14"/>
              </w:rPr>
            </w:pPr>
          </w:p>
        </w:tc>
        <w:tc>
          <w:tcPr>
            <w:tcW w:w="868" w:type="dxa"/>
            <w:vAlign w:val="center"/>
          </w:tcPr>
          <w:p w:rsidR="00030C0D" w:rsidRDefault="00030C0D">
            <w:pPr>
              <w:spacing w:before="20" w:after="20"/>
              <w:jc w:val="right"/>
              <w:rPr>
                <w:noProof/>
                <w:sz w:val="20"/>
              </w:rPr>
            </w:pPr>
          </w:p>
        </w:tc>
        <w:tc>
          <w:tcPr>
            <w:tcW w:w="868" w:type="dxa"/>
            <w:vAlign w:val="center"/>
          </w:tcPr>
          <w:p w:rsidR="00030C0D" w:rsidRDefault="00030C0D">
            <w:pPr>
              <w:spacing w:before="20" w:after="20"/>
              <w:jc w:val="right"/>
              <w:rPr>
                <w:noProof/>
                <w:sz w:val="20"/>
              </w:rPr>
            </w:pPr>
          </w:p>
        </w:tc>
        <w:tc>
          <w:tcPr>
            <w:tcW w:w="868" w:type="dxa"/>
            <w:vAlign w:val="center"/>
          </w:tcPr>
          <w:p w:rsidR="00030C0D" w:rsidRDefault="00030C0D">
            <w:pPr>
              <w:spacing w:before="20" w:after="20"/>
              <w:jc w:val="right"/>
              <w:rPr>
                <w:noProof/>
                <w:sz w:val="20"/>
              </w:rPr>
            </w:pPr>
          </w:p>
        </w:tc>
        <w:tc>
          <w:tcPr>
            <w:tcW w:w="868" w:type="dxa"/>
            <w:vAlign w:val="center"/>
          </w:tcPr>
          <w:p w:rsidR="00030C0D" w:rsidRDefault="00030C0D">
            <w:pPr>
              <w:spacing w:before="20" w:after="20"/>
              <w:jc w:val="right"/>
              <w:rPr>
                <w:noProof/>
                <w:sz w:val="20"/>
              </w:rPr>
            </w:pPr>
          </w:p>
        </w:tc>
        <w:tc>
          <w:tcPr>
            <w:tcW w:w="868" w:type="dxa"/>
            <w:vAlign w:val="center"/>
          </w:tcPr>
          <w:p w:rsidR="00030C0D" w:rsidRDefault="00030C0D">
            <w:pPr>
              <w:spacing w:before="20" w:after="20"/>
              <w:jc w:val="right"/>
              <w:rPr>
                <w:noProof/>
                <w:sz w:val="20"/>
              </w:rPr>
            </w:pPr>
          </w:p>
        </w:tc>
        <w:tc>
          <w:tcPr>
            <w:tcW w:w="868" w:type="dxa"/>
            <w:vAlign w:val="center"/>
          </w:tcPr>
          <w:p w:rsidR="00030C0D" w:rsidRDefault="00030C0D">
            <w:pPr>
              <w:spacing w:before="20" w:after="20"/>
              <w:jc w:val="right"/>
              <w:rPr>
                <w:noProof/>
                <w:sz w:val="20"/>
              </w:rPr>
            </w:pPr>
          </w:p>
        </w:tc>
        <w:tc>
          <w:tcPr>
            <w:tcW w:w="868" w:type="dxa"/>
            <w:vAlign w:val="center"/>
          </w:tcPr>
          <w:p w:rsidR="00030C0D" w:rsidRDefault="00030C0D">
            <w:pPr>
              <w:spacing w:before="20" w:after="20"/>
              <w:jc w:val="right"/>
              <w:rPr>
                <w:b/>
                <w:noProof/>
                <w:sz w:val="20"/>
              </w:rPr>
            </w:pPr>
          </w:p>
        </w:tc>
        <w:tc>
          <w:tcPr>
            <w:tcW w:w="1777" w:type="dxa"/>
            <w:vAlign w:val="center"/>
          </w:tcPr>
          <w:p w:rsidR="00030C0D" w:rsidRDefault="00030C0D">
            <w:pPr>
              <w:spacing w:before="20" w:after="20"/>
              <w:jc w:val="right"/>
              <w:rPr>
                <w:b/>
                <w:noProof/>
                <w:sz w:val="20"/>
              </w:rPr>
            </w:pPr>
          </w:p>
        </w:tc>
      </w:tr>
      <w:tr w:rsidR="00030C0D">
        <w:trPr>
          <w:trHeight w:val="231"/>
        </w:trPr>
        <w:tc>
          <w:tcPr>
            <w:tcW w:w="6054" w:type="dxa"/>
            <w:gridSpan w:val="4"/>
            <w:vAlign w:val="center"/>
          </w:tcPr>
          <w:p w:rsidR="00030C0D" w:rsidRDefault="00986C69">
            <w:pPr>
              <w:spacing w:before="20" w:after="20"/>
              <w:rPr>
                <w:noProof/>
                <w:sz w:val="22"/>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28"/>
            </w:r>
            <w:r>
              <w:rPr>
                <w:noProof/>
                <w:sz w:val="21"/>
              </w:rPr>
              <w:t xml:space="preserve"> </w:t>
            </w:r>
          </w:p>
          <w:p w:rsidR="00030C0D" w:rsidRDefault="00030C0D">
            <w:pPr>
              <w:spacing w:before="0" w:after="0"/>
              <w:rPr>
                <w:noProof/>
                <w:sz w:val="22"/>
              </w:rPr>
            </w:pPr>
          </w:p>
        </w:tc>
        <w:tc>
          <w:tcPr>
            <w:tcW w:w="868" w:type="dxa"/>
            <w:vAlign w:val="center"/>
          </w:tcPr>
          <w:p w:rsidR="00030C0D" w:rsidRDefault="00030C0D">
            <w:pPr>
              <w:rPr>
                <w:b/>
                <w:noProof/>
                <w:sz w:val="20"/>
              </w:rPr>
            </w:pPr>
          </w:p>
        </w:tc>
        <w:tc>
          <w:tcPr>
            <w:tcW w:w="868" w:type="dxa"/>
            <w:vAlign w:val="center"/>
          </w:tcPr>
          <w:p w:rsidR="00030C0D" w:rsidRDefault="00030C0D">
            <w:pPr>
              <w:rPr>
                <w:b/>
                <w:noProof/>
                <w:sz w:val="20"/>
              </w:rPr>
            </w:pPr>
          </w:p>
        </w:tc>
        <w:tc>
          <w:tcPr>
            <w:tcW w:w="868" w:type="dxa"/>
            <w:vAlign w:val="center"/>
          </w:tcPr>
          <w:p w:rsidR="00030C0D" w:rsidRDefault="00030C0D">
            <w:pPr>
              <w:rPr>
                <w:b/>
                <w:noProof/>
                <w:sz w:val="20"/>
              </w:rPr>
            </w:pPr>
          </w:p>
        </w:tc>
        <w:tc>
          <w:tcPr>
            <w:tcW w:w="868" w:type="dxa"/>
            <w:vAlign w:val="center"/>
          </w:tcPr>
          <w:p w:rsidR="00030C0D" w:rsidRDefault="00030C0D">
            <w:pPr>
              <w:rPr>
                <w:b/>
                <w:noProof/>
                <w:sz w:val="20"/>
              </w:rPr>
            </w:pPr>
          </w:p>
        </w:tc>
        <w:tc>
          <w:tcPr>
            <w:tcW w:w="868" w:type="dxa"/>
            <w:vAlign w:val="center"/>
          </w:tcPr>
          <w:p w:rsidR="00030C0D" w:rsidRDefault="00030C0D">
            <w:pPr>
              <w:rPr>
                <w:b/>
                <w:noProof/>
                <w:sz w:val="20"/>
              </w:rPr>
            </w:pPr>
          </w:p>
        </w:tc>
        <w:tc>
          <w:tcPr>
            <w:tcW w:w="868" w:type="dxa"/>
            <w:vAlign w:val="center"/>
          </w:tcPr>
          <w:p w:rsidR="00030C0D" w:rsidRDefault="00030C0D">
            <w:pPr>
              <w:rPr>
                <w:b/>
                <w:noProof/>
                <w:sz w:val="20"/>
              </w:rPr>
            </w:pPr>
          </w:p>
        </w:tc>
        <w:tc>
          <w:tcPr>
            <w:tcW w:w="868" w:type="dxa"/>
            <w:vAlign w:val="center"/>
          </w:tcPr>
          <w:p w:rsidR="00030C0D" w:rsidRDefault="00030C0D">
            <w:pPr>
              <w:rPr>
                <w:b/>
                <w:noProof/>
                <w:sz w:val="20"/>
              </w:rPr>
            </w:pPr>
          </w:p>
        </w:tc>
        <w:tc>
          <w:tcPr>
            <w:tcW w:w="1777" w:type="dxa"/>
            <w:vAlign w:val="center"/>
          </w:tcPr>
          <w:p w:rsidR="00030C0D" w:rsidRDefault="00030C0D">
            <w:pPr>
              <w:rPr>
                <w:b/>
                <w:noProof/>
                <w:sz w:val="20"/>
              </w:rPr>
            </w:pPr>
          </w:p>
        </w:tc>
      </w:tr>
      <w:tr w:rsidR="00030C0D">
        <w:trPr>
          <w:trHeight w:val="319"/>
        </w:trPr>
        <w:tc>
          <w:tcPr>
            <w:tcW w:w="3960" w:type="dxa"/>
            <w:vAlign w:val="center"/>
          </w:tcPr>
          <w:p w:rsidR="00030C0D" w:rsidRDefault="00986C69">
            <w:pPr>
              <w:rPr>
                <w:noProof/>
                <w:sz w:val="20"/>
              </w:rPr>
            </w:pPr>
            <w:r>
              <w:rPr>
                <w:noProof/>
                <w:sz w:val="20"/>
              </w:rPr>
              <w:t xml:space="preserve">32 04 03 </w:t>
            </w:r>
            <w:r>
              <w:rPr>
                <w:noProof/>
                <w:sz w:val="20"/>
              </w:rPr>
              <w:t>01</w:t>
            </w:r>
          </w:p>
          <w:p w:rsidR="00030C0D" w:rsidRDefault="00986C69">
            <w:pPr>
              <w:spacing w:before="60" w:after="60"/>
              <w:rPr>
                <w:noProof/>
                <w:sz w:val="22"/>
              </w:rPr>
            </w:pPr>
            <w:r>
              <w:rPr>
                <w:noProof/>
                <w:sz w:val="20"/>
              </w:rPr>
              <w:t>Обществени предизвикателства: Осъществяване на прехода към надеждна, устойчива и конкурентоспособна енергийна система</w:t>
            </w:r>
          </w:p>
        </w:tc>
        <w:tc>
          <w:tcPr>
            <w:tcW w:w="1440" w:type="dxa"/>
            <w:vAlign w:val="center"/>
          </w:tcPr>
          <w:p w:rsidR="00030C0D" w:rsidRDefault="00030C0D">
            <w:pPr>
              <w:spacing w:before="40" w:after="40"/>
              <w:jc w:val="right"/>
              <w:rPr>
                <w:noProof/>
                <w:sz w:val="18"/>
              </w:rPr>
            </w:pPr>
          </w:p>
        </w:tc>
        <w:tc>
          <w:tcPr>
            <w:tcW w:w="654" w:type="dxa"/>
            <w:gridSpan w:val="2"/>
            <w:vAlign w:val="center"/>
          </w:tcPr>
          <w:p w:rsidR="00030C0D" w:rsidRDefault="00986C69">
            <w:pPr>
              <w:spacing w:before="40" w:after="40"/>
              <w:jc w:val="center"/>
              <w:rPr>
                <w:noProof/>
                <w:sz w:val="14"/>
              </w:rPr>
            </w:pPr>
            <w:r>
              <w:rPr>
                <w:noProof/>
                <w:sz w:val="14"/>
              </w:rPr>
              <w:t>(3)</w:t>
            </w:r>
          </w:p>
        </w:tc>
        <w:tc>
          <w:tcPr>
            <w:tcW w:w="868" w:type="dxa"/>
            <w:vAlign w:val="center"/>
          </w:tcPr>
          <w:p w:rsidR="00030C0D" w:rsidRDefault="00986C69">
            <w:pPr>
              <w:spacing w:before="20" w:after="20"/>
              <w:jc w:val="right"/>
              <w:rPr>
                <w:noProof/>
                <w:sz w:val="20"/>
              </w:rPr>
            </w:pPr>
            <w:r>
              <w:rPr>
                <w:noProof/>
                <w:sz w:val="20"/>
              </w:rPr>
              <w:t>2,200</w:t>
            </w:r>
          </w:p>
        </w:tc>
        <w:tc>
          <w:tcPr>
            <w:tcW w:w="868" w:type="dxa"/>
            <w:vAlign w:val="center"/>
          </w:tcPr>
          <w:p w:rsidR="00030C0D" w:rsidRDefault="00986C69">
            <w:pPr>
              <w:spacing w:before="20" w:after="20"/>
              <w:jc w:val="right"/>
              <w:rPr>
                <w:noProof/>
                <w:sz w:val="20"/>
              </w:rPr>
            </w:pPr>
            <w:r>
              <w:rPr>
                <w:noProof/>
                <w:sz w:val="20"/>
              </w:rPr>
              <w:t>1,150</w:t>
            </w:r>
          </w:p>
        </w:tc>
        <w:tc>
          <w:tcPr>
            <w:tcW w:w="868" w:type="dxa"/>
            <w:vAlign w:val="center"/>
          </w:tcPr>
          <w:p w:rsidR="00030C0D" w:rsidRDefault="00986C69">
            <w:pPr>
              <w:spacing w:before="20" w:after="20"/>
              <w:jc w:val="right"/>
              <w:rPr>
                <w:noProof/>
                <w:sz w:val="20"/>
              </w:rPr>
            </w:pPr>
            <w:r>
              <w:rPr>
                <w:noProof/>
                <w:sz w:val="20"/>
              </w:rPr>
              <w:t>1,150</w:t>
            </w:r>
          </w:p>
        </w:tc>
        <w:tc>
          <w:tcPr>
            <w:tcW w:w="868" w:type="dxa"/>
            <w:vAlign w:val="center"/>
          </w:tcPr>
          <w:p w:rsidR="00030C0D" w:rsidRDefault="00986C69">
            <w:pPr>
              <w:spacing w:before="20" w:after="20"/>
              <w:jc w:val="right"/>
              <w:rPr>
                <w:noProof/>
                <w:sz w:val="20"/>
              </w:rPr>
            </w:pPr>
            <w:r>
              <w:rPr>
                <w:noProof/>
                <w:sz w:val="20"/>
              </w:rPr>
              <w:t>1,150</w:t>
            </w:r>
          </w:p>
        </w:tc>
        <w:tc>
          <w:tcPr>
            <w:tcW w:w="868" w:type="dxa"/>
            <w:vAlign w:val="center"/>
          </w:tcPr>
          <w:p w:rsidR="00030C0D" w:rsidRDefault="00986C69">
            <w:pPr>
              <w:spacing w:before="20" w:after="20"/>
              <w:jc w:val="right"/>
              <w:rPr>
                <w:noProof/>
                <w:sz w:val="20"/>
              </w:rPr>
            </w:pPr>
            <w:r>
              <w:rPr>
                <w:noProof/>
                <w:sz w:val="20"/>
              </w:rPr>
              <w:t>1,150</w:t>
            </w:r>
          </w:p>
        </w:tc>
        <w:tc>
          <w:tcPr>
            <w:tcW w:w="868" w:type="dxa"/>
            <w:vAlign w:val="center"/>
          </w:tcPr>
          <w:p w:rsidR="00030C0D" w:rsidRDefault="00030C0D">
            <w:pPr>
              <w:spacing w:before="20" w:after="20"/>
              <w:jc w:val="right"/>
              <w:rPr>
                <w:noProof/>
                <w:sz w:val="20"/>
              </w:rPr>
            </w:pPr>
          </w:p>
        </w:tc>
        <w:tc>
          <w:tcPr>
            <w:tcW w:w="868" w:type="dxa"/>
            <w:vAlign w:val="center"/>
          </w:tcPr>
          <w:p w:rsidR="00030C0D" w:rsidRDefault="00030C0D">
            <w:pPr>
              <w:spacing w:before="20" w:after="20"/>
              <w:jc w:val="right"/>
              <w:rPr>
                <w:noProof/>
                <w:sz w:val="20"/>
              </w:rPr>
            </w:pPr>
          </w:p>
        </w:tc>
        <w:tc>
          <w:tcPr>
            <w:tcW w:w="1777" w:type="dxa"/>
            <w:vAlign w:val="center"/>
          </w:tcPr>
          <w:p w:rsidR="00030C0D" w:rsidRDefault="00986C69">
            <w:pPr>
              <w:spacing w:before="20" w:after="20"/>
              <w:jc w:val="right"/>
              <w:rPr>
                <w:b/>
                <w:noProof/>
                <w:sz w:val="20"/>
              </w:rPr>
            </w:pPr>
            <w:r>
              <w:rPr>
                <w:noProof/>
                <w:sz w:val="20"/>
              </w:rPr>
              <w:t>Предложение с неограничен срок на действие</w:t>
            </w:r>
          </w:p>
        </w:tc>
      </w:tr>
      <w:tr w:rsidR="00030C0D">
        <w:tc>
          <w:tcPr>
            <w:tcW w:w="3960" w:type="dxa"/>
            <w:vMerge w:val="restart"/>
            <w:vAlign w:val="center"/>
          </w:tcPr>
          <w:p w:rsidR="00030C0D" w:rsidRDefault="00986C69">
            <w:pPr>
              <w:jc w:val="center"/>
              <w:rPr>
                <w:b/>
                <w:noProof/>
                <w:sz w:val="22"/>
              </w:rPr>
            </w:pPr>
            <w:r>
              <w:rPr>
                <w:b/>
                <w:noProof/>
              </w:rPr>
              <w:t>ОБЩО бюджетни кредити</w:t>
            </w:r>
            <w:r>
              <w:rPr>
                <w:noProof/>
                <w:sz w:val="22"/>
              </w:rPr>
              <w:br/>
            </w:r>
            <w:r>
              <w:rPr>
                <w:b/>
                <w:noProof/>
                <w:sz w:val="22"/>
              </w:rPr>
              <w:t>за ГД „Енергетика“</w:t>
            </w:r>
          </w:p>
        </w:tc>
        <w:tc>
          <w:tcPr>
            <w:tcW w:w="1440" w:type="dxa"/>
            <w:vAlign w:val="center"/>
          </w:tcPr>
          <w:p w:rsidR="00030C0D" w:rsidRDefault="00986C69">
            <w:pPr>
              <w:rPr>
                <w:noProof/>
                <w:sz w:val="18"/>
              </w:rPr>
            </w:pPr>
            <w:r>
              <w:rPr>
                <w:noProof/>
                <w:sz w:val="18"/>
              </w:rPr>
              <w:t xml:space="preserve">Поети </w:t>
            </w:r>
            <w:r>
              <w:rPr>
                <w:noProof/>
                <w:sz w:val="18"/>
              </w:rPr>
              <w:t>задължения</w:t>
            </w:r>
          </w:p>
        </w:tc>
        <w:tc>
          <w:tcPr>
            <w:tcW w:w="654" w:type="dxa"/>
            <w:gridSpan w:val="2"/>
            <w:vAlign w:val="center"/>
          </w:tcPr>
          <w:p w:rsidR="00030C0D" w:rsidRDefault="00986C69">
            <w:pPr>
              <w:jc w:val="center"/>
              <w:rPr>
                <w:noProof/>
                <w:sz w:val="14"/>
              </w:rPr>
            </w:pPr>
            <w:r>
              <w:rPr>
                <w:noProof/>
                <w:sz w:val="14"/>
              </w:rPr>
              <w:t>= 1 + 1а + 3</w:t>
            </w:r>
          </w:p>
        </w:tc>
        <w:tc>
          <w:tcPr>
            <w:tcW w:w="868" w:type="dxa"/>
            <w:vAlign w:val="center"/>
          </w:tcPr>
          <w:p w:rsidR="00030C0D" w:rsidRDefault="00986C69">
            <w:pPr>
              <w:spacing w:before="20" w:after="20"/>
              <w:jc w:val="right"/>
              <w:rPr>
                <w:noProof/>
                <w:sz w:val="20"/>
              </w:rPr>
            </w:pPr>
            <w:r>
              <w:rPr>
                <w:noProof/>
                <w:sz w:val="20"/>
              </w:rPr>
              <w:t>2,200</w:t>
            </w:r>
          </w:p>
        </w:tc>
        <w:tc>
          <w:tcPr>
            <w:tcW w:w="868" w:type="dxa"/>
            <w:vAlign w:val="center"/>
          </w:tcPr>
          <w:p w:rsidR="00030C0D" w:rsidRDefault="00986C69">
            <w:pPr>
              <w:spacing w:before="20" w:after="20"/>
              <w:jc w:val="right"/>
              <w:rPr>
                <w:noProof/>
                <w:sz w:val="20"/>
              </w:rPr>
            </w:pPr>
            <w:r>
              <w:rPr>
                <w:noProof/>
                <w:sz w:val="20"/>
              </w:rPr>
              <w:t>1,150</w:t>
            </w:r>
          </w:p>
        </w:tc>
        <w:tc>
          <w:tcPr>
            <w:tcW w:w="868" w:type="dxa"/>
            <w:vAlign w:val="center"/>
          </w:tcPr>
          <w:p w:rsidR="00030C0D" w:rsidRDefault="00986C69">
            <w:pPr>
              <w:spacing w:before="20" w:after="20"/>
              <w:jc w:val="right"/>
              <w:rPr>
                <w:noProof/>
                <w:sz w:val="20"/>
              </w:rPr>
            </w:pPr>
            <w:r>
              <w:rPr>
                <w:noProof/>
                <w:sz w:val="20"/>
              </w:rPr>
              <w:t>1,150</w:t>
            </w:r>
          </w:p>
        </w:tc>
        <w:tc>
          <w:tcPr>
            <w:tcW w:w="868" w:type="dxa"/>
            <w:vAlign w:val="center"/>
          </w:tcPr>
          <w:p w:rsidR="00030C0D" w:rsidRDefault="00986C69">
            <w:pPr>
              <w:spacing w:before="20" w:after="20"/>
              <w:jc w:val="right"/>
              <w:rPr>
                <w:noProof/>
                <w:sz w:val="20"/>
              </w:rPr>
            </w:pPr>
            <w:r>
              <w:rPr>
                <w:noProof/>
                <w:sz w:val="20"/>
              </w:rPr>
              <w:t>1,150</w:t>
            </w:r>
          </w:p>
        </w:tc>
        <w:tc>
          <w:tcPr>
            <w:tcW w:w="868" w:type="dxa"/>
            <w:vAlign w:val="center"/>
          </w:tcPr>
          <w:p w:rsidR="00030C0D" w:rsidRDefault="00986C69">
            <w:pPr>
              <w:spacing w:before="20" w:after="20"/>
              <w:jc w:val="right"/>
              <w:rPr>
                <w:noProof/>
                <w:sz w:val="20"/>
              </w:rPr>
            </w:pPr>
            <w:r>
              <w:rPr>
                <w:noProof/>
                <w:sz w:val="20"/>
              </w:rPr>
              <w:t>1,150</w:t>
            </w:r>
          </w:p>
        </w:tc>
        <w:tc>
          <w:tcPr>
            <w:tcW w:w="868" w:type="dxa"/>
            <w:vAlign w:val="center"/>
          </w:tcPr>
          <w:p w:rsidR="00030C0D" w:rsidRDefault="00030C0D">
            <w:pPr>
              <w:spacing w:before="20" w:after="20"/>
              <w:jc w:val="right"/>
              <w:rPr>
                <w:noProof/>
                <w:sz w:val="20"/>
              </w:rPr>
            </w:pPr>
          </w:p>
        </w:tc>
        <w:tc>
          <w:tcPr>
            <w:tcW w:w="868" w:type="dxa"/>
            <w:vAlign w:val="center"/>
          </w:tcPr>
          <w:p w:rsidR="00030C0D" w:rsidRDefault="00030C0D">
            <w:pPr>
              <w:spacing w:before="20" w:after="20"/>
              <w:jc w:val="right"/>
              <w:rPr>
                <w:b/>
                <w:noProof/>
                <w:sz w:val="20"/>
              </w:rPr>
            </w:pPr>
          </w:p>
        </w:tc>
        <w:tc>
          <w:tcPr>
            <w:tcW w:w="1777" w:type="dxa"/>
            <w:vAlign w:val="center"/>
          </w:tcPr>
          <w:p w:rsidR="00030C0D" w:rsidRDefault="00986C69">
            <w:pPr>
              <w:spacing w:before="20" w:after="20"/>
              <w:jc w:val="right"/>
              <w:rPr>
                <w:b/>
                <w:noProof/>
                <w:sz w:val="20"/>
              </w:rPr>
            </w:pPr>
            <w:r>
              <w:rPr>
                <w:noProof/>
                <w:sz w:val="20"/>
              </w:rPr>
              <w:t>Предложение с неограничен срок на действие</w:t>
            </w:r>
          </w:p>
        </w:tc>
      </w:tr>
      <w:tr w:rsidR="00030C0D">
        <w:tc>
          <w:tcPr>
            <w:tcW w:w="3960" w:type="dxa"/>
            <w:vMerge/>
          </w:tcPr>
          <w:p w:rsidR="00030C0D" w:rsidRDefault="00030C0D">
            <w:pPr>
              <w:rPr>
                <w:noProof/>
                <w:sz w:val="20"/>
              </w:rPr>
            </w:pPr>
          </w:p>
        </w:tc>
        <w:tc>
          <w:tcPr>
            <w:tcW w:w="1440" w:type="dxa"/>
            <w:vAlign w:val="center"/>
          </w:tcPr>
          <w:p w:rsidR="00030C0D" w:rsidRDefault="00986C69">
            <w:pPr>
              <w:rPr>
                <w:noProof/>
                <w:sz w:val="18"/>
              </w:rPr>
            </w:pPr>
            <w:r>
              <w:rPr>
                <w:noProof/>
                <w:sz w:val="18"/>
              </w:rPr>
              <w:t>Плащания</w:t>
            </w:r>
          </w:p>
        </w:tc>
        <w:tc>
          <w:tcPr>
            <w:tcW w:w="654" w:type="dxa"/>
            <w:gridSpan w:val="2"/>
            <w:vAlign w:val="center"/>
          </w:tcPr>
          <w:p w:rsidR="00030C0D" w:rsidRDefault="00986C69">
            <w:pPr>
              <w:jc w:val="center"/>
              <w:rPr>
                <w:noProof/>
                <w:sz w:val="14"/>
              </w:rPr>
            </w:pPr>
            <w:r>
              <w:rPr>
                <w:noProof/>
                <w:sz w:val="14"/>
              </w:rPr>
              <w:t>= 2 + 2а</w:t>
            </w:r>
          </w:p>
          <w:p w:rsidR="00030C0D" w:rsidRDefault="00986C69">
            <w:pPr>
              <w:jc w:val="center"/>
              <w:rPr>
                <w:noProof/>
                <w:sz w:val="14"/>
              </w:rPr>
            </w:pPr>
            <w:r>
              <w:rPr>
                <w:noProof/>
                <w:sz w:val="14"/>
              </w:rPr>
              <w:t>+3</w:t>
            </w:r>
          </w:p>
        </w:tc>
        <w:tc>
          <w:tcPr>
            <w:tcW w:w="868" w:type="dxa"/>
            <w:vAlign w:val="center"/>
          </w:tcPr>
          <w:p w:rsidR="00030C0D" w:rsidRDefault="00986C69">
            <w:pPr>
              <w:spacing w:before="20" w:after="20"/>
              <w:jc w:val="right"/>
              <w:rPr>
                <w:noProof/>
                <w:sz w:val="20"/>
              </w:rPr>
            </w:pPr>
            <w:r>
              <w:rPr>
                <w:noProof/>
                <w:sz w:val="20"/>
              </w:rPr>
              <w:t>2,200</w:t>
            </w:r>
          </w:p>
        </w:tc>
        <w:tc>
          <w:tcPr>
            <w:tcW w:w="868" w:type="dxa"/>
            <w:vAlign w:val="center"/>
          </w:tcPr>
          <w:p w:rsidR="00030C0D" w:rsidRDefault="00986C69">
            <w:pPr>
              <w:spacing w:before="20" w:after="20"/>
              <w:jc w:val="right"/>
              <w:rPr>
                <w:noProof/>
                <w:sz w:val="20"/>
              </w:rPr>
            </w:pPr>
            <w:r>
              <w:rPr>
                <w:noProof/>
                <w:sz w:val="20"/>
              </w:rPr>
              <w:t>1,150</w:t>
            </w:r>
          </w:p>
        </w:tc>
        <w:tc>
          <w:tcPr>
            <w:tcW w:w="868" w:type="dxa"/>
            <w:vAlign w:val="center"/>
          </w:tcPr>
          <w:p w:rsidR="00030C0D" w:rsidRDefault="00986C69">
            <w:pPr>
              <w:spacing w:before="20" w:after="20"/>
              <w:jc w:val="right"/>
              <w:rPr>
                <w:noProof/>
                <w:sz w:val="20"/>
              </w:rPr>
            </w:pPr>
            <w:r>
              <w:rPr>
                <w:noProof/>
                <w:sz w:val="20"/>
              </w:rPr>
              <w:t>1,150</w:t>
            </w:r>
          </w:p>
        </w:tc>
        <w:tc>
          <w:tcPr>
            <w:tcW w:w="868" w:type="dxa"/>
            <w:vAlign w:val="center"/>
          </w:tcPr>
          <w:p w:rsidR="00030C0D" w:rsidRDefault="00986C69">
            <w:pPr>
              <w:spacing w:before="20" w:after="20"/>
              <w:jc w:val="right"/>
              <w:rPr>
                <w:noProof/>
                <w:sz w:val="20"/>
              </w:rPr>
            </w:pPr>
            <w:r>
              <w:rPr>
                <w:noProof/>
                <w:sz w:val="20"/>
              </w:rPr>
              <w:t>1,150</w:t>
            </w:r>
          </w:p>
        </w:tc>
        <w:tc>
          <w:tcPr>
            <w:tcW w:w="868" w:type="dxa"/>
            <w:vAlign w:val="center"/>
          </w:tcPr>
          <w:p w:rsidR="00030C0D" w:rsidRDefault="00986C69">
            <w:pPr>
              <w:spacing w:before="20" w:after="20"/>
              <w:jc w:val="right"/>
              <w:rPr>
                <w:noProof/>
                <w:sz w:val="20"/>
              </w:rPr>
            </w:pPr>
            <w:r>
              <w:rPr>
                <w:noProof/>
                <w:sz w:val="20"/>
              </w:rPr>
              <w:t>1,150</w:t>
            </w:r>
          </w:p>
        </w:tc>
        <w:tc>
          <w:tcPr>
            <w:tcW w:w="868" w:type="dxa"/>
            <w:vAlign w:val="center"/>
          </w:tcPr>
          <w:p w:rsidR="00030C0D" w:rsidRDefault="00030C0D">
            <w:pPr>
              <w:spacing w:before="20" w:after="20"/>
              <w:jc w:val="right"/>
              <w:rPr>
                <w:noProof/>
                <w:sz w:val="20"/>
              </w:rPr>
            </w:pPr>
          </w:p>
        </w:tc>
        <w:tc>
          <w:tcPr>
            <w:tcW w:w="868" w:type="dxa"/>
            <w:vAlign w:val="center"/>
          </w:tcPr>
          <w:p w:rsidR="00030C0D" w:rsidRDefault="00030C0D">
            <w:pPr>
              <w:spacing w:before="20" w:after="20"/>
              <w:jc w:val="right"/>
              <w:rPr>
                <w:b/>
                <w:noProof/>
                <w:sz w:val="20"/>
              </w:rPr>
            </w:pPr>
          </w:p>
        </w:tc>
        <w:tc>
          <w:tcPr>
            <w:tcW w:w="1777" w:type="dxa"/>
            <w:vAlign w:val="center"/>
          </w:tcPr>
          <w:p w:rsidR="00030C0D" w:rsidRDefault="00986C69">
            <w:pPr>
              <w:spacing w:before="20" w:after="20"/>
              <w:jc w:val="right"/>
              <w:rPr>
                <w:b/>
                <w:noProof/>
                <w:sz w:val="20"/>
              </w:rPr>
            </w:pPr>
            <w:r>
              <w:rPr>
                <w:noProof/>
                <w:sz w:val="20"/>
              </w:rPr>
              <w:t>Предложение с неограничен срок на действие</w:t>
            </w:r>
          </w:p>
        </w:tc>
      </w:tr>
    </w:tbl>
    <w:p w:rsidR="00030C0D" w:rsidRDefault="00986C69">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030C0D">
        <w:trPr>
          <w:trHeight w:val="277"/>
        </w:trPr>
        <w:tc>
          <w:tcPr>
            <w:tcW w:w="3960" w:type="dxa"/>
            <w:vMerge w:val="restart"/>
            <w:vAlign w:val="center"/>
          </w:tcPr>
          <w:p w:rsidR="00030C0D" w:rsidRDefault="00986C69">
            <w:pPr>
              <w:spacing w:before="20" w:after="20"/>
              <w:rPr>
                <w:noProof/>
                <w:sz w:val="22"/>
              </w:rPr>
            </w:pPr>
            <w:r>
              <w:rPr>
                <w:noProof/>
              </w:rPr>
              <w:br w:type="page"/>
            </w:r>
            <w:r>
              <w:rPr>
                <w:noProof/>
                <w:sz w:val="21"/>
              </w:rPr>
              <w:sym w:font="Wingdings" w:char="F09F"/>
            </w:r>
            <w:r>
              <w:rPr>
                <w:noProof/>
                <w:sz w:val="21"/>
              </w:rPr>
              <w:t xml:space="preserve"> ОБЩО бюджетни кредити за оперативни разходи </w:t>
            </w:r>
          </w:p>
        </w:tc>
        <w:tc>
          <w:tcPr>
            <w:tcW w:w="1440" w:type="dxa"/>
            <w:vAlign w:val="center"/>
          </w:tcPr>
          <w:p w:rsidR="00030C0D" w:rsidRDefault="00986C69">
            <w:pPr>
              <w:spacing w:beforeLines="20" w:before="48" w:afterLines="20" w:after="48"/>
              <w:rPr>
                <w:noProof/>
                <w:sz w:val="18"/>
              </w:rPr>
            </w:pPr>
            <w:r>
              <w:rPr>
                <w:noProof/>
                <w:sz w:val="18"/>
              </w:rPr>
              <w:t xml:space="preserve">Поети </w:t>
            </w:r>
            <w:r>
              <w:rPr>
                <w:noProof/>
                <w:sz w:val="18"/>
              </w:rPr>
              <w:t>задължения</w:t>
            </w:r>
          </w:p>
        </w:tc>
        <w:tc>
          <w:tcPr>
            <w:tcW w:w="654" w:type="dxa"/>
            <w:vAlign w:val="center"/>
          </w:tcPr>
          <w:p w:rsidR="00030C0D" w:rsidRDefault="00986C69">
            <w:pPr>
              <w:spacing w:beforeLines="20" w:before="48" w:afterLines="20" w:after="48"/>
              <w:jc w:val="center"/>
              <w:rPr>
                <w:noProof/>
                <w:sz w:val="14"/>
              </w:rPr>
            </w:pPr>
            <w:r>
              <w:rPr>
                <w:noProof/>
                <w:sz w:val="14"/>
              </w:rPr>
              <w:t>(4)</w:t>
            </w:r>
          </w:p>
        </w:tc>
        <w:tc>
          <w:tcPr>
            <w:tcW w:w="868" w:type="dxa"/>
            <w:vAlign w:val="center"/>
          </w:tcPr>
          <w:p w:rsidR="00030C0D" w:rsidRDefault="00030C0D">
            <w:pPr>
              <w:spacing w:before="20" w:after="20"/>
              <w:jc w:val="right"/>
              <w:rPr>
                <w:noProof/>
                <w:sz w:val="20"/>
              </w:rPr>
            </w:pPr>
          </w:p>
        </w:tc>
        <w:tc>
          <w:tcPr>
            <w:tcW w:w="868" w:type="dxa"/>
            <w:vAlign w:val="center"/>
          </w:tcPr>
          <w:p w:rsidR="00030C0D" w:rsidRDefault="00030C0D">
            <w:pPr>
              <w:spacing w:before="20" w:after="20"/>
              <w:jc w:val="right"/>
              <w:rPr>
                <w:noProof/>
                <w:sz w:val="20"/>
              </w:rPr>
            </w:pPr>
          </w:p>
        </w:tc>
        <w:tc>
          <w:tcPr>
            <w:tcW w:w="868" w:type="dxa"/>
            <w:vAlign w:val="center"/>
          </w:tcPr>
          <w:p w:rsidR="00030C0D" w:rsidRDefault="00030C0D">
            <w:pPr>
              <w:spacing w:before="20" w:after="20"/>
              <w:jc w:val="right"/>
              <w:rPr>
                <w:noProof/>
                <w:sz w:val="20"/>
              </w:rPr>
            </w:pPr>
          </w:p>
        </w:tc>
        <w:tc>
          <w:tcPr>
            <w:tcW w:w="868" w:type="dxa"/>
            <w:vAlign w:val="center"/>
          </w:tcPr>
          <w:p w:rsidR="00030C0D" w:rsidRDefault="00030C0D">
            <w:pPr>
              <w:spacing w:before="20" w:after="20"/>
              <w:jc w:val="right"/>
              <w:rPr>
                <w:noProof/>
                <w:sz w:val="20"/>
              </w:rPr>
            </w:pPr>
          </w:p>
        </w:tc>
        <w:tc>
          <w:tcPr>
            <w:tcW w:w="868" w:type="dxa"/>
            <w:vAlign w:val="center"/>
          </w:tcPr>
          <w:p w:rsidR="00030C0D" w:rsidRDefault="00030C0D">
            <w:pPr>
              <w:spacing w:before="20" w:after="20"/>
              <w:jc w:val="right"/>
              <w:rPr>
                <w:noProof/>
                <w:sz w:val="20"/>
              </w:rPr>
            </w:pPr>
          </w:p>
        </w:tc>
        <w:tc>
          <w:tcPr>
            <w:tcW w:w="868" w:type="dxa"/>
            <w:vAlign w:val="center"/>
          </w:tcPr>
          <w:p w:rsidR="00030C0D" w:rsidRDefault="00030C0D">
            <w:pPr>
              <w:spacing w:before="20" w:after="20"/>
              <w:jc w:val="right"/>
              <w:rPr>
                <w:noProof/>
                <w:sz w:val="20"/>
              </w:rPr>
            </w:pPr>
          </w:p>
        </w:tc>
        <w:tc>
          <w:tcPr>
            <w:tcW w:w="868" w:type="dxa"/>
            <w:vAlign w:val="center"/>
          </w:tcPr>
          <w:p w:rsidR="00030C0D" w:rsidRDefault="00030C0D">
            <w:pPr>
              <w:spacing w:before="20" w:after="20"/>
              <w:jc w:val="right"/>
              <w:rPr>
                <w:b/>
                <w:noProof/>
                <w:sz w:val="20"/>
              </w:rPr>
            </w:pPr>
          </w:p>
        </w:tc>
        <w:tc>
          <w:tcPr>
            <w:tcW w:w="1777" w:type="dxa"/>
            <w:vAlign w:val="center"/>
          </w:tcPr>
          <w:p w:rsidR="00030C0D" w:rsidRDefault="00030C0D">
            <w:pPr>
              <w:spacing w:before="20" w:after="20"/>
              <w:jc w:val="right"/>
              <w:rPr>
                <w:noProof/>
                <w:sz w:val="20"/>
              </w:rPr>
            </w:pPr>
          </w:p>
        </w:tc>
      </w:tr>
      <w:tr w:rsidR="00030C0D">
        <w:tc>
          <w:tcPr>
            <w:tcW w:w="3960" w:type="dxa"/>
            <w:vMerge/>
          </w:tcPr>
          <w:p w:rsidR="00030C0D" w:rsidRDefault="00030C0D">
            <w:pPr>
              <w:jc w:val="center"/>
              <w:rPr>
                <w:noProof/>
                <w:sz w:val="20"/>
              </w:rPr>
            </w:pPr>
          </w:p>
        </w:tc>
        <w:tc>
          <w:tcPr>
            <w:tcW w:w="1440" w:type="dxa"/>
            <w:vAlign w:val="center"/>
          </w:tcPr>
          <w:p w:rsidR="00030C0D" w:rsidRDefault="00986C69">
            <w:pPr>
              <w:spacing w:beforeLines="20" w:before="48" w:afterLines="20" w:after="48"/>
              <w:rPr>
                <w:noProof/>
                <w:sz w:val="18"/>
              </w:rPr>
            </w:pPr>
            <w:r>
              <w:rPr>
                <w:noProof/>
                <w:sz w:val="18"/>
              </w:rPr>
              <w:t>Плащания</w:t>
            </w:r>
          </w:p>
        </w:tc>
        <w:tc>
          <w:tcPr>
            <w:tcW w:w="654" w:type="dxa"/>
            <w:vAlign w:val="center"/>
          </w:tcPr>
          <w:p w:rsidR="00030C0D" w:rsidRDefault="00986C69">
            <w:pPr>
              <w:spacing w:beforeLines="20" w:before="48" w:afterLines="20" w:after="48"/>
              <w:jc w:val="center"/>
              <w:rPr>
                <w:noProof/>
                <w:sz w:val="14"/>
              </w:rPr>
            </w:pPr>
            <w:r>
              <w:rPr>
                <w:noProof/>
                <w:sz w:val="14"/>
              </w:rPr>
              <w:t>(5)</w:t>
            </w:r>
          </w:p>
        </w:tc>
        <w:tc>
          <w:tcPr>
            <w:tcW w:w="868" w:type="dxa"/>
            <w:vAlign w:val="center"/>
          </w:tcPr>
          <w:p w:rsidR="00030C0D" w:rsidRDefault="00030C0D">
            <w:pPr>
              <w:spacing w:before="20" w:after="20"/>
              <w:jc w:val="right"/>
              <w:rPr>
                <w:noProof/>
                <w:sz w:val="20"/>
              </w:rPr>
            </w:pPr>
          </w:p>
        </w:tc>
        <w:tc>
          <w:tcPr>
            <w:tcW w:w="868" w:type="dxa"/>
            <w:vAlign w:val="center"/>
          </w:tcPr>
          <w:p w:rsidR="00030C0D" w:rsidRDefault="00030C0D">
            <w:pPr>
              <w:spacing w:before="20" w:after="20"/>
              <w:jc w:val="right"/>
              <w:rPr>
                <w:noProof/>
                <w:sz w:val="20"/>
              </w:rPr>
            </w:pPr>
          </w:p>
        </w:tc>
        <w:tc>
          <w:tcPr>
            <w:tcW w:w="868" w:type="dxa"/>
            <w:vAlign w:val="center"/>
          </w:tcPr>
          <w:p w:rsidR="00030C0D" w:rsidRDefault="00030C0D">
            <w:pPr>
              <w:spacing w:before="20" w:after="20"/>
              <w:jc w:val="right"/>
              <w:rPr>
                <w:noProof/>
                <w:sz w:val="20"/>
              </w:rPr>
            </w:pPr>
          </w:p>
        </w:tc>
        <w:tc>
          <w:tcPr>
            <w:tcW w:w="868" w:type="dxa"/>
            <w:vAlign w:val="center"/>
          </w:tcPr>
          <w:p w:rsidR="00030C0D" w:rsidRDefault="00030C0D">
            <w:pPr>
              <w:spacing w:before="20" w:after="20"/>
              <w:jc w:val="right"/>
              <w:rPr>
                <w:noProof/>
                <w:sz w:val="20"/>
              </w:rPr>
            </w:pPr>
          </w:p>
        </w:tc>
        <w:tc>
          <w:tcPr>
            <w:tcW w:w="868" w:type="dxa"/>
            <w:vAlign w:val="center"/>
          </w:tcPr>
          <w:p w:rsidR="00030C0D" w:rsidRDefault="00030C0D">
            <w:pPr>
              <w:spacing w:before="20" w:after="20"/>
              <w:jc w:val="right"/>
              <w:rPr>
                <w:noProof/>
                <w:sz w:val="20"/>
              </w:rPr>
            </w:pPr>
          </w:p>
        </w:tc>
        <w:tc>
          <w:tcPr>
            <w:tcW w:w="868" w:type="dxa"/>
            <w:vAlign w:val="center"/>
          </w:tcPr>
          <w:p w:rsidR="00030C0D" w:rsidRDefault="00030C0D">
            <w:pPr>
              <w:spacing w:before="20" w:after="20"/>
              <w:jc w:val="right"/>
              <w:rPr>
                <w:noProof/>
                <w:sz w:val="20"/>
              </w:rPr>
            </w:pPr>
          </w:p>
        </w:tc>
        <w:tc>
          <w:tcPr>
            <w:tcW w:w="868" w:type="dxa"/>
            <w:vAlign w:val="center"/>
          </w:tcPr>
          <w:p w:rsidR="00030C0D" w:rsidRDefault="00030C0D">
            <w:pPr>
              <w:spacing w:before="20" w:after="20"/>
              <w:jc w:val="right"/>
              <w:rPr>
                <w:b/>
                <w:noProof/>
                <w:sz w:val="20"/>
              </w:rPr>
            </w:pPr>
          </w:p>
        </w:tc>
        <w:tc>
          <w:tcPr>
            <w:tcW w:w="1777" w:type="dxa"/>
            <w:vAlign w:val="center"/>
          </w:tcPr>
          <w:p w:rsidR="00030C0D" w:rsidRDefault="00030C0D">
            <w:pPr>
              <w:spacing w:before="20" w:after="20"/>
              <w:jc w:val="right"/>
              <w:rPr>
                <w:b/>
                <w:noProof/>
                <w:sz w:val="20"/>
              </w:rPr>
            </w:pPr>
          </w:p>
        </w:tc>
      </w:tr>
      <w:tr w:rsidR="00030C0D">
        <w:trPr>
          <w:trHeight w:val="533"/>
        </w:trPr>
        <w:tc>
          <w:tcPr>
            <w:tcW w:w="5400" w:type="dxa"/>
            <w:gridSpan w:val="2"/>
            <w:vAlign w:val="center"/>
          </w:tcPr>
          <w:p w:rsidR="00030C0D" w:rsidRDefault="00986C69">
            <w:pPr>
              <w:spacing w:beforeLines="20" w:before="48" w:afterLines="20" w:after="48"/>
              <w:rPr>
                <w:noProof/>
                <w:sz w:val="22"/>
              </w:rPr>
            </w:pPr>
            <w:r>
              <w:rPr>
                <w:noProof/>
                <w:sz w:val="21"/>
              </w:rPr>
              <w:sym w:font="Wingdings" w:char="F09F"/>
            </w:r>
            <w:r>
              <w:rPr>
                <w:noProof/>
              </w:rPr>
              <w:t>ОБЩО бюджетни кредити за административни разходи, финансирани от пакета за определени програми</w:t>
            </w:r>
          </w:p>
        </w:tc>
        <w:tc>
          <w:tcPr>
            <w:tcW w:w="654" w:type="dxa"/>
            <w:vAlign w:val="center"/>
          </w:tcPr>
          <w:p w:rsidR="00030C0D" w:rsidRDefault="00986C69">
            <w:pPr>
              <w:spacing w:beforeLines="20" w:before="48" w:afterLines="20" w:after="48"/>
              <w:jc w:val="center"/>
              <w:rPr>
                <w:noProof/>
                <w:sz w:val="14"/>
              </w:rPr>
            </w:pPr>
            <w:r>
              <w:rPr>
                <w:noProof/>
                <w:sz w:val="14"/>
              </w:rPr>
              <w:t>(6)</w:t>
            </w:r>
          </w:p>
        </w:tc>
        <w:tc>
          <w:tcPr>
            <w:tcW w:w="868" w:type="dxa"/>
            <w:vAlign w:val="center"/>
          </w:tcPr>
          <w:p w:rsidR="00030C0D" w:rsidRDefault="00986C69">
            <w:pPr>
              <w:spacing w:before="20" w:after="20"/>
              <w:jc w:val="right"/>
              <w:rPr>
                <w:noProof/>
                <w:sz w:val="20"/>
              </w:rPr>
            </w:pPr>
            <w:r>
              <w:rPr>
                <w:noProof/>
                <w:sz w:val="20"/>
              </w:rPr>
              <w:t>2,200</w:t>
            </w:r>
          </w:p>
        </w:tc>
        <w:tc>
          <w:tcPr>
            <w:tcW w:w="868" w:type="dxa"/>
            <w:vAlign w:val="center"/>
          </w:tcPr>
          <w:p w:rsidR="00030C0D" w:rsidRDefault="00986C69">
            <w:pPr>
              <w:spacing w:before="20" w:after="20"/>
              <w:jc w:val="right"/>
              <w:rPr>
                <w:noProof/>
                <w:sz w:val="20"/>
              </w:rPr>
            </w:pPr>
            <w:r>
              <w:rPr>
                <w:noProof/>
                <w:sz w:val="20"/>
              </w:rPr>
              <w:t>1,150</w:t>
            </w:r>
          </w:p>
        </w:tc>
        <w:tc>
          <w:tcPr>
            <w:tcW w:w="868" w:type="dxa"/>
            <w:vAlign w:val="center"/>
          </w:tcPr>
          <w:p w:rsidR="00030C0D" w:rsidRDefault="00986C69">
            <w:pPr>
              <w:spacing w:before="20" w:after="20"/>
              <w:jc w:val="right"/>
              <w:rPr>
                <w:noProof/>
                <w:sz w:val="20"/>
              </w:rPr>
            </w:pPr>
            <w:r>
              <w:rPr>
                <w:noProof/>
                <w:sz w:val="20"/>
              </w:rPr>
              <w:t>1,150</w:t>
            </w:r>
          </w:p>
        </w:tc>
        <w:tc>
          <w:tcPr>
            <w:tcW w:w="868" w:type="dxa"/>
            <w:vAlign w:val="center"/>
          </w:tcPr>
          <w:p w:rsidR="00030C0D" w:rsidRDefault="00986C69">
            <w:pPr>
              <w:spacing w:before="20" w:after="20"/>
              <w:jc w:val="right"/>
              <w:rPr>
                <w:noProof/>
                <w:sz w:val="20"/>
              </w:rPr>
            </w:pPr>
            <w:r>
              <w:rPr>
                <w:noProof/>
                <w:sz w:val="20"/>
              </w:rPr>
              <w:t>1,150</w:t>
            </w:r>
          </w:p>
        </w:tc>
        <w:tc>
          <w:tcPr>
            <w:tcW w:w="868" w:type="dxa"/>
            <w:vAlign w:val="center"/>
          </w:tcPr>
          <w:p w:rsidR="00030C0D" w:rsidRDefault="00986C69">
            <w:pPr>
              <w:spacing w:before="20" w:after="20"/>
              <w:jc w:val="right"/>
              <w:rPr>
                <w:noProof/>
                <w:sz w:val="20"/>
              </w:rPr>
            </w:pPr>
            <w:r>
              <w:rPr>
                <w:noProof/>
                <w:sz w:val="20"/>
              </w:rPr>
              <w:t>1,150</w:t>
            </w:r>
          </w:p>
        </w:tc>
        <w:tc>
          <w:tcPr>
            <w:tcW w:w="868" w:type="dxa"/>
            <w:vAlign w:val="center"/>
          </w:tcPr>
          <w:p w:rsidR="00030C0D" w:rsidRDefault="00030C0D">
            <w:pPr>
              <w:spacing w:before="20" w:after="20"/>
              <w:jc w:val="right"/>
              <w:rPr>
                <w:noProof/>
                <w:sz w:val="20"/>
              </w:rPr>
            </w:pPr>
          </w:p>
        </w:tc>
        <w:tc>
          <w:tcPr>
            <w:tcW w:w="868" w:type="dxa"/>
            <w:vAlign w:val="center"/>
          </w:tcPr>
          <w:p w:rsidR="00030C0D" w:rsidRDefault="00030C0D">
            <w:pPr>
              <w:spacing w:before="20" w:after="20"/>
              <w:jc w:val="right"/>
              <w:rPr>
                <w:noProof/>
                <w:sz w:val="20"/>
              </w:rPr>
            </w:pPr>
          </w:p>
        </w:tc>
        <w:tc>
          <w:tcPr>
            <w:tcW w:w="1777" w:type="dxa"/>
            <w:vAlign w:val="center"/>
          </w:tcPr>
          <w:p w:rsidR="00030C0D" w:rsidRDefault="00030C0D">
            <w:pPr>
              <w:spacing w:before="20" w:after="20"/>
              <w:jc w:val="right"/>
              <w:rPr>
                <w:b/>
                <w:noProof/>
                <w:sz w:val="20"/>
              </w:rPr>
            </w:pPr>
          </w:p>
        </w:tc>
      </w:tr>
      <w:tr w:rsidR="00030C0D">
        <w:tc>
          <w:tcPr>
            <w:tcW w:w="3960" w:type="dxa"/>
            <w:vMerge w:val="restart"/>
            <w:shd w:val="thinDiagStripe" w:color="C0C0C0" w:fill="auto"/>
            <w:vAlign w:val="center"/>
          </w:tcPr>
          <w:p w:rsidR="00030C0D" w:rsidRDefault="00986C69">
            <w:pPr>
              <w:jc w:val="center"/>
              <w:rPr>
                <w:b/>
                <w:noProof/>
                <w:sz w:val="22"/>
              </w:rPr>
            </w:pPr>
            <w:r>
              <w:rPr>
                <w:b/>
                <w:noProof/>
              </w:rPr>
              <w:t>ОБЩО бюджетни кредити</w:t>
            </w:r>
            <w:r>
              <w:rPr>
                <w:noProof/>
                <w:sz w:val="22"/>
              </w:rPr>
              <w:br/>
            </w:r>
            <w:r>
              <w:rPr>
                <w:b/>
                <w:noProof/>
                <w:sz w:val="22"/>
              </w:rPr>
              <w:t>по ФУНКЦИЯ 1a</w:t>
            </w:r>
            <w:r>
              <w:rPr>
                <w:noProof/>
              </w:rPr>
              <w:br/>
            </w:r>
            <w:r>
              <w:rPr>
                <w:noProof/>
                <w:sz w:val="22"/>
              </w:rPr>
              <w:t>от многогодишната финансова рамка</w:t>
            </w:r>
          </w:p>
        </w:tc>
        <w:tc>
          <w:tcPr>
            <w:tcW w:w="1440" w:type="dxa"/>
            <w:vAlign w:val="center"/>
          </w:tcPr>
          <w:p w:rsidR="00030C0D" w:rsidRDefault="00986C69">
            <w:pPr>
              <w:rPr>
                <w:noProof/>
                <w:sz w:val="18"/>
              </w:rPr>
            </w:pPr>
            <w:r>
              <w:rPr>
                <w:noProof/>
                <w:sz w:val="18"/>
              </w:rPr>
              <w:t>Поети</w:t>
            </w:r>
            <w:r>
              <w:rPr>
                <w:noProof/>
                <w:sz w:val="18"/>
              </w:rPr>
              <w:t xml:space="preserve"> задължения</w:t>
            </w:r>
          </w:p>
        </w:tc>
        <w:tc>
          <w:tcPr>
            <w:tcW w:w="654" w:type="dxa"/>
            <w:vAlign w:val="center"/>
          </w:tcPr>
          <w:p w:rsidR="00030C0D" w:rsidRDefault="00986C69">
            <w:pPr>
              <w:jc w:val="center"/>
              <w:rPr>
                <w:noProof/>
                <w:sz w:val="14"/>
              </w:rPr>
            </w:pPr>
            <w:r>
              <w:rPr>
                <w:noProof/>
                <w:sz w:val="14"/>
              </w:rPr>
              <w:t>=4+ 6</w:t>
            </w:r>
          </w:p>
        </w:tc>
        <w:tc>
          <w:tcPr>
            <w:tcW w:w="868" w:type="dxa"/>
            <w:vAlign w:val="center"/>
          </w:tcPr>
          <w:p w:rsidR="00030C0D" w:rsidRDefault="00986C69">
            <w:pPr>
              <w:spacing w:before="20" w:after="20"/>
              <w:jc w:val="right"/>
              <w:rPr>
                <w:noProof/>
                <w:sz w:val="20"/>
              </w:rPr>
            </w:pPr>
            <w:r>
              <w:rPr>
                <w:noProof/>
                <w:sz w:val="20"/>
              </w:rPr>
              <w:t>2,200</w:t>
            </w:r>
          </w:p>
        </w:tc>
        <w:tc>
          <w:tcPr>
            <w:tcW w:w="868" w:type="dxa"/>
            <w:vAlign w:val="center"/>
          </w:tcPr>
          <w:p w:rsidR="00030C0D" w:rsidRDefault="00986C69">
            <w:pPr>
              <w:spacing w:before="20" w:after="20"/>
              <w:jc w:val="right"/>
              <w:rPr>
                <w:noProof/>
                <w:sz w:val="20"/>
              </w:rPr>
            </w:pPr>
            <w:r>
              <w:rPr>
                <w:noProof/>
                <w:sz w:val="20"/>
              </w:rPr>
              <w:t>1,150</w:t>
            </w:r>
          </w:p>
        </w:tc>
        <w:tc>
          <w:tcPr>
            <w:tcW w:w="868" w:type="dxa"/>
            <w:vAlign w:val="center"/>
          </w:tcPr>
          <w:p w:rsidR="00030C0D" w:rsidRDefault="00986C69">
            <w:pPr>
              <w:spacing w:before="20" w:after="20"/>
              <w:jc w:val="right"/>
              <w:rPr>
                <w:noProof/>
                <w:sz w:val="20"/>
              </w:rPr>
            </w:pPr>
            <w:r>
              <w:rPr>
                <w:noProof/>
                <w:sz w:val="20"/>
              </w:rPr>
              <w:t>1,150</w:t>
            </w:r>
          </w:p>
        </w:tc>
        <w:tc>
          <w:tcPr>
            <w:tcW w:w="868" w:type="dxa"/>
            <w:vAlign w:val="center"/>
          </w:tcPr>
          <w:p w:rsidR="00030C0D" w:rsidRDefault="00986C69">
            <w:pPr>
              <w:spacing w:before="20" w:after="20"/>
              <w:jc w:val="right"/>
              <w:rPr>
                <w:noProof/>
                <w:sz w:val="20"/>
              </w:rPr>
            </w:pPr>
            <w:r>
              <w:rPr>
                <w:noProof/>
                <w:sz w:val="20"/>
              </w:rPr>
              <w:t>1,150</w:t>
            </w:r>
          </w:p>
        </w:tc>
        <w:tc>
          <w:tcPr>
            <w:tcW w:w="868" w:type="dxa"/>
            <w:vAlign w:val="center"/>
          </w:tcPr>
          <w:p w:rsidR="00030C0D" w:rsidRDefault="00986C69">
            <w:pPr>
              <w:spacing w:before="20" w:after="20"/>
              <w:jc w:val="right"/>
              <w:rPr>
                <w:noProof/>
                <w:sz w:val="20"/>
              </w:rPr>
            </w:pPr>
            <w:r>
              <w:rPr>
                <w:noProof/>
                <w:sz w:val="20"/>
              </w:rPr>
              <w:t>1,150</w:t>
            </w:r>
          </w:p>
        </w:tc>
        <w:tc>
          <w:tcPr>
            <w:tcW w:w="868" w:type="dxa"/>
            <w:vAlign w:val="center"/>
          </w:tcPr>
          <w:p w:rsidR="00030C0D" w:rsidRDefault="00030C0D">
            <w:pPr>
              <w:spacing w:before="20" w:after="20"/>
              <w:jc w:val="right"/>
              <w:rPr>
                <w:noProof/>
                <w:sz w:val="20"/>
              </w:rPr>
            </w:pPr>
          </w:p>
        </w:tc>
        <w:tc>
          <w:tcPr>
            <w:tcW w:w="868" w:type="dxa"/>
            <w:vAlign w:val="center"/>
          </w:tcPr>
          <w:p w:rsidR="00030C0D" w:rsidRDefault="00030C0D">
            <w:pPr>
              <w:spacing w:before="20" w:after="20"/>
              <w:jc w:val="right"/>
              <w:rPr>
                <w:b/>
                <w:noProof/>
                <w:sz w:val="20"/>
              </w:rPr>
            </w:pPr>
          </w:p>
        </w:tc>
        <w:tc>
          <w:tcPr>
            <w:tcW w:w="1777" w:type="dxa"/>
            <w:vAlign w:val="center"/>
          </w:tcPr>
          <w:p w:rsidR="00030C0D" w:rsidRDefault="00030C0D">
            <w:pPr>
              <w:spacing w:before="20" w:after="20"/>
              <w:jc w:val="right"/>
              <w:rPr>
                <w:b/>
                <w:noProof/>
                <w:sz w:val="20"/>
              </w:rPr>
            </w:pPr>
          </w:p>
        </w:tc>
      </w:tr>
      <w:tr w:rsidR="00030C0D">
        <w:tc>
          <w:tcPr>
            <w:tcW w:w="3960" w:type="dxa"/>
            <w:vMerge/>
            <w:shd w:val="thinDiagStripe" w:color="C0C0C0" w:fill="auto"/>
          </w:tcPr>
          <w:p w:rsidR="00030C0D" w:rsidRDefault="00030C0D">
            <w:pPr>
              <w:rPr>
                <w:noProof/>
                <w:sz w:val="20"/>
              </w:rPr>
            </w:pPr>
          </w:p>
        </w:tc>
        <w:tc>
          <w:tcPr>
            <w:tcW w:w="1440" w:type="dxa"/>
            <w:vAlign w:val="center"/>
          </w:tcPr>
          <w:p w:rsidR="00030C0D" w:rsidRDefault="00986C69">
            <w:pPr>
              <w:rPr>
                <w:noProof/>
                <w:sz w:val="18"/>
              </w:rPr>
            </w:pPr>
            <w:r>
              <w:rPr>
                <w:noProof/>
                <w:sz w:val="18"/>
              </w:rPr>
              <w:t>Плащания</w:t>
            </w:r>
          </w:p>
        </w:tc>
        <w:tc>
          <w:tcPr>
            <w:tcW w:w="654" w:type="dxa"/>
            <w:vAlign w:val="center"/>
          </w:tcPr>
          <w:p w:rsidR="00030C0D" w:rsidRDefault="00986C69">
            <w:pPr>
              <w:jc w:val="center"/>
              <w:rPr>
                <w:noProof/>
                <w:sz w:val="14"/>
              </w:rPr>
            </w:pPr>
            <w:r>
              <w:rPr>
                <w:noProof/>
                <w:sz w:val="14"/>
              </w:rPr>
              <w:t>=5+ 6</w:t>
            </w:r>
          </w:p>
        </w:tc>
        <w:tc>
          <w:tcPr>
            <w:tcW w:w="868" w:type="dxa"/>
            <w:vAlign w:val="center"/>
          </w:tcPr>
          <w:p w:rsidR="00030C0D" w:rsidRDefault="00986C69">
            <w:pPr>
              <w:spacing w:before="20" w:after="20"/>
              <w:jc w:val="right"/>
              <w:rPr>
                <w:noProof/>
                <w:sz w:val="20"/>
              </w:rPr>
            </w:pPr>
            <w:r>
              <w:rPr>
                <w:noProof/>
                <w:sz w:val="20"/>
              </w:rPr>
              <w:t>2,200</w:t>
            </w:r>
          </w:p>
        </w:tc>
        <w:tc>
          <w:tcPr>
            <w:tcW w:w="868" w:type="dxa"/>
            <w:vAlign w:val="center"/>
          </w:tcPr>
          <w:p w:rsidR="00030C0D" w:rsidRDefault="00986C69">
            <w:pPr>
              <w:spacing w:before="20" w:after="20"/>
              <w:jc w:val="right"/>
              <w:rPr>
                <w:noProof/>
                <w:sz w:val="20"/>
              </w:rPr>
            </w:pPr>
            <w:r>
              <w:rPr>
                <w:noProof/>
                <w:sz w:val="20"/>
              </w:rPr>
              <w:t>1,150</w:t>
            </w:r>
          </w:p>
        </w:tc>
        <w:tc>
          <w:tcPr>
            <w:tcW w:w="868" w:type="dxa"/>
            <w:vAlign w:val="center"/>
          </w:tcPr>
          <w:p w:rsidR="00030C0D" w:rsidRDefault="00986C69">
            <w:pPr>
              <w:spacing w:before="20" w:after="20"/>
              <w:jc w:val="right"/>
              <w:rPr>
                <w:noProof/>
                <w:sz w:val="20"/>
              </w:rPr>
            </w:pPr>
            <w:r>
              <w:rPr>
                <w:noProof/>
                <w:sz w:val="20"/>
              </w:rPr>
              <w:t>1,150</w:t>
            </w:r>
          </w:p>
        </w:tc>
        <w:tc>
          <w:tcPr>
            <w:tcW w:w="868" w:type="dxa"/>
            <w:vAlign w:val="center"/>
          </w:tcPr>
          <w:p w:rsidR="00030C0D" w:rsidRDefault="00986C69">
            <w:pPr>
              <w:spacing w:before="20" w:after="20"/>
              <w:jc w:val="right"/>
              <w:rPr>
                <w:noProof/>
                <w:sz w:val="20"/>
              </w:rPr>
            </w:pPr>
            <w:r>
              <w:rPr>
                <w:noProof/>
                <w:sz w:val="20"/>
              </w:rPr>
              <w:t>1,150</w:t>
            </w:r>
          </w:p>
        </w:tc>
        <w:tc>
          <w:tcPr>
            <w:tcW w:w="868" w:type="dxa"/>
            <w:vAlign w:val="center"/>
          </w:tcPr>
          <w:p w:rsidR="00030C0D" w:rsidRDefault="00986C69">
            <w:pPr>
              <w:spacing w:before="20" w:after="20"/>
              <w:jc w:val="right"/>
              <w:rPr>
                <w:noProof/>
                <w:sz w:val="20"/>
              </w:rPr>
            </w:pPr>
            <w:r>
              <w:rPr>
                <w:noProof/>
                <w:sz w:val="20"/>
              </w:rPr>
              <w:t>1,150</w:t>
            </w:r>
          </w:p>
        </w:tc>
        <w:tc>
          <w:tcPr>
            <w:tcW w:w="868" w:type="dxa"/>
            <w:vAlign w:val="center"/>
          </w:tcPr>
          <w:p w:rsidR="00030C0D" w:rsidRDefault="00030C0D">
            <w:pPr>
              <w:spacing w:before="20" w:after="20"/>
              <w:jc w:val="right"/>
              <w:rPr>
                <w:noProof/>
                <w:sz w:val="20"/>
              </w:rPr>
            </w:pPr>
          </w:p>
        </w:tc>
        <w:tc>
          <w:tcPr>
            <w:tcW w:w="868" w:type="dxa"/>
            <w:vAlign w:val="center"/>
          </w:tcPr>
          <w:p w:rsidR="00030C0D" w:rsidRDefault="00030C0D">
            <w:pPr>
              <w:spacing w:before="20" w:after="20"/>
              <w:jc w:val="right"/>
              <w:rPr>
                <w:b/>
                <w:noProof/>
                <w:sz w:val="20"/>
              </w:rPr>
            </w:pPr>
          </w:p>
        </w:tc>
        <w:tc>
          <w:tcPr>
            <w:tcW w:w="1777" w:type="dxa"/>
            <w:vAlign w:val="center"/>
          </w:tcPr>
          <w:p w:rsidR="00030C0D" w:rsidRDefault="00030C0D">
            <w:pPr>
              <w:spacing w:before="20" w:after="20"/>
              <w:jc w:val="right"/>
              <w:rPr>
                <w:b/>
                <w:noProof/>
                <w:sz w:val="20"/>
              </w:rPr>
            </w:pPr>
          </w:p>
        </w:tc>
      </w:tr>
    </w:tbl>
    <w:p w:rsidR="00030C0D" w:rsidRDefault="00986C69">
      <w:pPr>
        <w:rPr>
          <w:noProof/>
        </w:rPr>
      </w:pPr>
      <w:r>
        <w:rPr>
          <w:noProof/>
        </w:rPr>
        <w:br w:type="page"/>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6"/>
        <w:gridCol w:w="1080"/>
        <w:gridCol w:w="7817"/>
      </w:tblGrid>
      <w:tr w:rsidR="00030C0D">
        <w:tc>
          <w:tcPr>
            <w:tcW w:w="4996" w:type="dxa"/>
            <w:shd w:val="thinDiagStripe" w:color="C0C0C0" w:fill="auto"/>
            <w:vAlign w:val="center"/>
          </w:tcPr>
          <w:p w:rsidR="00030C0D" w:rsidRDefault="00986C69">
            <w:pPr>
              <w:spacing w:before="60" w:after="60"/>
              <w:jc w:val="center"/>
              <w:rPr>
                <w:b/>
                <w:noProof/>
                <w:sz w:val="22"/>
              </w:rPr>
            </w:pPr>
            <w:r>
              <w:rPr>
                <w:noProof/>
              </w:rPr>
              <w:br w:type="page"/>
            </w:r>
            <w:r>
              <w:rPr>
                <w:b/>
                <w:noProof/>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rsidR="00030C0D" w:rsidRDefault="00986C69">
            <w:pPr>
              <w:spacing w:before="60" w:after="60"/>
              <w:jc w:val="center"/>
              <w:rPr>
                <w:noProof/>
                <w:sz w:val="22"/>
              </w:rPr>
            </w:pPr>
            <w:r>
              <w:rPr>
                <w:b/>
                <w:noProof/>
                <w:sz w:val="22"/>
              </w:rPr>
              <w:t>5</w:t>
            </w:r>
          </w:p>
        </w:tc>
        <w:tc>
          <w:tcPr>
            <w:tcW w:w="7817" w:type="dxa"/>
            <w:vAlign w:val="center"/>
          </w:tcPr>
          <w:p w:rsidR="00030C0D" w:rsidRDefault="00986C69">
            <w:pPr>
              <w:spacing w:before="60" w:after="60"/>
              <w:rPr>
                <w:noProof/>
                <w:sz w:val="22"/>
              </w:rPr>
            </w:pPr>
            <w:r>
              <w:rPr>
                <w:noProof/>
                <w:sz w:val="22"/>
              </w:rPr>
              <w:t>„Административни разходи“</w:t>
            </w:r>
          </w:p>
        </w:tc>
      </w:tr>
    </w:tbl>
    <w:p w:rsidR="00030C0D" w:rsidRDefault="00986C69">
      <w:pPr>
        <w:jc w:val="right"/>
        <w:rPr>
          <w:noProof/>
          <w:sz w:val="20"/>
        </w:rPr>
      </w:pPr>
      <w:r>
        <w:rPr>
          <w:noProof/>
          <w:sz w:val="20"/>
        </w:rPr>
        <w:t>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030C0D">
        <w:tc>
          <w:tcPr>
            <w:tcW w:w="3960" w:type="dxa"/>
            <w:tcBorders>
              <w:top w:val="nil"/>
              <w:left w:val="nil"/>
              <w:right w:val="nil"/>
            </w:tcBorders>
            <w:vAlign w:val="center"/>
          </w:tcPr>
          <w:p w:rsidR="00030C0D" w:rsidRDefault="00030C0D">
            <w:pPr>
              <w:jc w:val="center"/>
              <w:rPr>
                <w:noProof/>
                <w:sz w:val="22"/>
              </w:rPr>
            </w:pPr>
          </w:p>
        </w:tc>
        <w:tc>
          <w:tcPr>
            <w:tcW w:w="1560" w:type="dxa"/>
            <w:tcBorders>
              <w:top w:val="nil"/>
              <w:left w:val="nil"/>
              <w:right w:val="nil"/>
            </w:tcBorders>
          </w:tcPr>
          <w:p w:rsidR="00030C0D" w:rsidRDefault="00030C0D">
            <w:pPr>
              <w:rPr>
                <w:noProof/>
                <w:sz w:val="20"/>
              </w:rPr>
            </w:pPr>
          </w:p>
        </w:tc>
        <w:tc>
          <w:tcPr>
            <w:tcW w:w="534" w:type="dxa"/>
            <w:tcBorders>
              <w:top w:val="nil"/>
              <w:left w:val="nil"/>
            </w:tcBorders>
          </w:tcPr>
          <w:p w:rsidR="00030C0D" w:rsidRDefault="00030C0D">
            <w:pPr>
              <w:jc w:val="center"/>
              <w:rPr>
                <w:noProof/>
                <w:sz w:val="20"/>
              </w:rPr>
            </w:pPr>
          </w:p>
        </w:tc>
        <w:tc>
          <w:tcPr>
            <w:tcW w:w="868" w:type="dxa"/>
            <w:vAlign w:val="center"/>
          </w:tcPr>
          <w:p w:rsidR="00030C0D" w:rsidRDefault="00986C69">
            <w:pPr>
              <w:jc w:val="center"/>
              <w:rPr>
                <w:noProof/>
                <w:sz w:val="20"/>
              </w:rPr>
            </w:pPr>
            <w:r>
              <w:rPr>
                <w:noProof/>
                <w:sz w:val="20"/>
              </w:rPr>
              <w:t>2016</w:t>
            </w:r>
          </w:p>
        </w:tc>
        <w:tc>
          <w:tcPr>
            <w:tcW w:w="868" w:type="dxa"/>
            <w:vAlign w:val="center"/>
          </w:tcPr>
          <w:p w:rsidR="00030C0D" w:rsidRDefault="00986C69">
            <w:pPr>
              <w:jc w:val="center"/>
              <w:rPr>
                <w:noProof/>
                <w:sz w:val="20"/>
              </w:rPr>
            </w:pPr>
            <w:r>
              <w:rPr>
                <w:noProof/>
                <w:sz w:val="20"/>
              </w:rPr>
              <w:t>2017</w:t>
            </w:r>
          </w:p>
        </w:tc>
        <w:tc>
          <w:tcPr>
            <w:tcW w:w="868" w:type="dxa"/>
            <w:vAlign w:val="center"/>
          </w:tcPr>
          <w:p w:rsidR="00030C0D" w:rsidRDefault="00986C69">
            <w:pPr>
              <w:jc w:val="center"/>
              <w:rPr>
                <w:noProof/>
                <w:sz w:val="20"/>
              </w:rPr>
            </w:pPr>
            <w:r>
              <w:rPr>
                <w:noProof/>
                <w:sz w:val="20"/>
              </w:rPr>
              <w:t>2018</w:t>
            </w:r>
          </w:p>
        </w:tc>
        <w:tc>
          <w:tcPr>
            <w:tcW w:w="868" w:type="dxa"/>
            <w:vAlign w:val="center"/>
          </w:tcPr>
          <w:p w:rsidR="00030C0D" w:rsidRDefault="00986C69">
            <w:pPr>
              <w:jc w:val="center"/>
              <w:rPr>
                <w:noProof/>
                <w:sz w:val="20"/>
              </w:rPr>
            </w:pPr>
            <w:r>
              <w:rPr>
                <w:noProof/>
                <w:sz w:val="20"/>
              </w:rPr>
              <w:t>2019</w:t>
            </w:r>
          </w:p>
        </w:tc>
        <w:tc>
          <w:tcPr>
            <w:tcW w:w="868" w:type="dxa"/>
            <w:vAlign w:val="center"/>
          </w:tcPr>
          <w:p w:rsidR="00030C0D" w:rsidRDefault="00986C69">
            <w:pPr>
              <w:jc w:val="center"/>
              <w:rPr>
                <w:b/>
                <w:noProof/>
                <w:sz w:val="18"/>
              </w:rPr>
            </w:pPr>
            <w:r>
              <w:rPr>
                <w:noProof/>
                <w:sz w:val="18"/>
              </w:rPr>
              <w:t>2020</w:t>
            </w:r>
          </w:p>
        </w:tc>
        <w:tc>
          <w:tcPr>
            <w:tcW w:w="868" w:type="dxa"/>
            <w:vAlign w:val="center"/>
          </w:tcPr>
          <w:p w:rsidR="00030C0D" w:rsidRDefault="00030C0D">
            <w:pPr>
              <w:jc w:val="center"/>
              <w:rPr>
                <w:b/>
                <w:noProof/>
                <w:sz w:val="18"/>
              </w:rPr>
            </w:pPr>
          </w:p>
        </w:tc>
        <w:tc>
          <w:tcPr>
            <w:tcW w:w="868" w:type="dxa"/>
            <w:vAlign w:val="center"/>
          </w:tcPr>
          <w:p w:rsidR="00030C0D" w:rsidRDefault="00030C0D">
            <w:pPr>
              <w:jc w:val="center"/>
              <w:rPr>
                <w:b/>
                <w:noProof/>
                <w:sz w:val="18"/>
              </w:rPr>
            </w:pPr>
          </w:p>
        </w:tc>
        <w:tc>
          <w:tcPr>
            <w:tcW w:w="1777" w:type="dxa"/>
            <w:vAlign w:val="center"/>
          </w:tcPr>
          <w:p w:rsidR="00030C0D" w:rsidRDefault="00986C69">
            <w:pPr>
              <w:jc w:val="center"/>
              <w:rPr>
                <w:b/>
                <w:noProof/>
                <w:sz w:val="20"/>
              </w:rPr>
            </w:pPr>
            <w:r>
              <w:rPr>
                <w:b/>
                <w:noProof/>
                <w:sz w:val="20"/>
              </w:rPr>
              <w:t>ОБЩО</w:t>
            </w:r>
          </w:p>
        </w:tc>
      </w:tr>
      <w:tr w:rsidR="00030C0D">
        <w:trPr>
          <w:gridAfter w:val="10"/>
          <w:wAfter w:w="9947" w:type="dxa"/>
        </w:trPr>
        <w:tc>
          <w:tcPr>
            <w:tcW w:w="3960" w:type="dxa"/>
            <w:vAlign w:val="center"/>
          </w:tcPr>
          <w:p w:rsidR="00030C0D" w:rsidRDefault="00986C69">
            <w:pPr>
              <w:spacing w:before="60" w:after="60"/>
              <w:jc w:val="center"/>
              <w:rPr>
                <w:noProof/>
                <w:sz w:val="22"/>
              </w:rPr>
            </w:pPr>
            <w:r>
              <w:rPr>
                <w:noProof/>
                <w:sz w:val="22"/>
              </w:rPr>
              <w:t>ГД: „Енергетика“ (ENER)</w:t>
            </w:r>
          </w:p>
        </w:tc>
      </w:tr>
      <w:tr w:rsidR="00030C0D">
        <w:trPr>
          <w:trHeight w:val="313"/>
        </w:trPr>
        <w:tc>
          <w:tcPr>
            <w:tcW w:w="6054" w:type="dxa"/>
            <w:gridSpan w:val="3"/>
            <w:vAlign w:val="center"/>
          </w:tcPr>
          <w:p w:rsidR="00030C0D" w:rsidRDefault="00986C69">
            <w:pPr>
              <w:spacing w:before="20" w:after="20"/>
              <w:rPr>
                <w:noProof/>
                <w:sz w:val="22"/>
              </w:rPr>
            </w:pPr>
            <w:r>
              <w:rPr>
                <w:noProof/>
                <w:sz w:val="22"/>
              </w:rPr>
              <w:sym w:font="Wingdings" w:char="F09F"/>
            </w:r>
            <w:r>
              <w:rPr>
                <w:noProof/>
              </w:rPr>
              <w:t>Човешки ресурси</w:t>
            </w:r>
          </w:p>
        </w:tc>
        <w:tc>
          <w:tcPr>
            <w:tcW w:w="868" w:type="dxa"/>
            <w:vAlign w:val="center"/>
          </w:tcPr>
          <w:p w:rsidR="00030C0D" w:rsidRDefault="00986C69">
            <w:pPr>
              <w:spacing w:before="20" w:after="20"/>
              <w:jc w:val="right"/>
              <w:rPr>
                <w:noProof/>
                <w:sz w:val="20"/>
              </w:rPr>
            </w:pPr>
            <w:r>
              <w:rPr>
                <w:noProof/>
                <w:sz w:val="20"/>
              </w:rPr>
              <w:t>0,417</w:t>
            </w:r>
          </w:p>
        </w:tc>
        <w:tc>
          <w:tcPr>
            <w:tcW w:w="868" w:type="dxa"/>
            <w:vAlign w:val="center"/>
          </w:tcPr>
          <w:p w:rsidR="00030C0D" w:rsidRDefault="00986C69">
            <w:pPr>
              <w:spacing w:before="20" w:after="20"/>
              <w:jc w:val="right"/>
              <w:rPr>
                <w:noProof/>
                <w:sz w:val="20"/>
              </w:rPr>
            </w:pPr>
            <w:r>
              <w:rPr>
                <w:noProof/>
                <w:sz w:val="20"/>
              </w:rPr>
              <w:t>0,417</w:t>
            </w:r>
          </w:p>
        </w:tc>
        <w:tc>
          <w:tcPr>
            <w:tcW w:w="868" w:type="dxa"/>
            <w:vAlign w:val="center"/>
          </w:tcPr>
          <w:p w:rsidR="00030C0D" w:rsidRDefault="00986C69">
            <w:pPr>
              <w:spacing w:before="20" w:after="20"/>
              <w:jc w:val="right"/>
              <w:rPr>
                <w:noProof/>
                <w:sz w:val="20"/>
              </w:rPr>
            </w:pPr>
            <w:r>
              <w:rPr>
                <w:noProof/>
                <w:sz w:val="20"/>
              </w:rPr>
              <w:t>0,417</w:t>
            </w:r>
          </w:p>
        </w:tc>
        <w:tc>
          <w:tcPr>
            <w:tcW w:w="868" w:type="dxa"/>
            <w:vAlign w:val="center"/>
          </w:tcPr>
          <w:p w:rsidR="00030C0D" w:rsidRDefault="00986C69">
            <w:pPr>
              <w:spacing w:before="20" w:after="20"/>
              <w:jc w:val="right"/>
              <w:rPr>
                <w:noProof/>
                <w:sz w:val="20"/>
              </w:rPr>
            </w:pPr>
            <w:r>
              <w:rPr>
                <w:noProof/>
                <w:sz w:val="20"/>
              </w:rPr>
              <w:t>0,417</w:t>
            </w:r>
          </w:p>
        </w:tc>
        <w:tc>
          <w:tcPr>
            <w:tcW w:w="868" w:type="dxa"/>
            <w:vAlign w:val="center"/>
          </w:tcPr>
          <w:p w:rsidR="00030C0D" w:rsidRDefault="00986C69">
            <w:pPr>
              <w:spacing w:before="20" w:after="20"/>
              <w:jc w:val="right"/>
              <w:rPr>
                <w:noProof/>
                <w:sz w:val="20"/>
              </w:rPr>
            </w:pPr>
            <w:r>
              <w:rPr>
                <w:noProof/>
                <w:sz w:val="20"/>
              </w:rPr>
              <w:t>0,417</w:t>
            </w:r>
          </w:p>
        </w:tc>
        <w:tc>
          <w:tcPr>
            <w:tcW w:w="868" w:type="dxa"/>
            <w:vAlign w:val="center"/>
          </w:tcPr>
          <w:p w:rsidR="00030C0D" w:rsidRDefault="00030C0D">
            <w:pPr>
              <w:spacing w:before="20" w:after="20"/>
              <w:jc w:val="right"/>
              <w:rPr>
                <w:noProof/>
                <w:sz w:val="20"/>
              </w:rPr>
            </w:pPr>
          </w:p>
        </w:tc>
        <w:tc>
          <w:tcPr>
            <w:tcW w:w="868" w:type="dxa"/>
            <w:vAlign w:val="center"/>
          </w:tcPr>
          <w:p w:rsidR="00030C0D" w:rsidRDefault="00030C0D">
            <w:pPr>
              <w:spacing w:before="20" w:after="20"/>
              <w:jc w:val="right"/>
              <w:rPr>
                <w:b/>
                <w:noProof/>
                <w:sz w:val="20"/>
              </w:rPr>
            </w:pPr>
          </w:p>
        </w:tc>
        <w:tc>
          <w:tcPr>
            <w:tcW w:w="1777" w:type="dxa"/>
            <w:vAlign w:val="center"/>
          </w:tcPr>
          <w:p w:rsidR="00030C0D" w:rsidRDefault="00986C69">
            <w:pPr>
              <w:spacing w:before="20" w:after="20"/>
              <w:jc w:val="right"/>
              <w:rPr>
                <w:noProof/>
                <w:sz w:val="20"/>
              </w:rPr>
            </w:pPr>
            <w:r>
              <w:rPr>
                <w:noProof/>
                <w:sz w:val="20"/>
              </w:rPr>
              <w:t>2,085</w:t>
            </w:r>
          </w:p>
        </w:tc>
      </w:tr>
      <w:tr w:rsidR="00030C0D">
        <w:trPr>
          <w:trHeight w:val="351"/>
        </w:trPr>
        <w:tc>
          <w:tcPr>
            <w:tcW w:w="6054" w:type="dxa"/>
            <w:gridSpan w:val="3"/>
            <w:vAlign w:val="center"/>
          </w:tcPr>
          <w:p w:rsidR="00030C0D" w:rsidRDefault="00986C69">
            <w:pPr>
              <w:spacing w:before="20" w:after="20"/>
              <w:rPr>
                <w:noProof/>
                <w:sz w:val="22"/>
              </w:rPr>
            </w:pPr>
            <w:r>
              <w:rPr>
                <w:noProof/>
                <w:sz w:val="22"/>
              </w:rPr>
              <w:sym w:font="Wingdings" w:char="F09F"/>
            </w:r>
            <w:r>
              <w:rPr>
                <w:noProof/>
                <w:sz w:val="22"/>
              </w:rPr>
              <w:t xml:space="preserve"> Други административни разходи </w:t>
            </w:r>
          </w:p>
        </w:tc>
        <w:tc>
          <w:tcPr>
            <w:tcW w:w="868" w:type="dxa"/>
            <w:vAlign w:val="center"/>
          </w:tcPr>
          <w:p w:rsidR="00030C0D" w:rsidRDefault="00986C69">
            <w:pPr>
              <w:spacing w:before="20" w:after="20"/>
              <w:jc w:val="right"/>
              <w:rPr>
                <w:noProof/>
                <w:sz w:val="20"/>
              </w:rPr>
            </w:pPr>
            <w:r>
              <w:rPr>
                <w:noProof/>
                <w:sz w:val="20"/>
              </w:rPr>
              <w:t>0,066</w:t>
            </w:r>
          </w:p>
        </w:tc>
        <w:tc>
          <w:tcPr>
            <w:tcW w:w="868" w:type="dxa"/>
            <w:vAlign w:val="center"/>
          </w:tcPr>
          <w:p w:rsidR="00030C0D" w:rsidRDefault="00986C69">
            <w:pPr>
              <w:spacing w:before="20" w:after="20"/>
              <w:jc w:val="right"/>
              <w:rPr>
                <w:b/>
                <w:noProof/>
                <w:sz w:val="20"/>
              </w:rPr>
            </w:pPr>
            <w:r>
              <w:rPr>
                <w:noProof/>
                <w:sz w:val="20"/>
              </w:rPr>
              <w:t>0,066</w:t>
            </w:r>
          </w:p>
        </w:tc>
        <w:tc>
          <w:tcPr>
            <w:tcW w:w="868" w:type="dxa"/>
            <w:vAlign w:val="center"/>
          </w:tcPr>
          <w:p w:rsidR="00030C0D" w:rsidRDefault="00986C69">
            <w:pPr>
              <w:spacing w:before="20" w:after="20"/>
              <w:jc w:val="right"/>
              <w:rPr>
                <w:b/>
                <w:noProof/>
                <w:sz w:val="20"/>
              </w:rPr>
            </w:pPr>
            <w:r>
              <w:rPr>
                <w:noProof/>
                <w:sz w:val="20"/>
              </w:rPr>
              <w:t>0,066</w:t>
            </w:r>
          </w:p>
        </w:tc>
        <w:tc>
          <w:tcPr>
            <w:tcW w:w="868" w:type="dxa"/>
            <w:vAlign w:val="center"/>
          </w:tcPr>
          <w:p w:rsidR="00030C0D" w:rsidRDefault="00986C69">
            <w:pPr>
              <w:spacing w:before="20" w:after="20"/>
              <w:jc w:val="right"/>
              <w:rPr>
                <w:b/>
                <w:noProof/>
                <w:sz w:val="20"/>
              </w:rPr>
            </w:pPr>
            <w:r>
              <w:rPr>
                <w:noProof/>
                <w:sz w:val="20"/>
              </w:rPr>
              <w:t>0,066</w:t>
            </w:r>
          </w:p>
        </w:tc>
        <w:tc>
          <w:tcPr>
            <w:tcW w:w="868" w:type="dxa"/>
            <w:vAlign w:val="center"/>
          </w:tcPr>
          <w:p w:rsidR="00030C0D" w:rsidRDefault="00986C69">
            <w:pPr>
              <w:spacing w:before="20" w:after="20"/>
              <w:jc w:val="right"/>
              <w:rPr>
                <w:b/>
                <w:noProof/>
                <w:sz w:val="20"/>
              </w:rPr>
            </w:pPr>
            <w:r>
              <w:rPr>
                <w:noProof/>
                <w:sz w:val="20"/>
              </w:rPr>
              <w:t>0,066</w:t>
            </w:r>
          </w:p>
        </w:tc>
        <w:tc>
          <w:tcPr>
            <w:tcW w:w="868" w:type="dxa"/>
            <w:vAlign w:val="center"/>
          </w:tcPr>
          <w:p w:rsidR="00030C0D" w:rsidRDefault="00030C0D">
            <w:pPr>
              <w:spacing w:before="20" w:after="20"/>
              <w:jc w:val="right"/>
              <w:rPr>
                <w:b/>
                <w:noProof/>
                <w:sz w:val="20"/>
              </w:rPr>
            </w:pPr>
          </w:p>
        </w:tc>
        <w:tc>
          <w:tcPr>
            <w:tcW w:w="868" w:type="dxa"/>
            <w:vAlign w:val="center"/>
          </w:tcPr>
          <w:p w:rsidR="00030C0D" w:rsidRDefault="00030C0D">
            <w:pPr>
              <w:spacing w:before="20" w:after="20"/>
              <w:jc w:val="right"/>
              <w:rPr>
                <w:b/>
                <w:noProof/>
                <w:sz w:val="20"/>
              </w:rPr>
            </w:pPr>
          </w:p>
        </w:tc>
        <w:tc>
          <w:tcPr>
            <w:tcW w:w="1777" w:type="dxa"/>
            <w:vAlign w:val="center"/>
          </w:tcPr>
          <w:p w:rsidR="00030C0D" w:rsidRDefault="00986C69">
            <w:pPr>
              <w:spacing w:before="20" w:after="20"/>
              <w:jc w:val="right"/>
              <w:rPr>
                <w:noProof/>
                <w:sz w:val="20"/>
              </w:rPr>
            </w:pPr>
            <w:r>
              <w:rPr>
                <w:noProof/>
                <w:sz w:val="20"/>
              </w:rPr>
              <w:t>0,330</w:t>
            </w:r>
          </w:p>
        </w:tc>
      </w:tr>
      <w:tr w:rsidR="00030C0D">
        <w:tc>
          <w:tcPr>
            <w:tcW w:w="3960" w:type="dxa"/>
            <w:vAlign w:val="center"/>
          </w:tcPr>
          <w:p w:rsidR="00030C0D" w:rsidRDefault="00986C69">
            <w:pPr>
              <w:jc w:val="center"/>
              <w:rPr>
                <w:b/>
                <w:noProof/>
                <w:sz w:val="22"/>
              </w:rPr>
            </w:pPr>
            <w:r>
              <w:rPr>
                <w:b/>
                <w:noProof/>
                <w:sz w:val="22"/>
              </w:rPr>
              <w:t>ОБЩО ЗА ГД „Енергетика“</w:t>
            </w:r>
          </w:p>
        </w:tc>
        <w:tc>
          <w:tcPr>
            <w:tcW w:w="2094" w:type="dxa"/>
            <w:gridSpan w:val="2"/>
            <w:vAlign w:val="center"/>
          </w:tcPr>
          <w:p w:rsidR="00030C0D" w:rsidRDefault="00986C69">
            <w:pPr>
              <w:rPr>
                <w:noProof/>
                <w:sz w:val="14"/>
              </w:rPr>
            </w:pPr>
            <w:r>
              <w:rPr>
                <w:noProof/>
                <w:sz w:val="18"/>
              </w:rPr>
              <w:t xml:space="preserve">Бюджетни кредити </w:t>
            </w:r>
          </w:p>
        </w:tc>
        <w:tc>
          <w:tcPr>
            <w:tcW w:w="868" w:type="dxa"/>
            <w:vAlign w:val="center"/>
          </w:tcPr>
          <w:p w:rsidR="00030C0D" w:rsidRDefault="00986C69">
            <w:pPr>
              <w:spacing w:before="60" w:after="60"/>
              <w:jc w:val="right"/>
              <w:rPr>
                <w:noProof/>
                <w:sz w:val="20"/>
              </w:rPr>
            </w:pPr>
            <w:r>
              <w:rPr>
                <w:noProof/>
                <w:sz w:val="20"/>
              </w:rPr>
              <w:t>0,483</w:t>
            </w:r>
          </w:p>
        </w:tc>
        <w:tc>
          <w:tcPr>
            <w:tcW w:w="868" w:type="dxa"/>
            <w:vAlign w:val="center"/>
          </w:tcPr>
          <w:p w:rsidR="00030C0D" w:rsidRDefault="00986C69">
            <w:pPr>
              <w:spacing w:before="20" w:after="20"/>
              <w:jc w:val="right"/>
              <w:rPr>
                <w:noProof/>
                <w:sz w:val="20"/>
              </w:rPr>
            </w:pPr>
            <w:r>
              <w:rPr>
                <w:noProof/>
                <w:sz w:val="20"/>
              </w:rPr>
              <w:t>0,483</w:t>
            </w:r>
          </w:p>
        </w:tc>
        <w:tc>
          <w:tcPr>
            <w:tcW w:w="868" w:type="dxa"/>
            <w:vAlign w:val="center"/>
          </w:tcPr>
          <w:p w:rsidR="00030C0D" w:rsidRDefault="00986C69">
            <w:pPr>
              <w:spacing w:before="20" w:after="20"/>
              <w:jc w:val="right"/>
              <w:rPr>
                <w:noProof/>
                <w:sz w:val="20"/>
              </w:rPr>
            </w:pPr>
            <w:r>
              <w:rPr>
                <w:noProof/>
                <w:sz w:val="20"/>
              </w:rPr>
              <w:t>0,483</w:t>
            </w:r>
          </w:p>
        </w:tc>
        <w:tc>
          <w:tcPr>
            <w:tcW w:w="868" w:type="dxa"/>
            <w:vAlign w:val="center"/>
          </w:tcPr>
          <w:p w:rsidR="00030C0D" w:rsidRDefault="00986C69">
            <w:pPr>
              <w:spacing w:before="20" w:after="20"/>
              <w:jc w:val="right"/>
              <w:rPr>
                <w:noProof/>
                <w:sz w:val="20"/>
              </w:rPr>
            </w:pPr>
            <w:r>
              <w:rPr>
                <w:noProof/>
                <w:sz w:val="20"/>
              </w:rPr>
              <w:t>0,483</w:t>
            </w:r>
          </w:p>
        </w:tc>
        <w:tc>
          <w:tcPr>
            <w:tcW w:w="868" w:type="dxa"/>
            <w:vAlign w:val="center"/>
          </w:tcPr>
          <w:p w:rsidR="00030C0D" w:rsidRDefault="00986C69">
            <w:pPr>
              <w:spacing w:before="20" w:after="20"/>
              <w:jc w:val="right"/>
              <w:rPr>
                <w:noProof/>
                <w:sz w:val="20"/>
              </w:rPr>
            </w:pPr>
            <w:r>
              <w:rPr>
                <w:noProof/>
                <w:sz w:val="20"/>
              </w:rPr>
              <w:t>0,483</w:t>
            </w:r>
          </w:p>
        </w:tc>
        <w:tc>
          <w:tcPr>
            <w:tcW w:w="868" w:type="dxa"/>
            <w:vAlign w:val="center"/>
          </w:tcPr>
          <w:p w:rsidR="00030C0D" w:rsidRDefault="00030C0D">
            <w:pPr>
              <w:spacing w:before="20" w:after="20"/>
              <w:jc w:val="right"/>
              <w:rPr>
                <w:noProof/>
                <w:sz w:val="20"/>
              </w:rPr>
            </w:pPr>
          </w:p>
        </w:tc>
        <w:tc>
          <w:tcPr>
            <w:tcW w:w="868" w:type="dxa"/>
            <w:vAlign w:val="center"/>
          </w:tcPr>
          <w:p w:rsidR="00030C0D" w:rsidRDefault="00030C0D">
            <w:pPr>
              <w:spacing w:before="20" w:after="20"/>
              <w:jc w:val="right"/>
              <w:rPr>
                <w:b/>
                <w:noProof/>
                <w:sz w:val="20"/>
              </w:rPr>
            </w:pPr>
          </w:p>
        </w:tc>
        <w:tc>
          <w:tcPr>
            <w:tcW w:w="1777" w:type="dxa"/>
            <w:vAlign w:val="center"/>
          </w:tcPr>
          <w:p w:rsidR="00030C0D" w:rsidRDefault="00986C69">
            <w:pPr>
              <w:spacing w:before="20" w:after="20"/>
              <w:jc w:val="right"/>
              <w:rPr>
                <w:b/>
                <w:noProof/>
                <w:sz w:val="20"/>
              </w:rPr>
            </w:pPr>
            <w:r>
              <w:rPr>
                <w:noProof/>
                <w:sz w:val="20"/>
              </w:rPr>
              <w:t>2,415</w:t>
            </w:r>
          </w:p>
        </w:tc>
      </w:tr>
    </w:tbl>
    <w:p w:rsidR="00030C0D" w:rsidRDefault="00030C0D">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030C0D">
        <w:tc>
          <w:tcPr>
            <w:tcW w:w="3960" w:type="dxa"/>
            <w:shd w:val="thinDiagStripe" w:color="C0C0C0" w:fill="auto"/>
            <w:vAlign w:val="center"/>
          </w:tcPr>
          <w:p w:rsidR="00030C0D" w:rsidRDefault="00986C69">
            <w:pPr>
              <w:jc w:val="center"/>
              <w:rPr>
                <w:b/>
                <w:noProof/>
                <w:sz w:val="22"/>
              </w:rPr>
            </w:pPr>
            <w:r>
              <w:rPr>
                <w:b/>
                <w:noProof/>
              </w:rPr>
              <w:t xml:space="preserve">ОБЩО </w:t>
            </w:r>
            <w:r>
              <w:rPr>
                <w:b/>
                <w:noProof/>
              </w:rPr>
              <w:t>бюджетни кредити</w:t>
            </w:r>
            <w:r>
              <w:rPr>
                <w:noProof/>
                <w:sz w:val="22"/>
              </w:rPr>
              <w:br/>
            </w:r>
            <w:r>
              <w:rPr>
                <w:b/>
                <w:noProof/>
                <w:sz w:val="22"/>
              </w:rPr>
              <w:t>по ФУНКЦИЯ 5</w:t>
            </w:r>
            <w:r>
              <w:rPr>
                <w:noProof/>
              </w:rPr>
              <w:br/>
            </w:r>
            <w:r>
              <w:rPr>
                <w:noProof/>
                <w:sz w:val="22"/>
              </w:rPr>
              <w:t>от многогодишната финансова рамка</w:t>
            </w:r>
            <w:r>
              <w:rPr>
                <w:b/>
                <w:noProof/>
                <w:sz w:val="22"/>
              </w:rPr>
              <w:t xml:space="preserve"> </w:t>
            </w:r>
          </w:p>
        </w:tc>
        <w:tc>
          <w:tcPr>
            <w:tcW w:w="2094" w:type="dxa"/>
            <w:vAlign w:val="center"/>
          </w:tcPr>
          <w:p w:rsidR="00030C0D" w:rsidRDefault="00986C69">
            <w:pPr>
              <w:spacing w:before="40" w:after="40"/>
              <w:rPr>
                <w:noProof/>
                <w:sz w:val="22"/>
              </w:rPr>
            </w:pPr>
            <w:r>
              <w:rPr>
                <w:noProof/>
                <w:sz w:val="18"/>
              </w:rPr>
              <w:t>(Общо поети задължения = Общо плащания)</w:t>
            </w:r>
          </w:p>
        </w:tc>
        <w:tc>
          <w:tcPr>
            <w:tcW w:w="868" w:type="dxa"/>
            <w:vAlign w:val="center"/>
          </w:tcPr>
          <w:p w:rsidR="00030C0D" w:rsidRDefault="00986C69">
            <w:pPr>
              <w:spacing w:before="60" w:after="60"/>
              <w:jc w:val="right"/>
              <w:rPr>
                <w:noProof/>
                <w:sz w:val="20"/>
              </w:rPr>
            </w:pPr>
            <w:r>
              <w:rPr>
                <w:noProof/>
                <w:sz w:val="20"/>
              </w:rPr>
              <w:t>0,483</w:t>
            </w:r>
          </w:p>
        </w:tc>
        <w:tc>
          <w:tcPr>
            <w:tcW w:w="868" w:type="dxa"/>
            <w:vAlign w:val="center"/>
          </w:tcPr>
          <w:p w:rsidR="00030C0D" w:rsidRDefault="00986C69">
            <w:pPr>
              <w:spacing w:before="20" w:after="20"/>
              <w:jc w:val="right"/>
              <w:rPr>
                <w:noProof/>
                <w:sz w:val="20"/>
              </w:rPr>
            </w:pPr>
            <w:r>
              <w:rPr>
                <w:noProof/>
                <w:sz w:val="20"/>
              </w:rPr>
              <w:t>0,483</w:t>
            </w:r>
          </w:p>
        </w:tc>
        <w:tc>
          <w:tcPr>
            <w:tcW w:w="868" w:type="dxa"/>
            <w:vAlign w:val="center"/>
          </w:tcPr>
          <w:p w:rsidR="00030C0D" w:rsidRDefault="00986C69">
            <w:pPr>
              <w:spacing w:before="20" w:after="20"/>
              <w:jc w:val="right"/>
              <w:rPr>
                <w:noProof/>
                <w:sz w:val="20"/>
              </w:rPr>
            </w:pPr>
            <w:r>
              <w:rPr>
                <w:noProof/>
                <w:sz w:val="20"/>
              </w:rPr>
              <w:t>0,483</w:t>
            </w:r>
          </w:p>
        </w:tc>
        <w:tc>
          <w:tcPr>
            <w:tcW w:w="868" w:type="dxa"/>
            <w:vAlign w:val="center"/>
          </w:tcPr>
          <w:p w:rsidR="00030C0D" w:rsidRDefault="00986C69">
            <w:pPr>
              <w:spacing w:before="20" w:after="20"/>
              <w:jc w:val="right"/>
              <w:rPr>
                <w:noProof/>
                <w:sz w:val="20"/>
              </w:rPr>
            </w:pPr>
            <w:r>
              <w:rPr>
                <w:noProof/>
                <w:sz w:val="20"/>
              </w:rPr>
              <w:t>0,483</w:t>
            </w:r>
          </w:p>
        </w:tc>
        <w:tc>
          <w:tcPr>
            <w:tcW w:w="868" w:type="dxa"/>
            <w:vAlign w:val="center"/>
          </w:tcPr>
          <w:p w:rsidR="00030C0D" w:rsidRDefault="00986C69">
            <w:pPr>
              <w:spacing w:before="20" w:after="20"/>
              <w:jc w:val="right"/>
              <w:rPr>
                <w:noProof/>
                <w:sz w:val="20"/>
              </w:rPr>
            </w:pPr>
            <w:r>
              <w:rPr>
                <w:noProof/>
                <w:sz w:val="20"/>
              </w:rPr>
              <w:t>0,483</w:t>
            </w:r>
          </w:p>
        </w:tc>
        <w:tc>
          <w:tcPr>
            <w:tcW w:w="868" w:type="dxa"/>
            <w:vAlign w:val="center"/>
          </w:tcPr>
          <w:p w:rsidR="00030C0D" w:rsidRDefault="00030C0D">
            <w:pPr>
              <w:spacing w:before="20" w:after="20"/>
              <w:jc w:val="right"/>
              <w:rPr>
                <w:noProof/>
                <w:sz w:val="20"/>
              </w:rPr>
            </w:pPr>
          </w:p>
        </w:tc>
        <w:tc>
          <w:tcPr>
            <w:tcW w:w="868" w:type="dxa"/>
            <w:vAlign w:val="center"/>
          </w:tcPr>
          <w:p w:rsidR="00030C0D" w:rsidRDefault="00030C0D">
            <w:pPr>
              <w:spacing w:before="20" w:after="20"/>
              <w:jc w:val="right"/>
              <w:rPr>
                <w:b/>
                <w:noProof/>
                <w:sz w:val="20"/>
              </w:rPr>
            </w:pPr>
          </w:p>
        </w:tc>
        <w:tc>
          <w:tcPr>
            <w:tcW w:w="1777" w:type="dxa"/>
            <w:vAlign w:val="center"/>
          </w:tcPr>
          <w:p w:rsidR="00030C0D" w:rsidRDefault="00986C69">
            <w:pPr>
              <w:spacing w:before="20" w:after="20"/>
              <w:jc w:val="right"/>
              <w:rPr>
                <w:b/>
                <w:noProof/>
                <w:sz w:val="20"/>
              </w:rPr>
            </w:pPr>
            <w:r>
              <w:rPr>
                <w:noProof/>
                <w:sz w:val="20"/>
              </w:rPr>
              <w:t>2,415</w:t>
            </w:r>
          </w:p>
        </w:tc>
      </w:tr>
    </w:tbl>
    <w:p w:rsidR="00030C0D" w:rsidRDefault="00986C69">
      <w:pPr>
        <w:jc w:val="right"/>
        <w:rPr>
          <w:noProof/>
          <w:sz w:val="20"/>
        </w:rPr>
      </w:pPr>
      <w:r>
        <w:rPr>
          <w:noProof/>
          <w:sz w:val="20"/>
        </w:rPr>
        <w:t>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030C0D">
        <w:tc>
          <w:tcPr>
            <w:tcW w:w="3960" w:type="dxa"/>
            <w:tcBorders>
              <w:top w:val="nil"/>
              <w:left w:val="nil"/>
              <w:right w:val="nil"/>
            </w:tcBorders>
            <w:vAlign w:val="center"/>
          </w:tcPr>
          <w:p w:rsidR="00030C0D" w:rsidRDefault="00030C0D">
            <w:pPr>
              <w:jc w:val="center"/>
              <w:rPr>
                <w:noProof/>
                <w:sz w:val="22"/>
              </w:rPr>
            </w:pPr>
          </w:p>
        </w:tc>
        <w:tc>
          <w:tcPr>
            <w:tcW w:w="1560" w:type="dxa"/>
            <w:tcBorders>
              <w:top w:val="nil"/>
              <w:left w:val="nil"/>
              <w:right w:val="nil"/>
            </w:tcBorders>
          </w:tcPr>
          <w:p w:rsidR="00030C0D" w:rsidRDefault="00030C0D">
            <w:pPr>
              <w:rPr>
                <w:noProof/>
                <w:sz w:val="20"/>
              </w:rPr>
            </w:pPr>
          </w:p>
        </w:tc>
        <w:tc>
          <w:tcPr>
            <w:tcW w:w="534" w:type="dxa"/>
            <w:tcBorders>
              <w:top w:val="nil"/>
              <w:left w:val="nil"/>
            </w:tcBorders>
          </w:tcPr>
          <w:p w:rsidR="00030C0D" w:rsidRDefault="00030C0D">
            <w:pPr>
              <w:jc w:val="center"/>
              <w:rPr>
                <w:noProof/>
                <w:sz w:val="20"/>
              </w:rPr>
            </w:pPr>
          </w:p>
        </w:tc>
        <w:tc>
          <w:tcPr>
            <w:tcW w:w="868" w:type="dxa"/>
            <w:vAlign w:val="center"/>
          </w:tcPr>
          <w:p w:rsidR="00030C0D" w:rsidRDefault="00986C69">
            <w:pPr>
              <w:jc w:val="center"/>
              <w:rPr>
                <w:noProof/>
                <w:sz w:val="20"/>
              </w:rPr>
            </w:pPr>
            <w:r>
              <w:rPr>
                <w:noProof/>
                <w:sz w:val="20"/>
              </w:rPr>
              <w:t>2016</w:t>
            </w:r>
          </w:p>
        </w:tc>
        <w:tc>
          <w:tcPr>
            <w:tcW w:w="868" w:type="dxa"/>
            <w:vAlign w:val="center"/>
          </w:tcPr>
          <w:p w:rsidR="00030C0D" w:rsidRDefault="00986C69">
            <w:pPr>
              <w:jc w:val="center"/>
              <w:rPr>
                <w:noProof/>
                <w:sz w:val="20"/>
              </w:rPr>
            </w:pPr>
            <w:r>
              <w:rPr>
                <w:noProof/>
                <w:sz w:val="20"/>
              </w:rPr>
              <w:t>2017</w:t>
            </w:r>
          </w:p>
        </w:tc>
        <w:tc>
          <w:tcPr>
            <w:tcW w:w="868" w:type="dxa"/>
            <w:vAlign w:val="center"/>
          </w:tcPr>
          <w:p w:rsidR="00030C0D" w:rsidRDefault="00986C69">
            <w:pPr>
              <w:jc w:val="center"/>
              <w:rPr>
                <w:noProof/>
                <w:sz w:val="20"/>
              </w:rPr>
            </w:pPr>
            <w:r>
              <w:rPr>
                <w:noProof/>
                <w:sz w:val="20"/>
              </w:rPr>
              <w:t>2018</w:t>
            </w:r>
          </w:p>
        </w:tc>
        <w:tc>
          <w:tcPr>
            <w:tcW w:w="868" w:type="dxa"/>
            <w:vAlign w:val="center"/>
          </w:tcPr>
          <w:p w:rsidR="00030C0D" w:rsidRDefault="00986C69">
            <w:pPr>
              <w:jc w:val="center"/>
              <w:rPr>
                <w:noProof/>
                <w:sz w:val="20"/>
              </w:rPr>
            </w:pPr>
            <w:r>
              <w:rPr>
                <w:noProof/>
                <w:sz w:val="20"/>
              </w:rPr>
              <w:t>2019</w:t>
            </w:r>
          </w:p>
        </w:tc>
        <w:tc>
          <w:tcPr>
            <w:tcW w:w="868" w:type="dxa"/>
            <w:vAlign w:val="center"/>
          </w:tcPr>
          <w:p w:rsidR="00030C0D" w:rsidRDefault="00986C69">
            <w:pPr>
              <w:jc w:val="center"/>
              <w:rPr>
                <w:b/>
                <w:noProof/>
                <w:sz w:val="18"/>
              </w:rPr>
            </w:pPr>
            <w:r>
              <w:rPr>
                <w:noProof/>
                <w:sz w:val="18"/>
              </w:rPr>
              <w:t>2020</w:t>
            </w:r>
          </w:p>
        </w:tc>
        <w:tc>
          <w:tcPr>
            <w:tcW w:w="868" w:type="dxa"/>
            <w:vAlign w:val="center"/>
          </w:tcPr>
          <w:p w:rsidR="00030C0D" w:rsidRDefault="00030C0D">
            <w:pPr>
              <w:jc w:val="center"/>
              <w:rPr>
                <w:b/>
                <w:noProof/>
                <w:sz w:val="18"/>
              </w:rPr>
            </w:pPr>
          </w:p>
        </w:tc>
        <w:tc>
          <w:tcPr>
            <w:tcW w:w="868" w:type="dxa"/>
            <w:vAlign w:val="center"/>
          </w:tcPr>
          <w:p w:rsidR="00030C0D" w:rsidRDefault="00030C0D">
            <w:pPr>
              <w:jc w:val="center"/>
              <w:rPr>
                <w:b/>
                <w:noProof/>
                <w:sz w:val="18"/>
              </w:rPr>
            </w:pPr>
          </w:p>
        </w:tc>
        <w:tc>
          <w:tcPr>
            <w:tcW w:w="1777" w:type="dxa"/>
            <w:vAlign w:val="center"/>
          </w:tcPr>
          <w:p w:rsidR="00030C0D" w:rsidRDefault="00986C69">
            <w:pPr>
              <w:jc w:val="center"/>
              <w:rPr>
                <w:b/>
                <w:noProof/>
                <w:sz w:val="20"/>
              </w:rPr>
            </w:pPr>
            <w:r>
              <w:rPr>
                <w:b/>
                <w:noProof/>
                <w:sz w:val="20"/>
              </w:rPr>
              <w:t>ОБЩО</w:t>
            </w:r>
          </w:p>
        </w:tc>
      </w:tr>
      <w:tr w:rsidR="00030C0D">
        <w:tc>
          <w:tcPr>
            <w:tcW w:w="3960" w:type="dxa"/>
            <w:vMerge w:val="restart"/>
            <w:shd w:val="clear" w:color="auto" w:fill="C0C0C0"/>
            <w:vAlign w:val="center"/>
          </w:tcPr>
          <w:p w:rsidR="00030C0D" w:rsidRDefault="00986C69">
            <w:pPr>
              <w:jc w:val="center"/>
              <w:rPr>
                <w:b/>
                <w:noProof/>
                <w:sz w:val="22"/>
              </w:rPr>
            </w:pPr>
            <w:r>
              <w:rPr>
                <w:b/>
                <w:noProof/>
              </w:rPr>
              <w:t>ОБЩО бюджетни кредити</w:t>
            </w:r>
            <w:r>
              <w:rPr>
                <w:noProof/>
                <w:sz w:val="22"/>
              </w:rPr>
              <w:br/>
            </w:r>
            <w:r>
              <w:rPr>
                <w:b/>
                <w:noProof/>
                <w:sz w:val="22"/>
              </w:rPr>
              <w:t>по</w:t>
            </w:r>
            <w:r>
              <w:rPr>
                <w:b/>
                <w:noProof/>
                <w:sz w:val="22"/>
              </w:rPr>
              <w:t xml:space="preserve"> ФУНКЦИИ от 1 до 5</w:t>
            </w:r>
            <w:r>
              <w:rPr>
                <w:noProof/>
              </w:rPr>
              <w:br/>
            </w:r>
            <w:r>
              <w:rPr>
                <w:noProof/>
                <w:sz w:val="22"/>
              </w:rPr>
              <w:t>от многогодишната финансова рамка</w:t>
            </w:r>
            <w:r>
              <w:rPr>
                <w:b/>
                <w:noProof/>
                <w:sz w:val="22"/>
              </w:rPr>
              <w:t xml:space="preserve"> </w:t>
            </w:r>
          </w:p>
        </w:tc>
        <w:tc>
          <w:tcPr>
            <w:tcW w:w="2094" w:type="dxa"/>
            <w:gridSpan w:val="2"/>
            <w:vAlign w:val="center"/>
          </w:tcPr>
          <w:p w:rsidR="00030C0D" w:rsidRDefault="00986C69">
            <w:pPr>
              <w:rPr>
                <w:noProof/>
                <w:sz w:val="14"/>
              </w:rPr>
            </w:pPr>
            <w:r>
              <w:rPr>
                <w:noProof/>
                <w:sz w:val="18"/>
              </w:rPr>
              <w:t>Поети задължения</w:t>
            </w:r>
          </w:p>
        </w:tc>
        <w:tc>
          <w:tcPr>
            <w:tcW w:w="868" w:type="dxa"/>
            <w:vAlign w:val="center"/>
          </w:tcPr>
          <w:p w:rsidR="00030C0D" w:rsidRDefault="00986C69">
            <w:pPr>
              <w:spacing w:before="60" w:after="60"/>
              <w:jc w:val="right"/>
              <w:rPr>
                <w:noProof/>
                <w:sz w:val="20"/>
              </w:rPr>
            </w:pPr>
            <w:r>
              <w:rPr>
                <w:noProof/>
                <w:sz w:val="20"/>
              </w:rPr>
              <w:t>2,683</w:t>
            </w:r>
          </w:p>
        </w:tc>
        <w:tc>
          <w:tcPr>
            <w:tcW w:w="868" w:type="dxa"/>
            <w:vAlign w:val="center"/>
          </w:tcPr>
          <w:p w:rsidR="00030C0D" w:rsidRDefault="00986C69">
            <w:pPr>
              <w:spacing w:before="60" w:after="60"/>
              <w:jc w:val="right"/>
              <w:rPr>
                <w:noProof/>
                <w:sz w:val="20"/>
              </w:rPr>
            </w:pPr>
            <w:r>
              <w:rPr>
                <w:noProof/>
                <w:sz w:val="20"/>
              </w:rPr>
              <w:t>1,633</w:t>
            </w:r>
          </w:p>
        </w:tc>
        <w:tc>
          <w:tcPr>
            <w:tcW w:w="868" w:type="dxa"/>
            <w:vAlign w:val="center"/>
          </w:tcPr>
          <w:p w:rsidR="00030C0D" w:rsidRDefault="00986C69">
            <w:pPr>
              <w:spacing w:before="60" w:after="60"/>
              <w:jc w:val="right"/>
              <w:rPr>
                <w:noProof/>
                <w:sz w:val="20"/>
              </w:rPr>
            </w:pPr>
            <w:r>
              <w:rPr>
                <w:noProof/>
                <w:sz w:val="20"/>
              </w:rPr>
              <w:t>1,633</w:t>
            </w:r>
          </w:p>
        </w:tc>
        <w:tc>
          <w:tcPr>
            <w:tcW w:w="868" w:type="dxa"/>
            <w:vAlign w:val="center"/>
          </w:tcPr>
          <w:p w:rsidR="00030C0D" w:rsidRDefault="00986C69">
            <w:pPr>
              <w:spacing w:before="60" w:after="60"/>
              <w:jc w:val="right"/>
              <w:rPr>
                <w:noProof/>
                <w:sz w:val="20"/>
              </w:rPr>
            </w:pPr>
            <w:r>
              <w:rPr>
                <w:noProof/>
                <w:sz w:val="20"/>
              </w:rPr>
              <w:t>1,633</w:t>
            </w:r>
          </w:p>
        </w:tc>
        <w:tc>
          <w:tcPr>
            <w:tcW w:w="868" w:type="dxa"/>
            <w:vAlign w:val="center"/>
          </w:tcPr>
          <w:p w:rsidR="00030C0D" w:rsidRDefault="00986C69">
            <w:pPr>
              <w:spacing w:before="60" w:after="60"/>
              <w:jc w:val="right"/>
              <w:rPr>
                <w:noProof/>
                <w:sz w:val="20"/>
              </w:rPr>
            </w:pPr>
            <w:r>
              <w:rPr>
                <w:noProof/>
                <w:sz w:val="20"/>
              </w:rPr>
              <w:t>1,633</w:t>
            </w:r>
          </w:p>
        </w:tc>
        <w:tc>
          <w:tcPr>
            <w:tcW w:w="868" w:type="dxa"/>
            <w:vAlign w:val="center"/>
          </w:tcPr>
          <w:p w:rsidR="00030C0D" w:rsidRDefault="00030C0D">
            <w:pPr>
              <w:spacing w:before="60" w:after="60"/>
              <w:jc w:val="right"/>
              <w:rPr>
                <w:noProof/>
                <w:sz w:val="20"/>
              </w:rPr>
            </w:pPr>
          </w:p>
        </w:tc>
        <w:tc>
          <w:tcPr>
            <w:tcW w:w="868" w:type="dxa"/>
            <w:vAlign w:val="center"/>
          </w:tcPr>
          <w:p w:rsidR="00030C0D" w:rsidRDefault="00030C0D">
            <w:pPr>
              <w:spacing w:before="60" w:after="60"/>
              <w:jc w:val="right"/>
              <w:rPr>
                <w:b/>
                <w:noProof/>
                <w:sz w:val="20"/>
              </w:rPr>
            </w:pPr>
          </w:p>
        </w:tc>
        <w:tc>
          <w:tcPr>
            <w:tcW w:w="1777" w:type="dxa"/>
            <w:vAlign w:val="center"/>
          </w:tcPr>
          <w:p w:rsidR="00030C0D" w:rsidRDefault="00986C69">
            <w:pPr>
              <w:spacing w:before="60" w:after="60"/>
              <w:jc w:val="right"/>
              <w:rPr>
                <w:b/>
                <w:noProof/>
                <w:sz w:val="20"/>
              </w:rPr>
            </w:pPr>
            <w:r>
              <w:rPr>
                <w:noProof/>
                <w:sz w:val="20"/>
              </w:rPr>
              <w:t>9,215</w:t>
            </w:r>
          </w:p>
        </w:tc>
      </w:tr>
      <w:tr w:rsidR="00030C0D">
        <w:tc>
          <w:tcPr>
            <w:tcW w:w="3960" w:type="dxa"/>
            <w:vMerge/>
            <w:shd w:val="clear" w:color="auto" w:fill="C0C0C0"/>
          </w:tcPr>
          <w:p w:rsidR="00030C0D" w:rsidRDefault="00030C0D">
            <w:pPr>
              <w:rPr>
                <w:noProof/>
                <w:sz w:val="20"/>
              </w:rPr>
            </w:pPr>
          </w:p>
        </w:tc>
        <w:tc>
          <w:tcPr>
            <w:tcW w:w="2094" w:type="dxa"/>
            <w:gridSpan w:val="2"/>
            <w:vAlign w:val="center"/>
          </w:tcPr>
          <w:p w:rsidR="00030C0D" w:rsidRDefault="00986C69">
            <w:pPr>
              <w:rPr>
                <w:noProof/>
                <w:sz w:val="14"/>
              </w:rPr>
            </w:pPr>
            <w:r>
              <w:rPr>
                <w:noProof/>
                <w:sz w:val="18"/>
              </w:rPr>
              <w:t>Плащания</w:t>
            </w:r>
          </w:p>
        </w:tc>
        <w:tc>
          <w:tcPr>
            <w:tcW w:w="868" w:type="dxa"/>
            <w:vAlign w:val="center"/>
          </w:tcPr>
          <w:p w:rsidR="00030C0D" w:rsidRDefault="00986C69">
            <w:pPr>
              <w:spacing w:before="60" w:after="60"/>
              <w:jc w:val="right"/>
              <w:rPr>
                <w:noProof/>
                <w:sz w:val="20"/>
              </w:rPr>
            </w:pPr>
            <w:r>
              <w:rPr>
                <w:noProof/>
                <w:sz w:val="20"/>
              </w:rPr>
              <w:t>2,683</w:t>
            </w:r>
          </w:p>
        </w:tc>
        <w:tc>
          <w:tcPr>
            <w:tcW w:w="868" w:type="dxa"/>
            <w:vAlign w:val="center"/>
          </w:tcPr>
          <w:p w:rsidR="00030C0D" w:rsidRDefault="00986C69">
            <w:pPr>
              <w:spacing w:before="60" w:after="60"/>
              <w:jc w:val="right"/>
              <w:rPr>
                <w:noProof/>
                <w:sz w:val="20"/>
              </w:rPr>
            </w:pPr>
            <w:r>
              <w:rPr>
                <w:noProof/>
                <w:sz w:val="20"/>
              </w:rPr>
              <w:t>1,633</w:t>
            </w:r>
          </w:p>
        </w:tc>
        <w:tc>
          <w:tcPr>
            <w:tcW w:w="868" w:type="dxa"/>
            <w:vAlign w:val="center"/>
          </w:tcPr>
          <w:p w:rsidR="00030C0D" w:rsidRDefault="00986C69">
            <w:pPr>
              <w:spacing w:before="60" w:after="60"/>
              <w:jc w:val="right"/>
              <w:rPr>
                <w:noProof/>
                <w:sz w:val="20"/>
              </w:rPr>
            </w:pPr>
            <w:r>
              <w:rPr>
                <w:noProof/>
                <w:sz w:val="20"/>
              </w:rPr>
              <w:t>1,683</w:t>
            </w:r>
          </w:p>
        </w:tc>
        <w:tc>
          <w:tcPr>
            <w:tcW w:w="868" w:type="dxa"/>
            <w:vAlign w:val="center"/>
          </w:tcPr>
          <w:p w:rsidR="00030C0D" w:rsidRDefault="00986C69">
            <w:pPr>
              <w:spacing w:before="60" w:after="60"/>
              <w:jc w:val="right"/>
              <w:rPr>
                <w:noProof/>
                <w:sz w:val="20"/>
              </w:rPr>
            </w:pPr>
            <w:r>
              <w:rPr>
                <w:noProof/>
                <w:sz w:val="20"/>
              </w:rPr>
              <w:t>1,633</w:t>
            </w:r>
          </w:p>
        </w:tc>
        <w:tc>
          <w:tcPr>
            <w:tcW w:w="868" w:type="dxa"/>
            <w:vAlign w:val="center"/>
          </w:tcPr>
          <w:p w:rsidR="00030C0D" w:rsidRDefault="00986C69">
            <w:pPr>
              <w:spacing w:before="60" w:after="60"/>
              <w:jc w:val="right"/>
              <w:rPr>
                <w:noProof/>
                <w:sz w:val="20"/>
              </w:rPr>
            </w:pPr>
            <w:r>
              <w:rPr>
                <w:noProof/>
                <w:sz w:val="20"/>
              </w:rPr>
              <w:t>1,633</w:t>
            </w:r>
          </w:p>
        </w:tc>
        <w:tc>
          <w:tcPr>
            <w:tcW w:w="868" w:type="dxa"/>
            <w:vAlign w:val="center"/>
          </w:tcPr>
          <w:p w:rsidR="00030C0D" w:rsidRDefault="00030C0D">
            <w:pPr>
              <w:spacing w:before="60" w:after="60"/>
              <w:jc w:val="right"/>
              <w:rPr>
                <w:noProof/>
                <w:sz w:val="20"/>
              </w:rPr>
            </w:pPr>
          </w:p>
        </w:tc>
        <w:tc>
          <w:tcPr>
            <w:tcW w:w="868" w:type="dxa"/>
            <w:vAlign w:val="center"/>
          </w:tcPr>
          <w:p w:rsidR="00030C0D" w:rsidRDefault="00030C0D">
            <w:pPr>
              <w:spacing w:before="60" w:after="60"/>
              <w:jc w:val="right"/>
              <w:rPr>
                <w:b/>
                <w:noProof/>
                <w:sz w:val="20"/>
              </w:rPr>
            </w:pPr>
          </w:p>
        </w:tc>
        <w:tc>
          <w:tcPr>
            <w:tcW w:w="1777" w:type="dxa"/>
            <w:vAlign w:val="center"/>
          </w:tcPr>
          <w:p w:rsidR="00030C0D" w:rsidRDefault="00986C69">
            <w:pPr>
              <w:spacing w:before="60" w:after="60"/>
              <w:jc w:val="right"/>
              <w:rPr>
                <w:b/>
                <w:noProof/>
                <w:sz w:val="20"/>
              </w:rPr>
            </w:pPr>
            <w:r>
              <w:rPr>
                <w:noProof/>
                <w:sz w:val="20"/>
              </w:rPr>
              <w:t>9,215</w:t>
            </w:r>
          </w:p>
        </w:tc>
      </w:tr>
    </w:tbl>
    <w:p w:rsidR="00030C0D" w:rsidRDefault="00030C0D">
      <w:pPr>
        <w:rPr>
          <w:noProof/>
        </w:rPr>
        <w:sectPr w:rsidR="00030C0D">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rsidR="00030C0D" w:rsidRDefault="00986C69">
      <w:pPr>
        <w:pStyle w:val="ManualHeading3"/>
        <w:rPr>
          <w:bCs/>
          <w:noProof/>
          <w:szCs w:val="24"/>
        </w:rPr>
      </w:pPr>
      <w:r>
        <w:rPr>
          <w:noProof/>
        </w:rPr>
        <w:t>3.2.2.</w:t>
      </w:r>
      <w:r>
        <w:rPr>
          <w:noProof/>
        </w:rPr>
        <w:tab/>
        <w:t xml:space="preserve">Очаквано отражение върху бюджетните кредити за оперативни разходи </w:t>
      </w:r>
    </w:p>
    <w:p w:rsidR="00030C0D" w:rsidRDefault="00986C69">
      <w:pPr>
        <w:pStyle w:val="ListDash1"/>
        <w:rPr>
          <w:noProof/>
        </w:rPr>
      </w:pPr>
      <w:r>
        <w:rPr>
          <w:noProof/>
        </w:rPr>
        <w:t>Предложението/инициативата налага използване на бюджетни кредити за оперативни разходи съгласно обяснението по-долу:</w:t>
      </w:r>
    </w:p>
    <w:p w:rsidR="00030C0D" w:rsidRDefault="00986C69">
      <w:pPr>
        <w:jc w:val="right"/>
        <w:rPr>
          <w:noProof/>
          <w:sz w:val="20"/>
        </w:rPr>
      </w:pPr>
      <w:r>
        <w:rPr>
          <w:noProof/>
          <w:sz w:val="20"/>
        </w:rPr>
        <w:t>Бюджетни кредити за поети задължения в</w:t>
      </w:r>
      <w:r>
        <w:rPr>
          <w:noProof/>
          <w:sz w:val="20"/>
        </w:rPr>
        <w:t xml:space="preserve"> млн. EUR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2"/>
        <w:gridCol w:w="116"/>
        <w:gridCol w:w="590"/>
        <w:gridCol w:w="837"/>
        <w:gridCol w:w="675"/>
        <w:gridCol w:w="682"/>
        <w:gridCol w:w="675"/>
        <w:gridCol w:w="682"/>
        <w:gridCol w:w="675"/>
        <w:gridCol w:w="682"/>
        <w:gridCol w:w="675"/>
        <w:gridCol w:w="682"/>
        <w:gridCol w:w="683"/>
        <w:gridCol w:w="690"/>
        <w:gridCol w:w="675"/>
        <w:gridCol w:w="547"/>
        <w:gridCol w:w="675"/>
        <w:gridCol w:w="547"/>
        <w:gridCol w:w="605"/>
        <w:gridCol w:w="1275"/>
      </w:tblGrid>
      <w:tr w:rsidR="00030C0D">
        <w:trPr>
          <w:jc w:val="center"/>
        </w:trPr>
        <w:tc>
          <w:tcPr>
            <w:tcW w:w="1552" w:type="dxa"/>
            <w:vMerge w:val="restart"/>
            <w:vAlign w:val="center"/>
          </w:tcPr>
          <w:p w:rsidR="00030C0D" w:rsidRDefault="00986C69">
            <w:pPr>
              <w:ind w:right="-29"/>
              <w:jc w:val="center"/>
              <w:rPr>
                <w:b/>
                <w:noProof/>
                <w:sz w:val="18"/>
                <w:szCs w:val="18"/>
              </w:rPr>
            </w:pPr>
            <w:r>
              <w:rPr>
                <w:b/>
                <w:noProof/>
                <w:sz w:val="18"/>
              </w:rPr>
              <w:t xml:space="preserve">Да се посочат целите и резултатите </w:t>
            </w:r>
          </w:p>
          <w:p w:rsidR="00030C0D" w:rsidRDefault="00030C0D">
            <w:pPr>
              <w:ind w:right="-29"/>
              <w:jc w:val="center"/>
              <w:rPr>
                <w:b/>
                <w:noProof/>
                <w:sz w:val="18"/>
                <w:szCs w:val="18"/>
              </w:rPr>
            </w:pPr>
          </w:p>
          <w:p w:rsidR="00030C0D" w:rsidRDefault="00986C69">
            <w:pPr>
              <w:ind w:right="-29"/>
              <w:jc w:val="center"/>
              <w:rPr>
                <w:noProof/>
                <w:sz w:val="18"/>
                <w:szCs w:val="18"/>
              </w:rPr>
            </w:pPr>
            <w:r>
              <w:rPr>
                <w:noProof/>
                <w:sz w:val="18"/>
              </w:rPr>
              <w:sym w:font="Wingdings" w:char="F0F2"/>
            </w:r>
          </w:p>
        </w:tc>
        <w:tc>
          <w:tcPr>
            <w:tcW w:w="706" w:type="dxa"/>
            <w:gridSpan w:val="2"/>
            <w:vAlign w:val="center"/>
          </w:tcPr>
          <w:p w:rsidR="00030C0D" w:rsidRDefault="00030C0D">
            <w:pPr>
              <w:ind w:right="-29"/>
              <w:jc w:val="center"/>
              <w:rPr>
                <w:noProof/>
                <w:sz w:val="18"/>
                <w:szCs w:val="18"/>
              </w:rPr>
            </w:pPr>
          </w:p>
        </w:tc>
        <w:tc>
          <w:tcPr>
            <w:tcW w:w="837" w:type="dxa"/>
            <w:vAlign w:val="center"/>
          </w:tcPr>
          <w:p w:rsidR="00030C0D" w:rsidRDefault="00030C0D">
            <w:pPr>
              <w:ind w:right="-29"/>
              <w:jc w:val="center"/>
              <w:rPr>
                <w:noProof/>
                <w:sz w:val="18"/>
                <w:szCs w:val="18"/>
              </w:rPr>
            </w:pPr>
          </w:p>
        </w:tc>
        <w:tc>
          <w:tcPr>
            <w:tcW w:w="1357" w:type="dxa"/>
            <w:gridSpan w:val="2"/>
            <w:tcBorders>
              <w:left w:val="nil"/>
            </w:tcBorders>
            <w:vAlign w:val="center"/>
          </w:tcPr>
          <w:p w:rsidR="00030C0D" w:rsidRDefault="00986C69">
            <w:pPr>
              <w:ind w:right="-29"/>
              <w:jc w:val="center"/>
              <w:rPr>
                <w:noProof/>
                <w:sz w:val="18"/>
                <w:szCs w:val="18"/>
              </w:rPr>
            </w:pPr>
            <w:r>
              <w:rPr>
                <w:noProof/>
                <w:sz w:val="20"/>
              </w:rPr>
              <w:t>2016</w:t>
            </w:r>
          </w:p>
        </w:tc>
        <w:tc>
          <w:tcPr>
            <w:tcW w:w="1357" w:type="dxa"/>
            <w:gridSpan w:val="2"/>
            <w:vAlign w:val="center"/>
          </w:tcPr>
          <w:p w:rsidR="00030C0D" w:rsidRDefault="00986C69">
            <w:pPr>
              <w:ind w:right="-29"/>
              <w:jc w:val="center"/>
              <w:rPr>
                <w:noProof/>
                <w:sz w:val="18"/>
                <w:szCs w:val="18"/>
              </w:rPr>
            </w:pPr>
            <w:r>
              <w:rPr>
                <w:noProof/>
                <w:sz w:val="20"/>
              </w:rPr>
              <w:t>2017</w:t>
            </w:r>
          </w:p>
        </w:tc>
        <w:tc>
          <w:tcPr>
            <w:tcW w:w="1357" w:type="dxa"/>
            <w:gridSpan w:val="2"/>
            <w:vAlign w:val="center"/>
          </w:tcPr>
          <w:p w:rsidR="00030C0D" w:rsidRDefault="00986C69">
            <w:pPr>
              <w:ind w:right="-29"/>
              <w:jc w:val="center"/>
              <w:rPr>
                <w:noProof/>
                <w:sz w:val="18"/>
                <w:szCs w:val="18"/>
              </w:rPr>
            </w:pPr>
            <w:r>
              <w:rPr>
                <w:noProof/>
                <w:sz w:val="20"/>
              </w:rPr>
              <w:t>2018</w:t>
            </w:r>
          </w:p>
        </w:tc>
        <w:tc>
          <w:tcPr>
            <w:tcW w:w="1357" w:type="dxa"/>
            <w:gridSpan w:val="2"/>
            <w:vAlign w:val="center"/>
          </w:tcPr>
          <w:p w:rsidR="00030C0D" w:rsidRDefault="00986C69">
            <w:pPr>
              <w:ind w:right="-29"/>
              <w:jc w:val="center"/>
              <w:rPr>
                <w:noProof/>
                <w:sz w:val="18"/>
                <w:szCs w:val="18"/>
              </w:rPr>
            </w:pPr>
            <w:r>
              <w:rPr>
                <w:noProof/>
                <w:sz w:val="20"/>
              </w:rPr>
              <w:t>2019</w:t>
            </w:r>
          </w:p>
        </w:tc>
        <w:tc>
          <w:tcPr>
            <w:tcW w:w="1373" w:type="dxa"/>
            <w:gridSpan w:val="2"/>
            <w:vAlign w:val="center"/>
          </w:tcPr>
          <w:p w:rsidR="00030C0D" w:rsidRDefault="00986C69">
            <w:pPr>
              <w:jc w:val="center"/>
              <w:rPr>
                <w:noProof/>
                <w:sz w:val="18"/>
                <w:szCs w:val="18"/>
              </w:rPr>
            </w:pPr>
            <w:r>
              <w:rPr>
                <w:noProof/>
                <w:sz w:val="18"/>
              </w:rPr>
              <w:t>2020</w:t>
            </w:r>
          </w:p>
        </w:tc>
        <w:tc>
          <w:tcPr>
            <w:tcW w:w="1222" w:type="dxa"/>
            <w:gridSpan w:val="2"/>
            <w:vAlign w:val="center"/>
          </w:tcPr>
          <w:p w:rsidR="00030C0D" w:rsidRDefault="00030C0D">
            <w:pPr>
              <w:jc w:val="center"/>
              <w:rPr>
                <w:noProof/>
                <w:sz w:val="18"/>
                <w:szCs w:val="18"/>
              </w:rPr>
            </w:pPr>
          </w:p>
        </w:tc>
        <w:tc>
          <w:tcPr>
            <w:tcW w:w="1222" w:type="dxa"/>
            <w:gridSpan w:val="2"/>
            <w:vAlign w:val="center"/>
          </w:tcPr>
          <w:p w:rsidR="00030C0D" w:rsidRDefault="00030C0D">
            <w:pPr>
              <w:jc w:val="center"/>
              <w:rPr>
                <w:noProof/>
                <w:sz w:val="18"/>
                <w:szCs w:val="18"/>
              </w:rPr>
            </w:pPr>
          </w:p>
        </w:tc>
        <w:tc>
          <w:tcPr>
            <w:tcW w:w="1880" w:type="dxa"/>
            <w:gridSpan w:val="2"/>
            <w:tcBorders>
              <w:left w:val="nil"/>
              <w:bottom w:val="nil"/>
            </w:tcBorders>
            <w:vAlign w:val="center"/>
          </w:tcPr>
          <w:p w:rsidR="00030C0D" w:rsidRDefault="00986C69">
            <w:pPr>
              <w:ind w:right="-29"/>
              <w:jc w:val="center"/>
              <w:rPr>
                <w:noProof/>
                <w:sz w:val="18"/>
                <w:szCs w:val="18"/>
              </w:rPr>
            </w:pPr>
            <w:r>
              <w:rPr>
                <w:b/>
                <w:noProof/>
                <w:sz w:val="18"/>
              </w:rPr>
              <w:t>ОБЩО</w:t>
            </w:r>
          </w:p>
        </w:tc>
      </w:tr>
      <w:tr w:rsidR="00030C0D">
        <w:trPr>
          <w:jc w:val="center"/>
        </w:trPr>
        <w:tc>
          <w:tcPr>
            <w:tcW w:w="1552" w:type="dxa"/>
            <w:vMerge/>
            <w:vAlign w:val="center"/>
          </w:tcPr>
          <w:p w:rsidR="00030C0D" w:rsidRDefault="00030C0D">
            <w:pPr>
              <w:ind w:right="-29"/>
              <w:jc w:val="center"/>
              <w:rPr>
                <w:noProof/>
                <w:sz w:val="18"/>
                <w:szCs w:val="18"/>
              </w:rPr>
            </w:pPr>
          </w:p>
        </w:tc>
        <w:tc>
          <w:tcPr>
            <w:tcW w:w="12668" w:type="dxa"/>
            <w:gridSpan w:val="19"/>
            <w:vAlign w:val="center"/>
          </w:tcPr>
          <w:p w:rsidR="00030C0D" w:rsidRDefault="00986C69">
            <w:pPr>
              <w:spacing w:before="60" w:after="60"/>
              <w:ind w:right="-29"/>
              <w:jc w:val="center"/>
              <w:rPr>
                <w:noProof/>
                <w:sz w:val="18"/>
                <w:szCs w:val="18"/>
              </w:rPr>
            </w:pPr>
            <w:r>
              <w:rPr>
                <w:b/>
                <w:noProof/>
                <w:sz w:val="18"/>
              </w:rPr>
              <w:t>РЕЗУЛТАТИ</w:t>
            </w:r>
          </w:p>
        </w:tc>
      </w:tr>
      <w:tr w:rsidR="00030C0D">
        <w:trPr>
          <w:cantSplit/>
          <w:trHeight w:val="1134"/>
          <w:jc w:val="center"/>
        </w:trPr>
        <w:tc>
          <w:tcPr>
            <w:tcW w:w="1552" w:type="dxa"/>
            <w:vMerge/>
            <w:vAlign w:val="center"/>
          </w:tcPr>
          <w:p w:rsidR="00030C0D" w:rsidRDefault="00030C0D">
            <w:pPr>
              <w:rPr>
                <w:noProof/>
                <w:sz w:val="18"/>
                <w:szCs w:val="18"/>
              </w:rPr>
            </w:pPr>
          </w:p>
        </w:tc>
        <w:tc>
          <w:tcPr>
            <w:tcW w:w="706" w:type="dxa"/>
            <w:gridSpan w:val="2"/>
            <w:vAlign w:val="center"/>
          </w:tcPr>
          <w:p w:rsidR="00030C0D" w:rsidRDefault="00986C69">
            <w:pPr>
              <w:jc w:val="center"/>
              <w:rPr>
                <w:noProof/>
                <w:sz w:val="18"/>
                <w:szCs w:val="18"/>
              </w:rPr>
            </w:pPr>
            <w:r>
              <w:rPr>
                <w:noProof/>
                <w:sz w:val="18"/>
              </w:rPr>
              <w:t>Вид</w:t>
            </w:r>
            <w:r>
              <w:rPr>
                <w:rStyle w:val="FootnoteReference"/>
                <w:noProof/>
                <w:sz w:val="18"/>
              </w:rPr>
              <w:footnoteReference w:id="29"/>
            </w:r>
          </w:p>
          <w:p w:rsidR="00030C0D" w:rsidRDefault="00030C0D">
            <w:pPr>
              <w:spacing w:before="0" w:after="0"/>
              <w:jc w:val="center"/>
              <w:rPr>
                <w:noProof/>
                <w:sz w:val="18"/>
                <w:szCs w:val="18"/>
              </w:rPr>
            </w:pPr>
          </w:p>
        </w:tc>
        <w:tc>
          <w:tcPr>
            <w:tcW w:w="837" w:type="dxa"/>
            <w:vAlign w:val="center"/>
          </w:tcPr>
          <w:p w:rsidR="00030C0D" w:rsidRDefault="00986C69">
            <w:pPr>
              <w:jc w:val="center"/>
              <w:rPr>
                <w:noProof/>
                <w:sz w:val="18"/>
                <w:szCs w:val="18"/>
              </w:rPr>
            </w:pPr>
            <w:r>
              <w:rPr>
                <w:noProof/>
                <w:sz w:val="18"/>
              </w:rPr>
              <w:t>Среден разход</w:t>
            </w:r>
          </w:p>
        </w:tc>
        <w:tc>
          <w:tcPr>
            <w:tcW w:w="675" w:type="dxa"/>
            <w:tcBorders>
              <w:left w:val="nil"/>
              <w:right w:val="dashSmallGap" w:sz="4" w:space="0" w:color="auto"/>
            </w:tcBorders>
            <w:shd w:val="pct10" w:color="auto" w:fill="auto"/>
            <w:textDirection w:val="btLr"/>
            <w:vAlign w:val="center"/>
          </w:tcPr>
          <w:p w:rsidR="00030C0D" w:rsidRDefault="00986C69">
            <w:pPr>
              <w:ind w:left="113" w:right="113"/>
              <w:jc w:val="center"/>
              <w:rPr>
                <w:noProof/>
                <w:sz w:val="18"/>
                <w:szCs w:val="18"/>
              </w:rPr>
            </w:pPr>
            <w:r>
              <w:rPr>
                <w:noProof/>
                <w:sz w:val="18"/>
              </w:rPr>
              <w:t>Брой</w:t>
            </w:r>
          </w:p>
        </w:tc>
        <w:tc>
          <w:tcPr>
            <w:tcW w:w="682" w:type="dxa"/>
            <w:tcBorders>
              <w:left w:val="dashSmallGap" w:sz="4" w:space="0" w:color="auto"/>
            </w:tcBorders>
            <w:shd w:val="pct10" w:color="auto" w:fill="auto"/>
            <w:vAlign w:val="center"/>
          </w:tcPr>
          <w:p w:rsidR="00030C0D" w:rsidRDefault="00986C69">
            <w:pPr>
              <w:jc w:val="center"/>
              <w:rPr>
                <w:noProof/>
                <w:sz w:val="18"/>
                <w:szCs w:val="18"/>
              </w:rPr>
            </w:pPr>
            <w:r>
              <w:rPr>
                <w:noProof/>
                <w:sz w:val="18"/>
              </w:rPr>
              <w:t>Разходи</w:t>
            </w:r>
          </w:p>
        </w:tc>
        <w:tc>
          <w:tcPr>
            <w:tcW w:w="675" w:type="dxa"/>
            <w:tcBorders>
              <w:right w:val="dashSmallGap" w:sz="4" w:space="0" w:color="auto"/>
            </w:tcBorders>
            <w:shd w:val="pct10" w:color="auto" w:fill="auto"/>
            <w:textDirection w:val="btLr"/>
            <w:vAlign w:val="center"/>
          </w:tcPr>
          <w:p w:rsidR="00030C0D" w:rsidRDefault="00986C69">
            <w:pPr>
              <w:ind w:left="113" w:right="113"/>
              <w:jc w:val="center"/>
              <w:rPr>
                <w:noProof/>
                <w:sz w:val="18"/>
                <w:szCs w:val="18"/>
              </w:rPr>
            </w:pPr>
            <w:r>
              <w:rPr>
                <w:noProof/>
                <w:sz w:val="18"/>
              </w:rPr>
              <w:t>Брой</w:t>
            </w:r>
          </w:p>
        </w:tc>
        <w:tc>
          <w:tcPr>
            <w:tcW w:w="682" w:type="dxa"/>
            <w:tcBorders>
              <w:left w:val="dashSmallGap" w:sz="4" w:space="0" w:color="auto"/>
            </w:tcBorders>
            <w:shd w:val="pct10" w:color="auto" w:fill="auto"/>
            <w:vAlign w:val="center"/>
          </w:tcPr>
          <w:p w:rsidR="00030C0D" w:rsidRDefault="00986C69">
            <w:pPr>
              <w:jc w:val="center"/>
              <w:rPr>
                <w:noProof/>
                <w:sz w:val="18"/>
                <w:szCs w:val="18"/>
              </w:rPr>
            </w:pPr>
            <w:r>
              <w:rPr>
                <w:noProof/>
                <w:sz w:val="18"/>
              </w:rPr>
              <w:t>Разходи</w:t>
            </w:r>
          </w:p>
        </w:tc>
        <w:tc>
          <w:tcPr>
            <w:tcW w:w="675" w:type="dxa"/>
            <w:tcBorders>
              <w:right w:val="dashSmallGap" w:sz="4" w:space="0" w:color="auto"/>
            </w:tcBorders>
            <w:shd w:val="pct10" w:color="auto" w:fill="auto"/>
            <w:textDirection w:val="btLr"/>
            <w:vAlign w:val="center"/>
          </w:tcPr>
          <w:p w:rsidR="00030C0D" w:rsidRDefault="00986C69">
            <w:pPr>
              <w:ind w:left="113" w:right="113"/>
              <w:jc w:val="center"/>
              <w:rPr>
                <w:noProof/>
                <w:sz w:val="18"/>
                <w:szCs w:val="18"/>
              </w:rPr>
            </w:pPr>
            <w:r>
              <w:rPr>
                <w:noProof/>
                <w:sz w:val="18"/>
              </w:rPr>
              <w:t>Брой</w:t>
            </w:r>
          </w:p>
        </w:tc>
        <w:tc>
          <w:tcPr>
            <w:tcW w:w="682" w:type="dxa"/>
            <w:tcBorders>
              <w:left w:val="dashSmallGap" w:sz="4" w:space="0" w:color="auto"/>
            </w:tcBorders>
            <w:shd w:val="pct10" w:color="auto" w:fill="auto"/>
            <w:vAlign w:val="center"/>
          </w:tcPr>
          <w:p w:rsidR="00030C0D" w:rsidRDefault="00986C69">
            <w:pPr>
              <w:jc w:val="center"/>
              <w:rPr>
                <w:noProof/>
                <w:sz w:val="18"/>
                <w:szCs w:val="18"/>
              </w:rPr>
            </w:pPr>
            <w:r>
              <w:rPr>
                <w:noProof/>
                <w:sz w:val="18"/>
              </w:rPr>
              <w:t>Разходи</w:t>
            </w:r>
          </w:p>
        </w:tc>
        <w:tc>
          <w:tcPr>
            <w:tcW w:w="675" w:type="dxa"/>
            <w:tcBorders>
              <w:right w:val="dashSmallGap" w:sz="4" w:space="0" w:color="auto"/>
            </w:tcBorders>
            <w:shd w:val="pct10" w:color="auto" w:fill="auto"/>
            <w:textDirection w:val="btLr"/>
            <w:vAlign w:val="center"/>
          </w:tcPr>
          <w:p w:rsidR="00030C0D" w:rsidRDefault="00986C69">
            <w:pPr>
              <w:ind w:left="113" w:right="113"/>
              <w:jc w:val="center"/>
              <w:rPr>
                <w:noProof/>
                <w:sz w:val="18"/>
                <w:szCs w:val="18"/>
              </w:rPr>
            </w:pPr>
            <w:r>
              <w:rPr>
                <w:noProof/>
                <w:sz w:val="18"/>
              </w:rPr>
              <w:t>Брой</w:t>
            </w:r>
          </w:p>
        </w:tc>
        <w:tc>
          <w:tcPr>
            <w:tcW w:w="682" w:type="dxa"/>
            <w:tcBorders>
              <w:left w:val="dashSmallGap" w:sz="4" w:space="0" w:color="auto"/>
            </w:tcBorders>
            <w:shd w:val="pct10" w:color="auto" w:fill="auto"/>
            <w:vAlign w:val="center"/>
          </w:tcPr>
          <w:p w:rsidR="00030C0D" w:rsidRDefault="00986C69">
            <w:pPr>
              <w:jc w:val="center"/>
              <w:rPr>
                <w:noProof/>
                <w:sz w:val="18"/>
                <w:szCs w:val="18"/>
              </w:rPr>
            </w:pPr>
            <w:r>
              <w:rPr>
                <w:noProof/>
                <w:sz w:val="18"/>
              </w:rPr>
              <w:t>Разходи</w:t>
            </w:r>
          </w:p>
        </w:tc>
        <w:tc>
          <w:tcPr>
            <w:tcW w:w="683" w:type="dxa"/>
            <w:tcBorders>
              <w:right w:val="dashSmallGap" w:sz="4" w:space="0" w:color="auto"/>
            </w:tcBorders>
            <w:shd w:val="pct10" w:color="auto" w:fill="auto"/>
            <w:textDirection w:val="btLr"/>
            <w:vAlign w:val="center"/>
          </w:tcPr>
          <w:p w:rsidR="00030C0D" w:rsidRDefault="00986C69">
            <w:pPr>
              <w:ind w:left="113" w:right="113"/>
              <w:jc w:val="center"/>
              <w:rPr>
                <w:noProof/>
                <w:sz w:val="18"/>
                <w:szCs w:val="18"/>
              </w:rPr>
            </w:pPr>
            <w:r>
              <w:rPr>
                <w:noProof/>
                <w:sz w:val="18"/>
              </w:rPr>
              <w:t>Брой</w:t>
            </w:r>
          </w:p>
        </w:tc>
        <w:tc>
          <w:tcPr>
            <w:tcW w:w="690" w:type="dxa"/>
            <w:tcBorders>
              <w:left w:val="dashSmallGap" w:sz="4" w:space="0" w:color="auto"/>
            </w:tcBorders>
            <w:shd w:val="pct10" w:color="auto" w:fill="auto"/>
            <w:vAlign w:val="center"/>
          </w:tcPr>
          <w:p w:rsidR="00030C0D" w:rsidRDefault="00986C69">
            <w:pPr>
              <w:jc w:val="center"/>
              <w:rPr>
                <w:noProof/>
                <w:sz w:val="18"/>
                <w:szCs w:val="18"/>
              </w:rPr>
            </w:pPr>
            <w:r>
              <w:rPr>
                <w:noProof/>
                <w:sz w:val="18"/>
              </w:rPr>
              <w:t>Разходи</w:t>
            </w:r>
          </w:p>
        </w:tc>
        <w:tc>
          <w:tcPr>
            <w:tcW w:w="675" w:type="dxa"/>
            <w:tcBorders>
              <w:right w:val="dashSmallGap" w:sz="4" w:space="0" w:color="auto"/>
            </w:tcBorders>
            <w:shd w:val="pct10" w:color="auto" w:fill="auto"/>
            <w:textDirection w:val="btLr"/>
            <w:vAlign w:val="center"/>
          </w:tcPr>
          <w:p w:rsidR="00030C0D" w:rsidRDefault="00986C69">
            <w:pPr>
              <w:ind w:left="113" w:right="113"/>
              <w:jc w:val="center"/>
              <w:rPr>
                <w:noProof/>
                <w:sz w:val="18"/>
                <w:szCs w:val="18"/>
              </w:rPr>
            </w:pPr>
            <w:r>
              <w:rPr>
                <w:noProof/>
                <w:sz w:val="18"/>
              </w:rPr>
              <w:t>Брой</w:t>
            </w:r>
          </w:p>
        </w:tc>
        <w:tc>
          <w:tcPr>
            <w:tcW w:w="547" w:type="dxa"/>
            <w:tcBorders>
              <w:left w:val="dashSmallGap" w:sz="4" w:space="0" w:color="auto"/>
            </w:tcBorders>
            <w:shd w:val="pct10" w:color="auto" w:fill="auto"/>
            <w:vAlign w:val="center"/>
          </w:tcPr>
          <w:p w:rsidR="00030C0D" w:rsidRDefault="00986C69">
            <w:pPr>
              <w:jc w:val="center"/>
              <w:rPr>
                <w:noProof/>
                <w:sz w:val="18"/>
                <w:szCs w:val="18"/>
              </w:rPr>
            </w:pPr>
            <w:r>
              <w:rPr>
                <w:noProof/>
                <w:sz w:val="18"/>
              </w:rPr>
              <w:t>Разходи</w:t>
            </w:r>
          </w:p>
        </w:tc>
        <w:tc>
          <w:tcPr>
            <w:tcW w:w="675" w:type="dxa"/>
            <w:tcBorders>
              <w:right w:val="dashSmallGap" w:sz="4" w:space="0" w:color="auto"/>
            </w:tcBorders>
            <w:shd w:val="pct10" w:color="auto" w:fill="auto"/>
            <w:textDirection w:val="btLr"/>
            <w:vAlign w:val="center"/>
          </w:tcPr>
          <w:p w:rsidR="00030C0D" w:rsidRDefault="00986C69">
            <w:pPr>
              <w:ind w:left="113" w:right="113"/>
              <w:jc w:val="center"/>
              <w:rPr>
                <w:noProof/>
                <w:sz w:val="18"/>
                <w:szCs w:val="18"/>
              </w:rPr>
            </w:pPr>
            <w:r>
              <w:rPr>
                <w:noProof/>
                <w:sz w:val="18"/>
              </w:rPr>
              <w:t>Брой</w:t>
            </w:r>
          </w:p>
        </w:tc>
        <w:tc>
          <w:tcPr>
            <w:tcW w:w="547" w:type="dxa"/>
            <w:tcBorders>
              <w:left w:val="dashSmallGap" w:sz="4" w:space="0" w:color="auto"/>
            </w:tcBorders>
            <w:shd w:val="pct10" w:color="auto" w:fill="auto"/>
            <w:vAlign w:val="center"/>
          </w:tcPr>
          <w:p w:rsidR="00030C0D" w:rsidRDefault="00986C69">
            <w:pPr>
              <w:jc w:val="center"/>
              <w:rPr>
                <w:noProof/>
                <w:sz w:val="18"/>
                <w:szCs w:val="18"/>
              </w:rPr>
            </w:pPr>
            <w:r>
              <w:rPr>
                <w:noProof/>
                <w:sz w:val="18"/>
              </w:rPr>
              <w:t>Разходи</w:t>
            </w:r>
          </w:p>
        </w:tc>
        <w:tc>
          <w:tcPr>
            <w:tcW w:w="605" w:type="dxa"/>
            <w:tcBorders>
              <w:right w:val="dashSmallGap" w:sz="4" w:space="0" w:color="auto"/>
            </w:tcBorders>
            <w:shd w:val="pct10" w:color="auto" w:fill="auto"/>
            <w:vAlign w:val="center"/>
          </w:tcPr>
          <w:p w:rsidR="00030C0D" w:rsidRDefault="00986C69">
            <w:pPr>
              <w:jc w:val="center"/>
              <w:rPr>
                <w:noProof/>
                <w:sz w:val="18"/>
                <w:szCs w:val="18"/>
              </w:rPr>
            </w:pPr>
            <w:r>
              <w:rPr>
                <w:noProof/>
                <w:sz w:val="18"/>
              </w:rPr>
              <w:t xml:space="preserve">Общ </w:t>
            </w:r>
            <w:r>
              <w:rPr>
                <w:noProof/>
                <w:sz w:val="18"/>
              </w:rPr>
              <w:t>брой</w:t>
            </w:r>
          </w:p>
        </w:tc>
        <w:tc>
          <w:tcPr>
            <w:tcW w:w="1275" w:type="dxa"/>
            <w:tcBorders>
              <w:left w:val="dashSmallGap" w:sz="4" w:space="0" w:color="auto"/>
            </w:tcBorders>
            <w:shd w:val="pct10" w:color="auto" w:fill="auto"/>
            <w:vAlign w:val="center"/>
          </w:tcPr>
          <w:p w:rsidR="00030C0D" w:rsidRDefault="00986C69">
            <w:pPr>
              <w:jc w:val="center"/>
              <w:rPr>
                <w:noProof/>
                <w:sz w:val="18"/>
                <w:szCs w:val="18"/>
              </w:rPr>
            </w:pPr>
            <w:r>
              <w:rPr>
                <w:noProof/>
                <w:sz w:val="18"/>
              </w:rPr>
              <w:t>Общо разходи</w:t>
            </w:r>
          </w:p>
        </w:tc>
      </w:tr>
      <w:tr w:rsidR="00030C0D">
        <w:trPr>
          <w:jc w:val="center"/>
        </w:trPr>
        <w:tc>
          <w:tcPr>
            <w:tcW w:w="8523" w:type="dxa"/>
            <w:gridSpan w:val="12"/>
            <w:vAlign w:val="center"/>
          </w:tcPr>
          <w:p w:rsidR="00030C0D" w:rsidRDefault="00986C69">
            <w:pPr>
              <w:spacing w:before="60" w:after="60"/>
              <w:ind w:right="-29"/>
              <w:jc w:val="left"/>
              <w:rPr>
                <w:noProof/>
                <w:sz w:val="18"/>
                <w:szCs w:val="18"/>
              </w:rPr>
            </w:pPr>
            <w:r>
              <w:rPr>
                <w:noProof/>
                <w:sz w:val="18"/>
              </w:rPr>
              <w:t>СПЕЦИФИЧНА ЦЕЛ: Насърчаване на по-умерено енергопотребление.</w:t>
            </w:r>
          </w:p>
        </w:tc>
        <w:tc>
          <w:tcPr>
            <w:tcW w:w="683" w:type="dxa"/>
            <w:tcBorders>
              <w:top w:val="nil"/>
              <w:left w:val="nil"/>
              <w:bottom w:val="nil"/>
              <w:right w:val="nil"/>
            </w:tcBorders>
          </w:tcPr>
          <w:p w:rsidR="00030C0D" w:rsidRDefault="00030C0D">
            <w:pPr>
              <w:spacing w:before="60" w:after="60"/>
              <w:ind w:right="-29"/>
              <w:jc w:val="center"/>
              <w:rPr>
                <w:noProof/>
                <w:sz w:val="18"/>
                <w:szCs w:val="18"/>
              </w:rPr>
            </w:pPr>
          </w:p>
        </w:tc>
        <w:tc>
          <w:tcPr>
            <w:tcW w:w="690" w:type="dxa"/>
            <w:tcBorders>
              <w:top w:val="nil"/>
              <w:left w:val="nil"/>
              <w:bottom w:val="nil"/>
              <w:right w:val="nil"/>
            </w:tcBorders>
          </w:tcPr>
          <w:p w:rsidR="00030C0D" w:rsidRDefault="00030C0D">
            <w:pPr>
              <w:spacing w:before="60" w:after="60"/>
              <w:ind w:right="-29"/>
              <w:jc w:val="center"/>
              <w:rPr>
                <w:noProof/>
                <w:sz w:val="18"/>
                <w:szCs w:val="18"/>
              </w:rPr>
            </w:pPr>
          </w:p>
        </w:tc>
        <w:tc>
          <w:tcPr>
            <w:tcW w:w="675" w:type="dxa"/>
            <w:tcBorders>
              <w:top w:val="nil"/>
              <w:left w:val="nil"/>
              <w:bottom w:val="nil"/>
              <w:right w:val="nil"/>
            </w:tcBorders>
          </w:tcPr>
          <w:p w:rsidR="00030C0D" w:rsidRDefault="00030C0D">
            <w:pPr>
              <w:spacing w:before="60" w:after="60"/>
              <w:ind w:right="-29"/>
              <w:jc w:val="center"/>
              <w:rPr>
                <w:noProof/>
                <w:sz w:val="18"/>
                <w:szCs w:val="18"/>
              </w:rPr>
            </w:pPr>
          </w:p>
        </w:tc>
        <w:tc>
          <w:tcPr>
            <w:tcW w:w="547" w:type="dxa"/>
            <w:tcBorders>
              <w:top w:val="nil"/>
              <w:left w:val="nil"/>
              <w:bottom w:val="nil"/>
              <w:right w:val="nil"/>
            </w:tcBorders>
          </w:tcPr>
          <w:p w:rsidR="00030C0D" w:rsidRDefault="00030C0D">
            <w:pPr>
              <w:spacing w:before="60" w:after="60"/>
              <w:ind w:right="-29"/>
              <w:jc w:val="center"/>
              <w:rPr>
                <w:noProof/>
                <w:sz w:val="18"/>
                <w:szCs w:val="18"/>
              </w:rPr>
            </w:pPr>
          </w:p>
        </w:tc>
        <w:tc>
          <w:tcPr>
            <w:tcW w:w="675" w:type="dxa"/>
            <w:tcBorders>
              <w:top w:val="nil"/>
              <w:left w:val="nil"/>
              <w:bottom w:val="nil"/>
              <w:right w:val="nil"/>
            </w:tcBorders>
          </w:tcPr>
          <w:p w:rsidR="00030C0D" w:rsidRDefault="00030C0D">
            <w:pPr>
              <w:spacing w:before="60" w:after="60"/>
              <w:ind w:right="-29"/>
              <w:jc w:val="center"/>
              <w:rPr>
                <w:noProof/>
                <w:sz w:val="18"/>
                <w:szCs w:val="18"/>
              </w:rPr>
            </w:pPr>
          </w:p>
        </w:tc>
        <w:tc>
          <w:tcPr>
            <w:tcW w:w="547" w:type="dxa"/>
            <w:tcBorders>
              <w:top w:val="nil"/>
              <w:left w:val="nil"/>
              <w:bottom w:val="nil"/>
              <w:right w:val="nil"/>
            </w:tcBorders>
          </w:tcPr>
          <w:p w:rsidR="00030C0D" w:rsidRDefault="00030C0D">
            <w:pPr>
              <w:spacing w:before="60" w:after="60"/>
              <w:ind w:right="-29"/>
              <w:jc w:val="center"/>
              <w:rPr>
                <w:noProof/>
                <w:sz w:val="18"/>
                <w:szCs w:val="18"/>
              </w:rPr>
            </w:pPr>
          </w:p>
        </w:tc>
        <w:tc>
          <w:tcPr>
            <w:tcW w:w="605" w:type="dxa"/>
            <w:tcBorders>
              <w:top w:val="nil"/>
              <w:left w:val="nil"/>
              <w:bottom w:val="nil"/>
              <w:right w:val="nil"/>
            </w:tcBorders>
          </w:tcPr>
          <w:p w:rsidR="00030C0D" w:rsidRDefault="00030C0D">
            <w:pPr>
              <w:spacing w:before="60" w:after="60"/>
              <w:ind w:right="-29"/>
              <w:jc w:val="center"/>
              <w:rPr>
                <w:noProof/>
                <w:sz w:val="18"/>
                <w:szCs w:val="18"/>
              </w:rPr>
            </w:pPr>
          </w:p>
        </w:tc>
        <w:tc>
          <w:tcPr>
            <w:tcW w:w="1275" w:type="dxa"/>
            <w:tcBorders>
              <w:top w:val="nil"/>
              <w:left w:val="nil"/>
              <w:bottom w:val="nil"/>
              <w:right w:val="nil"/>
            </w:tcBorders>
          </w:tcPr>
          <w:p w:rsidR="00030C0D" w:rsidRDefault="00030C0D">
            <w:pPr>
              <w:spacing w:before="60" w:after="60"/>
              <w:ind w:right="-29"/>
              <w:jc w:val="center"/>
              <w:rPr>
                <w:noProof/>
                <w:sz w:val="18"/>
                <w:szCs w:val="18"/>
              </w:rPr>
            </w:pPr>
          </w:p>
        </w:tc>
      </w:tr>
      <w:tr w:rsidR="00030C0D">
        <w:trPr>
          <w:trHeight w:hRule="exact" w:val="940"/>
          <w:jc w:val="center"/>
        </w:trPr>
        <w:tc>
          <w:tcPr>
            <w:tcW w:w="1668" w:type="dxa"/>
            <w:gridSpan w:val="2"/>
          </w:tcPr>
          <w:p w:rsidR="00030C0D" w:rsidRDefault="00986C69">
            <w:pPr>
              <w:ind w:right="-29"/>
              <w:jc w:val="center"/>
              <w:rPr>
                <w:noProof/>
                <w:sz w:val="20"/>
                <w:szCs w:val="20"/>
              </w:rPr>
            </w:pPr>
            <w:r>
              <w:rPr>
                <w:noProof/>
                <w:sz w:val="20"/>
                <w:szCs w:val="20"/>
              </w:rPr>
              <w:t>Доставка на информационно-технологична база данни за регистриране на продукти, свързани с енергопотреблението</w:t>
            </w:r>
          </w:p>
        </w:tc>
        <w:tc>
          <w:tcPr>
            <w:tcW w:w="590" w:type="dxa"/>
          </w:tcPr>
          <w:p w:rsidR="00030C0D" w:rsidRDefault="00030C0D">
            <w:pPr>
              <w:ind w:right="-29"/>
              <w:jc w:val="center"/>
              <w:rPr>
                <w:noProof/>
                <w:sz w:val="20"/>
                <w:szCs w:val="20"/>
              </w:rPr>
            </w:pPr>
          </w:p>
        </w:tc>
        <w:tc>
          <w:tcPr>
            <w:tcW w:w="837" w:type="dxa"/>
          </w:tcPr>
          <w:p w:rsidR="00030C0D" w:rsidRDefault="00030C0D">
            <w:pPr>
              <w:ind w:right="-29"/>
              <w:jc w:val="center"/>
              <w:rPr>
                <w:noProof/>
                <w:sz w:val="20"/>
                <w:szCs w:val="20"/>
              </w:rPr>
            </w:pPr>
          </w:p>
        </w:tc>
        <w:tc>
          <w:tcPr>
            <w:tcW w:w="675" w:type="dxa"/>
            <w:tcBorders>
              <w:right w:val="dashSmallGap" w:sz="4" w:space="0" w:color="auto"/>
            </w:tcBorders>
          </w:tcPr>
          <w:p w:rsidR="00030C0D" w:rsidRDefault="00986C69">
            <w:pPr>
              <w:ind w:right="-29"/>
              <w:jc w:val="center"/>
              <w:rPr>
                <w:noProof/>
                <w:sz w:val="20"/>
                <w:szCs w:val="20"/>
              </w:rPr>
            </w:pPr>
            <w:r>
              <w:rPr>
                <w:noProof/>
                <w:sz w:val="20"/>
                <w:szCs w:val="20"/>
              </w:rPr>
              <w:t>1</w:t>
            </w:r>
          </w:p>
        </w:tc>
        <w:tc>
          <w:tcPr>
            <w:tcW w:w="682" w:type="dxa"/>
            <w:tcBorders>
              <w:left w:val="dashSmallGap" w:sz="4" w:space="0" w:color="auto"/>
            </w:tcBorders>
          </w:tcPr>
          <w:p w:rsidR="00030C0D" w:rsidRDefault="00986C69">
            <w:pPr>
              <w:ind w:right="-29"/>
              <w:jc w:val="center"/>
              <w:rPr>
                <w:noProof/>
                <w:sz w:val="20"/>
                <w:szCs w:val="20"/>
              </w:rPr>
            </w:pPr>
            <w:r>
              <w:rPr>
                <w:noProof/>
                <w:sz w:val="20"/>
                <w:szCs w:val="20"/>
              </w:rPr>
              <w:t>1,500</w:t>
            </w:r>
          </w:p>
        </w:tc>
        <w:tc>
          <w:tcPr>
            <w:tcW w:w="675" w:type="dxa"/>
            <w:tcBorders>
              <w:right w:val="dashSmallGap" w:sz="4" w:space="0" w:color="auto"/>
            </w:tcBorders>
          </w:tcPr>
          <w:p w:rsidR="00030C0D" w:rsidRDefault="00030C0D">
            <w:pPr>
              <w:ind w:right="-29"/>
              <w:jc w:val="center"/>
              <w:rPr>
                <w:noProof/>
                <w:sz w:val="20"/>
                <w:szCs w:val="20"/>
              </w:rPr>
            </w:pPr>
          </w:p>
        </w:tc>
        <w:tc>
          <w:tcPr>
            <w:tcW w:w="682" w:type="dxa"/>
            <w:tcBorders>
              <w:left w:val="dashSmallGap" w:sz="4" w:space="0" w:color="auto"/>
            </w:tcBorders>
          </w:tcPr>
          <w:p w:rsidR="00030C0D" w:rsidRDefault="00030C0D">
            <w:pPr>
              <w:ind w:right="-29"/>
              <w:jc w:val="center"/>
              <w:rPr>
                <w:noProof/>
                <w:sz w:val="20"/>
                <w:szCs w:val="20"/>
              </w:rPr>
            </w:pPr>
          </w:p>
        </w:tc>
        <w:tc>
          <w:tcPr>
            <w:tcW w:w="675" w:type="dxa"/>
            <w:tcBorders>
              <w:right w:val="dashSmallGap" w:sz="4" w:space="0" w:color="auto"/>
            </w:tcBorders>
          </w:tcPr>
          <w:p w:rsidR="00030C0D" w:rsidRDefault="00030C0D">
            <w:pPr>
              <w:ind w:right="-29"/>
              <w:jc w:val="center"/>
              <w:rPr>
                <w:noProof/>
                <w:sz w:val="20"/>
                <w:szCs w:val="20"/>
              </w:rPr>
            </w:pPr>
          </w:p>
        </w:tc>
        <w:tc>
          <w:tcPr>
            <w:tcW w:w="682" w:type="dxa"/>
            <w:tcBorders>
              <w:left w:val="dashSmallGap" w:sz="4" w:space="0" w:color="auto"/>
            </w:tcBorders>
          </w:tcPr>
          <w:p w:rsidR="00030C0D" w:rsidRDefault="00030C0D">
            <w:pPr>
              <w:ind w:right="-29"/>
              <w:jc w:val="center"/>
              <w:rPr>
                <w:noProof/>
                <w:sz w:val="20"/>
                <w:szCs w:val="20"/>
              </w:rPr>
            </w:pPr>
          </w:p>
        </w:tc>
        <w:tc>
          <w:tcPr>
            <w:tcW w:w="675" w:type="dxa"/>
            <w:tcBorders>
              <w:right w:val="dashSmallGap" w:sz="4" w:space="0" w:color="auto"/>
            </w:tcBorders>
          </w:tcPr>
          <w:p w:rsidR="00030C0D" w:rsidRDefault="00030C0D">
            <w:pPr>
              <w:ind w:right="-29"/>
              <w:jc w:val="center"/>
              <w:rPr>
                <w:noProof/>
                <w:sz w:val="20"/>
                <w:szCs w:val="20"/>
              </w:rPr>
            </w:pPr>
          </w:p>
        </w:tc>
        <w:tc>
          <w:tcPr>
            <w:tcW w:w="682" w:type="dxa"/>
            <w:tcBorders>
              <w:left w:val="dashSmallGap" w:sz="4" w:space="0" w:color="auto"/>
            </w:tcBorders>
          </w:tcPr>
          <w:p w:rsidR="00030C0D" w:rsidRDefault="00030C0D">
            <w:pPr>
              <w:ind w:right="-29"/>
              <w:jc w:val="center"/>
              <w:rPr>
                <w:noProof/>
                <w:sz w:val="20"/>
                <w:szCs w:val="20"/>
              </w:rPr>
            </w:pPr>
          </w:p>
        </w:tc>
        <w:tc>
          <w:tcPr>
            <w:tcW w:w="683" w:type="dxa"/>
            <w:tcBorders>
              <w:right w:val="dashSmallGap" w:sz="4" w:space="0" w:color="auto"/>
            </w:tcBorders>
          </w:tcPr>
          <w:p w:rsidR="00030C0D" w:rsidRDefault="00030C0D">
            <w:pPr>
              <w:ind w:right="-29"/>
              <w:jc w:val="center"/>
              <w:rPr>
                <w:noProof/>
                <w:sz w:val="20"/>
                <w:szCs w:val="20"/>
              </w:rPr>
            </w:pPr>
          </w:p>
        </w:tc>
        <w:tc>
          <w:tcPr>
            <w:tcW w:w="690" w:type="dxa"/>
            <w:tcBorders>
              <w:left w:val="dashSmallGap" w:sz="4" w:space="0" w:color="auto"/>
            </w:tcBorders>
          </w:tcPr>
          <w:p w:rsidR="00030C0D" w:rsidRDefault="00030C0D">
            <w:pPr>
              <w:ind w:right="-29"/>
              <w:jc w:val="center"/>
              <w:rPr>
                <w:noProof/>
                <w:sz w:val="20"/>
                <w:szCs w:val="20"/>
              </w:rPr>
            </w:pPr>
          </w:p>
        </w:tc>
        <w:tc>
          <w:tcPr>
            <w:tcW w:w="675" w:type="dxa"/>
            <w:tcBorders>
              <w:right w:val="dashSmallGap" w:sz="4" w:space="0" w:color="auto"/>
            </w:tcBorders>
          </w:tcPr>
          <w:p w:rsidR="00030C0D" w:rsidRDefault="00030C0D">
            <w:pPr>
              <w:ind w:right="-29"/>
              <w:jc w:val="center"/>
              <w:rPr>
                <w:noProof/>
                <w:sz w:val="20"/>
                <w:szCs w:val="20"/>
              </w:rPr>
            </w:pPr>
          </w:p>
        </w:tc>
        <w:tc>
          <w:tcPr>
            <w:tcW w:w="547" w:type="dxa"/>
            <w:tcBorders>
              <w:left w:val="dashSmallGap" w:sz="4" w:space="0" w:color="auto"/>
            </w:tcBorders>
          </w:tcPr>
          <w:p w:rsidR="00030C0D" w:rsidRDefault="00030C0D">
            <w:pPr>
              <w:ind w:right="-29"/>
              <w:jc w:val="center"/>
              <w:rPr>
                <w:noProof/>
                <w:sz w:val="20"/>
                <w:szCs w:val="20"/>
              </w:rPr>
            </w:pPr>
          </w:p>
        </w:tc>
        <w:tc>
          <w:tcPr>
            <w:tcW w:w="675" w:type="dxa"/>
            <w:tcBorders>
              <w:right w:val="dashSmallGap" w:sz="4" w:space="0" w:color="auto"/>
            </w:tcBorders>
          </w:tcPr>
          <w:p w:rsidR="00030C0D" w:rsidRDefault="00030C0D">
            <w:pPr>
              <w:ind w:right="-29"/>
              <w:jc w:val="center"/>
              <w:rPr>
                <w:noProof/>
                <w:sz w:val="20"/>
                <w:szCs w:val="20"/>
              </w:rPr>
            </w:pPr>
          </w:p>
        </w:tc>
        <w:tc>
          <w:tcPr>
            <w:tcW w:w="547" w:type="dxa"/>
            <w:tcBorders>
              <w:left w:val="dashSmallGap" w:sz="4" w:space="0" w:color="auto"/>
            </w:tcBorders>
          </w:tcPr>
          <w:p w:rsidR="00030C0D" w:rsidRDefault="00030C0D">
            <w:pPr>
              <w:ind w:right="-29"/>
              <w:jc w:val="center"/>
              <w:rPr>
                <w:noProof/>
                <w:sz w:val="20"/>
                <w:szCs w:val="20"/>
              </w:rPr>
            </w:pPr>
          </w:p>
        </w:tc>
        <w:tc>
          <w:tcPr>
            <w:tcW w:w="605" w:type="dxa"/>
          </w:tcPr>
          <w:p w:rsidR="00030C0D" w:rsidRDefault="00986C69">
            <w:pPr>
              <w:ind w:right="-29"/>
              <w:jc w:val="center"/>
              <w:rPr>
                <w:noProof/>
                <w:sz w:val="20"/>
                <w:szCs w:val="20"/>
              </w:rPr>
            </w:pPr>
            <w:r>
              <w:rPr>
                <w:noProof/>
                <w:sz w:val="20"/>
                <w:szCs w:val="20"/>
              </w:rPr>
              <w:t>1</w:t>
            </w:r>
          </w:p>
        </w:tc>
        <w:tc>
          <w:tcPr>
            <w:tcW w:w="1275" w:type="dxa"/>
          </w:tcPr>
          <w:p w:rsidR="00030C0D" w:rsidRDefault="00986C69">
            <w:pPr>
              <w:ind w:right="-29"/>
              <w:jc w:val="center"/>
              <w:rPr>
                <w:noProof/>
                <w:sz w:val="20"/>
                <w:szCs w:val="20"/>
              </w:rPr>
            </w:pPr>
            <w:r>
              <w:rPr>
                <w:noProof/>
                <w:sz w:val="20"/>
                <w:szCs w:val="20"/>
              </w:rPr>
              <w:t>1,500</w:t>
            </w:r>
          </w:p>
        </w:tc>
      </w:tr>
      <w:tr w:rsidR="00030C0D">
        <w:trPr>
          <w:trHeight w:hRule="exact" w:val="1072"/>
          <w:jc w:val="center"/>
        </w:trPr>
        <w:tc>
          <w:tcPr>
            <w:tcW w:w="1668" w:type="dxa"/>
            <w:gridSpan w:val="2"/>
          </w:tcPr>
          <w:p w:rsidR="00030C0D" w:rsidRDefault="00986C69">
            <w:pPr>
              <w:ind w:right="-29"/>
              <w:jc w:val="center"/>
              <w:rPr>
                <w:noProof/>
                <w:sz w:val="20"/>
                <w:szCs w:val="20"/>
              </w:rPr>
            </w:pPr>
            <w:r>
              <w:rPr>
                <w:noProof/>
                <w:sz w:val="20"/>
                <w:szCs w:val="20"/>
              </w:rPr>
              <w:t>Поддържане на база данни за регистриране на продукти, свързани с енергопотреблението</w:t>
            </w:r>
          </w:p>
        </w:tc>
        <w:tc>
          <w:tcPr>
            <w:tcW w:w="590" w:type="dxa"/>
          </w:tcPr>
          <w:p w:rsidR="00030C0D" w:rsidRDefault="00030C0D">
            <w:pPr>
              <w:ind w:right="-29"/>
              <w:jc w:val="center"/>
              <w:rPr>
                <w:noProof/>
                <w:sz w:val="20"/>
                <w:szCs w:val="20"/>
              </w:rPr>
            </w:pPr>
          </w:p>
        </w:tc>
        <w:tc>
          <w:tcPr>
            <w:tcW w:w="837" w:type="dxa"/>
          </w:tcPr>
          <w:p w:rsidR="00030C0D" w:rsidRDefault="00030C0D">
            <w:pPr>
              <w:ind w:right="-29"/>
              <w:jc w:val="center"/>
              <w:rPr>
                <w:noProof/>
                <w:sz w:val="20"/>
                <w:szCs w:val="20"/>
              </w:rPr>
            </w:pPr>
          </w:p>
        </w:tc>
        <w:tc>
          <w:tcPr>
            <w:tcW w:w="675" w:type="dxa"/>
            <w:tcBorders>
              <w:right w:val="dashSmallGap" w:sz="4" w:space="0" w:color="auto"/>
            </w:tcBorders>
          </w:tcPr>
          <w:p w:rsidR="00030C0D" w:rsidRDefault="00030C0D">
            <w:pPr>
              <w:ind w:right="-29"/>
              <w:jc w:val="center"/>
              <w:rPr>
                <w:noProof/>
                <w:sz w:val="20"/>
                <w:szCs w:val="20"/>
              </w:rPr>
            </w:pPr>
          </w:p>
        </w:tc>
        <w:tc>
          <w:tcPr>
            <w:tcW w:w="682" w:type="dxa"/>
            <w:tcBorders>
              <w:left w:val="dashSmallGap" w:sz="4" w:space="0" w:color="auto"/>
            </w:tcBorders>
          </w:tcPr>
          <w:p w:rsidR="00030C0D" w:rsidRDefault="00030C0D">
            <w:pPr>
              <w:ind w:right="-29"/>
              <w:jc w:val="center"/>
              <w:rPr>
                <w:noProof/>
                <w:sz w:val="20"/>
                <w:szCs w:val="20"/>
              </w:rPr>
            </w:pPr>
          </w:p>
        </w:tc>
        <w:tc>
          <w:tcPr>
            <w:tcW w:w="675" w:type="dxa"/>
            <w:tcBorders>
              <w:right w:val="dashSmallGap" w:sz="4" w:space="0" w:color="auto"/>
            </w:tcBorders>
          </w:tcPr>
          <w:p w:rsidR="00030C0D" w:rsidRDefault="00986C69">
            <w:pPr>
              <w:ind w:right="-29"/>
              <w:jc w:val="center"/>
              <w:rPr>
                <w:noProof/>
                <w:sz w:val="20"/>
                <w:szCs w:val="20"/>
              </w:rPr>
            </w:pPr>
            <w:r>
              <w:rPr>
                <w:noProof/>
                <w:sz w:val="20"/>
                <w:szCs w:val="20"/>
              </w:rPr>
              <w:t>1</w:t>
            </w:r>
          </w:p>
        </w:tc>
        <w:tc>
          <w:tcPr>
            <w:tcW w:w="682" w:type="dxa"/>
            <w:tcBorders>
              <w:left w:val="dashSmallGap" w:sz="4" w:space="0" w:color="auto"/>
            </w:tcBorders>
          </w:tcPr>
          <w:p w:rsidR="00030C0D" w:rsidRDefault="00986C69">
            <w:pPr>
              <w:ind w:right="-29"/>
              <w:jc w:val="center"/>
              <w:rPr>
                <w:noProof/>
                <w:sz w:val="20"/>
                <w:szCs w:val="20"/>
              </w:rPr>
            </w:pPr>
            <w:r>
              <w:rPr>
                <w:noProof/>
                <w:sz w:val="20"/>
                <w:szCs w:val="20"/>
              </w:rPr>
              <w:t>0,150</w:t>
            </w:r>
          </w:p>
        </w:tc>
        <w:tc>
          <w:tcPr>
            <w:tcW w:w="675" w:type="dxa"/>
            <w:tcBorders>
              <w:right w:val="dashSmallGap" w:sz="4" w:space="0" w:color="auto"/>
            </w:tcBorders>
          </w:tcPr>
          <w:p w:rsidR="00030C0D" w:rsidRDefault="00986C69">
            <w:pPr>
              <w:ind w:right="-29"/>
              <w:jc w:val="center"/>
              <w:rPr>
                <w:noProof/>
                <w:sz w:val="20"/>
                <w:szCs w:val="20"/>
              </w:rPr>
            </w:pPr>
            <w:r>
              <w:rPr>
                <w:noProof/>
                <w:sz w:val="20"/>
                <w:szCs w:val="20"/>
              </w:rPr>
              <w:t>1</w:t>
            </w:r>
          </w:p>
        </w:tc>
        <w:tc>
          <w:tcPr>
            <w:tcW w:w="682" w:type="dxa"/>
            <w:tcBorders>
              <w:left w:val="dashSmallGap" w:sz="4" w:space="0" w:color="auto"/>
            </w:tcBorders>
          </w:tcPr>
          <w:p w:rsidR="00030C0D" w:rsidRDefault="00986C69">
            <w:pPr>
              <w:ind w:right="-29"/>
              <w:jc w:val="center"/>
              <w:rPr>
                <w:noProof/>
                <w:sz w:val="20"/>
                <w:szCs w:val="20"/>
              </w:rPr>
            </w:pPr>
            <w:r>
              <w:rPr>
                <w:noProof/>
                <w:sz w:val="20"/>
                <w:szCs w:val="20"/>
              </w:rPr>
              <w:t>0,150</w:t>
            </w:r>
          </w:p>
        </w:tc>
        <w:tc>
          <w:tcPr>
            <w:tcW w:w="675" w:type="dxa"/>
            <w:tcBorders>
              <w:right w:val="dashSmallGap" w:sz="4" w:space="0" w:color="auto"/>
            </w:tcBorders>
          </w:tcPr>
          <w:p w:rsidR="00030C0D" w:rsidRDefault="00986C69">
            <w:pPr>
              <w:ind w:right="-29"/>
              <w:jc w:val="center"/>
              <w:rPr>
                <w:noProof/>
                <w:sz w:val="20"/>
                <w:szCs w:val="20"/>
              </w:rPr>
            </w:pPr>
            <w:r>
              <w:rPr>
                <w:noProof/>
                <w:sz w:val="20"/>
                <w:szCs w:val="20"/>
              </w:rPr>
              <w:t>1</w:t>
            </w:r>
          </w:p>
        </w:tc>
        <w:tc>
          <w:tcPr>
            <w:tcW w:w="682" w:type="dxa"/>
            <w:tcBorders>
              <w:left w:val="dashSmallGap" w:sz="4" w:space="0" w:color="auto"/>
            </w:tcBorders>
          </w:tcPr>
          <w:p w:rsidR="00030C0D" w:rsidRDefault="00986C69">
            <w:pPr>
              <w:ind w:right="-29"/>
              <w:jc w:val="center"/>
              <w:rPr>
                <w:noProof/>
                <w:sz w:val="20"/>
                <w:szCs w:val="20"/>
              </w:rPr>
            </w:pPr>
            <w:r>
              <w:rPr>
                <w:noProof/>
                <w:sz w:val="20"/>
                <w:szCs w:val="20"/>
              </w:rPr>
              <w:t>0,150</w:t>
            </w:r>
          </w:p>
        </w:tc>
        <w:tc>
          <w:tcPr>
            <w:tcW w:w="683" w:type="dxa"/>
            <w:tcBorders>
              <w:right w:val="dashSmallGap" w:sz="4" w:space="0" w:color="auto"/>
            </w:tcBorders>
          </w:tcPr>
          <w:p w:rsidR="00030C0D" w:rsidRDefault="00986C69">
            <w:pPr>
              <w:ind w:right="-29"/>
              <w:jc w:val="center"/>
              <w:rPr>
                <w:noProof/>
                <w:sz w:val="20"/>
                <w:szCs w:val="20"/>
              </w:rPr>
            </w:pPr>
            <w:r>
              <w:rPr>
                <w:noProof/>
                <w:sz w:val="20"/>
                <w:szCs w:val="20"/>
              </w:rPr>
              <w:t>1</w:t>
            </w:r>
          </w:p>
        </w:tc>
        <w:tc>
          <w:tcPr>
            <w:tcW w:w="690" w:type="dxa"/>
            <w:tcBorders>
              <w:left w:val="dashSmallGap" w:sz="4" w:space="0" w:color="auto"/>
            </w:tcBorders>
          </w:tcPr>
          <w:p w:rsidR="00030C0D" w:rsidRDefault="00986C69">
            <w:pPr>
              <w:ind w:right="-29"/>
              <w:jc w:val="center"/>
              <w:rPr>
                <w:noProof/>
                <w:sz w:val="20"/>
                <w:szCs w:val="20"/>
              </w:rPr>
            </w:pPr>
            <w:r>
              <w:rPr>
                <w:noProof/>
                <w:sz w:val="20"/>
                <w:szCs w:val="20"/>
              </w:rPr>
              <w:t>0,150</w:t>
            </w:r>
          </w:p>
        </w:tc>
        <w:tc>
          <w:tcPr>
            <w:tcW w:w="675" w:type="dxa"/>
            <w:tcBorders>
              <w:right w:val="dashSmallGap" w:sz="4" w:space="0" w:color="auto"/>
            </w:tcBorders>
          </w:tcPr>
          <w:p w:rsidR="00030C0D" w:rsidRDefault="00030C0D">
            <w:pPr>
              <w:ind w:right="-29"/>
              <w:jc w:val="center"/>
              <w:rPr>
                <w:noProof/>
                <w:sz w:val="20"/>
                <w:szCs w:val="20"/>
              </w:rPr>
            </w:pPr>
          </w:p>
        </w:tc>
        <w:tc>
          <w:tcPr>
            <w:tcW w:w="547" w:type="dxa"/>
            <w:tcBorders>
              <w:left w:val="dashSmallGap" w:sz="4" w:space="0" w:color="auto"/>
            </w:tcBorders>
          </w:tcPr>
          <w:p w:rsidR="00030C0D" w:rsidRDefault="00030C0D">
            <w:pPr>
              <w:ind w:right="-29"/>
              <w:jc w:val="center"/>
              <w:rPr>
                <w:noProof/>
                <w:sz w:val="20"/>
                <w:szCs w:val="20"/>
              </w:rPr>
            </w:pPr>
          </w:p>
        </w:tc>
        <w:tc>
          <w:tcPr>
            <w:tcW w:w="675" w:type="dxa"/>
            <w:tcBorders>
              <w:right w:val="dashSmallGap" w:sz="4" w:space="0" w:color="auto"/>
            </w:tcBorders>
          </w:tcPr>
          <w:p w:rsidR="00030C0D" w:rsidRDefault="00030C0D">
            <w:pPr>
              <w:ind w:right="-29"/>
              <w:jc w:val="center"/>
              <w:rPr>
                <w:noProof/>
                <w:sz w:val="20"/>
                <w:szCs w:val="20"/>
              </w:rPr>
            </w:pPr>
          </w:p>
        </w:tc>
        <w:tc>
          <w:tcPr>
            <w:tcW w:w="547" w:type="dxa"/>
            <w:tcBorders>
              <w:left w:val="dashSmallGap" w:sz="4" w:space="0" w:color="auto"/>
            </w:tcBorders>
          </w:tcPr>
          <w:p w:rsidR="00030C0D" w:rsidRDefault="00030C0D">
            <w:pPr>
              <w:ind w:right="-29"/>
              <w:jc w:val="center"/>
              <w:rPr>
                <w:noProof/>
                <w:sz w:val="20"/>
                <w:szCs w:val="20"/>
              </w:rPr>
            </w:pPr>
          </w:p>
        </w:tc>
        <w:tc>
          <w:tcPr>
            <w:tcW w:w="605" w:type="dxa"/>
          </w:tcPr>
          <w:p w:rsidR="00030C0D" w:rsidRDefault="00030C0D">
            <w:pPr>
              <w:ind w:right="-29"/>
              <w:jc w:val="center"/>
              <w:rPr>
                <w:noProof/>
                <w:sz w:val="20"/>
                <w:szCs w:val="20"/>
              </w:rPr>
            </w:pPr>
          </w:p>
        </w:tc>
        <w:tc>
          <w:tcPr>
            <w:tcW w:w="1275" w:type="dxa"/>
          </w:tcPr>
          <w:p w:rsidR="00030C0D" w:rsidRDefault="00986C69">
            <w:pPr>
              <w:ind w:right="-29"/>
              <w:jc w:val="center"/>
              <w:rPr>
                <w:noProof/>
                <w:sz w:val="20"/>
                <w:szCs w:val="20"/>
              </w:rPr>
            </w:pPr>
            <w:r>
              <w:rPr>
                <w:noProof/>
                <w:sz w:val="20"/>
                <w:szCs w:val="20"/>
              </w:rPr>
              <w:t>Предложение с неограничен срок на действие</w:t>
            </w:r>
          </w:p>
        </w:tc>
      </w:tr>
      <w:tr w:rsidR="00030C0D">
        <w:trPr>
          <w:trHeight w:hRule="exact" w:val="1924"/>
          <w:jc w:val="center"/>
        </w:trPr>
        <w:tc>
          <w:tcPr>
            <w:tcW w:w="1668" w:type="dxa"/>
            <w:gridSpan w:val="2"/>
          </w:tcPr>
          <w:p w:rsidR="00030C0D" w:rsidRDefault="00986C69">
            <w:pPr>
              <w:ind w:right="-29"/>
              <w:jc w:val="center"/>
              <w:rPr>
                <w:noProof/>
                <w:sz w:val="20"/>
                <w:szCs w:val="20"/>
              </w:rPr>
            </w:pPr>
            <w:r>
              <w:rPr>
                <w:noProof/>
                <w:sz w:val="20"/>
                <w:szCs w:val="20"/>
              </w:rPr>
              <w:t>Техническа помощ и/или проучвания за оценка на аспекти на групи продукти, необходими за подготовката на делегирани актове и за съдействие за стандартизацията</w:t>
            </w:r>
          </w:p>
        </w:tc>
        <w:tc>
          <w:tcPr>
            <w:tcW w:w="590" w:type="dxa"/>
          </w:tcPr>
          <w:p w:rsidR="00030C0D" w:rsidRDefault="00030C0D">
            <w:pPr>
              <w:ind w:right="-29"/>
              <w:jc w:val="center"/>
              <w:rPr>
                <w:noProof/>
                <w:sz w:val="20"/>
                <w:szCs w:val="20"/>
              </w:rPr>
            </w:pPr>
          </w:p>
        </w:tc>
        <w:tc>
          <w:tcPr>
            <w:tcW w:w="837" w:type="dxa"/>
          </w:tcPr>
          <w:p w:rsidR="00030C0D" w:rsidRDefault="00030C0D">
            <w:pPr>
              <w:ind w:right="-29"/>
              <w:jc w:val="center"/>
              <w:rPr>
                <w:noProof/>
                <w:sz w:val="20"/>
                <w:szCs w:val="20"/>
              </w:rPr>
            </w:pPr>
          </w:p>
        </w:tc>
        <w:tc>
          <w:tcPr>
            <w:tcW w:w="675" w:type="dxa"/>
            <w:tcBorders>
              <w:right w:val="dashSmallGap" w:sz="4" w:space="0" w:color="auto"/>
            </w:tcBorders>
          </w:tcPr>
          <w:p w:rsidR="00030C0D" w:rsidRDefault="00986C69">
            <w:pPr>
              <w:ind w:right="-29"/>
              <w:jc w:val="center"/>
              <w:rPr>
                <w:noProof/>
                <w:sz w:val="20"/>
                <w:szCs w:val="20"/>
              </w:rPr>
            </w:pPr>
            <w:r>
              <w:rPr>
                <w:noProof/>
                <w:sz w:val="20"/>
                <w:szCs w:val="20"/>
              </w:rPr>
              <w:t>1</w:t>
            </w:r>
          </w:p>
        </w:tc>
        <w:tc>
          <w:tcPr>
            <w:tcW w:w="682" w:type="dxa"/>
            <w:tcBorders>
              <w:left w:val="dashSmallGap" w:sz="4" w:space="0" w:color="auto"/>
            </w:tcBorders>
          </w:tcPr>
          <w:p w:rsidR="00030C0D" w:rsidRDefault="00986C69">
            <w:pPr>
              <w:ind w:right="-29"/>
              <w:jc w:val="center"/>
              <w:rPr>
                <w:noProof/>
                <w:sz w:val="20"/>
                <w:szCs w:val="20"/>
              </w:rPr>
            </w:pPr>
            <w:r>
              <w:rPr>
                <w:noProof/>
                <w:sz w:val="20"/>
                <w:szCs w:val="20"/>
              </w:rPr>
              <w:t>0,700</w:t>
            </w:r>
          </w:p>
        </w:tc>
        <w:tc>
          <w:tcPr>
            <w:tcW w:w="675" w:type="dxa"/>
            <w:tcBorders>
              <w:right w:val="dashSmallGap" w:sz="4" w:space="0" w:color="auto"/>
            </w:tcBorders>
          </w:tcPr>
          <w:p w:rsidR="00030C0D" w:rsidRDefault="00986C69">
            <w:pPr>
              <w:ind w:right="-29"/>
              <w:jc w:val="center"/>
              <w:rPr>
                <w:noProof/>
                <w:sz w:val="20"/>
                <w:szCs w:val="20"/>
              </w:rPr>
            </w:pPr>
            <w:r>
              <w:rPr>
                <w:noProof/>
                <w:sz w:val="20"/>
                <w:szCs w:val="20"/>
              </w:rPr>
              <w:t>1</w:t>
            </w:r>
          </w:p>
        </w:tc>
        <w:tc>
          <w:tcPr>
            <w:tcW w:w="682" w:type="dxa"/>
            <w:tcBorders>
              <w:left w:val="dashSmallGap" w:sz="4" w:space="0" w:color="auto"/>
            </w:tcBorders>
          </w:tcPr>
          <w:p w:rsidR="00030C0D" w:rsidRDefault="00986C69">
            <w:pPr>
              <w:ind w:right="-29"/>
              <w:jc w:val="center"/>
              <w:rPr>
                <w:noProof/>
                <w:sz w:val="20"/>
                <w:szCs w:val="20"/>
              </w:rPr>
            </w:pPr>
            <w:r>
              <w:rPr>
                <w:noProof/>
                <w:sz w:val="20"/>
                <w:szCs w:val="20"/>
              </w:rPr>
              <w:t>1,000</w:t>
            </w:r>
          </w:p>
        </w:tc>
        <w:tc>
          <w:tcPr>
            <w:tcW w:w="675" w:type="dxa"/>
            <w:tcBorders>
              <w:right w:val="dashSmallGap" w:sz="4" w:space="0" w:color="auto"/>
            </w:tcBorders>
          </w:tcPr>
          <w:p w:rsidR="00030C0D" w:rsidRDefault="00986C69">
            <w:pPr>
              <w:ind w:right="-29"/>
              <w:jc w:val="center"/>
              <w:rPr>
                <w:noProof/>
                <w:sz w:val="20"/>
                <w:szCs w:val="20"/>
              </w:rPr>
            </w:pPr>
            <w:r>
              <w:rPr>
                <w:noProof/>
                <w:sz w:val="20"/>
                <w:szCs w:val="20"/>
              </w:rPr>
              <w:t>1</w:t>
            </w:r>
          </w:p>
        </w:tc>
        <w:tc>
          <w:tcPr>
            <w:tcW w:w="682" w:type="dxa"/>
            <w:tcBorders>
              <w:left w:val="dashSmallGap" w:sz="4" w:space="0" w:color="auto"/>
            </w:tcBorders>
          </w:tcPr>
          <w:p w:rsidR="00030C0D" w:rsidRDefault="00986C69">
            <w:pPr>
              <w:ind w:right="-29"/>
              <w:jc w:val="center"/>
              <w:rPr>
                <w:noProof/>
                <w:sz w:val="20"/>
                <w:szCs w:val="20"/>
              </w:rPr>
            </w:pPr>
            <w:r>
              <w:rPr>
                <w:noProof/>
                <w:sz w:val="20"/>
                <w:szCs w:val="20"/>
              </w:rPr>
              <w:t>1,000</w:t>
            </w:r>
          </w:p>
        </w:tc>
        <w:tc>
          <w:tcPr>
            <w:tcW w:w="675" w:type="dxa"/>
            <w:tcBorders>
              <w:right w:val="dashSmallGap" w:sz="4" w:space="0" w:color="auto"/>
            </w:tcBorders>
          </w:tcPr>
          <w:p w:rsidR="00030C0D" w:rsidRDefault="00986C69">
            <w:pPr>
              <w:ind w:right="-29"/>
              <w:jc w:val="center"/>
              <w:rPr>
                <w:noProof/>
                <w:sz w:val="20"/>
                <w:szCs w:val="20"/>
              </w:rPr>
            </w:pPr>
            <w:r>
              <w:rPr>
                <w:noProof/>
                <w:sz w:val="20"/>
                <w:szCs w:val="20"/>
              </w:rPr>
              <w:t>1</w:t>
            </w:r>
          </w:p>
        </w:tc>
        <w:tc>
          <w:tcPr>
            <w:tcW w:w="682" w:type="dxa"/>
            <w:tcBorders>
              <w:left w:val="dashSmallGap" w:sz="4" w:space="0" w:color="auto"/>
            </w:tcBorders>
          </w:tcPr>
          <w:p w:rsidR="00030C0D" w:rsidRDefault="00986C69">
            <w:pPr>
              <w:ind w:right="-29"/>
              <w:jc w:val="center"/>
              <w:rPr>
                <w:noProof/>
                <w:sz w:val="20"/>
                <w:szCs w:val="20"/>
              </w:rPr>
            </w:pPr>
            <w:r>
              <w:rPr>
                <w:noProof/>
                <w:sz w:val="20"/>
                <w:szCs w:val="20"/>
              </w:rPr>
              <w:t>1,000</w:t>
            </w:r>
          </w:p>
        </w:tc>
        <w:tc>
          <w:tcPr>
            <w:tcW w:w="683" w:type="dxa"/>
            <w:tcBorders>
              <w:right w:val="dashSmallGap" w:sz="4" w:space="0" w:color="auto"/>
            </w:tcBorders>
          </w:tcPr>
          <w:p w:rsidR="00030C0D" w:rsidRDefault="00986C69">
            <w:pPr>
              <w:ind w:right="-29"/>
              <w:jc w:val="center"/>
              <w:rPr>
                <w:noProof/>
                <w:sz w:val="20"/>
                <w:szCs w:val="20"/>
              </w:rPr>
            </w:pPr>
            <w:r>
              <w:rPr>
                <w:noProof/>
                <w:sz w:val="20"/>
                <w:szCs w:val="20"/>
              </w:rPr>
              <w:t>1</w:t>
            </w:r>
          </w:p>
        </w:tc>
        <w:tc>
          <w:tcPr>
            <w:tcW w:w="690" w:type="dxa"/>
            <w:tcBorders>
              <w:left w:val="dashSmallGap" w:sz="4" w:space="0" w:color="auto"/>
            </w:tcBorders>
          </w:tcPr>
          <w:p w:rsidR="00030C0D" w:rsidRDefault="00986C69">
            <w:pPr>
              <w:ind w:right="-29"/>
              <w:jc w:val="center"/>
              <w:rPr>
                <w:noProof/>
                <w:sz w:val="20"/>
                <w:szCs w:val="20"/>
              </w:rPr>
            </w:pPr>
            <w:r>
              <w:rPr>
                <w:noProof/>
                <w:sz w:val="20"/>
                <w:szCs w:val="20"/>
              </w:rPr>
              <w:t>1,000</w:t>
            </w:r>
          </w:p>
        </w:tc>
        <w:tc>
          <w:tcPr>
            <w:tcW w:w="675" w:type="dxa"/>
            <w:tcBorders>
              <w:right w:val="dashSmallGap" w:sz="4" w:space="0" w:color="auto"/>
            </w:tcBorders>
          </w:tcPr>
          <w:p w:rsidR="00030C0D" w:rsidRDefault="00030C0D">
            <w:pPr>
              <w:ind w:right="-29"/>
              <w:jc w:val="center"/>
              <w:rPr>
                <w:noProof/>
                <w:sz w:val="20"/>
                <w:szCs w:val="20"/>
              </w:rPr>
            </w:pPr>
          </w:p>
        </w:tc>
        <w:tc>
          <w:tcPr>
            <w:tcW w:w="547" w:type="dxa"/>
            <w:tcBorders>
              <w:left w:val="dashSmallGap" w:sz="4" w:space="0" w:color="auto"/>
            </w:tcBorders>
          </w:tcPr>
          <w:p w:rsidR="00030C0D" w:rsidRDefault="00030C0D">
            <w:pPr>
              <w:ind w:right="-29"/>
              <w:jc w:val="center"/>
              <w:rPr>
                <w:noProof/>
                <w:sz w:val="20"/>
                <w:szCs w:val="20"/>
              </w:rPr>
            </w:pPr>
          </w:p>
        </w:tc>
        <w:tc>
          <w:tcPr>
            <w:tcW w:w="675" w:type="dxa"/>
            <w:tcBorders>
              <w:right w:val="dashSmallGap" w:sz="4" w:space="0" w:color="auto"/>
            </w:tcBorders>
          </w:tcPr>
          <w:p w:rsidR="00030C0D" w:rsidRDefault="00030C0D">
            <w:pPr>
              <w:ind w:right="-29"/>
              <w:jc w:val="center"/>
              <w:rPr>
                <w:noProof/>
                <w:sz w:val="20"/>
                <w:szCs w:val="20"/>
              </w:rPr>
            </w:pPr>
          </w:p>
        </w:tc>
        <w:tc>
          <w:tcPr>
            <w:tcW w:w="547" w:type="dxa"/>
            <w:tcBorders>
              <w:left w:val="dashSmallGap" w:sz="4" w:space="0" w:color="auto"/>
            </w:tcBorders>
          </w:tcPr>
          <w:p w:rsidR="00030C0D" w:rsidRDefault="00030C0D">
            <w:pPr>
              <w:ind w:right="-29"/>
              <w:jc w:val="center"/>
              <w:rPr>
                <w:noProof/>
                <w:sz w:val="20"/>
                <w:szCs w:val="20"/>
              </w:rPr>
            </w:pPr>
          </w:p>
        </w:tc>
        <w:tc>
          <w:tcPr>
            <w:tcW w:w="605" w:type="dxa"/>
          </w:tcPr>
          <w:p w:rsidR="00030C0D" w:rsidRDefault="00030C0D">
            <w:pPr>
              <w:ind w:right="-29"/>
              <w:jc w:val="center"/>
              <w:rPr>
                <w:noProof/>
                <w:sz w:val="20"/>
                <w:szCs w:val="20"/>
              </w:rPr>
            </w:pPr>
          </w:p>
        </w:tc>
        <w:tc>
          <w:tcPr>
            <w:tcW w:w="1275" w:type="dxa"/>
          </w:tcPr>
          <w:p w:rsidR="00030C0D" w:rsidRDefault="00986C69">
            <w:pPr>
              <w:ind w:right="-29"/>
              <w:jc w:val="center"/>
              <w:rPr>
                <w:noProof/>
                <w:sz w:val="20"/>
                <w:szCs w:val="20"/>
              </w:rPr>
            </w:pPr>
            <w:r>
              <w:rPr>
                <w:noProof/>
                <w:sz w:val="20"/>
                <w:szCs w:val="20"/>
              </w:rPr>
              <w:t>Предложение с неограниче</w:t>
            </w:r>
            <w:r>
              <w:rPr>
                <w:noProof/>
                <w:sz w:val="20"/>
                <w:szCs w:val="20"/>
              </w:rPr>
              <w:t>н срок на действие</w:t>
            </w:r>
          </w:p>
        </w:tc>
      </w:tr>
      <w:tr w:rsidR="00030C0D">
        <w:trPr>
          <w:jc w:val="center"/>
        </w:trPr>
        <w:tc>
          <w:tcPr>
            <w:tcW w:w="3095" w:type="dxa"/>
            <w:gridSpan w:val="4"/>
            <w:tcBorders>
              <w:top w:val="single" w:sz="12" w:space="0" w:color="auto"/>
              <w:left w:val="single" w:sz="12" w:space="0" w:color="auto"/>
              <w:bottom w:val="single" w:sz="12" w:space="0" w:color="auto"/>
            </w:tcBorders>
            <w:vAlign w:val="center"/>
          </w:tcPr>
          <w:p w:rsidR="00030C0D" w:rsidRDefault="00986C69">
            <w:pPr>
              <w:ind w:right="-29"/>
              <w:jc w:val="center"/>
              <w:rPr>
                <w:noProof/>
                <w:sz w:val="20"/>
                <w:szCs w:val="20"/>
              </w:rPr>
            </w:pPr>
            <w:r>
              <w:rPr>
                <w:b/>
                <w:noProof/>
                <w:sz w:val="20"/>
                <w:szCs w:val="20"/>
              </w:rPr>
              <w:t>ОБЩО РАЗХОДИ</w:t>
            </w:r>
          </w:p>
        </w:tc>
        <w:tc>
          <w:tcPr>
            <w:tcW w:w="675" w:type="dxa"/>
            <w:tcBorders>
              <w:top w:val="single" w:sz="12" w:space="0" w:color="auto"/>
              <w:bottom w:val="single" w:sz="12" w:space="0" w:color="auto"/>
            </w:tcBorders>
          </w:tcPr>
          <w:p w:rsidR="00030C0D" w:rsidRDefault="00030C0D">
            <w:pPr>
              <w:spacing w:before="180" w:after="180"/>
              <w:ind w:right="-29"/>
              <w:jc w:val="center"/>
              <w:rPr>
                <w:noProof/>
                <w:sz w:val="20"/>
                <w:szCs w:val="20"/>
              </w:rPr>
            </w:pPr>
          </w:p>
        </w:tc>
        <w:tc>
          <w:tcPr>
            <w:tcW w:w="682" w:type="dxa"/>
            <w:tcBorders>
              <w:top w:val="single" w:sz="12" w:space="0" w:color="auto"/>
              <w:bottom w:val="single" w:sz="12" w:space="0" w:color="auto"/>
            </w:tcBorders>
          </w:tcPr>
          <w:p w:rsidR="00030C0D" w:rsidRDefault="00986C69">
            <w:pPr>
              <w:spacing w:before="180" w:after="180"/>
              <w:ind w:right="-29"/>
              <w:jc w:val="center"/>
              <w:rPr>
                <w:noProof/>
                <w:sz w:val="20"/>
                <w:szCs w:val="20"/>
              </w:rPr>
            </w:pPr>
            <w:r>
              <w:rPr>
                <w:noProof/>
                <w:sz w:val="20"/>
                <w:szCs w:val="20"/>
              </w:rPr>
              <w:t>2,20</w:t>
            </w:r>
          </w:p>
        </w:tc>
        <w:tc>
          <w:tcPr>
            <w:tcW w:w="675" w:type="dxa"/>
            <w:tcBorders>
              <w:top w:val="single" w:sz="12" w:space="0" w:color="auto"/>
              <w:bottom w:val="single" w:sz="12" w:space="0" w:color="auto"/>
            </w:tcBorders>
          </w:tcPr>
          <w:p w:rsidR="00030C0D" w:rsidRDefault="00030C0D">
            <w:pPr>
              <w:spacing w:before="180" w:after="180"/>
              <w:ind w:right="-29"/>
              <w:jc w:val="center"/>
              <w:rPr>
                <w:noProof/>
                <w:sz w:val="20"/>
                <w:szCs w:val="20"/>
              </w:rPr>
            </w:pPr>
          </w:p>
        </w:tc>
        <w:tc>
          <w:tcPr>
            <w:tcW w:w="682" w:type="dxa"/>
            <w:tcBorders>
              <w:top w:val="single" w:sz="12" w:space="0" w:color="auto"/>
              <w:bottom w:val="single" w:sz="12" w:space="0" w:color="auto"/>
            </w:tcBorders>
          </w:tcPr>
          <w:p w:rsidR="00030C0D" w:rsidRDefault="00986C69">
            <w:pPr>
              <w:spacing w:before="180" w:after="180"/>
              <w:ind w:right="-29"/>
              <w:jc w:val="center"/>
              <w:rPr>
                <w:noProof/>
                <w:sz w:val="20"/>
                <w:szCs w:val="20"/>
              </w:rPr>
            </w:pPr>
            <w:r>
              <w:rPr>
                <w:noProof/>
                <w:sz w:val="20"/>
                <w:szCs w:val="20"/>
              </w:rPr>
              <w:t>1,150</w:t>
            </w:r>
          </w:p>
        </w:tc>
        <w:tc>
          <w:tcPr>
            <w:tcW w:w="675" w:type="dxa"/>
            <w:tcBorders>
              <w:top w:val="single" w:sz="12" w:space="0" w:color="auto"/>
              <w:bottom w:val="single" w:sz="12" w:space="0" w:color="auto"/>
            </w:tcBorders>
          </w:tcPr>
          <w:p w:rsidR="00030C0D" w:rsidRDefault="00030C0D">
            <w:pPr>
              <w:spacing w:before="180" w:after="180"/>
              <w:ind w:right="-29"/>
              <w:jc w:val="center"/>
              <w:rPr>
                <w:noProof/>
                <w:sz w:val="20"/>
                <w:szCs w:val="20"/>
              </w:rPr>
            </w:pPr>
          </w:p>
        </w:tc>
        <w:tc>
          <w:tcPr>
            <w:tcW w:w="682" w:type="dxa"/>
            <w:tcBorders>
              <w:top w:val="single" w:sz="12" w:space="0" w:color="auto"/>
              <w:bottom w:val="single" w:sz="12" w:space="0" w:color="auto"/>
            </w:tcBorders>
          </w:tcPr>
          <w:p w:rsidR="00030C0D" w:rsidRDefault="00986C69">
            <w:pPr>
              <w:spacing w:before="180" w:after="180"/>
              <w:ind w:right="-29"/>
              <w:jc w:val="center"/>
              <w:rPr>
                <w:noProof/>
                <w:sz w:val="20"/>
                <w:szCs w:val="20"/>
              </w:rPr>
            </w:pPr>
            <w:r>
              <w:rPr>
                <w:noProof/>
                <w:sz w:val="20"/>
                <w:szCs w:val="20"/>
              </w:rPr>
              <w:t>1,150</w:t>
            </w:r>
          </w:p>
        </w:tc>
        <w:tc>
          <w:tcPr>
            <w:tcW w:w="675" w:type="dxa"/>
            <w:tcBorders>
              <w:top w:val="single" w:sz="12" w:space="0" w:color="auto"/>
              <w:bottom w:val="single" w:sz="12" w:space="0" w:color="auto"/>
            </w:tcBorders>
          </w:tcPr>
          <w:p w:rsidR="00030C0D" w:rsidRDefault="00030C0D">
            <w:pPr>
              <w:spacing w:before="180" w:after="180"/>
              <w:ind w:right="-29"/>
              <w:jc w:val="center"/>
              <w:rPr>
                <w:noProof/>
                <w:sz w:val="20"/>
                <w:szCs w:val="20"/>
              </w:rPr>
            </w:pPr>
          </w:p>
        </w:tc>
        <w:tc>
          <w:tcPr>
            <w:tcW w:w="682" w:type="dxa"/>
            <w:tcBorders>
              <w:top w:val="single" w:sz="12" w:space="0" w:color="auto"/>
              <w:bottom w:val="single" w:sz="12" w:space="0" w:color="auto"/>
            </w:tcBorders>
          </w:tcPr>
          <w:p w:rsidR="00030C0D" w:rsidRDefault="00986C69">
            <w:pPr>
              <w:spacing w:before="180" w:after="180"/>
              <w:ind w:right="-29"/>
              <w:jc w:val="center"/>
              <w:rPr>
                <w:noProof/>
                <w:sz w:val="20"/>
                <w:szCs w:val="20"/>
              </w:rPr>
            </w:pPr>
            <w:r>
              <w:rPr>
                <w:noProof/>
                <w:sz w:val="20"/>
                <w:szCs w:val="20"/>
              </w:rPr>
              <w:t>1,150</w:t>
            </w:r>
          </w:p>
        </w:tc>
        <w:tc>
          <w:tcPr>
            <w:tcW w:w="683" w:type="dxa"/>
            <w:tcBorders>
              <w:top w:val="single" w:sz="12" w:space="0" w:color="auto"/>
              <w:bottom w:val="single" w:sz="12" w:space="0" w:color="auto"/>
            </w:tcBorders>
          </w:tcPr>
          <w:p w:rsidR="00030C0D" w:rsidRDefault="00030C0D">
            <w:pPr>
              <w:spacing w:before="180" w:after="180"/>
              <w:ind w:right="-29"/>
              <w:jc w:val="center"/>
              <w:rPr>
                <w:noProof/>
                <w:sz w:val="20"/>
                <w:szCs w:val="20"/>
              </w:rPr>
            </w:pPr>
          </w:p>
        </w:tc>
        <w:tc>
          <w:tcPr>
            <w:tcW w:w="690" w:type="dxa"/>
            <w:tcBorders>
              <w:top w:val="single" w:sz="12" w:space="0" w:color="auto"/>
              <w:bottom w:val="single" w:sz="12" w:space="0" w:color="auto"/>
            </w:tcBorders>
          </w:tcPr>
          <w:p w:rsidR="00030C0D" w:rsidRDefault="00986C69">
            <w:pPr>
              <w:spacing w:before="180" w:after="180"/>
              <w:ind w:right="-29"/>
              <w:jc w:val="center"/>
              <w:rPr>
                <w:noProof/>
                <w:sz w:val="20"/>
                <w:szCs w:val="20"/>
              </w:rPr>
            </w:pPr>
            <w:r>
              <w:rPr>
                <w:noProof/>
                <w:sz w:val="20"/>
                <w:szCs w:val="20"/>
              </w:rPr>
              <w:t>1,150</w:t>
            </w:r>
          </w:p>
        </w:tc>
        <w:tc>
          <w:tcPr>
            <w:tcW w:w="675" w:type="dxa"/>
            <w:tcBorders>
              <w:top w:val="single" w:sz="12" w:space="0" w:color="auto"/>
              <w:bottom w:val="single" w:sz="12" w:space="0" w:color="auto"/>
            </w:tcBorders>
          </w:tcPr>
          <w:p w:rsidR="00030C0D" w:rsidRDefault="00030C0D">
            <w:pPr>
              <w:spacing w:before="180" w:after="180"/>
              <w:ind w:right="-29"/>
              <w:jc w:val="center"/>
              <w:rPr>
                <w:noProof/>
                <w:sz w:val="20"/>
                <w:szCs w:val="20"/>
              </w:rPr>
            </w:pPr>
          </w:p>
        </w:tc>
        <w:tc>
          <w:tcPr>
            <w:tcW w:w="547" w:type="dxa"/>
            <w:tcBorders>
              <w:top w:val="single" w:sz="12" w:space="0" w:color="auto"/>
              <w:bottom w:val="single" w:sz="12" w:space="0" w:color="auto"/>
            </w:tcBorders>
          </w:tcPr>
          <w:p w:rsidR="00030C0D" w:rsidRDefault="00030C0D">
            <w:pPr>
              <w:spacing w:before="180" w:after="180"/>
              <w:ind w:right="-29"/>
              <w:jc w:val="center"/>
              <w:rPr>
                <w:noProof/>
                <w:sz w:val="20"/>
                <w:szCs w:val="20"/>
              </w:rPr>
            </w:pPr>
          </w:p>
        </w:tc>
        <w:tc>
          <w:tcPr>
            <w:tcW w:w="675" w:type="dxa"/>
            <w:tcBorders>
              <w:top w:val="single" w:sz="12" w:space="0" w:color="auto"/>
              <w:bottom w:val="single" w:sz="12" w:space="0" w:color="auto"/>
            </w:tcBorders>
          </w:tcPr>
          <w:p w:rsidR="00030C0D" w:rsidRDefault="00030C0D">
            <w:pPr>
              <w:spacing w:before="180" w:after="180"/>
              <w:ind w:right="-29"/>
              <w:jc w:val="center"/>
              <w:rPr>
                <w:noProof/>
                <w:sz w:val="20"/>
                <w:szCs w:val="20"/>
              </w:rPr>
            </w:pPr>
          </w:p>
        </w:tc>
        <w:tc>
          <w:tcPr>
            <w:tcW w:w="547" w:type="dxa"/>
            <w:tcBorders>
              <w:top w:val="single" w:sz="12" w:space="0" w:color="auto"/>
              <w:bottom w:val="single" w:sz="12" w:space="0" w:color="auto"/>
            </w:tcBorders>
          </w:tcPr>
          <w:p w:rsidR="00030C0D" w:rsidRDefault="00030C0D">
            <w:pPr>
              <w:spacing w:before="180" w:after="180"/>
              <w:ind w:right="-29"/>
              <w:jc w:val="center"/>
              <w:rPr>
                <w:noProof/>
                <w:sz w:val="20"/>
                <w:szCs w:val="20"/>
              </w:rPr>
            </w:pPr>
          </w:p>
        </w:tc>
        <w:tc>
          <w:tcPr>
            <w:tcW w:w="605" w:type="dxa"/>
            <w:tcBorders>
              <w:top w:val="single" w:sz="12" w:space="0" w:color="auto"/>
              <w:bottom w:val="single" w:sz="12" w:space="0" w:color="auto"/>
            </w:tcBorders>
          </w:tcPr>
          <w:p w:rsidR="00030C0D" w:rsidRDefault="00030C0D">
            <w:pPr>
              <w:spacing w:before="180" w:after="180"/>
              <w:ind w:right="-29"/>
              <w:jc w:val="center"/>
              <w:rPr>
                <w:noProof/>
                <w:sz w:val="20"/>
                <w:szCs w:val="20"/>
              </w:rPr>
            </w:pPr>
          </w:p>
        </w:tc>
        <w:tc>
          <w:tcPr>
            <w:tcW w:w="1275" w:type="dxa"/>
            <w:tcBorders>
              <w:top w:val="single" w:sz="12" w:space="0" w:color="auto"/>
              <w:bottom w:val="single" w:sz="12" w:space="0" w:color="auto"/>
              <w:right w:val="single" w:sz="12" w:space="0" w:color="auto"/>
            </w:tcBorders>
          </w:tcPr>
          <w:p w:rsidR="00030C0D" w:rsidRDefault="00986C69">
            <w:pPr>
              <w:spacing w:before="180" w:after="180"/>
              <w:ind w:right="-29"/>
              <w:jc w:val="center"/>
              <w:rPr>
                <w:noProof/>
                <w:sz w:val="20"/>
                <w:szCs w:val="20"/>
              </w:rPr>
            </w:pPr>
            <w:r>
              <w:rPr>
                <w:noProof/>
                <w:sz w:val="20"/>
                <w:szCs w:val="20"/>
              </w:rPr>
              <w:t>Предложение с неограничен срок на действие</w:t>
            </w:r>
          </w:p>
        </w:tc>
      </w:tr>
    </w:tbl>
    <w:p w:rsidR="00030C0D" w:rsidRDefault="00030C0D">
      <w:pPr>
        <w:rPr>
          <w:noProof/>
        </w:rPr>
        <w:sectPr w:rsidR="00030C0D">
          <w:pgSz w:w="16840" w:h="11907" w:orient="landscape" w:code="9"/>
          <w:pgMar w:top="1134" w:right="1418" w:bottom="567" w:left="1418" w:header="709" w:footer="709" w:gutter="0"/>
          <w:cols w:space="708"/>
          <w:docGrid w:linePitch="360"/>
        </w:sectPr>
      </w:pPr>
    </w:p>
    <w:p w:rsidR="00030C0D" w:rsidRDefault="00986C69">
      <w:pPr>
        <w:pStyle w:val="ManualHeading3"/>
        <w:rPr>
          <w:bCs/>
          <w:noProof/>
          <w:szCs w:val="24"/>
        </w:rPr>
      </w:pPr>
      <w:r>
        <w:rPr>
          <w:noProof/>
        </w:rPr>
        <w:t>3.2.3.</w:t>
      </w:r>
      <w:r>
        <w:rPr>
          <w:noProof/>
        </w:rPr>
        <w:tab/>
        <w:t>Очаквано отражение върху бюджетните кредити за административни разходи</w:t>
      </w:r>
    </w:p>
    <w:p w:rsidR="00030C0D" w:rsidRDefault="00986C69">
      <w:pPr>
        <w:pStyle w:val="ManualHeading4"/>
        <w:rPr>
          <w:noProof/>
        </w:rPr>
      </w:pPr>
      <w:r>
        <w:rPr>
          <w:noProof/>
        </w:rPr>
        <w:t>3.2.3.1.</w:t>
      </w:r>
      <w:r>
        <w:rPr>
          <w:noProof/>
        </w:rPr>
        <w:tab/>
      </w:r>
      <w:r>
        <w:rPr>
          <w:noProof/>
        </w:rPr>
        <w:t xml:space="preserve">Обобщение </w:t>
      </w:r>
    </w:p>
    <w:p w:rsidR="00030C0D" w:rsidRDefault="00986C69">
      <w:pPr>
        <w:pStyle w:val="ListDash1"/>
        <w:rPr>
          <w:noProof/>
        </w:rPr>
      </w:pPr>
      <w:r>
        <w:rPr>
          <w:noProof/>
        </w:rPr>
        <w:t>Предложението/инициативата налага използване на бюджетни кредити за административни разходи съгласно обяснението по-долу:</w:t>
      </w:r>
    </w:p>
    <w:p w:rsidR="00030C0D" w:rsidRDefault="00986C69">
      <w:pPr>
        <w:rPr>
          <w:noProof/>
          <w:sz w:val="20"/>
        </w:rPr>
      </w:pPr>
      <w:r>
        <w:rPr>
          <w:noProof/>
          <w:sz w:val="20"/>
        </w:rPr>
        <w:t>млн. евро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30C0D">
        <w:trPr>
          <w:trHeight w:val="585"/>
        </w:trPr>
        <w:tc>
          <w:tcPr>
            <w:tcW w:w="1980" w:type="dxa"/>
          </w:tcPr>
          <w:p w:rsidR="00030C0D" w:rsidRDefault="00030C0D">
            <w:pPr>
              <w:spacing w:before="60" w:after="60" w:line="200" w:lineRule="exact"/>
              <w:rPr>
                <w:noProof/>
                <w:sz w:val="16"/>
                <w:szCs w:val="16"/>
              </w:rPr>
            </w:pPr>
          </w:p>
        </w:tc>
        <w:tc>
          <w:tcPr>
            <w:tcW w:w="1080" w:type="dxa"/>
            <w:vAlign w:val="center"/>
          </w:tcPr>
          <w:p w:rsidR="00030C0D" w:rsidRDefault="00986C69">
            <w:pPr>
              <w:spacing w:before="60" w:after="60" w:line="200" w:lineRule="exact"/>
              <w:jc w:val="center"/>
              <w:rPr>
                <w:noProof/>
                <w:sz w:val="16"/>
                <w:szCs w:val="16"/>
              </w:rPr>
            </w:pPr>
            <w:r>
              <w:rPr>
                <w:noProof/>
                <w:sz w:val="20"/>
              </w:rPr>
              <w:t>2016</w:t>
            </w:r>
          </w:p>
        </w:tc>
        <w:tc>
          <w:tcPr>
            <w:tcW w:w="1080" w:type="dxa"/>
            <w:vAlign w:val="center"/>
          </w:tcPr>
          <w:p w:rsidR="00030C0D" w:rsidRDefault="00986C69">
            <w:pPr>
              <w:spacing w:before="60" w:after="60" w:line="200" w:lineRule="exact"/>
              <w:jc w:val="center"/>
              <w:rPr>
                <w:noProof/>
                <w:sz w:val="16"/>
                <w:szCs w:val="16"/>
              </w:rPr>
            </w:pPr>
            <w:r>
              <w:rPr>
                <w:noProof/>
                <w:sz w:val="20"/>
              </w:rPr>
              <w:t>2017</w:t>
            </w:r>
          </w:p>
        </w:tc>
        <w:tc>
          <w:tcPr>
            <w:tcW w:w="1080" w:type="dxa"/>
            <w:vAlign w:val="center"/>
          </w:tcPr>
          <w:p w:rsidR="00030C0D" w:rsidRDefault="00986C69">
            <w:pPr>
              <w:spacing w:before="60" w:after="60" w:line="200" w:lineRule="exact"/>
              <w:jc w:val="center"/>
              <w:rPr>
                <w:noProof/>
                <w:sz w:val="16"/>
                <w:szCs w:val="16"/>
              </w:rPr>
            </w:pPr>
            <w:r>
              <w:rPr>
                <w:noProof/>
                <w:sz w:val="20"/>
              </w:rPr>
              <w:t>2018</w:t>
            </w:r>
          </w:p>
        </w:tc>
        <w:tc>
          <w:tcPr>
            <w:tcW w:w="1080" w:type="dxa"/>
            <w:vAlign w:val="center"/>
          </w:tcPr>
          <w:p w:rsidR="00030C0D" w:rsidRDefault="00986C69">
            <w:pPr>
              <w:spacing w:before="60" w:after="60" w:line="200" w:lineRule="exact"/>
              <w:jc w:val="center"/>
              <w:rPr>
                <w:noProof/>
                <w:sz w:val="16"/>
                <w:szCs w:val="16"/>
              </w:rPr>
            </w:pPr>
            <w:r>
              <w:rPr>
                <w:noProof/>
                <w:sz w:val="20"/>
              </w:rPr>
              <w:t>2019</w:t>
            </w:r>
          </w:p>
        </w:tc>
        <w:tc>
          <w:tcPr>
            <w:tcW w:w="1080" w:type="dxa"/>
            <w:vAlign w:val="center"/>
          </w:tcPr>
          <w:p w:rsidR="00030C0D" w:rsidRDefault="00986C69">
            <w:pPr>
              <w:spacing w:line="200" w:lineRule="exact"/>
              <w:jc w:val="center"/>
              <w:rPr>
                <w:b/>
                <w:noProof/>
                <w:sz w:val="16"/>
                <w:szCs w:val="16"/>
              </w:rPr>
            </w:pPr>
            <w:r>
              <w:rPr>
                <w:noProof/>
                <w:sz w:val="18"/>
              </w:rPr>
              <w:t>2020</w:t>
            </w:r>
          </w:p>
        </w:tc>
        <w:tc>
          <w:tcPr>
            <w:tcW w:w="1080" w:type="dxa"/>
            <w:vAlign w:val="center"/>
          </w:tcPr>
          <w:p w:rsidR="00030C0D" w:rsidRDefault="00030C0D">
            <w:pPr>
              <w:spacing w:line="200" w:lineRule="exact"/>
              <w:jc w:val="center"/>
              <w:rPr>
                <w:b/>
                <w:noProof/>
                <w:sz w:val="16"/>
                <w:szCs w:val="16"/>
              </w:rPr>
            </w:pPr>
          </w:p>
        </w:tc>
        <w:tc>
          <w:tcPr>
            <w:tcW w:w="1080" w:type="dxa"/>
            <w:vAlign w:val="center"/>
          </w:tcPr>
          <w:p w:rsidR="00030C0D" w:rsidRDefault="00030C0D">
            <w:pPr>
              <w:spacing w:line="200" w:lineRule="exact"/>
              <w:jc w:val="center"/>
              <w:rPr>
                <w:b/>
                <w:noProof/>
                <w:sz w:val="16"/>
                <w:szCs w:val="16"/>
              </w:rPr>
            </w:pPr>
          </w:p>
        </w:tc>
        <w:tc>
          <w:tcPr>
            <w:tcW w:w="1080" w:type="dxa"/>
            <w:vAlign w:val="center"/>
          </w:tcPr>
          <w:p w:rsidR="00030C0D" w:rsidRDefault="00986C69">
            <w:pPr>
              <w:spacing w:before="60" w:after="60" w:line="200" w:lineRule="exact"/>
              <w:jc w:val="center"/>
              <w:rPr>
                <w:b/>
                <w:noProof/>
                <w:sz w:val="16"/>
                <w:szCs w:val="16"/>
              </w:rPr>
            </w:pPr>
            <w:r>
              <w:rPr>
                <w:b/>
                <w:noProof/>
                <w:sz w:val="16"/>
              </w:rPr>
              <w:t>ОБЩО</w:t>
            </w:r>
          </w:p>
        </w:tc>
      </w:tr>
    </w:tbl>
    <w:p w:rsidR="00030C0D" w:rsidRDefault="00030C0D">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30C0D">
        <w:trPr>
          <w:trHeight w:val="585"/>
        </w:trPr>
        <w:tc>
          <w:tcPr>
            <w:tcW w:w="1980" w:type="dxa"/>
            <w:shd w:val="clear" w:color="auto" w:fill="CCCCCC"/>
            <w:vAlign w:val="center"/>
          </w:tcPr>
          <w:p w:rsidR="00030C0D" w:rsidRDefault="00986C69">
            <w:pPr>
              <w:spacing w:before="60" w:after="60" w:line="200" w:lineRule="exact"/>
              <w:jc w:val="center"/>
              <w:rPr>
                <w:b/>
                <w:noProof/>
                <w:sz w:val="16"/>
                <w:szCs w:val="16"/>
              </w:rPr>
            </w:pPr>
            <w:r>
              <w:rPr>
                <w:b/>
                <w:noProof/>
                <w:sz w:val="16"/>
              </w:rPr>
              <w:t>ФУНКЦИЯ 5</w:t>
            </w:r>
            <w:r>
              <w:rPr>
                <w:noProof/>
                <w:sz w:val="22"/>
              </w:rPr>
              <w:br/>
            </w:r>
            <w:r>
              <w:rPr>
                <w:b/>
                <w:noProof/>
                <w:sz w:val="16"/>
              </w:rPr>
              <w:t xml:space="preserve">от многогодишната </w:t>
            </w:r>
            <w:r>
              <w:rPr>
                <w:b/>
                <w:noProof/>
                <w:sz w:val="16"/>
              </w:rPr>
              <w:t>финансова рамка</w:t>
            </w:r>
          </w:p>
        </w:tc>
        <w:tc>
          <w:tcPr>
            <w:tcW w:w="1080" w:type="dxa"/>
            <w:vAlign w:val="center"/>
          </w:tcPr>
          <w:p w:rsidR="00030C0D" w:rsidRDefault="00030C0D">
            <w:pPr>
              <w:spacing w:before="60" w:after="60" w:line="200" w:lineRule="exact"/>
              <w:jc w:val="right"/>
              <w:rPr>
                <w:noProof/>
                <w:sz w:val="16"/>
                <w:szCs w:val="16"/>
              </w:rPr>
            </w:pPr>
          </w:p>
        </w:tc>
        <w:tc>
          <w:tcPr>
            <w:tcW w:w="1080" w:type="dxa"/>
            <w:vAlign w:val="center"/>
          </w:tcPr>
          <w:p w:rsidR="00030C0D" w:rsidRDefault="00030C0D">
            <w:pPr>
              <w:spacing w:before="60" w:after="60" w:line="200" w:lineRule="exact"/>
              <w:jc w:val="right"/>
              <w:rPr>
                <w:noProof/>
                <w:sz w:val="16"/>
                <w:szCs w:val="16"/>
              </w:rPr>
            </w:pPr>
          </w:p>
        </w:tc>
        <w:tc>
          <w:tcPr>
            <w:tcW w:w="1080" w:type="dxa"/>
            <w:vAlign w:val="center"/>
          </w:tcPr>
          <w:p w:rsidR="00030C0D" w:rsidRDefault="00030C0D">
            <w:pPr>
              <w:spacing w:before="60" w:after="60" w:line="200" w:lineRule="exact"/>
              <w:jc w:val="right"/>
              <w:rPr>
                <w:noProof/>
                <w:sz w:val="16"/>
                <w:szCs w:val="16"/>
              </w:rPr>
            </w:pPr>
          </w:p>
        </w:tc>
        <w:tc>
          <w:tcPr>
            <w:tcW w:w="1080" w:type="dxa"/>
            <w:vAlign w:val="center"/>
          </w:tcPr>
          <w:p w:rsidR="00030C0D" w:rsidRDefault="00030C0D">
            <w:pPr>
              <w:spacing w:before="60" w:after="60" w:line="200" w:lineRule="exact"/>
              <w:jc w:val="right"/>
              <w:rPr>
                <w:noProof/>
                <w:sz w:val="16"/>
                <w:szCs w:val="16"/>
              </w:rPr>
            </w:pPr>
          </w:p>
        </w:tc>
        <w:tc>
          <w:tcPr>
            <w:tcW w:w="1080" w:type="dxa"/>
            <w:vAlign w:val="center"/>
          </w:tcPr>
          <w:p w:rsidR="00030C0D" w:rsidRDefault="00030C0D">
            <w:pPr>
              <w:spacing w:before="60" w:after="60" w:line="200" w:lineRule="exact"/>
              <w:jc w:val="right"/>
              <w:rPr>
                <w:noProof/>
                <w:sz w:val="16"/>
                <w:szCs w:val="16"/>
              </w:rPr>
            </w:pPr>
          </w:p>
        </w:tc>
        <w:tc>
          <w:tcPr>
            <w:tcW w:w="1080" w:type="dxa"/>
            <w:vAlign w:val="center"/>
          </w:tcPr>
          <w:p w:rsidR="00030C0D" w:rsidRDefault="00030C0D">
            <w:pPr>
              <w:spacing w:before="60" w:after="60" w:line="200" w:lineRule="exact"/>
              <w:jc w:val="right"/>
              <w:rPr>
                <w:noProof/>
                <w:sz w:val="16"/>
                <w:szCs w:val="16"/>
              </w:rPr>
            </w:pPr>
          </w:p>
        </w:tc>
        <w:tc>
          <w:tcPr>
            <w:tcW w:w="1080" w:type="dxa"/>
            <w:vAlign w:val="center"/>
          </w:tcPr>
          <w:p w:rsidR="00030C0D" w:rsidRDefault="00030C0D">
            <w:pPr>
              <w:spacing w:before="60" w:after="60" w:line="200" w:lineRule="exact"/>
              <w:jc w:val="right"/>
              <w:rPr>
                <w:b/>
                <w:noProof/>
                <w:sz w:val="16"/>
                <w:szCs w:val="16"/>
              </w:rPr>
            </w:pPr>
          </w:p>
        </w:tc>
        <w:tc>
          <w:tcPr>
            <w:tcW w:w="1080" w:type="dxa"/>
            <w:vAlign w:val="center"/>
          </w:tcPr>
          <w:p w:rsidR="00030C0D" w:rsidRDefault="00030C0D">
            <w:pPr>
              <w:spacing w:before="60" w:after="60" w:line="200" w:lineRule="exact"/>
              <w:jc w:val="right"/>
              <w:rPr>
                <w:b/>
                <w:noProof/>
                <w:sz w:val="16"/>
                <w:szCs w:val="16"/>
              </w:rPr>
            </w:pPr>
          </w:p>
        </w:tc>
      </w:tr>
      <w:tr w:rsidR="00030C0D">
        <w:trPr>
          <w:trHeight w:val="585"/>
        </w:trPr>
        <w:tc>
          <w:tcPr>
            <w:tcW w:w="1980" w:type="dxa"/>
            <w:vAlign w:val="center"/>
          </w:tcPr>
          <w:p w:rsidR="00030C0D" w:rsidRDefault="00986C69">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030C0D" w:rsidRDefault="00986C69">
            <w:pPr>
              <w:spacing w:before="60" w:after="60" w:line="200" w:lineRule="exact"/>
              <w:jc w:val="right"/>
              <w:rPr>
                <w:noProof/>
                <w:sz w:val="16"/>
                <w:szCs w:val="16"/>
              </w:rPr>
            </w:pPr>
            <w:r>
              <w:rPr>
                <w:noProof/>
                <w:sz w:val="16"/>
              </w:rPr>
              <w:t>0,417</w:t>
            </w:r>
          </w:p>
        </w:tc>
        <w:tc>
          <w:tcPr>
            <w:tcW w:w="1080" w:type="dxa"/>
            <w:vAlign w:val="center"/>
          </w:tcPr>
          <w:p w:rsidR="00030C0D" w:rsidRDefault="00986C69">
            <w:pPr>
              <w:spacing w:before="60" w:after="60" w:line="200" w:lineRule="exact"/>
              <w:jc w:val="right"/>
              <w:rPr>
                <w:noProof/>
                <w:sz w:val="16"/>
                <w:szCs w:val="16"/>
              </w:rPr>
            </w:pPr>
            <w:r>
              <w:rPr>
                <w:noProof/>
                <w:sz w:val="16"/>
              </w:rPr>
              <w:t>0,417</w:t>
            </w:r>
          </w:p>
        </w:tc>
        <w:tc>
          <w:tcPr>
            <w:tcW w:w="1080" w:type="dxa"/>
            <w:vAlign w:val="center"/>
          </w:tcPr>
          <w:p w:rsidR="00030C0D" w:rsidRDefault="00986C69">
            <w:pPr>
              <w:spacing w:before="60" w:after="60" w:line="200" w:lineRule="exact"/>
              <w:jc w:val="right"/>
              <w:rPr>
                <w:noProof/>
                <w:sz w:val="16"/>
                <w:szCs w:val="16"/>
              </w:rPr>
            </w:pPr>
            <w:r>
              <w:rPr>
                <w:noProof/>
                <w:sz w:val="16"/>
              </w:rPr>
              <w:t>0,417</w:t>
            </w:r>
          </w:p>
        </w:tc>
        <w:tc>
          <w:tcPr>
            <w:tcW w:w="1080" w:type="dxa"/>
            <w:vAlign w:val="center"/>
          </w:tcPr>
          <w:p w:rsidR="00030C0D" w:rsidRDefault="00986C69">
            <w:pPr>
              <w:spacing w:before="60" w:after="60" w:line="200" w:lineRule="exact"/>
              <w:jc w:val="right"/>
              <w:rPr>
                <w:noProof/>
                <w:sz w:val="16"/>
                <w:szCs w:val="16"/>
              </w:rPr>
            </w:pPr>
            <w:r>
              <w:rPr>
                <w:noProof/>
                <w:sz w:val="16"/>
              </w:rPr>
              <w:t>0,417</w:t>
            </w:r>
          </w:p>
        </w:tc>
        <w:tc>
          <w:tcPr>
            <w:tcW w:w="1080" w:type="dxa"/>
            <w:vAlign w:val="center"/>
          </w:tcPr>
          <w:p w:rsidR="00030C0D" w:rsidRDefault="00986C69">
            <w:pPr>
              <w:spacing w:before="60" w:after="60" w:line="200" w:lineRule="exact"/>
              <w:jc w:val="right"/>
              <w:rPr>
                <w:noProof/>
                <w:sz w:val="16"/>
                <w:szCs w:val="16"/>
              </w:rPr>
            </w:pPr>
            <w:r>
              <w:rPr>
                <w:noProof/>
                <w:sz w:val="16"/>
              </w:rPr>
              <w:t>0,417</w:t>
            </w:r>
          </w:p>
        </w:tc>
        <w:tc>
          <w:tcPr>
            <w:tcW w:w="1080" w:type="dxa"/>
            <w:vAlign w:val="center"/>
          </w:tcPr>
          <w:p w:rsidR="00030C0D" w:rsidRDefault="00030C0D">
            <w:pPr>
              <w:spacing w:before="60" w:after="60" w:line="200" w:lineRule="exact"/>
              <w:jc w:val="right"/>
              <w:rPr>
                <w:noProof/>
                <w:sz w:val="16"/>
                <w:szCs w:val="16"/>
              </w:rPr>
            </w:pPr>
          </w:p>
        </w:tc>
        <w:tc>
          <w:tcPr>
            <w:tcW w:w="1080" w:type="dxa"/>
            <w:vAlign w:val="center"/>
          </w:tcPr>
          <w:p w:rsidR="00030C0D" w:rsidRDefault="00030C0D">
            <w:pPr>
              <w:spacing w:before="60" w:after="60" w:line="200" w:lineRule="exact"/>
              <w:jc w:val="right"/>
              <w:rPr>
                <w:b/>
                <w:noProof/>
                <w:sz w:val="16"/>
                <w:szCs w:val="16"/>
              </w:rPr>
            </w:pPr>
          </w:p>
        </w:tc>
        <w:tc>
          <w:tcPr>
            <w:tcW w:w="1080" w:type="dxa"/>
            <w:vAlign w:val="center"/>
          </w:tcPr>
          <w:p w:rsidR="00030C0D" w:rsidRDefault="00986C69">
            <w:pPr>
              <w:spacing w:before="60" w:after="60" w:line="200" w:lineRule="exact"/>
              <w:jc w:val="right"/>
              <w:rPr>
                <w:noProof/>
                <w:sz w:val="16"/>
                <w:szCs w:val="16"/>
              </w:rPr>
            </w:pPr>
            <w:r>
              <w:rPr>
                <w:noProof/>
                <w:sz w:val="16"/>
              </w:rPr>
              <w:t>2,085</w:t>
            </w:r>
          </w:p>
        </w:tc>
      </w:tr>
      <w:tr w:rsidR="00030C0D">
        <w:trPr>
          <w:trHeight w:val="585"/>
        </w:trPr>
        <w:tc>
          <w:tcPr>
            <w:tcW w:w="1980" w:type="dxa"/>
            <w:vAlign w:val="center"/>
          </w:tcPr>
          <w:p w:rsidR="00030C0D" w:rsidRDefault="00986C69">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rsidR="00030C0D" w:rsidRDefault="00986C69">
            <w:pPr>
              <w:spacing w:before="60" w:after="60" w:line="200" w:lineRule="exact"/>
              <w:jc w:val="right"/>
              <w:rPr>
                <w:noProof/>
                <w:sz w:val="16"/>
                <w:szCs w:val="16"/>
              </w:rPr>
            </w:pPr>
            <w:r>
              <w:rPr>
                <w:noProof/>
                <w:sz w:val="16"/>
              </w:rPr>
              <w:t>0,066</w:t>
            </w:r>
          </w:p>
        </w:tc>
        <w:tc>
          <w:tcPr>
            <w:tcW w:w="1080" w:type="dxa"/>
            <w:vAlign w:val="center"/>
          </w:tcPr>
          <w:p w:rsidR="00030C0D" w:rsidRDefault="00986C69">
            <w:pPr>
              <w:spacing w:before="60" w:after="60" w:line="200" w:lineRule="exact"/>
              <w:jc w:val="right"/>
              <w:rPr>
                <w:noProof/>
                <w:sz w:val="16"/>
                <w:szCs w:val="16"/>
              </w:rPr>
            </w:pPr>
            <w:r>
              <w:rPr>
                <w:noProof/>
                <w:sz w:val="16"/>
              </w:rPr>
              <w:t>0,066</w:t>
            </w:r>
          </w:p>
        </w:tc>
        <w:tc>
          <w:tcPr>
            <w:tcW w:w="1080" w:type="dxa"/>
            <w:vAlign w:val="center"/>
          </w:tcPr>
          <w:p w:rsidR="00030C0D" w:rsidRDefault="00986C69">
            <w:pPr>
              <w:spacing w:before="60" w:after="60" w:line="200" w:lineRule="exact"/>
              <w:jc w:val="right"/>
              <w:rPr>
                <w:noProof/>
                <w:sz w:val="16"/>
                <w:szCs w:val="16"/>
              </w:rPr>
            </w:pPr>
            <w:r>
              <w:rPr>
                <w:noProof/>
                <w:sz w:val="16"/>
              </w:rPr>
              <w:t>0,066</w:t>
            </w:r>
          </w:p>
        </w:tc>
        <w:tc>
          <w:tcPr>
            <w:tcW w:w="1080" w:type="dxa"/>
            <w:vAlign w:val="center"/>
          </w:tcPr>
          <w:p w:rsidR="00030C0D" w:rsidRDefault="00986C69">
            <w:pPr>
              <w:spacing w:before="60" w:after="60" w:line="200" w:lineRule="exact"/>
              <w:jc w:val="right"/>
              <w:rPr>
                <w:noProof/>
                <w:sz w:val="16"/>
                <w:szCs w:val="16"/>
              </w:rPr>
            </w:pPr>
            <w:r>
              <w:rPr>
                <w:noProof/>
                <w:sz w:val="16"/>
              </w:rPr>
              <w:t>0,066</w:t>
            </w:r>
          </w:p>
        </w:tc>
        <w:tc>
          <w:tcPr>
            <w:tcW w:w="1080" w:type="dxa"/>
            <w:vAlign w:val="center"/>
          </w:tcPr>
          <w:p w:rsidR="00030C0D" w:rsidRDefault="00986C69">
            <w:pPr>
              <w:spacing w:before="60" w:after="60" w:line="200" w:lineRule="exact"/>
              <w:jc w:val="right"/>
              <w:rPr>
                <w:noProof/>
                <w:sz w:val="16"/>
                <w:szCs w:val="16"/>
              </w:rPr>
            </w:pPr>
            <w:r>
              <w:rPr>
                <w:noProof/>
                <w:sz w:val="16"/>
              </w:rPr>
              <w:t>0,066</w:t>
            </w:r>
          </w:p>
        </w:tc>
        <w:tc>
          <w:tcPr>
            <w:tcW w:w="1080" w:type="dxa"/>
            <w:vAlign w:val="center"/>
          </w:tcPr>
          <w:p w:rsidR="00030C0D" w:rsidRDefault="00030C0D">
            <w:pPr>
              <w:spacing w:before="60" w:after="60" w:line="200" w:lineRule="exact"/>
              <w:jc w:val="right"/>
              <w:rPr>
                <w:noProof/>
                <w:sz w:val="16"/>
                <w:szCs w:val="16"/>
              </w:rPr>
            </w:pPr>
          </w:p>
        </w:tc>
        <w:tc>
          <w:tcPr>
            <w:tcW w:w="1080" w:type="dxa"/>
            <w:vAlign w:val="center"/>
          </w:tcPr>
          <w:p w:rsidR="00030C0D" w:rsidRDefault="00030C0D">
            <w:pPr>
              <w:spacing w:before="60" w:after="60" w:line="200" w:lineRule="exact"/>
              <w:jc w:val="right"/>
              <w:rPr>
                <w:b/>
                <w:noProof/>
                <w:sz w:val="16"/>
                <w:szCs w:val="16"/>
              </w:rPr>
            </w:pPr>
          </w:p>
        </w:tc>
        <w:tc>
          <w:tcPr>
            <w:tcW w:w="1080" w:type="dxa"/>
            <w:vAlign w:val="center"/>
          </w:tcPr>
          <w:p w:rsidR="00030C0D" w:rsidRDefault="00986C69">
            <w:pPr>
              <w:spacing w:before="60" w:after="60" w:line="200" w:lineRule="exact"/>
              <w:jc w:val="right"/>
              <w:rPr>
                <w:noProof/>
                <w:sz w:val="16"/>
                <w:szCs w:val="16"/>
              </w:rPr>
            </w:pPr>
            <w:r>
              <w:rPr>
                <w:noProof/>
                <w:sz w:val="16"/>
              </w:rPr>
              <w:t>0,330</w:t>
            </w:r>
          </w:p>
        </w:tc>
      </w:tr>
      <w:tr w:rsidR="00030C0D">
        <w:trPr>
          <w:trHeight w:val="585"/>
        </w:trPr>
        <w:tc>
          <w:tcPr>
            <w:tcW w:w="1980" w:type="dxa"/>
            <w:shd w:val="clear" w:color="auto" w:fill="CCCCCC"/>
            <w:vAlign w:val="center"/>
          </w:tcPr>
          <w:p w:rsidR="00030C0D" w:rsidRDefault="00986C69">
            <w:pPr>
              <w:spacing w:before="60" w:after="60" w:line="200" w:lineRule="exact"/>
              <w:jc w:val="center"/>
              <w:rPr>
                <w:b/>
                <w:noProof/>
                <w:sz w:val="16"/>
                <w:szCs w:val="16"/>
              </w:rPr>
            </w:pPr>
            <w:r>
              <w:rPr>
                <w:b/>
                <w:noProof/>
                <w:sz w:val="16"/>
              </w:rPr>
              <w:t>Междинен сбор за ФУНКЦИЯ 5</w:t>
            </w:r>
            <w:r>
              <w:rPr>
                <w:noProof/>
                <w:sz w:val="22"/>
              </w:rPr>
              <w:br/>
            </w:r>
            <w:r>
              <w:rPr>
                <w:b/>
                <w:noProof/>
                <w:sz w:val="16"/>
              </w:rPr>
              <w:t xml:space="preserve">от многогодишната финансова рамка </w:t>
            </w:r>
          </w:p>
        </w:tc>
        <w:tc>
          <w:tcPr>
            <w:tcW w:w="1080" w:type="dxa"/>
            <w:vAlign w:val="center"/>
          </w:tcPr>
          <w:p w:rsidR="00030C0D" w:rsidRDefault="00986C69">
            <w:pPr>
              <w:spacing w:before="60" w:after="60" w:line="200" w:lineRule="exact"/>
              <w:jc w:val="right"/>
              <w:rPr>
                <w:noProof/>
                <w:sz w:val="16"/>
                <w:szCs w:val="16"/>
              </w:rPr>
            </w:pPr>
            <w:r>
              <w:rPr>
                <w:noProof/>
                <w:sz w:val="16"/>
              </w:rPr>
              <w:t>0,483</w:t>
            </w:r>
          </w:p>
        </w:tc>
        <w:tc>
          <w:tcPr>
            <w:tcW w:w="1080" w:type="dxa"/>
            <w:vAlign w:val="center"/>
          </w:tcPr>
          <w:p w:rsidR="00030C0D" w:rsidRDefault="00986C69">
            <w:pPr>
              <w:spacing w:before="60" w:after="60" w:line="200" w:lineRule="exact"/>
              <w:jc w:val="right"/>
              <w:rPr>
                <w:noProof/>
                <w:sz w:val="16"/>
                <w:szCs w:val="16"/>
              </w:rPr>
            </w:pPr>
            <w:r>
              <w:rPr>
                <w:noProof/>
                <w:sz w:val="16"/>
              </w:rPr>
              <w:t>0,483</w:t>
            </w:r>
          </w:p>
        </w:tc>
        <w:tc>
          <w:tcPr>
            <w:tcW w:w="1080" w:type="dxa"/>
            <w:vAlign w:val="center"/>
          </w:tcPr>
          <w:p w:rsidR="00030C0D" w:rsidRDefault="00986C69">
            <w:pPr>
              <w:spacing w:before="60" w:after="60" w:line="200" w:lineRule="exact"/>
              <w:jc w:val="right"/>
              <w:rPr>
                <w:noProof/>
                <w:sz w:val="16"/>
                <w:szCs w:val="16"/>
              </w:rPr>
            </w:pPr>
            <w:r>
              <w:rPr>
                <w:noProof/>
                <w:sz w:val="16"/>
              </w:rPr>
              <w:t>0,483</w:t>
            </w:r>
          </w:p>
        </w:tc>
        <w:tc>
          <w:tcPr>
            <w:tcW w:w="1080" w:type="dxa"/>
            <w:vAlign w:val="center"/>
          </w:tcPr>
          <w:p w:rsidR="00030C0D" w:rsidRDefault="00986C69">
            <w:pPr>
              <w:spacing w:before="60" w:after="60" w:line="200" w:lineRule="exact"/>
              <w:jc w:val="right"/>
              <w:rPr>
                <w:noProof/>
                <w:sz w:val="16"/>
                <w:szCs w:val="16"/>
              </w:rPr>
            </w:pPr>
            <w:r>
              <w:rPr>
                <w:noProof/>
                <w:sz w:val="16"/>
              </w:rPr>
              <w:t>0,483</w:t>
            </w:r>
          </w:p>
        </w:tc>
        <w:tc>
          <w:tcPr>
            <w:tcW w:w="1080" w:type="dxa"/>
            <w:vAlign w:val="center"/>
          </w:tcPr>
          <w:p w:rsidR="00030C0D" w:rsidRDefault="00986C69">
            <w:pPr>
              <w:spacing w:before="60" w:after="60" w:line="200" w:lineRule="exact"/>
              <w:jc w:val="right"/>
              <w:rPr>
                <w:noProof/>
                <w:sz w:val="16"/>
                <w:szCs w:val="16"/>
              </w:rPr>
            </w:pPr>
            <w:r>
              <w:rPr>
                <w:noProof/>
                <w:sz w:val="16"/>
              </w:rPr>
              <w:t>0,483</w:t>
            </w:r>
          </w:p>
        </w:tc>
        <w:tc>
          <w:tcPr>
            <w:tcW w:w="1080" w:type="dxa"/>
            <w:vAlign w:val="center"/>
          </w:tcPr>
          <w:p w:rsidR="00030C0D" w:rsidRDefault="00030C0D">
            <w:pPr>
              <w:spacing w:before="60" w:after="60" w:line="200" w:lineRule="exact"/>
              <w:jc w:val="right"/>
              <w:rPr>
                <w:noProof/>
                <w:sz w:val="16"/>
                <w:szCs w:val="16"/>
              </w:rPr>
            </w:pPr>
          </w:p>
        </w:tc>
        <w:tc>
          <w:tcPr>
            <w:tcW w:w="1080" w:type="dxa"/>
            <w:vAlign w:val="center"/>
          </w:tcPr>
          <w:p w:rsidR="00030C0D" w:rsidRDefault="00030C0D">
            <w:pPr>
              <w:spacing w:before="60" w:after="60" w:line="200" w:lineRule="exact"/>
              <w:jc w:val="right"/>
              <w:rPr>
                <w:b/>
                <w:noProof/>
                <w:sz w:val="16"/>
                <w:szCs w:val="16"/>
              </w:rPr>
            </w:pPr>
          </w:p>
        </w:tc>
        <w:tc>
          <w:tcPr>
            <w:tcW w:w="1080" w:type="dxa"/>
            <w:vAlign w:val="center"/>
          </w:tcPr>
          <w:p w:rsidR="00030C0D" w:rsidRDefault="00986C69">
            <w:pPr>
              <w:spacing w:before="60" w:after="60" w:line="200" w:lineRule="exact"/>
              <w:jc w:val="right"/>
              <w:rPr>
                <w:noProof/>
                <w:sz w:val="16"/>
                <w:szCs w:val="16"/>
              </w:rPr>
            </w:pPr>
            <w:r>
              <w:rPr>
                <w:noProof/>
                <w:sz w:val="16"/>
              </w:rPr>
              <w:t>2,415</w:t>
            </w:r>
          </w:p>
        </w:tc>
      </w:tr>
    </w:tbl>
    <w:p w:rsidR="00030C0D" w:rsidRDefault="00030C0D">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30C0D">
        <w:trPr>
          <w:trHeight w:val="585"/>
        </w:trPr>
        <w:tc>
          <w:tcPr>
            <w:tcW w:w="1980" w:type="dxa"/>
            <w:shd w:val="clear" w:color="auto" w:fill="CCCCCC"/>
            <w:vAlign w:val="center"/>
          </w:tcPr>
          <w:p w:rsidR="00030C0D" w:rsidRDefault="00986C69">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30"/>
            </w:r>
            <w:r>
              <w:rPr>
                <w:noProof/>
                <w:sz w:val="22"/>
              </w:rPr>
              <w:br/>
            </w:r>
            <w:r>
              <w:rPr>
                <w:b/>
                <w:noProof/>
                <w:sz w:val="16"/>
              </w:rPr>
              <w:t xml:space="preserve">от многогодишната финансова рамка </w:t>
            </w:r>
          </w:p>
          <w:p w:rsidR="00030C0D" w:rsidRDefault="00030C0D">
            <w:pPr>
              <w:spacing w:before="0" w:after="0" w:line="200" w:lineRule="exact"/>
              <w:jc w:val="center"/>
              <w:rPr>
                <w:b/>
                <w:noProof/>
                <w:sz w:val="16"/>
                <w:szCs w:val="16"/>
              </w:rPr>
            </w:pPr>
          </w:p>
        </w:tc>
        <w:tc>
          <w:tcPr>
            <w:tcW w:w="1080" w:type="dxa"/>
            <w:vAlign w:val="center"/>
          </w:tcPr>
          <w:p w:rsidR="00030C0D" w:rsidRDefault="00030C0D">
            <w:pPr>
              <w:spacing w:before="60" w:after="60" w:line="200" w:lineRule="exact"/>
              <w:jc w:val="right"/>
              <w:rPr>
                <w:noProof/>
                <w:sz w:val="16"/>
                <w:szCs w:val="16"/>
              </w:rPr>
            </w:pPr>
          </w:p>
        </w:tc>
        <w:tc>
          <w:tcPr>
            <w:tcW w:w="1080" w:type="dxa"/>
            <w:vAlign w:val="center"/>
          </w:tcPr>
          <w:p w:rsidR="00030C0D" w:rsidRDefault="00030C0D">
            <w:pPr>
              <w:spacing w:before="60" w:after="60" w:line="200" w:lineRule="exact"/>
              <w:jc w:val="right"/>
              <w:rPr>
                <w:noProof/>
                <w:sz w:val="16"/>
                <w:szCs w:val="16"/>
              </w:rPr>
            </w:pPr>
          </w:p>
        </w:tc>
        <w:tc>
          <w:tcPr>
            <w:tcW w:w="1080" w:type="dxa"/>
            <w:vAlign w:val="center"/>
          </w:tcPr>
          <w:p w:rsidR="00030C0D" w:rsidRDefault="00030C0D">
            <w:pPr>
              <w:spacing w:before="60" w:after="60" w:line="200" w:lineRule="exact"/>
              <w:jc w:val="right"/>
              <w:rPr>
                <w:noProof/>
                <w:sz w:val="16"/>
                <w:szCs w:val="16"/>
              </w:rPr>
            </w:pPr>
          </w:p>
        </w:tc>
        <w:tc>
          <w:tcPr>
            <w:tcW w:w="1080" w:type="dxa"/>
            <w:vAlign w:val="center"/>
          </w:tcPr>
          <w:p w:rsidR="00030C0D" w:rsidRDefault="00030C0D">
            <w:pPr>
              <w:spacing w:before="60" w:after="60" w:line="200" w:lineRule="exact"/>
              <w:jc w:val="right"/>
              <w:rPr>
                <w:noProof/>
                <w:sz w:val="16"/>
                <w:szCs w:val="16"/>
              </w:rPr>
            </w:pPr>
          </w:p>
        </w:tc>
        <w:tc>
          <w:tcPr>
            <w:tcW w:w="1080" w:type="dxa"/>
            <w:vAlign w:val="center"/>
          </w:tcPr>
          <w:p w:rsidR="00030C0D" w:rsidRDefault="00030C0D">
            <w:pPr>
              <w:spacing w:before="60" w:after="60" w:line="200" w:lineRule="exact"/>
              <w:jc w:val="right"/>
              <w:rPr>
                <w:noProof/>
                <w:sz w:val="16"/>
                <w:szCs w:val="16"/>
              </w:rPr>
            </w:pPr>
          </w:p>
        </w:tc>
        <w:tc>
          <w:tcPr>
            <w:tcW w:w="1080" w:type="dxa"/>
            <w:vAlign w:val="center"/>
          </w:tcPr>
          <w:p w:rsidR="00030C0D" w:rsidRDefault="00030C0D">
            <w:pPr>
              <w:spacing w:before="60" w:after="60" w:line="200" w:lineRule="exact"/>
              <w:jc w:val="right"/>
              <w:rPr>
                <w:noProof/>
                <w:sz w:val="16"/>
                <w:szCs w:val="16"/>
              </w:rPr>
            </w:pPr>
          </w:p>
        </w:tc>
        <w:tc>
          <w:tcPr>
            <w:tcW w:w="1080" w:type="dxa"/>
            <w:vAlign w:val="center"/>
          </w:tcPr>
          <w:p w:rsidR="00030C0D" w:rsidRDefault="00030C0D">
            <w:pPr>
              <w:spacing w:before="60" w:after="60" w:line="200" w:lineRule="exact"/>
              <w:jc w:val="right"/>
              <w:rPr>
                <w:b/>
                <w:noProof/>
                <w:sz w:val="16"/>
                <w:szCs w:val="16"/>
              </w:rPr>
            </w:pPr>
          </w:p>
        </w:tc>
        <w:tc>
          <w:tcPr>
            <w:tcW w:w="1080" w:type="dxa"/>
            <w:vAlign w:val="center"/>
          </w:tcPr>
          <w:p w:rsidR="00030C0D" w:rsidRDefault="00030C0D">
            <w:pPr>
              <w:spacing w:before="60" w:after="60" w:line="200" w:lineRule="exact"/>
              <w:jc w:val="right"/>
              <w:rPr>
                <w:b/>
                <w:noProof/>
                <w:sz w:val="16"/>
                <w:szCs w:val="16"/>
              </w:rPr>
            </w:pPr>
          </w:p>
        </w:tc>
      </w:tr>
      <w:tr w:rsidR="00030C0D">
        <w:trPr>
          <w:trHeight w:val="585"/>
        </w:trPr>
        <w:tc>
          <w:tcPr>
            <w:tcW w:w="1980" w:type="dxa"/>
            <w:vAlign w:val="center"/>
          </w:tcPr>
          <w:p w:rsidR="00030C0D" w:rsidRDefault="00986C69">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030C0D" w:rsidRDefault="00030C0D">
            <w:pPr>
              <w:spacing w:before="60" w:after="60" w:line="200" w:lineRule="exact"/>
              <w:jc w:val="right"/>
              <w:rPr>
                <w:noProof/>
                <w:sz w:val="16"/>
                <w:szCs w:val="16"/>
              </w:rPr>
            </w:pPr>
          </w:p>
        </w:tc>
        <w:tc>
          <w:tcPr>
            <w:tcW w:w="1080" w:type="dxa"/>
            <w:vAlign w:val="center"/>
          </w:tcPr>
          <w:p w:rsidR="00030C0D" w:rsidRDefault="00030C0D">
            <w:pPr>
              <w:spacing w:before="60" w:after="60" w:line="200" w:lineRule="exact"/>
              <w:jc w:val="right"/>
              <w:rPr>
                <w:noProof/>
                <w:sz w:val="16"/>
                <w:szCs w:val="16"/>
              </w:rPr>
            </w:pPr>
          </w:p>
        </w:tc>
        <w:tc>
          <w:tcPr>
            <w:tcW w:w="1080" w:type="dxa"/>
            <w:vAlign w:val="center"/>
          </w:tcPr>
          <w:p w:rsidR="00030C0D" w:rsidRDefault="00030C0D">
            <w:pPr>
              <w:spacing w:before="60" w:after="60" w:line="200" w:lineRule="exact"/>
              <w:jc w:val="right"/>
              <w:rPr>
                <w:noProof/>
                <w:sz w:val="16"/>
                <w:szCs w:val="16"/>
              </w:rPr>
            </w:pPr>
          </w:p>
        </w:tc>
        <w:tc>
          <w:tcPr>
            <w:tcW w:w="1080" w:type="dxa"/>
            <w:vAlign w:val="center"/>
          </w:tcPr>
          <w:p w:rsidR="00030C0D" w:rsidRDefault="00030C0D">
            <w:pPr>
              <w:spacing w:before="60" w:after="60" w:line="200" w:lineRule="exact"/>
              <w:jc w:val="right"/>
              <w:rPr>
                <w:noProof/>
                <w:sz w:val="16"/>
                <w:szCs w:val="16"/>
              </w:rPr>
            </w:pPr>
          </w:p>
        </w:tc>
        <w:tc>
          <w:tcPr>
            <w:tcW w:w="1080" w:type="dxa"/>
            <w:vAlign w:val="center"/>
          </w:tcPr>
          <w:p w:rsidR="00030C0D" w:rsidRDefault="00030C0D">
            <w:pPr>
              <w:spacing w:before="60" w:after="60" w:line="200" w:lineRule="exact"/>
              <w:jc w:val="right"/>
              <w:rPr>
                <w:noProof/>
                <w:sz w:val="16"/>
                <w:szCs w:val="16"/>
              </w:rPr>
            </w:pPr>
          </w:p>
        </w:tc>
        <w:tc>
          <w:tcPr>
            <w:tcW w:w="1080" w:type="dxa"/>
            <w:vAlign w:val="center"/>
          </w:tcPr>
          <w:p w:rsidR="00030C0D" w:rsidRDefault="00030C0D">
            <w:pPr>
              <w:spacing w:before="60" w:after="60" w:line="200" w:lineRule="exact"/>
              <w:jc w:val="right"/>
              <w:rPr>
                <w:noProof/>
                <w:sz w:val="16"/>
                <w:szCs w:val="16"/>
              </w:rPr>
            </w:pPr>
          </w:p>
        </w:tc>
        <w:tc>
          <w:tcPr>
            <w:tcW w:w="1080" w:type="dxa"/>
            <w:vAlign w:val="center"/>
          </w:tcPr>
          <w:p w:rsidR="00030C0D" w:rsidRDefault="00030C0D">
            <w:pPr>
              <w:spacing w:before="60" w:after="60" w:line="200" w:lineRule="exact"/>
              <w:jc w:val="right"/>
              <w:rPr>
                <w:b/>
                <w:noProof/>
                <w:sz w:val="16"/>
                <w:szCs w:val="16"/>
              </w:rPr>
            </w:pPr>
          </w:p>
        </w:tc>
        <w:tc>
          <w:tcPr>
            <w:tcW w:w="1080" w:type="dxa"/>
            <w:vAlign w:val="center"/>
          </w:tcPr>
          <w:p w:rsidR="00030C0D" w:rsidRDefault="00030C0D">
            <w:pPr>
              <w:spacing w:before="60" w:after="60" w:line="200" w:lineRule="exact"/>
              <w:jc w:val="right"/>
              <w:rPr>
                <w:b/>
                <w:noProof/>
                <w:sz w:val="16"/>
                <w:szCs w:val="16"/>
              </w:rPr>
            </w:pPr>
          </w:p>
        </w:tc>
      </w:tr>
      <w:tr w:rsidR="00030C0D">
        <w:trPr>
          <w:trHeight w:val="585"/>
        </w:trPr>
        <w:tc>
          <w:tcPr>
            <w:tcW w:w="1980" w:type="dxa"/>
            <w:vAlign w:val="center"/>
          </w:tcPr>
          <w:p w:rsidR="00030C0D" w:rsidRDefault="00986C69">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p>
        </w:tc>
        <w:tc>
          <w:tcPr>
            <w:tcW w:w="1080" w:type="dxa"/>
            <w:vAlign w:val="center"/>
          </w:tcPr>
          <w:p w:rsidR="00030C0D" w:rsidRDefault="00030C0D">
            <w:pPr>
              <w:spacing w:before="60" w:after="60" w:line="200" w:lineRule="exact"/>
              <w:jc w:val="right"/>
              <w:rPr>
                <w:noProof/>
                <w:sz w:val="16"/>
                <w:szCs w:val="16"/>
              </w:rPr>
            </w:pPr>
          </w:p>
        </w:tc>
        <w:tc>
          <w:tcPr>
            <w:tcW w:w="1080" w:type="dxa"/>
            <w:vAlign w:val="center"/>
          </w:tcPr>
          <w:p w:rsidR="00030C0D" w:rsidRDefault="00030C0D">
            <w:pPr>
              <w:spacing w:before="60" w:after="60" w:line="200" w:lineRule="exact"/>
              <w:jc w:val="right"/>
              <w:rPr>
                <w:noProof/>
                <w:sz w:val="16"/>
                <w:szCs w:val="16"/>
              </w:rPr>
            </w:pPr>
          </w:p>
        </w:tc>
        <w:tc>
          <w:tcPr>
            <w:tcW w:w="1080" w:type="dxa"/>
            <w:vAlign w:val="center"/>
          </w:tcPr>
          <w:p w:rsidR="00030C0D" w:rsidRDefault="00030C0D">
            <w:pPr>
              <w:spacing w:before="60" w:after="60" w:line="200" w:lineRule="exact"/>
              <w:jc w:val="right"/>
              <w:rPr>
                <w:noProof/>
                <w:sz w:val="16"/>
                <w:szCs w:val="16"/>
              </w:rPr>
            </w:pPr>
          </w:p>
        </w:tc>
        <w:tc>
          <w:tcPr>
            <w:tcW w:w="1080" w:type="dxa"/>
            <w:vAlign w:val="center"/>
          </w:tcPr>
          <w:p w:rsidR="00030C0D" w:rsidRDefault="00030C0D">
            <w:pPr>
              <w:spacing w:before="60" w:after="60" w:line="200" w:lineRule="exact"/>
              <w:jc w:val="right"/>
              <w:rPr>
                <w:noProof/>
                <w:sz w:val="16"/>
                <w:szCs w:val="16"/>
              </w:rPr>
            </w:pPr>
          </w:p>
        </w:tc>
        <w:tc>
          <w:tcPr>
            <w:tcW w:w="1080" w:type="dxa"/>
            <w:vAlign w:val="center"/>
          </w:tcPr>
          <w:p w:rsidR="00030C0D" w:rsidRDefault="00030C0D">
            <w:pPr>
              <w:spacing w:before="60" w:after="60" w:line="200" w:lineRule="exact"/>
              <w:jc w:val="right"/>
              <w:rPr>
                <w:noProof/>
                <w:sz w:val="16"/>
                <w:szCs w:val="16"/>
              </w:rPr>
            </w:pPr>
          </w:p>
        </w:tc>
        <w:tc>
          <w:tcPr>
            <w:tcW w:w="1080" w:type="dxa"/>
            <w:vAlign w:val="center"/>
          </w:tcPr>
          <w:p w:rsidR="00030C0D" w:rsidRDefault="00030C0D">
            <w:pPr>
              <w:spacing w:before="60" w:after="60" w:line="200" w:lineRule="exact"/>
              <w:jc w:val="right"/>
              <w:rPr>
                <w:noProof/>
                <w:sz w:val="16"/>
                <w:szCs w:val="16"/>
              </w:rPr>
            </w:pPr>
          </w:p>
        </w:tc>
        <w:tc>
          <w:tcPr>
            <w:tcW w:w="1080" w:type="dxa"/>
            <w:vAlign w:val="center"/>
          </w:tcPr>
          <w:p w:rsidR="00030C0D" w:rsidRDefault="00030C0D">
            <w:pPr>
              <w:spacing w:before="60" w:after="60" w:line="200" w:lineRule="exact"/>
              <w:jc w:val="right"/>
              <w:rPr>
                <w:b/>
                <w:noProof/>
                <w:sz w:val="16"/>
                <w:szCs w:val="16"/>
              </w:rPr>
            </w:pPr>
          </w:p>
        </w:tc>
        <w:tc>
          <w:tcPr>
            <w:tcW w:w="1080" w:type="dxa"/>
            <w:vAlign w:val="center"/>
          </w:tcPr>
          <w:p w:rsidR="00030C0D" w:rsidRDefault="00030C0D">
            <w:pPr>
              <w:spacing w:before="60" w:after="60" w:line="200" w:lineRule="exact"/>
              <w:jc w:val="right"/>
              <w:rPr>
                <w:b/>
                <w:noProof/>
                <w:sz w:val="16"/>
                <w:szCs w:val="16"/>
              </w:rPr>
            </w:pPr>
          </w:p>
        </w:tc>
      </w:tr>
      <w:tr w:rsidR="00030C0D">
        <w:trPr>
          <w:trHeight w:val="585"/>
        </w:trPr>
        <w:tc>
          <w:tcPr>
            <w:tcW w:w="1980" w:type="dxa"/>
            <w:shd w:val="clear" w:color="auto" w:fill="CCCCCC"/>
            <w:vAlign w:val="center"/>
          </w:tcPr>
          <w:p w:rsidR="00030C0D" w:rsidRDefault="00986C69">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5</w:t>
            </w:r>
            <w:r>
              <w:rPr>
                <w:noProof/>
                <w:sz w:val="22"/>
              </w:rPr>
              <w:br/>
            </w:r>
            <w:r>
              <w:rPr>
                <w:b/>
                <w:noProof/>
                <w:sz w:val="16"/>
              </w:rPr>
              <w:t xml:space="preserve">от многогодишната финансова рамка </w:t>
            </w:r>
          </w:p>
        </w:tc>
        <w:tc>
          <w:tcPr>
            <w:tcW w:w="1080" w:type="dxa"/>
            <w:vAlign w:val="center"/>
          </w:tcPr>
          <w:p w:rsidR="00030C0D" w:rsidRDefault="00030C0D">
            <w:pPr>
              <w:spacing w:before="60" w:after="60" w:line="200" w:lineRule="exact"/>
              <w:jc w:val="right"/>
              <w:rPr>
                <w:noProof/>
                <w:sz w:val="16"/>
                <w:szCs w:val="16"/>
              </w:rPr>
            </w:pPr>
          </w:p>
        </w:tc>
        <w:tc>
          <w:tcPr>
            <w:tcW w:w="1080" w:type="dxa"/>
            <w:vAlign w:val="center"/>
          </w:tcPr>
          <w:p w:rsidR="00030C0D" w:rsidRDefault="00030C0D">
            <w:pPr>
              <w:spacing w:before="60" w:after="60" w:line="200" w:lineRule="exact"/>
              <w:jc w:val="right"/>
              <w:rPr>
                <w:noProof/>
                <w:sz w:val="16"/>
                <w:szCs w:val="16"/>
              </w:rPr>
            </w:pPr>
          </w:p>
        </w:tc>
        <w:tc>
          <w:tcPr>
            <w:tcW w:w="1080" w:type="dxa"/>
            <w:vAlign w:val="center"/>
          </w:tcPr>
          <w:p w:rsidR="00030C0D" w:rsidRDefault="00030C0D">
            <w:pPr>
              <w:spacing w:before="60" w:after="60" w:line="200" w:lineRule="exact"/>
              <w:jc w:val="right"/>
              <w:rPr>
                <w:noProof/>
                <w:sz w:val="16"/>
                <w:szCs w:val="16"/>
              </w:rPr>
            </w:pPr>
          </w:p>
        </w:tc>
        <w:tc>
          <w:tcPr>
            <w:tcW w:w="1080" w:type="dxa"/>
            <w:vAlign w:val="center"/>
          </w:tcPr>
          <w:p w:rsidR="00030C0D" w:rsidRDefault="00030C0D">
            <w:pPr>
              <w:spacing w:before="60" w:after="60" w:line="200" w:lineRule="exact"/>
              <w:jc w:val="right"/>
              <w:rPr>
                <w:noProof/>
                <w:sz w:val="16"/>
                <w:szCs w:val="16"/>
              </w:rPr>
            </w:pPr>
          </w:p>
        </w:tc>
        <w:tc>
          <w:tcPr>
            <w:tcW w:w="1080" w:type="dxa"/>
            <w:vAlign w:val="center"/>
          </w:tcPr>
          <w:p w:rsidR="00030C0D" w:rsidRDefault="00030C0D">
            <w:pPr>
              <w:spacing w:before="60" w:after="60" w:line="200" w:lineRule="exact"/>
              <w:jc w:val="right"/>
              <w:rPr>
                <w:noProof/>
                <w:sz w:val="16"/>
                <w:szCs w:val="16"/>
              </w:rPr>
            </w:pPr>
          </w:p>
        </w:tc>
        <w:tc>
          <w:tcPr>
            <w:tcW w:w="1080" w:type="dxa"/>
            <w:vAlign w:val="center"/>
          </w:tcPr>
          <w:p w:rsidR="00030C0D" w:rsidRDefault="00030C0D">
            <w:pPr>
              <w:spacing w:before="60" w:after="60" w:line="200" w:lineRule="exact"/>
              <w:jc w:val="right"/>
              <w:rPr>
                <w:noProof/>
                <w:sz w:val="16"/>
                <w:szCs w:val="16"/>
              </w:rPr>
            </w:pPr>
          </w:p>
        </w:tc>
        <w:tc>
          <w:tcPr>
            <w:tcW w:w="1080" w:type="dxa"/>
            <w:vAlign w:val="center"/>
          </w:tcPr>
          <w:p w:rsidR="00030C0D" w:rsidRDefault="00030C0D">
            <w:pPr>
              <w:spacing w:before="60" w:after="60" w:line="200" w:lineRule="exact"/>
              <w:jc w:val="right"/>
              <w:rPr>
                <w:b/>
                <w:noProof/>
                <w:sz w:val="16"/>
                <w:szCs w:val="16"/>
              </w:rPr>
            </w:pPr>
          </w:p>
        </w:tc>
        <w:tc>
          <w:tcPr>
            <w:tcW w:w="1080" w:type="dxa"/>
            <w:vAlign w:val="center"/>
          </w:tcPr>
          <w:p w:rsidR="00030C0D" w:rsidRDefault="00030C0D">
            <w:pPr>
              <w:spacing w:before="60" w:after="60" w:line="200" w:lineRule="exact"/>
              <w:jc w:val="right"/>
              <w:rPr>
                <w:b/>
                <w:noProof/>
                <w:sz w:val="16"/>
                <w:szCs w:val="16"/>
              </w:rPr>
            </w:pPr>
          </w:p>
        </w:tc>
      </w:tr>
    </w:tbl>
    <w:p w:rsidR="00030C0D" w:rsidRDefault="00030C0D">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30C0D">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030C0D" w:rsidRDefault="00986C69">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rsidR="00030C0D" w:rsidRDefault="00986C69">
            <w:pPr>
              <w:spacing w:before="60" w:after="60" w:line="200" w:lineRule="exact"/>
              <w:jc w:val="right"/>
              <w:rPr>
                <w:b/>
                <w:noProof/>
                <w:sz w:val="16"/>
                <w:szCs w:val="16"/>
              </w:rPr>
            </w:pPr>
            <w:r>
              <w:rPr>
                <w:noProof/>
                <w:sz w:val="16"/>
              </w:rPr>
              <w:t>0,483</w:t>
            </w:r>
          </w:p>
        </w:tc>
        <w:tc>
          <w:tcPr>
            <w:tcW w:w="1080" w:type="dxa"/>
            <w:tcBorders>
              <w:top w:val="single" w:sz="12" w:space="0" w:color="auto"/>
              <w:left w:val="single" w:sz="2" w:space="0" w:color="auto"/>
              <w:bottom w:val="single" w:sz="12" w:space="0" w:color="auto"/>
              <w:right w:val="single" w:sz="2" w:space="0" w:color="auto"/>
            </w:tcBorders>
            <w:vAlign w:val="center"/>
          </w:tcPr>
          <w:p w:rsidR="00030C0D" w:rsidRDefault="00986C69">
            <w:pPr>
              <w:spacing w:before="60" w:after="60" w:line="200" w:lineRule="exact"/>
              <w:jc w:val="right"/>
              <w:rPr>
                <w:b/>
                <w:noProof/>
                <w:sz w:val="16"/>
                <w:szCs w:val="16"/>
              </w:rPr>
            </w:pPr>
            <w:r>
              <w:rPr>
                <w:noProof/>
                <w:sz w:val="16"/>
              </w:rPr>
              <w:t>0,483</w:t>
            </w:r>
          </w:p>
        </w:tc>
        <w:tc>
          <w:tcPr>
            <w:tcW w:w="1080" w:type="dxa"/>
            <w:tcBorders>
              <w:top w:val="single" w:sz="12" w:space="0" w:color="auto"/>
              <w:left w:val="single" w:sz="2" w:space="0" w:color="auto"/>
              <w:bottom w:val="single" w:sz="12" w:space="0" w:color="auto"/>
              <w:right w:val="single" w:sz="2" w:space="0" w:color="auto"/>
            </w:tcBorders>
            <w:vAlign w:val="center"/>
          </w:tcPr>
          <w:p w:rsidR="00030C0D" w:rsidRDefault="00986C69">
            <w:pPr>
              <w:spacing w:before="60" w:after="60" w:line="200" w:lineRule="exact"/>
              <w:jc w:val="right"/>
              <w:rPr>
                <w:b/>
                <w:noProof/>
                <w:sz w:val="16"/>
                <w:szCs w:val="16"/>
              </w:rPr>
            </w:pPr>
            <w:r>
              <w:rPr>
                <w:noProof/>
                <w:sz w:val="16"/>
              </w:rPr>
              <w:t>0,483</w:t>
            </w:r>
          </w:p>
        </w:tc>
        <w:tc>
          <w:tcPr>
            <w:tcW w:w="1080" w:type="dxa"/>
            <w:tcBorders>
              <w:top w:val="single" w:sz="12" w:space="0" w:color="auto"/>
              <w:left w:val="single" w:sz="2" w:space="0" w:color="auto"/>
              <w:bottom w:val="single" w:sz="12" w:space="0" w:color="auto"/>
              <w:right w:val="single" w:sz="2" w:space="0" w:color="auto"/>
            </w:tcBorders>
            <w:vAlign w:val="center"/>
          </w:tcPr>
          <w:p w:rsidR="00030C0D" w:rsidRDefault="00986C69">
            <w:pPr>
              <w:spacing w:before="60" w:after="60" w:line="200" w:lineRule="exact"/>
              <w:jc w:val="right"/>
              <w:rPr>
                <w:b/>
                <w:noProof/>
                <w:sz w:val="16"/>
                <w:szCs w:val="16"/>
              </w:rPr>
            </w:pPr>
            <w:r>
              <w:rPr>
                <w:noProof/>
                <w:sz w:val="16"/>
              </w:rPr>
              <w:t>0,483</w:t>
            </w:r>
          </w:p>
        </w:tc>
        <w:tc>
          <w:tcPr>
            <w:tcW w:w="1080" w:type="dxa"/>
            <w:tcBorders>
              <w:top w:val="single" w:sz="12" w:space="0" w:color="auto"/>
              <w:left w:val="single" w:sz="2" w:space="0" w:color="auto"/>
              <w:bottom w:val="single" w:sz="12" w:space="0" w:color="auto"/>
              <w:right w:val="single" w:sz="2" w:space="0" w:color="auto"/>
            </w:tcBorders>
            <w:vAlign w:val="center"/>
          </w:tcPr>
          <w:p w:rsidR="00030C0D" w:rsidRDefault="00986C69">
            <w:pPr>
              <w:spacing w:before="60" w:after="60" w:line="200" w:lineRule="exact"/>
              <w:jc w:val="right"/>
              <w:rPr>
                <w:b/>
                <w:noProof/>
                <w:sz w:val="16"/>
                <w:szCs w:val="16"/>
              </w:rPr>
            </w:pPr>
            <w:r>
              <w:rPr>
                <w:noProof/>
                <w:sz w:val="16"/>
              </w:rPr>
              <w:t>0,483</w:t>
            </w:r>
          </w:p>
        </w:tc>
        <w:tc>
          <w:tcPr>
            <w:tcW w:w="1080" w:type="dxa"/>
            <w:tcBorders>
              <w:top w:val="single" w:sz="12" w:space="0" w:color="auto"/>
              <w:left w:val="single" w:sz="2" w:space="0" w:color="auto"/>
              <w:bottom w:val="single" w:sz="12" w:space="0" w:color="auto"/>
              <w:right w:val="single" w:sz="2" w:space="0" w:color="auto"/>
            </w:tcBorders>
            <w:vAlign w:val="center"/>
          </w:tcPr>
          <w:p w:rsidR="00030C0D" w:rsidRDefault="00030C0D">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030C0D" w:rsidRDefault="00030C0D">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030C0D" w:rsidRDefault="00986C69">
            <w:pPr>
              <w:spacing w:before="60" w:after="60" w:line="200" w:lineRule="exact"/>
              <w:jc w:val="right"/>
              <w:rPr>
                <w:b/>
                <w:noProof/>
                <w:sz w:val="16"/>
                <w:szCs w:val="16"/>
              </w:rPr>
            </w:pPr>
            <w:r>
              <w:rPr>
                <w:noProof/>
                <w:sz w:val="16"/>
              </w:rPr>
              <w:t>2,415</w:t>
            </w:r>
          </w:p>
        </w:tc>
      </w:tr>
    </w:tbl>
    <w:p w:rsidR="00030C0D" w:rsidRDefault="00986C69">
      <w:pPr>
        <w:rPr>
          <w:noProof/>
          <w:sz w:val="18"/>
        </w:rPr>
      </w:pPr>
      <w:r>
        <w:rPr>
          <w:noProof/>
          <w:sz w:val="18"/>
        </w:rPr>
        <w:t xml:space="preserve">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w:t>
      </w:r>
      <w:r>
        <w:rPr>
          <w:noProof/>
          <w:sz w:val="18"/>
        </w:rPr>
        <w:t>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030C0D" w:rsidRDefault="00030C0D">
      <w:pPr>
        <w:rPr>
          <w:noProof/>
          <w:sz w:val="18"/>
        </w:rPr>
        <w:sectPr w:rsidR="00030C0D">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rsidR="00030C0D" w:rsidRDefault="00986C69">
      <w:pPr>
        <w:pStyle w:val="ManualHeading4"/>
        <w:rPr>
          <w:bCs/>
          <w:noProof/>
          <w:szCs w:val="24"/>
        </w:rPr>
      </w:pPr>
      <w:r>
        <w:rPr>
          <w:noProof/>
        </w:rPr>
        <w:t>3.2.3.2.</w:t>
      </w:r>
      <w:r>
        <w:rPr>
          <w:noProof/>
        </w:rPr>
        <w:tab/>
        <w:t>Очаквани нужди от човешки ресурси</w:t>
      </w:r>
    </w:p>
    <w:p w:rsidR="00030C0D" w:rsidRDefault="00986C69">
      <w:pPr>
        <w:pStyle w:val="ListDash1"/>
        <w:rPr>
          <w:noProof/>
        </w:rPr>
      </w:pPr>
      <w:r>
        <w:rPr>
          <w:noProof/>
        </w:rPr>
        <w:t>Предложението/инициативата налага използване на човешки ресурси съгласно обяснението по-долу:</w:t>
      </w:r>
    </w:p>
    <w:p w:rsidR="00030C0D" w:rsidRDefault="00986C69">
      <w:pPr>
        <w:spacing w:after="60"/>
        <w:jc w:val="right"/>
        <w:rPr>
          <w:i/>
          <w:noProof/>
          <w:sz w:val="20"/>
        </w:rPr>
      </w:pPr>
      <w:r>
        <w:rPr>
          <w:i/>
          <w:noProof/>
          <w:sz w:val="20"/>
        </w:rPr>
        <w:t>Оценката се посочва в еквиваленти на пълно работно време</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3"/>
        <w:gridCol w:w="1955"/>
        <w:gridCol w:w="655"/>
        <w:gridCol w:w="655"/>
        <w:gridCol w:w="2105"/>
        <w:gridCol w:w="1440"/>
        <w:gridCol w:w="1051"/>
        <w:gridCol w:w="237"/>
        <w:gridCol w:w="237"/>
      </w:tblGrid>
      <w:tr w:rsidR="00030C0D">
        <w:trPr>
          <w:gridBefore w:val="1"/>
          <w:wBefore w:w="6" w:type="pct"/>
          <w:trHeight w:val="289"/>
          <w:jc w:val="center"/>
        </w:trPr>
        <w:tc>
          <w:tcPr>
            <w:tcW w:w="1897" w:type="pct"/>
            <w:gridSpan w:val="2"/>
            <w:shd w:val="clear" w:color="auto" w:fill="auto"/>
          </w:tcPr>
          <w:p w:rsidR="00030C0D" w:rsidRDefault="00030C0D">
            <w:pPr>
              <w:pStyle w:val="Text1"/>
              <w:spacing w:before="40" w:after="40"/>
              <w:ind w:left="0"/>
              <w:jc w:val="center"/>
              <w:rPr>
                <w:i/>
                <w:noProof/>
                <w:sz w:val="16"/>
                <w:szCs w:val="16"/>
              </w:rPr>
            </w:pPr>
          </w:p>
        </w:tc>
        <w:tc>
          <w:tcPr>
            <w:tcW w:w="318" w:type="pct"/>
            <w:shd w:val="clear" w:color="auto" w:fill="auto"/>
            <w:vAlign w:val="center"/>
          </w:tcPr>
          <w:p w:rsidR="00030C0D" w:rsidRDefault="00986C69">
            <w:pPr>
              <w:spacing w:before="20" w:after="20"/>
              <w:jc w:val="center"/>
              <w:rPr>
                <w:noProof/>
                <w:sz w:val="16"/>
                <w:szCs w:val="16"/>
              </w:rPr>
            </w:pPr>
            <w:r>
              <w:rPr>
                <w:noProof/>
                <w:sz w:val="16"/>
              </w:rPr>
              <w:t>2016</w:t>
            </w:r>
          </w:p>
        </w:tc>
        <w:tc>
          <w:tcPr>
            <w:tcW w:w="318" w:type="pct"/>
            <w:shd w:val="clear" w:color="auto" w:fill="auto"/>
            <w:vAlign w:val="center"/>
          </w:tcPr>
          <w:p w:rsidR="00030C0D" w:rsidRDefault="00986C69">
            <w:pPr>
              <w:spacing w:before="20" w:after="20"/>
              <w:jc w:val="center"/>
              <w:rPr>
                <w:noProof/>
                <w:sz w:val="16"/>
                <w:szCs w:val="16"/>
              </w:rPr>
            </w:pPr>
            <w:r>
              <w:rPr>
                <w:noProof/>
                <w:sz w:val="16"/>
              </w:rPr>
              <w:t>2017</w:t>
            </w:r>
          </w:p>
        </w:tc>
        <w:tc>
          <w:tcPr>
            <w:tcW w:w="1022" w:type="pct"/>
            <w:shd w:val="clear" w:color="auto" w:fill="auto"/>
            <w:vAlign w:val="center"/>
          </w:tcPr>
          <w:p w:rsidR="00030C0D" w:rsidRDefault="00986C69">
            <w:pPr>
              <w:spacing w:before="20" w:after="20"/>
              <w:jc w:val="center"/>
              <w:rPr>
                <w:noProof/>
                <w:sz w:val="16"/>
                <w:szCs w:val="16"/>
              </w:rPr>
            </w:pPr>
            <w:r>
              <w:rPr>
                <w:noProof/>
                <w:sz w:val="16"/>
              </w:rPr>
              <w:t>2018</w:t>
            </w:r>
          </w:p>
        </w:tc>
        <w:tc>
          <w:tcPr>
            <w:tcW w:w="699" w:type="pct"/>
            <w:shd w:val="clear" w:color="auto" w:fill="auto"/>
            <w:vAlign w:val="center"/>
          </w:tcPr>
          <w:p w:rsidR="00030C0D" w:rsidRDefault="00986C69">
            <w:pPr>
              <w:spacing w:before="20" w:after="20"/>
              <w:jc w:val="center"/>
              <w:rPr>
                <w:noProof/>
                <w:sz w:val="16"/>
                <w:szCs w:val="16"/>
              </w:rPr>
            </w:pPr>
            <w:r>
              <w:rPr>
                <w:noProof/>
                <w:sz w:val="16"/>
              </w:rPr>
              <w:t>2019</w:t>
            </w:r>
          </w:p>
        </w:tc>
        <w:tc>
          <w:tcPr>
            <w:tcW w:w="510" w:type="pct"/>
            <w:shd w:val="clear" w:color="auto" w:fill="auto"/>
            <w:vAlign w:val="center"/>
          </w:tcPr>
          <w:p w:rsidR="00030C0D" w:rsidRDefault="00986C69">
            <w:pPr>
              <w:jc w:val="center"/>
              <w:rPr>
                <w:b/>
                <w:noProof/>
                <w:sz w:val="16"/>
                <w:szCs w:val="16"/>
              </w:rPr>
            </w:pPr>
            <w:r>
              <w:rPr>
                <w:noProof/>
                <w:sz w:val="18"/>
              </w:rPr>
              <w:t>2020</w:t>
            </w:r>
          </w:p>
        </w:tc>
        <w:tc>
          <w:tcPr>
            <w:tcW w:w="115" w:type="pct"/>
            <w:shd w:val="clear" w:color="auto" w:fill="auto"/>
            <w:vAlign w:val="center"/>
          </w:tcPr>
          <w:p w:rsidR="00030C0D" w:rsidRDefault="00030C0D">
            <w:pPr>
              <w:jc w:val="center"/>
              <w:rPr>
                <w:b/>
                <w:noProof/>
                <w:sz w:val="16"/>
                <w:szCs w:val="16"/>
              </w:rPr>
            </w:pPr>
          </w:p>
        </w:tc>
        <w:tc>
          <w:tcPr>
            <w:tcW w:w="115" w:type="pct"/>
            <w:shd w:val="clear" w:color="auto" w:fill="auto"/>
            <w:vAlign w:val="center"/>
          </w:tcPr>
          <w:p w:rsidR="00030C0D" w:rsidRDefault="00030C0D">
            <w:pPr>
              <w:jc w:val="center"/>
              <w:rPr>
                <w:b/>
                <w:noProof/>
                <w:sz w:val="16"/>
                <w:szCs w:val="16"/>
              </w:rPr>
            </w:pPr>
          </w:p>
        </w:tc>
      </w:tr>
      <w:tr w:rsidR="00030C0D">
        <w:trPr>
          <w:gridBefore w:val="1"/>
          <w:wBefore w:w="6" w:type="pct"/>
          <w:trHeight w:val="289"/>
          <w:jc w:val="center"/>
        </w:trPr>
        <w:tc>
          <w:tcPr>
            <w:tcW w:w="3555" w:type="pct"/>
            <w:gridSpan w:val="5"/>
            <w:shd w:val="clear" w:color="auto" w:fill="auto"/>
          </w:tcPr>
          <w:p w:rsidR="00030C0D" w:rsidRDefault="00986C69">
            <w:pPr>
              <w:spacing w:before="20" w:after="20"/>
              <w:rPr>
                <w:noProof/>
                <w:sz w:val="16"/>
                <w:szCs w:val="16"/>
              </w:rPr>
            </w:pPr>
            <w:r>
              <w:rPr>
                <w:b/>
                <w:noProof/>
                <w:sz w:val="16"/>
              </w:rPr>
              <w:sym w:font="Wingdings" w:char="F09F"/>
            </w:r>
            <w:r>
              <w:rPr>
                <w:b/>
                <w:noProof/>
                <w:sz w:val="16"/>
              </w:rPr>
              <w:t xml:space="preserve"> Длъжности в щатното разписанив (длъжностни лица и временно наети лица)</w:t>
            </w:r>
          </w:p>
        </w:tc>
        <w:tc>
          <w:tcPr>
            <w:tcW w:w="699" w:type="pct"/>
            <w:shd w:val="clear" w:color="auto" w:fill="auto"/>
            <w:vAlign w:val="center"/>
          </w:tcPr>
          <w:p w:rsidR="00030C0D" w:rsidRDefault="00030C0D">
            <w:pPr>
              <w:spacing w:before="20" w:after="20"/>
              <w:jc w:val="center"/>
              <w:rPr>
                <w:noProof/>
                <w:sz w:val="16"/>
                <w:szCs w:val="16"/>
              </w:rPr>
            </w:pPr>
          </w:p>
        </w:tc>
        <w:tc>
          <w:tcPr>
            <w:tcW w:w="740" w:type="pct"/>
            <w:gridSpan w:val="3"/>
            <w:shd w:val="clear" w:color="auto" w:fill="auto"/>
            <w:vAlign w:val="center"/>
          </w:tcPr>
          <w:p w:rsidR="00030C0D" w:rsidRDefault="00030C0D">
            <w:pPr>
              <w:jc w:val="center"/>
              <w:rPr>
                <w:noProof/>
                <w:sz w:val="16"/>
                <w:szCs w:val="16"/>
              </w:rPr>
            </w:pPr>
          </w:p>
        </w:tc>
      </w:tr>
      <w:tr w:rsidR="00030C0D">
        <w:trPr>
          <w:gridBefore w:val="1"/>
          <w:wBefore w:w="6" w:type="pct"/>
          <w:trHeight w:val="289"/>
          <w:jc w:val="center"/>
        </w:trPr>
        <w:tc>
          <w:tcPr>
            <w:tcW w:w="1897" w:type="pct"/>
            <w:gridSpan w:val="2"/>
            <w:shd w:val="clear" w:color="auto" w:fill="auto"/>
            <w:vAlign w:val="center"/>
          </w:tcPr>
          <w:p w:rsidR="00030C0D" w:rsidRDefault="00986C69">
            <w:pPr>
              <w:pStyle w:val="Text1"/>
              <w:spacing w:beforeLines="20" w:before="48" w:afterLines="20" w:after="48"/>
              <w:ind w:left="134"/>
              <w:jc w:val="left"/>
              <w:rPr>
                <w:b/>
                <w:noProof/>
                <w:sz w:val="16"/>
                <w:szCs w:val="16"/>
              </w:rPr>
            </w:pPr>
            <w:r>
              <w:rPr>
                <w:noProof/>
                <w:sz w:val="16"/>
              </w:rPr>
              <w:t>32 01 01 01 (Централа и представителства на Комисията)</w:t>
            </w:r>
          </w:p>
        </w:tc>
        <w:tc>
          <w:tcPr>
            <w:tcW w:w="318" w:type="pct"/>
            <w:shd w:val="clear" w:color="auto" w:fill="auto"/>
            <w:vAlign w:val="center"/>
          </w:tcPr>
          <w:p w:rsidR="00030C0D" w:rsidRDefault="00986C69">
            <w:pPr>
              <w:spacing w:beforeLines="20" w:before="48" w:afterLines="20" w:after="48"/>
              <w:jc w:val="center"/>
              <w:rPr>
                <w:noProof/>
                <w:sz w:val="16"/>
                <w:szCs w:val="16"/>
              </w:rPr>
            </w:pPr>
            <w:r>
              <w:rPr>
                <w:noProof/>
                <w:sz w:val="16"/>
              </w:rPr>
              <w:t>3</w:t>
            </w:r>
          </w:p>
        </w:tc>
        <w:tc>
          <w:tcPr>
            <w:tcW w:w="318" w:type="pct"/>
            <w:shd w:val="clear" w:color="auto" w:fill="auto"/>
            <w:vAlign w:val="center"/>
          </w:tcPr>
          <w:p w:rsidR="00030C0D" w:rsidRDefault="00986C69">
            <w:pPr>
              <w:spacing w:beforeLines="20" w:before="48" w:afterLines="20" w:after="48"/>
              <w:jc w:val="center"/>
              <w:rPr>
                <w:noProof/>
                <w:sz w:val="16"/>
                <w:szCs w:val="16"/>
              </w:rPr>
            </w:pPr>
            <w:r>
              <w:rPr>
                <w:noProof/>
                <w:sz w:val="16"/>
              </w:rPr>
              <w:t>3</w:t>
            </w:r>
          </w:p>
        </w:tc>
        <w:tc>
          <w:tcPr>
            <w:tcW w:w="1022" w:type="pct"/>
            <w:shd w:val="clear" w:color="auto" w:fill="auto"/>
            <w:vAlign w:val="center"/>
          </w:tcPr>
          <w:p w:rsidR="00030C0D" w:rsidRDefault="00986C69">
            <w:pPr>
              <w:spacing w:beforeLines="20" w:before="48" w:afterLines="20" w:after="48"/>
              <w:jc w:val="center"/>
              <w:rPr>
                <w:noProof/>
                <w:sz w:val="16"/>
                <w:szCs w:val="16"/>
              </w:rPr>
            </w:pPr>
            <w:r>
              <w:rPr>
                <w:noProof/>
                <w:sz w:val="16"/>
              </w:rPr>
              <w:t>3</w:t>
            </w:r>
          </w:p>
        </w:tc>
        <w:tc>
          <w:tcPr>
            <w:tcW w:w="699" w:type="pct"/>
            <w:shd w:val="clear" w:color="auto" w:fill="auto"/>
            <w:vAlign w:val="center"/>
          </w:tcPr>
          <w:p w:rsidR="00030C0D" w:rsidRDefault="00986C69">
            <w:pPr>
              <w:spacing w:beforeLines="20" w:before="48" w:afterLines="20" w:after="48"/>
              <w:jc w:val="center"/>
              <w:rPr>
                <w:noProof/>
                <w:sz w:val="16"/>
                <w:szCs w:val="16"/>
              </w:rPr>
            </w:pPr>
            <w:r>
              <w:rPr>
                <w:noProof/>
                <w:sz w:val="16"/>
              </w:rPr>
              <w:t>3</w:t>
            </w:r>
          </w:p>
        </w:tc>
        <w:tc>
          <w:tcPr>
            <w:tcW w:w="510" w:type="pct"/>
            <w:shd w:val="clear" w:color="auto" w:fill="auto"/>
            <w:vAlign w:val="center"/>
          </w:tcPr>
          <w:p w:rsidR="00030C0D" w:rsidRDefault="00986C69">
            <w:pPr>
              <w:spacing w:beforeLines="20" w:before="48" w:afterLines="20" w:after="48"/>
              <w:jc w:val="center"/>
              <w:rPr>
                <w:noProof/>
                <w:sz w:val="16"/>
                <w:szCs w:val="16"/>
              </w:rPr>
            </w:pPr>
            <w:r>
              <w:rPr>
                <w:noProof/>
                <w:sz w:val="16"/>
              </w:rPr>
              <w:t>3</w:t>
            </w:r>
          </w:p>
        </w:tc>
        <w:tc>
          <w:tcPr>
            <w:tcW w:w="115" w:type="pct"/>
            <w:shd w:val="clear" w:color="auto" w:fill="auto"/>
            <w:vAlign w:val="center"/>
          </w:tcPr>
          <w:p w:rsidR="00030C0D" w:rsidRDefault="00030C0D">
            <w:pPr>
              <w:spacing w:beforeLines="20" w:before="48" w:afterLines="20" w:after="48"/>
              <w:jc w:val="center"/>
              <w:rPr>
                <w:noProof/>
                <w:sz w:val="16"/>
                <w:szCs w:val="16"/>
              </w:rPr>
            </w:pPr>
          </w:p>
        </w:tc>
        <w:tc>
          <w:tcPr>
            <w:tcW w:w="115" w:type="pct"/>
            <w:shd w:val="clear" w:color="auto" w:fill="auto"/>
            <w:vAlign w:val="center"/>
          </w:tcPr>
          <w:p w:rsidR="00030C0D" w:rsidRDefault="00030C0D">
            <w:pPr>
              <w:spacing w:beforeLines="20" w:before="48" w:afterLines="20" w:after="48"/>
              <w:jc w:val="center"/>
              <w:rPr>
                <w:noProof/>
                <w:sz w:val="16"/>
                <w:szCs w:val="16"/>
              </w:rPr>
            </w:pPr>
          </w:p>
        </w:tc>
      </w:tr>
      <w:tr w:rsidR="00030C0D">
        <w:trPr>
          <w:gridBefore w:val="1"/>
          <w:wBefore w:w="6" w:type="pct"/>
          <w:trHeight w:val="289"/>
          <w:jc w:val="center"/>
        </w:trPr>
        <w:tc>
          <w:tcPr>
            <w:tcW w:w="1897" w:type="pct"/>
            <w:gridSpan w:val="2"/>
            <w:shd w:val="clear" w:color="auto" w:fill="auto"/>
            <w:vAlign w:val="center"/>
          </w:tcPr>
          <w:p w:rsidR="00030C0D" w:rsidRDefault="00986C69">
            <w:pPr>
              <w:pStyle w:val="Text1"/>
              <w:spacing w:beforeLines="20" w:before="48" w:afterLines="20" w:after="48"/>
              <w:ind w:left="134"/>
              <w:jc w:val="left"/>
              <w:rPr>
                <w:noProof/>
                <w:sz w:val="16"/>
                <w:szCs w:val="16"/>
              </w:rPr>
            </w:pPr>
            <w:r>
              <w:rPr>
                <w:noProof/>
                <w:sz w:val="16"/>
              </w:rPr>
              <w:t>XX 01 01 02 (Делегации)</w:t>
            </w:r>
          </w:p>
        </w:tc>
        <w:tc>
          <w:tcPr>
            <w:tcW w:w="318" w:type="pct"/>
            <w:shd w:val="clear" w:color="auto" w:fill="auto"/>
            <w:vAlign w:val="center"/>
          </w:tcPr>
          <w:p w:rsidR="00030C0D" w:rsidRDefault="00030C0D">
            <w:pPr>
              <w:spacing w:beforeLines="20" w:before="48" w:afterLines="20" w:after="48"/>
              <w:jc w:val="center"/>
              <w:rPr>
                <w:noProof/>
                <w:sz w:val="16"/>
                <w:szCs w:val="16"/>
              </w:rPr>
            </w:pPr>
          </w:p>
        </w:tc>
        <w:tc>
          <w:tcPr>
            <w:tcW w:w="318" w:type="pct"/>
            <w:shd w:val="clear" w:color="auto" w:fill="auto"/>
            <w:vAlign w:val="center"/>
          </w:tcPr>
          <w:p w:rsidR="00030C0D" w:rsidRDefault="00030C0D">
            <w:pPr>
              <w:spacing w:beforeLines="20" w:before="48" w:afterLines="20" w:after="48"/>
              <w:jc w:val="center"/>
              <w:rPr>
                <w:noProof/>
                <w:sz w:val="16"/>
                <w:szCs w:val="16"/>
              </w:rPr>
            </w:pPr>
          </w:p>
        </w:tc>
        <w:tc>
          <w:tcPr>
            <w:tcW w:w="1022" w:type="pct"/>
            <w:shd w:val="clear" w:color="auto" w:fill="auto"/>
            <w:vAlign w:val="center"/>
          </w:tcPr>
          <w:p w:rsidR="00030C0D" w:rsidRDefault="00030C0D">
            <w:pPr>
              <w:spacing w:beforeLines="20" w:before="48" w:afterLines="20" w:after="48"/>
              <w:jc w:val="center"/>
              <w:rPr>
                <w:noProof/>
                <w:sz w:val="16"/>
                <w:szCs w:val="16"/>
              </w:rPr>
            </w:pPr>
          </w:p>
        </w:tc>
        <w:tc>
          <w:tcPr>
            <w:tcW w:w="699" w:type="pct"/>
            <w:shd w:val="clear" w:color="auto" w:fill="auto"/>
            <w:vAlign w:val="center"/>
          </w:tcPr>
          <w:p w:rsidR="00030C0D" w:rsidRDefault="00030C0D">
            <w:pPr>
              <w:spacing w:beforeLines="20" w:before="48" w:afterLines="20" w:after="48"/>
              <w:jc w:val="center"/>
              <w:rPr>
                <w:noProof/>
                <w:sz w:val="16"/>
                <w:szCs w:val="16"/>
              </w:rPr>
            </w:pPr>
          </w:p>
        </w:tc>
        <w:tc>
          <w:tcPr>
            <w:tcW w:w="510" w:type="pct"/>
            <w:shd w:val="clear" w:color="auto" w:fill="auto"/>
            <w:vAlign w:val="center"/>
          </w:tcPr>
          <w:p w:rsidR="00030C0D" w:rsidRDefault="00030C0D">
            <w:pPr>
              <w:spacing w:beforeLines="20" w:before="48" w:afterLines="20" w:after="48"/>
              <w:jc w:val="center"/>
              <w:rPr>
                <w:noProof/>
                <w:sz w:val="16"/>
                <w:szCs w:val="16"/>
              </w:rPr>
            </w:pPr>
          </w:p>
        </w:tc>
        <w:tc>
          <w:tcPr>
            <w:tcW w:w="115" w:type="pct"/>
            <w:shd w:val="clear" w:color="auto" w:fill="auto"/>
            <w:vAlign w:val="center"/>
          </w:tcPr>
          <w:p w:rsidR="00030C0D" w:rsidRDefault="00030C0D">
            <w:pPr>
              <w:spacing w:beforeLines="20" w:before="48" w:afterLines="20" w:after="48"/>
              <w:jc w:val="center"/>
              <w:rPr>
                <w:noProof/>
                <w:sz w:val="16"/>
                <w:szCs w:val="16"/>
              </w:rPr>
            </w:pPr>
          </w:p>
        </w:tc>
        <w:tc>
          <w:tcPr>
            <w:tcW w:w="115" w:type="pct"/>
            <w:shd w:val="clear" w:color="auto" w:fill="auto"/>
            <w:vAlign w:val="center"/>
          </w:tcPr>
          <w:p w:rsidR="00030C0D" w:rsidRDefault="00030C0D">
            <w:pPr>
              <w:spacing w:beforeLines="20" w:before="48" w:afterLines="20" w:after="48"/>
              <w:jc w:val="center"/>
              <w:rPr>
                <w:noProof/>
                <w:sz w:val="16"/>
                <w:szCs w:val="16"/>
              </w:rPr>
            </w:pPr>
          </w:p>
        </w:tc>
      </w:tr>
      <w:tr w:rsidR="00030C0D">
        <w:trPr>
          <w:gridBefore w:val="1"/>
          <w:wBefore w:w="6" w:type="pct"/>
          <w:trHeight w:val="289"/>
          <w:jc w:val="center"/>
        </w:trPr>
        <w:tc>
          <w:tcPr>
            <w:tcW w:w="1897" w:type="pct"/>
            <w:gridSpan w:val="2"/>
            <w:shd w:val="clear" w:color="auto" w:fill="auto"/>
            <w:vAlign w:val="center"/>
          </w:tcPr>
          <w:p w:rsidR="00030C0D" w:rsidRDefault="00986C69">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318" w:type="pct"/>
            <w:shd w:val="clear" w:color="auto" w:fill="auto"/>
            <w:vAlign w:val="center"/>
          </w:tcPr>
          <w:p w:rsidR="00030C0D" w:rsidRDefault="00030C0D">
            <w:pPr>
              <w:spacing w:beforeLines="20" w:before="48" w:afterLines="20" w:after="48"/>
              <w:jc w:val="center"/>
              <w:rPr>
                <w:noProof/>
                <w:sz w:val="16"/>
                <w:szCs w:val="16"/>
              </w:rPr>
            </w:pPr>
          </w:p>
        </w:tc>
        <w:tc>
          <w:tcPr>
            <w:tcW w:w="318" w:type="pct"/>
            <w:shd w:val="clear" w:color="auto" w:fill="auto"/>
            <w:vAlign w:val="center"/>
          </w:tcPr>
          <w:p w:rsidR="00030C0D" w:rsidRDefault="00030C0D">
            <w:pPr>
              <w:spacing w:beforeLines="20" w:before="48" w:afterLines="20" w:after="48"/>
              <w:jc w:val="center"/>
              <w:rPr>
                <w:noProof/>
                <w:sz w:val="16"/>
                <w:szCs w:val="16"/>
              </w:rPr>
            </w:pPr>
          </w:p>
        </w:tc>
        <w:tc>
          <w:tcPr>
            <w:tcW w:w="1022" w:type="pct"/>
            <w:shd w:val="clear" w:color="auto" w:fill="auto"/>
            <w:vAlign w:val="center"/>
          </w:tcPr>
          <w:p w:rsidR="00030C0D" w:rsidRDefault="00030C0D">
            <w:pPr>
              <w:spacing w:beforeLines="20" w:before="48" w:afterLines="20" w:after="48"/>
              <w:jc w:val="center"/>
              <w:rPr>
                <w:noProof/>
                <w:sz w:val="16"/>
                <w:szCs w:val="16"/>
              </w:rPr>
            </w:pPr>
          </w:p>
        </w:tc>
        <w:tc>
          <w:tcPr>
            <w:tcW w:w="699" w:type="pct"/>
            <w:shd w:val="clear" w:color="auto" w:fill="auto"/>
            <w:vAlign w:val="center"/>
          </w:tcPr>
          <w:p w:rsidR="00030C0D" w:rsidRDefault="00030C0D">
            <w:pPr>
              <w:spacing w:beforeLines="20" w:before="48" w:afterLines="20" w:after="48"/>
              <w:jc w:val="center"/>
              <w:rPr>
                <w:noProof/>
                <w:sz w:val="16"/>
                <w:szCs w:val="16"/>
              </w:rPr>
            </w:pPr>
          </w:p>
        </w:tc>
        <w:tc>
          <w:tcPr>
            <w:tcW w:w="510" w:type="pct"/>
            <w:shd w:val="clear" w:color="auto" w:fill="auto"/>
            <w:vAlign w:val="center"/>
          </w:tcPr>
          <w:p w:rsidR="00030C0D" w:rsidRDefault="00030C0D">
            <w:pPr>
              <w:spacing w:beforeLines="20" w:before="48" w:afterLines="20" w:after="48"/>
              <w:jc w:val="center"/>
              <w:rPr>
                <w:noProof/>
                <w:sz w:val="16"/>
                <w:szCs w:val="16"/>
              </w:rPr>
            </w:pPr>
          </w:p>
        </w:tc>
        <w:tc>
          <w:tcPr>
            <w:tcW w:w="115" w:type="pct"/>
            <w:shd w:val="clear" w:color="auto" w:fill="auto"/>
            <w:vAlign w:val="center"/>
          </w:tcPr>
          <w:p w:rsidR="00030C0D" w:rsidRDefault="00030C0D">
            <w:pPr>
              <w:spacing w:beforeLines="20" w:before="48" w:afterLines="20" w:after="48"/>
              <w:jc w:val="center"/>
              <w:rPr>
                <w:noProof/>
                <w:sz w:val="16"/>
                <w:szCs w:val="16"/>
              </w:rPr>
            </w:pPr>
          </w:p>
        </w:tc>
        <w:tc>
          <w:tcPr>
            <w:tcW w:w="115" w:type="pct"/>
            <w:shd w:val="clear" w:color="auto" w:fill="auto"/>
            <w:vAlign w:val="center"/>
          </w:tcPr>
          <w:p w:rsidR="00030C0D" w:rsidRDefault="00030C0D">
            <w:pPr>
              <w:spacing w:beforeLines="20" w:before="48" w:afterLines="20" w:after="48"/>
              <w:jc w:val="center"/>
              <w:rPr>
                <w:noProof/>
                <w:sz w:val="16"/>
                <w:szCs w:val="16"/>
              </w:rPr>
            </w:pPr>
          </w:p>
        </w:tc>
      </w:tr>
      <w:tr w:rsidR="00030C0D">
        <w:trPr>
          <w:gridBefore w:val="1"/>
          <w:wBefore w:w="6" w:type="pct"/>
          <w:trHeight w:val="289"/>
          <w:jc w:val="center"/>
        </w:trPr>
        <w:tc>
          <w:tcPr>
            <w:tcW w:w="1897" w:type="pct"/>
            <w:gridSpan w:val="2"/>
            <w:shd w:val="clear" w:color="auto" w:fill="auto"/>
            <w:vAlign w:val="center"/>
          </w:tcPr>
          <w:p w:rsidR="00030C0D" w:rsidRDefault="00986C69">
            <w:pPr>
              <w:pStyle w:val="Text1"/>
              <w:spacing w:beforeLines="20" w:before="48" w:afterLines="20" w:after="48"/>
              <w:ind w:left="134"/>
              <w:jc w:val="left"/>
              <w:rPr>
                <w:noProof/>
                <w:sz w:val="16"/>
                <w:szCs w:val="16"/>
              </w:rPr>
            </w:pPr>
            <w:r>
              <w:rPr>
                <w:noProof/>
                <w:sz w:val="16"/>
              </w:rPr>
              <w:t>10</w:t>
            </w:r>
            <w:r>
              <w:rPr>
                <w:noProof/>
                <w:sz w:val="16"/>
              </w:rPr>
              <w:t xml:space="preserve"> 01 05 01 (Преки научни изследвания)</w:t>
            </w:r>
          </w:p>
        </w:tc>
        <w:tc>
          <w:tcPr>
            <w:tcW w:w="318" w:type="pct"/>
            <w:shd w:val="clear" w:color="auto" w:fill="auto"/>
            <w:vAlign w:val="center"/>
          </w:tcPr>
          <w:p w:rsidR="00030C0D" w:rsidRDefault="00030C0D">
            <w:pPr>
              <w:spacing w:beforeLines="20" w:before="48" w:afterLines="20" w:after="48"/>
              <w:jc w:val="center"/>
              <w:rPr>
                <w:noProof/>
                <w:sz w:val="16"/>
                <w:szCs w:val="16"/>
              </w:rPr>
            </w:pPr>
          </w:p>
        </w:tc>
        <w:tc>
          <w:tcPr>
            <w:tcW w:w="318" w:type="pct"/>
            <w:shd w:val="clear" w:color="auto" w:fill="auto"/>
            <w:vAlign w:val="center"/>
          </w:tcPr>
          <w:p w:rsidR="00030C0D" w:rsidRDefault="00030C0D">
            <w:pPr>
              <w:spacing w:beforeLines="20" w:before="48" w:afterLines="20" w:after="48"/>
              <w:jc w:val="center"/>
              <w:rPr>
                <w:noProof/>
                <w:sz w:val="16"/>
                <w:szCs w:val="16"/>
              </w:rPr>
            </w:pPr>
          </w:p>
        </w:tc>
        <w:tc>
          <w:tcPr>
            <w:tcW w:w="1022" w:type="pct"/>
            <w:shd w:val="clear" w:color="auto" w:fill="auto"/>
            <w:vAlign w:val="center"/>
          </w:tcPr>
          <w:p w:rsidR="00030C0D" w:rsidRDefault="00030C0D">
            <w:pPr>
              <w:spacing w:beforeLines="20" w:before="48" w:afterLines="20" w:after="48"/>
              <w:jc w:val="center"/>
              <w:rPr>
                <w:noProof/>
                <w:sz w:val="16"/>
                <w:szCs w:val="16"/>
              </w:rPr>
            </w:pPr>
          </w:p>
        </w:tc>
        <w:tc>
          <w:tcPr>
            <w:tcW w:w="699" w:type="pct"/>
            <w:shd w:val="clear" w:color="auto" w:fill="auto"/>
            <w:vAlign w:val="center"/>
          </w:tcPr>
          <w:p w:rsidR="00030C0D" w:rsidRDefault="00030C0D">
            <w:pPr>
              <w:spacing w:beforeLines="20" w:before="48" w:afterLines="20" w:after="48"/>
              <w:jc w:val="center"/>
              <w:rPr>
                <w:noProof/>
                <w:sz w:val="16"/>
                <w:szCs w:val="16"/>
              </w:rPr>
            </w:pPr>
          </w:p>
        </w:tc>
        <w:tc>
          <w:tcPr>
            <w:tcW w:w="510" w:type="pct"/>
            <w:shd w:val="clear" w:color="auto" w:fill="auto"/>
            <w:vAlign w:val="center"/>
          </w:tcPr>
          <w:p w:rsidR="00030C0D" w:rsidRDefault="00030C0D">
            <w:pPr>
              <w:spacing w:beforeLines="20" w:before="48" w:afterLines="20" w:after="48"/>
              <w:jc w:val="center"/>
              <w:rPr>
                <w:noProof/>
                <w:sz w:val="16"/>
                <w:szCs w:val="16"/>
              </w:rPr>
            </w:pPr>
          </w:p>
        </w:tc>
        <w:tc>
          <w:tcPr>
            <w:tcW w:w="115" w:type="pct"/>
            <w:shd w:val="clear" w:color="auto" w:fill="auto"/>
            <w:vAlign w:val="center"/>
          </w:tcPr>
          <w:p w:rsidR="00030C0D" w:rsidRDefault="00030C0D">
            <w:pPr>
              <w:spacing w:beforeLines="20" w:before="48" w:afterLines="20" w:after="48"/>
              <w:jc w:val="center"/>
              <w:rPr>
                <w:noProof/>
                <w:sz w:val="16"/>
                <w:szCs w:val="16"/>
              </w:rPr>
            </w:pPr>
          </w:p>
        </w:tc>
        <w:tc>
          <w:tcPr>
            <w:tcW w:w="115" w:type="pct"/>
            <w:shd w:val="clear" w:color="auto" w:fill="auto"/>
            <w:vAlign w:val="center"/>
          </w:tcPr>
          <w:p w:rsidR="00030C0D" w:rsidRDefault="00030C0D">
            <w:pPr>
              <w:spacing w:beforeLines="20" w:before="48" w:afterLines="20" w:after="48"/>
              <w:jc w:val="center"/>
              <w:rPr>
                <w:noProof/>
                <w:sz w:val="16"/>
                <w:szCs w:val="16"/>
              </w:rPr>
            </w:pPr>
          </w:p>
        </w:tc>
      </w:tr>
      <w:tr w:rsidR="00030C0D">
        <w:trPr>
          <w:gridAfter w:val="4"/>
          <w:wAfter w:w="1439" w:type="pct"/>
          <w:trHeight w:val="248"/>
          <w:jc w:val="center"/>
        </w:trPr>
        <w:tc>
          <w:tcPr>
            <w:tcW w:w="3561" w:type="pct"/>
            <w:gridSpan w:val="6"/>
            <w:shd w:val="clear" w:color="auto" w:fill="auto"/>
            <w:vAlign w:val="center"/>
          </w:tcPr>
          <w:p w:rsidR="00030C0D" w:rsidRDefault="00986C69">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ЕПРВ)</w:t>
            </w:r>
            <w:r>
              <w:rPr>
                <w:rStyle w:val="FootnoteReference"/>
                <w:b/>
                <w:noProof/>
                <w:sz w:val="16"/>
              </w:rPr>
              <w:footnoteReference w:id="31"/>
            </w:r>
          </w:p>
          <w:p w:rsidR="00030C0D" w:rsidRDefault="00030C0D">
            <w:pPr>
              <w:pStyle w:val="Text1"/>
              <w:spacing w:before="0" w:after="0"/>
              <w:ind w:left="0"/>
              <w:jc w:val="left"/>
              <w:rPr>
                <w:noProof/>
                <w:sz w:val="16"/>
                <w:szCs w:val="16"/>
              </w:rPr>
            </w:pPr>
          </w:p>
        </w:tc>
      </w:tr>
      <w:tr w:rsidR="00030C0D">
        <w:trPr>
          <w:gridBefore w:val="1"/>
          <w:wBefore w:w="6" w:type="pct"/>
          <w:trHeight w:val="289"/>
          <w:jc w:val="center"/>
        </w:trPr>
        <w:tc>
          <w:tcPr>
            <w:tcW w:w="1897" w:type="pct"/>
            <w:gridSpan w:val="2"/>
            <w:shd w:val="clear" w:color="auto" w:fill="auto"/>
            <w:vAlign w:val="center"/>
          </w:tcPr>
          <w:p w:rsidR="00030C0D" w:rsidRDefault="00986C69">
            <w:pPr>
              <w:pStyle w:val="Text1"/>
              <w:spacing w:beforeLines="20" w:before="48" w:afterLines="20" w:after="48"/>
              <w:ind w:left="136"/>
              <w:jc w:val="left"/>
              <w:rPr>
                <w:b/>
                <w:noProof/>
                <w:sz w:val="16"/>
                <w:szCs w:val="16"/>
              </w:rPr>
            </w:pPr>
            <w:r>
              <w:rPr>
                <w:noProof/>
                <w:sz w:val="16"/>
              </w:rPr>
              <w:t>32 01 02 01 (ДНП, КНЕ, ПНА от общия финансов пакет)</w:t>
            </w:r>
          </w:p>
        </w:tc>
        <w:tc>
          <w:tcPr>
            <w:tcW w:w="318" w:type="pct"/>
            <w:shd w:val="clear" w:color="auto" w:fill="auto"/>
            <w:vAlign w:val="center"/>
          </w:tcPr>
          <w:p w:rsidR="00030C0D" w:rsidRDefault="00986C69">
            <w:pPr>
              <w:spacing w:beforeLines="20" w:before="48" w:afterLines="20" w:after="48"/>
              <w:jc w:val="center"/>
              <w:rPr>
                <w:noProof/>
                <w:sz w:val="16"/>
                <w:szCs w:val="16"/>
              </w:rPr>
            </w:pPr>
            <w:r>
              <w:rPr>
                <w:noProof/>
                <w:sz w:val="16"/>
              </w:rPr>
              <w:t>0,3</w:t>
            </w:r>
          </w:p>
        </w:tc>
        <w:tc>
          <w:tcPr>
            <w:tcW w:w="318" w:type="pct"/>
            <w:shd w:val="clear" w:color="auto" w:fill="auto"/>
            <w:vAlign w:val="center"/>
          </w:tcPr>
          <w:p w:rsidR="00030C0D" w:rsidRDefault="00986C69">
            <w:pPr>
              <w:spacing w:beforeLines="20" w:before="48" w:afterLines="20" w:after="48"/>
              <w:jc w:val="center"/>
              <w:rPr>
                <w:noProof/>
                <w:sz w:val="16"/>
                <w:szCs w:val="16"/>
              </w:rPr>
            </w:pPr>
            <w:r>
              <w:rPr>
                <w:noProof/>
                <w:sz w:val="16"/>
              </w:rPr>
              <w:t>0,3</w:t>
            </w:r>
          </w:p>
        </w:tc>
        <w:tc>
          <w:tcPr>
            <w:tcW w:w="1022" w:type="pct"/>
            <w:shd w:val="clear" w:color="auto" w:fill="auto"/>
            <w:vAlign w:val="center"/>
          </w:tcPr>
          <w:p w:rsidR="00030C0D" w:rsidRDefault="00986C69">
            <w:pPr>
              <w:spacing w:beforeLines="20" w:before="48" w:afterLines="20" w:after="48"/>
              <w:jc w:val="center"/>
              <w:rPr>
                <w:noProof/>
                <w:sz w:val="16"/>
                <w:szCs w:val="16"/>
              </w:rPr>
            </w:pPr>
            <w:r>
              <w:rPr>
                <w:noProof/>
                <w:sz w:val="16"/>
              </w:rPr>
              <w:t>0,3</w:t>
            </w:r>
          </w:p>
        </w:tc>
        <w:tc>
          <w:tcPr>
            <w:tcW w:w="699" w:type="pct"/>
            <w:shd w:val="clear" w:color="auto" w:fill="auto"/>
            <w:vAlign w:val="center"/>
          </w:tcPr>
          <w:p w:rsidR="00030C0D" w:rsidRDefault="00986C69">
            <w:pPr>
              <w:spacing w:beforeLines="20" w:before="48" w:afterLines="20" w:after="48"/>
              <w:jc w:val="center"/>
              <w:rPr>
                <w:noProof/>
                <w:sz w:val="16"/>
                <w:szCs w:val="16"/>
              </w:rPr>
            </w:pPr>
            <w:r>
              <w:rPr>
                <w:noProof/>
                <w:sz w:val="16"/>
              </w:rPr>
              <w:t>0,3</w:t>
            </w:r>
          </w:p>
        </w:tc>
        <w:tc>
          <w:tcPr>
            <w:tcW w:w="510" w:type="pct"/>
            <w:shd w:val="clear" w:color="auto" w:fill="auto"/>
            <w:vAlign w:val="center"/>
          </w:tcPr>
          <w:p w:rsidR="00030C0D" w:rsidRDefault="00986C69">
            <w:pPr>
              <w:spacing w:beforeLines="20" w:before="48" w:afterLines="20" w:after="48"/>
              <w:jc w:val="center"/>
              <w:rPr>
                <w:noProof/>
                <w:sz w:val="16"/>
                <w:szCs w:val="16"/>
              </w:rPr>
            </w:pPr>
            <w:r>
              <w:rPr>
                <w:noProof/>
                <w:sz w:val="16"/>
              </w:rPr>
              <w:t>0,3</w:t>
            </w:r>
          </w:p>
        </w:tc>
        <w:tc>
          <w:tcPr>
            <w:tcW w:w="115" w:type="pct"/>
            <w:shd w:val="clear" w:color="auto" w:fill="auto"/>
            <w:vAlign w:val="center"/>
          </w:tcPr>
          <w:p w:rsidR="00030C0D" w:rsidRDefault="00030C0D">
            <w:pPr>
              <w:spacing w:beforeLines="20" w:before="48" w:afterLines="20" w:after="48"/>
              <w:jc w:val="center"/>
              <w:rPr>
                <w:noProof/>
                <w:sz w:val="16"/>
                <w:szCs w:val="16"/>
              </w:rPr>
            </w:pPr>
          </w:p>
        </w:tc>
        <w:tc>
          <w:tcPr>
            <w:tcW w:w="115" w:type="pct"/>
            <w:shd w:val="clear" w:color="auto" w:fill="auto"/>
            <w:vAlign w:val="center"/>
          </w:tcPr>
          <w:p w:rsidR="00030C0D" w:rsidRDefault="00030C0D">
            <w:pPr>
              <w:spacing w:beforeLines="20" w:before="48" w:afterLines="20" w:after="48"/>
              <w:jc w:val="center"/>
              <w:rPr>
                <w:noProof/>
                <w:sz w:val="16"/>
                <w:szCs w:val="16"/>
              </w:rPr>
            </w:pPr>
          </w:p>
        </w:tc>
      </w:tr>
      <w:tr w:rsidR="00030C0D">
        <w:trPr>
          <w:gridBefore w:val="1"/>
          <w:wBefore w:w="6" w:type="pct"/>
          <w:trHeight w:val="289"/>
          <w:jc w:val="center"/>
        </w:trPr>
        <w:tc>
          <w:tcPr>
            <w:tcW w:w="1897" w:type="pct"/>
            <w:gridSpan w:val="2"/>
            <w:shd w:val="clear" w:color="auto" w:fill="auto"/>
            <w:vAlign w:val="center"/>
          </w:tcPr>
          <w:p w:rsidR="00030C0D" w:rsidRDefault="00986C69">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18" w:type="pct"/>
            <w:shd w:val="clear" w:color="auto" w:fill="auto"/>
            <w:vAlign w:val="center"/>
          </w:tcPr>
          <w:p w:rsidR="00030C0D" w:rsidRDefault="00030C0D">
            <w:pPr>
              <w:spacing w:beforeLines="20" w:before="48" w:afterLines="20" w:after="48"/>
              <w:jc w:val="center"/>
              <w:rPr>
                <w:noProof/>
                <w:sz w:val="16"/>
                <w:szCs w:val="16"/>
              </w:rPr>
            </w:pPr>
          </w:p>
        </w:tc>
        <w:tc>
          <w:tcPr>
            <w:tcW w:w="318" w:type="pct"/>
            <w:shd w:val="clear" w:color="auto" w:fill="auto"/>
            <w:vAlign w:val="center"/>
          </w:tcPr>
          <w:p w:rsidR="00030C0D" w:rsidRDefault="00030C0D">
            <w:pPr>
              <w:spacing w:beforeLines="20" w:before="48" w:afterLines="20" w:after="48"/>
              <w:jc w:val="center"/>
              <w:rPr>
                <w:noProof/>
                <w:sz w:val="16"/>
                <w:szCs w:val="16"/>
              </w:rPr>
            </w:pPr>
          </w:p>
        </w:tc>
        <w:tc>
          <w:tcPr>
            <w:tcW w:w="1022" w:type="pct"/>
            <w:shd w:val="clear" w:color="auto" w:fill="auto"/>
            <w:vAlign w:val="center"/>
          </w:tcPr>
          <w:p w:rsidR="00030C0D" w:rsidRDefault="00030C0D">
            <w:pPr>
              <w:spacing w:beforeLines="20" w:before="48" w:afterLines="20" w:after="48"/>
              <w:jc w:val="center"/>
              <w:rPr>
                <w:noProof/>
                <w:sz w:val="16"/>
                <w:szCs w:val="16"/>
              </w:rPr>
            </w:pPr>
          </w:p>
        </w:tc>
        <w:tc>
          <w:tcPr>
            <w:tcW w:w="699" w:type="pct"/>
            <w:shd w:val="clear" w:color="auto" w:fill="auto"/>
            <w:vAlign w:val="center"/>
          </w:tcPr>
          <w:p w:rsidR="00030C0D" w:rsidRDefault="00030C0D">
            <w:pPr>
              <w:spacing w:beforeLines="20" w:before="48" w:afterLines="20" w:after="48"/>
              <w:jc w:val="center"/>
              <w:rPr>
                <w:noProof/>
                <w:sz w:val="16"/>
                <w:szCs w:val="16"/>
              </w:rPr>
            </w:pPr>
          </w:p>
        </w:tc>
        <w:tc>
          <w:tcPr>
            <w:tcW w:w="510" w:type="pct"/>
            <w:shd w:val="clear" w:color="auto" w:fill="auto"/>
            <w:vAlign w:val="center"/>
          </w:tcPr>
          <w:p w:rsidR="00030C0D" w:rsidRDefault="00030C0D">
            <w:pPr>
              <w:spacing w:beforeLines="20" w:before="48" w:afterLines="20" w:after="48"/>
              <w:jc w:val="center"/>
              <w:rPr>
                <w:noProof/>
                <w:sz w:val="16"/>
                <w:szCs w:val="16"/>
              </w:rPr>
            </w:pPr>
          </w:p>
        </w:tc>
        <w:tc>
          <w:tcPr>
            <w:tcW w:w="115" w:type="pct"/>
            <w:shd w:val="clear" w:color="auto" w:fill="auto"/>
            <w:vAlign w:val="center"/>
          </w:tcPr>
          <w:p w:rsidR="00030C0D" w:rsidRDefault="00030C0D">
            <w:pPr>
              <w:spacing w:beforeLines="20" w:before="48" w:afterLines="20" w:after="48"/>
              <w:jc w:val="center"/>
              <w:rPr>
                <w:noProof/>
                <w:sz w:val="16"/>
                <w:szCs w:val="16"/>
              </w:rPr>
            </w:pPr>
          </w:p>
        </w:tc>
        <w:tc>
          <w:tcPr>
            <w:tcW w:w="115" w:type="pct"/>
            <w:shd w:val="clear" w:color="auto" w:fill="auto"/>
            <w:vAlign w:val="center"/>
          </w:tcPr>
          <w:p w:rsidR="00030C0D" w:rsidRDefault="00030C0D">
            <w:pPr>
              <w:spacing w:beforeLines="20" w:before="48" w:afterLines="20" w:after="48"/>
              <w:jc w:val="center"/>
              <w:rPr>
                <w:noProof/>
                <w:sz w:val="16"/>
                <w:szCs w:val="16"/>
              </w:rPr>
            </w:pPr>
          </w:p>
        </w:tc>
      </w:tr>
      <w:tr w:rsidR="00030C0D">
        <w:trPr>
          <w:gridBefore w:val="1"/>
          <w:wBefore w:w="6" w:type="pct"/>
          <w:trHeight w:val="289"/>
          <w:jc w:val="center"/>
        </w:trPr>
        <w:tc>
          <w:tcPr>
            <w:tcW w:w="948" w:type="pct"/>
            <w:vMerge w:val="restart"/>
            <w:shd w:val="clear" w:color="auto" w:fill="auto"/>
            <w:vAlign w:val="center"/>
          </w:tcPr>
          <w:p w:rsidR="00030C0D" w:rsidRDefault="00986C69">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32"/>
            </w:r>
          </w:p>
          <w:p w:rsidR="00030C0D" w:rsidRDefault="00030C0D">
            <w:pPr>
              <w:pStyle w:val="Text1"/>
              <w:spacing w:beforeLines="20" w:before="48" w:afterLines="20" w:after="48"/>
              <w:ind w:left="136"/>
              <w:jc w:val="left"/>
              <w:rPr>
                <w:b/>
                <w:noProof/>
                <w:sz w:val="16"/>
                <w:szCs w:val="16"/>
              </w:rPr>
            </w:pPr>
          </w:p>
        </w:tc>
        <w:tc>
          <w:tcPr>
            <w:tcW w:w="949" w:type="pct"/>
            <w:shd w:val="clear" w:color="auto" w:fill="auto"/>
            <w:vAlign w:val="center"/>
          </w:tcPr>
          <w:p w:rsidR="00030C0D" w:rsidRDefault="00986C69">
            <w:pPr>
              <w:pStyle w:val="Text1"/>
              <w:spacing w:beforeLines="20" w:before="48" w:afterLines="20" w:after="48"/>
              <w:ind w:left="136"/>
              <w:jc w:val="left"/>
              <w:rPr>
                <w:b/>
                <w:noProof/>
                <w:sz w:val="16"/>
                <w:szCs w:val="16"/>
              </w:rPr>
            </w:pPr>
            <w:r>
              <w:rPr>
                <w:noProof/>
                <w:sz w:val="16"/>
              </w:rPr>
              <w:t>- в централата</w:t>
            </w:r>
          </w:p>
          <w:p w:rsidR="00030C0D" w:rsidRDefault="00030C0D">
            <w:pPr>
              <w:pStyle w:val="Text1"/>
              <w:spacing w:beforeLines="20" w:before="48" w:afterLines="20" w:after="48"/>
              <w:ind w:left="136"/>
              <w:jc w:val="left"/>
              <w:rPr>
                <w:b/>
                <w:noProof/>
                <w:sz w:val="16"/>
                <w:szCs w:val="16"/>
              </w:rPr>
            </w:pPr>
          </w:p>
        </w:tc>
        <w:tc>
          <w:tcPr>
            <w:tcW w:w="318" w:type="pct"/>
            <w:shd w:val="clear" w:color="auto" w:fill="auto"/>
            <w:vAlign w:val="center"/>
          </w:tcPr>
          <w:p w:rsidR="00030C0D" w:rsidRDefault="00030C0D">
            <w:pPr>
              <w:pStyle w:val="Text1"/>
              <w:spacing w:beforeLines="20" w:before="48" w:afterLines="20" w:after="48"/>
              <w:ind w:left="0"/>
              <w:rPr>
                <w:noProof/>
                <w:sz w:val="16"/>
                <w:szCs w:val="16"/>
              </w:rPr>
            </w:pPr>
          </w:p>
        </w:tc>
        <w:tc>
          <w:tcPr>
            <w:tcW w:w="318" w:type="pct"/>
            <w:shd w:val="clear" w:color="auto" w:fill="auto"/>
            <w:vAlign w:val="center"/>
          </w:tcPr>
          <w:p w:rsidR="00030C0D" w:rsidRDefault="00030C0D">
            <w:pPr>
              <w:spacing w:beforeLines="20" w:before="48" w:afterLines="20" w:after="48"/>
              <w:jc w:val="center"/>
              <w:rPr>
                <w:noProof/>
                <w:sz w:val="16"/>
                <w:szCs w:val="16"/>
              </w:rPr>
            </w:pPr>
          </w:p>
        </w:tc>
        <w:tc>
          <w:tcPr>
            <w:tcW w:w="1022" w:type="pct"/>
            <w:shd w:val="clear" w:color="auto" w:fill="auto"/>
            <w:vAlign w:val="center"/>
          </w:tcPr>
          <w:p w:rsidR="00030C0D" w:rsidRDefault="00030C0D">
            <w:pPr>
              <w:spacing w:beforeLines="20" w:before="48" w:afterLines="20" w:after="48"/>
              <w:jc w:val="center"/>
              <w:rPr>
                <w:noProof/>
                <w:sz w:val="16"/>
                <w:szCs w:val="16"/>
              </w:rPr>
            </w:pPr>
          </w:p>
        </w:tc>
        <w:tc>
          <w:tcPr>
            <w:tcW w:w="699" w:type="pct"/>
            <w:shd w:val="clear" w:color="auto" w:fill="auto"/>
            <w:vAlign w:val="center"/>
          </w:tcPr>
          <w:p w:rsidR="00030C0D" w:rsidRDefault="00030C0D">
            <w:pPr>
              <w:spacing w:beforeLines="20" w:before="48" w:afterLines="20" w:after="48"/>
              <w:jc w:val="center"/>
              <w:rPr>
                <w:noProof/>
                <w:sz w:val="16"/>
                <w:szCs w:val="16"/>
              </w:rPr>
            </w:pPr>
          </w:p>
        </w:tc>
        <w:tc>
          <w:tcPr>
            <w:tcW w:w="510" w:type="pct"/>
            <w:shd w:val="clear" w:color="auto" w:fill="auto"/>
            <w:vAlign w:val="center"/>
          </w:tcPr>
          <w:p w:rsidR="00030C0D" w:rsidRDefault="00030C0D">
            <w:pPr>
              <w:spacing w:beforeLines="20" w:before="48" w:afterLines="20" w:after="48"/>
              <w:jc w:val="center"/>
              <w:rPr>
                <w:noProof/>
                <w:sz w:val="16"/>
                <w:szCs w:val="16"/>
              </w:rPr>
            </w:pPr>
          </w:p>
        </w:tc>
        <w:tc>
          <w:tcPr>
            <w:tcW w:w="115" w:type="pct"/>
            <w:shd w:val="clear" w:color="auto" w:fill="auto"/>
            <w:vAlign w:val="center"/>
          </w:tcPr>
          <w:p w:rsidR="00030C0D" w:rsidRDefault="00030C0D">
            <w:pPr>
              <w:spacing w:beforeLines="20" w:before="48" w:afterLines="20" w:after="48"/>
              <w:jc w:val="center"/>
              <w:rPr>
                <w:noProof/>
                <w:sz w:val="16"/>
                <w:szCs w:val="16"/>
              </w:rPr>
            </w:pPr>
          </w:p>
        </w:tc>
        <w:tc>
          <w:tcPr>
            <w:tcW w:w="115" w:type="pct"/>
            <w:shd w:val="clear" w:color="auto" w:fill="auto"/>
            <w:vAlign w:val="center"/>
          </w:tcPr>
          <w:p w:rsidR="00030C0D" w:rsidRDefault="00030C0D">
            <w:pPr>
              <w:spacing w:beforeLines="20" w:before="48" w:afterLines="20" w:after="48"/>
              <w:jc w:val="center"/>
              <w:rPr>
                <w:noProof/>
                <w:sz w:val="16"/>
                <w:szCs w:val="16"/>
              </w:rPr>
            </w:pPr>
          </w:p>
        </w:tc>
      </w:tr>
      <w:tr w:rsidR="00030C0D">
        <w:trPr>
          <w:gridBefore w:val="1"/>
          <w:wBefore w:w="6" w:type="pct"/>
          <w:trHeight w:val="289"/>
          <w:jc w:val="center"/>
        </w:trPr>
        <w:tc>
          <w:tcPr>
            <w:tcW w:w="948" w:type="pct"/>
            <w:vMerge/>
            <w:shd w:val="clear" w:color="auto" w:fill="auto"/>
            <w:vAlign w:val="center"/>
          </w:tcPr>
          <w:p w:rsidR="00030C0D" w:rsidRDefault="00030C0D">
            <w:pPr>
              <w:pStyle w:val="Text1"/>
              <w:spacing w:beforeLines="20" w:before="48" w:afterLines="20" w:after="48"/>
              <w:ind w:left="136"/>
              <w:jc w:val="left"/>
              <w:rPr>
                <w:b/>
                <w:noProof/>
                <w:sz w:val="16"/>
                <w:szCs w:val="16"/>
              </w:rPr>
            </w:pPr>
          </w:p>
        </w:tc>
        <w:tc>
          <w:tcPr>
            <w:tcW w:w="949" w:type="pct"/>
            <w:shd w:val="clear" w:color="auto" w:fill="auto"/>
            <w:vAlign w:val="center"/>
          </w:tcPr>
          <w:p w:rsidR="00030C0D" w:rsidRDefault="00986C69">
            <w:pPr>
              <w:pStyle w:val="Text1"/>
              <w:spacing w:beforeLines="20" w:before="48" w:afterLines="20" w:after="48"/>
              <w:ind w:left="136"/>
              <w:jc w:val="left"/>
              <w:rPr>
                <w:b/>
                <w:noProof/>
                <w:sz w:val="16"/>
                <w:szCs w:val="16"/>
              </w:rPr>
            </w:pPr>
            <w:r>
              <w:rPr>
                <w:noProof/>
                <w:sz w:val="16"/>
              </w:rPr>
              <w:t xml:space="preserve">- в делегациите </w:t>
            </w:r>
          </w:p>
        </w:tc>
        <w:tc>
          <w:tcPr>
            <w:tcW w:w="318" w:type="pct"/>
            <w:shd w:val="clear" w:color="auto" w:fill="auto"/>
            <w:vAlign w:val="center"/>
          </w:tcPr>
          <w:p w:rsidR="00030C0D" w:rsidRDefault="00030C0D">
            <w:pPr>
              <w:pStyle w:val="Text1"/>
              <w:spacing w:beforeLines="20" w:before="48" w:afterLines="20" w:after="48"/>
              <w:ind w:left="0"/>
              <w:rPr>
                <w:noProof/>
                <w:sz w:val="16"/>
                <w:szCs w:val="16"/>
              </w:rPr>
            </w:pPr>
          </w:p>
        </w:tc>
        <w:tc>
          <w:tcPr>
            <w:tcW w:w="318" w:type="pct"/>
            <w:shd w:val="clear" w:color="auto" w:fill="auto"/>
            <w:vAlign w:val="center"/>
          </w:tcPr>
          <w:p w:rsidR="00030C0D" w:rsidRDefault="00030C0D">
            <w:pPr>
              <w:spacing w:beforeLines="20" w:before="48" w:afterLines="20" w:after="48"/>
              <w:jc w:val="center"/>
              <w:rPr>
                <w:noProof/>
                <w:sz w:val="16"/>
                <w:szCs w:val="16"/>
              </w:rPr>
            </w:pPr>
          </w:p>
        </w:tc>
        <w:tc>
          <w:tcPr>
            <w:tcW w:w="1022" w:type="pct"/>
            <w:shd w:val="clear" w:color="auto" w:fill="auto"/>
            <w:vAlign w:val="center"/>
          </w:tcPr>
          <w:p w:rsidR="00030C0D" w:rsidRDefault="00030C0D">
            <w:pPr>
              <w:spacing w:beforeLines="20" w:before="48" w:afterLines="20" w:after="48"/>
              <w:jc w:val="center"/>
              <w:rPr>
                <w:noProof/>
                <w:sz w:val="16"/>
                <w:szCs w:val="16"/>
              </w:rPr>
            </w:pPr>
          </w:p>
        </w:tc>
        <w:tc>
          <w:tcPr>
            <w:tcW w:w="699" w:type="pct"/>
            <w:shd w:val="clear" w:color="auto" w:fill="auto"/>
            <w:vAlign w:val="center"/>
          </w:tcPr>
          <w:p w:rsidR="00030C0D" w:rsidRDefault="00030C0D">
            <w:pPr>
              <w:spacing w:beforeLines="20" w:before="48" w:afterLines="20" w:after="48"/>
              <w:jc w:val="center"/>
              <w:rPr>
                <w:noProof/>
                <w:sz w:val="16"/>
                <w:szCs w:val="16"/>
              </w:rPr>
            </w:pPr>
          </w:p>
        </w:tc>
        <w:tc>
          <w:tcPr>
            <w:tcW w:w="510" w:type="pct"/>
            <w:shd w:val="clear" w:color="auto" w:fill="auto"/>
            <w:vAlign w:val="center"/>
          </w:tcPr>
          <w:p w:rsidR="00030C0D" w:rsidRDefault="00030C0D">
            <w:pPr>
              <w:spacing w:beforeLines="20" w:before="48" w:afterLines="20" w:after="48"/>
              <w:jc w:val="center"/>
              <w:rPr>
                <w:noProof/>
                <w:sz w:val="16"/>
                <w:szCs w:val="16"/>
              </w:rPr>
            </w:pPr>
          </w:p>
        </w:tc>
        <w:tc>
          <w:tcPr>
            <w:tcW w:w="115" w:type="pct"/>
            <w:shd w:val="clear" w:color="auto" w:fill="auto"/>
            <w:vAlign w:val="center"/>
          </w:tcPr>
          <w:p w:rsidR="00030C0D" w:rsidRDefault="00030C0D">
            <w:pPr>
              <w:spacing w:beforeLines="20" w:before="48" w:afterLines="20" w:after="48"/>
              <w:jc w:val="center"/>
              <w:rPr>
                <w:noProof/>
                <w:sz w:val="16"/>
                <w:szCs w:val="16"/>
              </w:rPr>
            </w:pPr>
          </w:p>
        </w:tc>
        <w:tc>
          <w:tcPr>
            <w:tcW w:w="115" w:type="pct"/>
            <w:shd w:val="clear" w:color="auto" w:fill="auto"/>
            <w:vAlign w:val="center"/>
          </w:tcPr>
          <w:p w:rsidR="00030C0D" w:rsidRDefault="00030C0D">
            <w:pPr>
              <w:spacing w:beforeLines="20" w:before="48" w:afterLines="20" w:after="48"/>
              <w:jc w:val="center"/>
              <w:rPr>
                <w:noProof/>
                <w:sz w:val="16"/>
                <w:szCs w:val="16"/>
              </w:rPr>
            </w:pPr>
          </w:p>
        </w:tc>
      </w:tr>
      <w:tr w:rsidR="00030C0D">
        <w:trPr>
          <w:gridBefore w:val="1"/>
          <w:wBefore w:w="6" w:type="pct"/>
          <w:trHeight w:val="289"/>
          <w:jc w:val="center"/>
        </w:trPr>
        <w:tc>
          <w:tcPr>
            <w:tcW w:w="1897" w:type="pct"/>
            <w:gridSpan w:val="2"/>
            <w:shd w:val="clear" w:color="auto" w:fill="auto"/>
            <w:vAlign w:val="center"/>
          </w:tcPr>
          <w:p w:rsidR="00030C0D" w:rsidRDefault="00986C69">
            <w:pPr>
              <w:pStyle w:val="Text1"/>
              <w:spacing w:beforeLines="20" w:before="48" w:afterLines="20" w:after="48"/>
              <w:ind w:left="136"/>
              <w:jc w:val="left"/>
              <w:rPr>
                <w:noProof/>
                <w:sz w:val="16"/>
                <w:szCs w:val="16"/>
              </w:rPr>
            </w:pPr>
            <w:r>
              <w:rPr>
                <w:b/>
                <w:noProof/>
                <w:sz w:val="16"/>
              </w:rPr>
              <w:t>XX</w:t>
            </w:r>
            <w:r>
              <w:rPr>
                <w:noProof/>
                <w:sz w:val="16"/>
              </w:rPr>
              <w:t xml:space="preserve"> 01 05 02 (AC, END, INT - Непреки научни изследвания)</w:t>
            </w:r>
          </w:p>
        </w:tc>
        <w:tc>
          <w:tcPr>
            <w:tcW w:w="318" w:type="pct"/>
            <w:shd w:val="clear" w:color="auto" w:fill="auto"/>
            <w:vAlign w:val="center"/>
          </w:tcPr>
          <w:p w:rsidR="00030C0D" w:rsidRDefault="00030C0D">
            <w:pPr>
              <w:spacing w:beforeLines="20" w:before="48" w:afterLines="20" w:after="48"/>
              <w:jc w:val="center"/>
              <w:rPr>
                <w:noProof/>
                <w:sz w:val="16"/>
                <w:szCs w:val="16"/>
              </w:rPr>
            </w:pPr>
          </w:p>
        </w:tc>
        <w:tc>
          <w:tcPr>
            <w:tcW w:w="318" w:type="pct"/>
            <w:shd w:val="clear" w:color="auto" w:fill="auto"/>
            <w:vAlign w:val="center"/>
          </w:tcPr>
          <w:p w:rsidR="00030C0D" w:rsidRDefault="00030C0D">
            <w:pPr>
              <w:spacing w:beforeLines="20" w:before="48" w:afterLines="20" w:after="48"/>
              <w:jc w:val="center"/>
              <w:rPr>
                <w:noProof/>
                <w:sz w:val="16"/>
                <w:szCs w:val="16"/>
              </w:rPr>
            </w:pPr>
          </w:p>
        </w:tc>
        <w:tc>
          <w:tcPr>
            <w:tcW w:w="1022" w:type="pct"/>
            <w:shd w:val="clear" w:color="auto" w:fill="auto"/>
            <w:vAlign w:val="center"/>
          </w:tcPr>
          <w:p w:rsidR="00030C0D" w:rsidRDefault="00030C0D">
            <w:pPr>
              <w:spacing w:beforeLines="20" w:before="48" w:afterLines="20" w:after="48"/>
              <w:jc w:val="center"/>
              <w:rPr>
                <w:noProof/>
                <w:sz w:val="16"/>
                <w:szCs w:val="16"/>
              </w:rPr>
            </w:pPr>
          </w:p>
        </w:tc>
        <w:tc>
          <w:tcPr>
            <w:tcW w:w="699" w:type="pct"/>
            <w:shd w:val="clear" w:color="auto" w:fill="auto"/>
            <w:vAlign w:val="center"/>
          </w:tcPr>
          <w:p w:rsidR="00030C0D" w:rsidRDefault="00030C0D">
            <w:pPr>
              <w:spacing w:beforeLines="20" w:before="48" w:afterLines="20" w:after="48"/>
              <w:jc w:val="center"/>
              <w:rPr>
                <w:noProof/>
                <w:sz w:val="16"/>
                <w:szCs w:val="16"/>
              </w:rPr>
            </w:pPr>
          </w:p>
        </w:tc>
        <w:tc>
          <w:tcPr>
            <w:tcW w:w="510" w:type="pct"/>
            <w:shd w:val="clear" w:color="auto" w:fill="auto"/>
            <w:vAlign w:val="center"/>
          </w:tcPr>
          <w:p w:rsidR="00030C0D" w:rsidRDefault="00030C0D">
            <w:pPr>
              <w:spacing w:beforeLines="20" w:before="48" w:afterLines="20" w:after="48"/>
              <w:jc w:val="center"/>
              <w:rPr>
                <w:noProof/>
                <w:sz w:val="16"/>
                <w:szCs w:val="16"/>
              </w:rPr>
            </w:pPr>
          </w:p>
        </w:tc>
        <w:tc>
          <w:tcPr>
            <w:tcW w:w="115" w:type="pct"/>
            <w:shd w:val="clear" w:color="auto" w:fill="auto"/>
            <w:vAlign w:val="center"/>
          </w:tcPr>
          <w:p w:rsidR="00030C0D" w:rsidRDefault="00030C0D">
            <w:pPr>
              <w:spacing w:beforeLines="20" w:before="48" w:afterLines="20" w:after="48"/>
              <w:jc w:val="center"/>
              <w:rPr>
                <w:noProof/>
                <w:sz w:val="16"/>
                <w:szCs w:val="16"/>
              </w:rPr>
            </w:pPr>
          </w:p>
        </w:tc>
        <w:tc>
          <w:tcPr>
            <w:tcW w:w="115" w:type="pct"/>
            <w:shd w:val="clear" w:color="auto" w:fill="auto"/>
            <w:vAlign w:val="center"/>
          </w:tcPr>
          <w:p w:rsidR="00030C0D" w:rsidRDefault="00030C0D">
            <w:pPr>
              <w:spacing w:beforeLines="20" w:before="48" w:afterLines="20" w:after="48"/>
              <w:jc w:val="center"/>
              <w:rPr>
                <w:noProof/>
                <w:sz w:val="16"/>
                <w:szCs w:val="16"/>
              </w:rPr>
            </w:pPr>
          </w:p>
        </w:tc>
      </w:tr>
      <w:tr w:rsidR="00030C0D">
        <w:trPr>
          <w:gridBefore w:val="1"/>
          <w:wBefore w:w="6" w:type="pct"/>
          <w:trHeight w:val="289"/>
          <w:jc w:val="center"/>
        </w:trPr>
        <w:tc>
          <w:tcPr>
            <w:tcW w:w="1897" w:type="pct"/>
            <w:gridSpan w:val="2"/>
            <w:shd w:val="clear" w:color="auto" w:fill="auto"/>
            <w:vAlign w:val="center"/>
          </w:tcPr>
          <w:p w:rsidR="00030C0D" w:rsidRDefault="00986C69">
            <w:pPr>
              <w:pStyle w:val="Text1"/>
              <w:spacing w:beforeLines="20" w:before="48" w:afterLines="20" w:after="48"/>
              <w:ind w:left="136"/>
              <w:jc w:val="left"/>
              <w:rPr>
                <w:noProof/>
                <w:sz w:val="16"/>
                <w:szCs w:val="16"/>
              </w:rPr>
            </w:pPr>
            <w:r>
              <w:rPr>
                <w:noProof/>
                <w:sz w:val="16"/>
              </w:rPr>
              <w:t>10 01 05 02 (ДНП, ПНА, КНЕ — Преки научни изследвания)</w:t>
            </w:r>
          </w:p>
        </w:tc>
        <w:tc>
          <w:tcPr>
            <w:tcW w:w="318" w:type="pct"/>
            <w:shd w:val="clear" w:color="auto" w:fill="auto"/>
            <w:vAlign w:val="center"/>
          </w:tcPr>
          <w:p w:rsidR="00030C0D" w:rsidRDefault="00030C0D">
            <w:pPr>
              <w:spacing w:beforeLines="20" w:before="48" w:afterLines="20" w:after="48"/>
              <w:jc w:val="center"/>
              <w:rPr>
                <w:noProof/>
                <w:sz w:val="16"/>
                <w:szCs w:val="16"/>
              </w:rPr>
            </w:pPr>
          </w:p>
        </w:tc>
        <w:tc>
          <w:tcPr>
            <w:tcW w:w="318" w:type="pct"/>
            <w:shd w:val="clear" w:color="auto" w:fill="auto"/>
            <w:vAlign w:val="center"/>
          </w:tcPr>
          <w:p w:rsidR="00030C0D" w:rsidRDefault="00030C0D">
            <w:pPr>
              <w:spacing w:beforeLines="20" w:before="48" w:afterLines="20" w:after="48"/>
              <w:jc w:val="center"/>
              <w:rPr>
                <w:noProof/>
                <w:sz w:val="16"/>
                <w:szCs w:val="16"/>
              </w:rPr>
            </w:pPr>
          </w:p>
        </w:tc>
        <w:tc>
          <w:tcPr>
            <w:tcW w:w="1022" w:type="pct"/>
            <w:shd w:val="clear" w:color="auto" w:fill="auto"/>
            <w:vAlign w:val="center"/>
          </w:tcPr>
          <w:p w:rsidR="00030C0D" w:rsidRDefault="00030C0D">
            <w:pPr>
              <w:spacing w:beforeLines="20" w:before="48" w:afterLines="20" w:after="48"/>
              <w:jc w:val="center"/>
              <w:rPr>
                <w:noProof/>
                <w:sz w:val="16"/>
                <w:szCs w:val="16"/>
              </w:rPr>
            </w:pPr>
          </w:p>
        </w:tc>
        <w:tc>
          <w:tcPr>
            <w:tcW w:w="699" w:type="pct"/>
            <w:shd w:val="clear" w:color="auto" w:fill="auto"/>
            <w:vAlign w:val="center"/>
          </w:tcPr>
          <w:p w:rsidR="00030C0D" w:rsidRDefault="00030C0D">
            <w:pPr>
              <w:spacing w:beforeLines="20" w:before="48" w:afterLines="20" w:after="48"/>
              <w:jc w:val="center"/>
              <w:rPr>
                <w:noProof/>
                <w:sz w:val="16"/>
                <w:szCs w:val="16"/>
              </w:rPr>
            </w:pPr>
          </w:p>
        </w:tc>
        <w:tc>
          <w:tcPr>
            <w:tcW w:w="510" w:type="pct"/>
            <w:shd w:val="clear" w:color="auto" w:fill="auto"/>
            <w:vAlign w:val="center"/>
          </w:tcPr>
          <w:p w:rsidR="00030C0D" w:rsidRDefault="00030C0D">
            <w:pPr>
              <w:spacing w:beforeLines="20" w:before="48" w:afterLines="20" w:after="48"/>
              <w:jc w:val="center"/>
              <w:rPr>
                <w:noProof/>
                <w:sz w:val="16"/>
                <w:szCs w:val="16"/>
              </w:rPr>
            </w:pPr>
          </w:p>
        </w:tc>
        <w:tc>
          <w:tcPr>
            <w:tcW w:w="115" w:type="pct"/>
            <w:shd w:val="clear" w:color="auto" w:fill="auto"/>
            <w:vAlign w:val="center"/>
          </w:tcPr>
          <w:p w:rsidR="00030C0D" w:rsidRDefault="00030C0D">
            <w:pPr>
              <w:spacing w:beforeLines="20" w:before="48" w:afterLines="20" w:after="48"/>
              <w:jc w:val="center"/>
              <w:rPr>
                <w:noProof/>
                <w:sz w:val="16"/>
                <w:szCs w:val="16"/>
              </w:rPr>
            </w:pPr>
          </w:p>
        </w:tc>
        <w:tc>
          <w:tcPr>
            <w:tcW w:w="115" w:type="pct"/>
            <w:shd w:val="clear" w:color="auto" w:fill="auto"/>
            <w:vAlign w:val="center"/>
          </w:tcPr>
          <w:p w:rsidR="00030C0D" w:rsidRDefault="00030C0D">
            <w:pPr>
              <w:spacing w:beforeLines="20" w:before="48" w:afterLines="20" w:after="48"/>
              <w:jc w:val="center"/>
              <w:rPr>
                <w:noProof/>
                <w:sz w:val="16"/>
                <w:szCs w:val="16"/>
              </w:rPr>
            </w:pPr>
          </w:p>
        </w:tc>
      </w:tr>
      <w:tr w:rsidR="00030C0D">
        <w:trPr>
          <w:gridBefore w:val="1"/>
          <w:wBefore w:w="6" w:type="pct"/>
          <w:trHeight w:val="289"/>
          <w:jc w:val="center"/>
        </w:trPr>
        <w:tc>
          <w:tcPr>
            <w:tcW w:w="1897" w:type="pct"/>
            <w:gridSpan w:val="2"/>
            <w:tcBorders>
              <w:bottom w:val="double" w:sz="4" w:space="0" w:color="auto"/>
            </w:tcBorders>
            <w:shd w:val="clear" w:color="auto" w:fill="auto"/>
            <w:vAlign w:val="center"/>
          </w:tcPr>
          <w:p w:rsidR="00030C0D" w:rsidRDefault="00986C69">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18" w:type="pct"/>
            <w:tcBorders>
              <w:bottom w:val="double" w:sz="4" w:space="0" w:color="auto"/>
            </w:tcBorders>
            <w:shd w:val="clear" w:color="auto" w:fill="auto"/>
            <w:vAlign w:val="center"/>
          </w:tcPr>
          <w:p w:rsidR="00030C0D" w:rsidRDefault="00030C0D">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030C0D" w:rsidRDefault="00030C0D">
            <w:pPr>
              <w:spacing w:beforeLines="20" w:before="48" w:afterLines="20" w:after="48"/>
              <w:jc w:val="center"/>
              <w:rPr>
                <w:noProof/>
                <w:sz w:val="16"/>
                <w:szCs w:val="16"/>
              </w:rPr>
            </w:pPr>
          </w:p>
        </w:tc>
        <w:tc>
          <w:tcPr>
            <w:tcW w:w="1022" w:type="pct"/>
            <w:tcBorders>
              <w:bottom w:val="double" w:sz="4" w:space="0" w:color="auto"/>
            </w:tcBorders>
            <w:shd w:val="clear" w:color="auto" w:fill="auto"/>
            <w:vAlign w:val="center"/>
          </w:tcPr>
          <w:p w:rsidR="00030C0D" w:rsidRDefault="00030C0D">
            <w:pPr>
              <w:spacing w:beforeLines="20" w:before="48" w:afterLines="20" w:after="48"/>
              <w:jc w:val="center"/>
              <w:rPr>
                <w:noProof/>
                <w:sz w:val="16"/>
                <w:szCs w:val="16"/>
              </w:rPr>
            </w:pPr>
          </w:p>
        </w:tc>
        <w:tc>
          <w:tcPr>
            <w:tcW w:w="699" w:type="pct"/>
            <w:tcBorders>
              <w:bottom w:val="double" w:sz="4" w:space="0" w:color="auto"/>
            </w:tcBorders>
            <w:shd w:val="clear" w:color="auto" w:fill="auto"/>
            <w:vAlign w:val="center"/>
          </w:tcPr>
          <w:p w:rsidR="00030C0D" w:rsidRDefault="00030C0D">
            <w:pPr>
              <w:spacing w:beforeLines="20" w:before="48" w:afterLines="20" w:after="48"/>
              <w:jc w:val="center"/>
              <w:rPr>
                <w:noProof/>
                <w:sz w:val="16"/>
                <w:szCs w:val="16"/>
              </w:rPr>
            </w:pPr>
          </w:p>
        </w:tc>
        <w:tc>
          <w:tcPr>
            <w:tcW w:w="510" w:type="pct"/>
            <w:tcBorders>
              <w:bottom w:val="double" w:sz="4" w:space="0" w:color="auto"/>
            </w:tcBorders>
            <w:shd w:val="clear" w:color="auto" w:fill="auto"/>
            <w:vAlign w:val="center"/>
          </w:tcPr>
          <w:p w:rsidR="00030C0D" w:rsidRDefault="00030C0D">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030C0D" w:rsidRDefault="00030C0D">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030C0D" w:rsidRDefault="00030C0D">
            <w:pPr>
              <w:spacing w:beforeLines="20" w:before="48" w:afterLines="20" w:after="48"/>
              <w:jc w:val="center"/>
              <w:rPr>
                <w:noProof/>
                <w:sz w:val="16"/>
                <w:szCs w:val="16"/>
              </w:rPr>
            </w:pPr>
          </w:p>
        </w:tc>
      </w:tr>
      <w:tr w:rsidR="00030C0D">
        <w:trPr>
          <w:gridBefore w:val="1"/>
          <w:wBefore w:w="6" w:type="pct"/>
          <w:trHeight w:val="289"/>
          <w:jc w:val="center"/>
        </w:trPr>
        <w:tc>
          <w:tcPr>
            <w:tcW w:w="1897" w:type="pct"/>
            <w:gridSpan w:val="2"/>
            <w:tcBorders>
              <w:top w:val="double" w:sz="4" w:space="0" w:color="auto"/>
            </w:tcBorders>
            <w:shd w:val="clear" w:color="auto" w:fill="auto"/>
            <w:vAlign w:val="center"/>
          </w:tcPr>
          <w:p w:rsidR="00030C0D" w:rsidRDefault="00986C69">
            <w:pPr>
              <w:pStyle w:val="Text1"/>
              <w:spacing w:beforeLines="20" w:before="48" w:afterLines="20" w:after="48"/>
              <w:ind w:left="136"/>
              <w:jc w:val="left"/>
              <w:rPr>
                <w:noProof/>
                <w:sz w:val="16"/>
                <w:szCs w:val="16"/>
              </w:rPr>
            </w:pPr>
            <w:r>
              <w:rPr>
                <w:b/>
                <w:noProof/>
                <w:sz w:val="16"/>
              </w:rPr>
              <w:t>ОБЩО</w:t>
            </w:r>
          </w:p>
        </w:tc>
        <w:tc>
          <w:tcPr>
            <w:tcW w:w="318" w:type="pct"/>
            <w:tcBorders>
              <w:top w:val="double" w:sz="4" w:space="0" w:color="auto"/>
            </w:tcBorders>
            <w:shd w:val="clear" w:color="auto" w:fill="auto"/>
            <w:vAlign w:val="center"/>
          </w:tcPr>
          <w:p w:rsidR="00030C0D" w:rsidRDefault="00030C0D">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030C0D" w:rsidRDefault="00030C0D">
            <w:pPr>
              <w:spacing w:beforeLines="20" w:before="48" w:afterLines="20" w:after="48"/>
              <w:jc w:val="center"/>
              <w:rPr>
                <w:b/>
                <w:noProof/>
                <w:sz w:val="16"/>
                <w:szCs w:val="16"/>
              </w:rPr>
            </w:pPr>
          </w:p>
        </w:tc>
        <w:tc>
          <w:tcPr>
            <w:tcW w:w="1022" w:type="pct"/>
            <w:tcBorders>
              <w:top w:val="double" w:sz="4" w:space="0" w:color="auto"/>
            </w:tcBorders>
            <w:shd w:val="clear" w:color="auto" w:fill="auto"/>
            <w:vAlign w:val="center"/>
          </w:tcPr>
          <w:p w:rsidR="00030C0D" w:rsidRDefault="00030C0D">
            <w:pPr>
              <w:spacing w:beforeLines="20" w:before="48" w:afterLines="20" w:after="48"/>
              <w:jc w:val="center"/>
              <w:rPr>
                <w:b/>
                <w:noProof/>
                <w:sz w:val="16"/>
                <w:szCs w:val="16"/>
              </w:rPr>
            </w:pPr>
          </w:p>
        </w:tc>
        <w:tc>
          <w:tcPr>
            <w:tcW w:w="699" w:type="pct"/>
            <w:tcBorders>
              <w:top w:val="double" w:sz="4" w:space="0" w:color="auto"/>
            </w:tcBorders>
            <w:shd w:val="clear" w:color="auto" w:fill="auto"/>
            <w:vAlign w:val="center"/>
          </w:tcPr>
          <w:p w:rsidR="00030C0D" w:rsidRDefault="00030C0D">
            <w:pPr>
              <w:spacing w:beforeLines="20" w:before="48" w:afterLines="20" w:after="48"/>
              <w:jc w:val="center"/>
              <w:rPr>
                <w:b/>
                <w:noProof/>
                <w:sz w:val="16"/>
                <w:szCs w:val="16"/>
              </w:rPr>
            </w:pPr>
          </w:p>
        </w:tc>
        <w:tc>
          <w:tcPr>
            <w:tcW w:w="510" w:type="pct"/>
            <w:tcBorders>
              <w:top w:val="double" w:sz="4" w:space="0" w:color="auto"/>
            </w:tcBorders>
            <w:shd w:val="clear" w:color="auto" w:fill="auto"/>
            <w:vAlign w:val="center"/>
          </w:tcPr>
          <w:p w:rsidR="00030C0D" w:rsidRDefault="00030C0D">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030C0D" w:rsidRDefault="00030C0D">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030C0D" w:rsidRDefault="00030C0D">
            <w:pPr>
              <w:spacing w:beforeLines="20" w:before="48" w:afterLines="20" w:after="48"/>
              <w:jc w:val="center"/>
              <w:rPr>
                <w:b/>
                <w:noProof/>
                <w:sz w:val="16"/>
                <w:szCs w:val="16"/>
              </w:rPr>
            </w:pPr>
          </w:p>
        </w:tc>
      </w:tr>
    </w:tbl>
    <w:p w:rsidR="00030C0D" w:rsidRDefault="00986C69">
      <w:pPr>
        <w:pStyle w:val="Text1"/>
        <w:rPr>
          <w:noProof/>
          <w:sz w:val="18"/>
          <w:szCs w:val="18"/>
        </w:rPr>
      </w:pPr>
      <w:r>
        <w:rPr>
          <w:noProof/>
          <w:sz w:val="18"/>
        </w:rPr>
        <w:t xml:space="preserve">Нуждите от </w:t>
      </w:r>
      <w:r>
        <w:rPr>
          <w:noProof/>
          <w:sz w:val="18"/>
        </w:rPr>
        <w:t>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w:t>
      </w:r>
      <w:r>
        <w:rPr>
          <w:noProof/>
          <w:sz w:val="18"/>
        </w:rPr>
        <w:t>авляващата ГД в рамките на годишната процедура за отпускане на средства и като се имат предвид бюджетните ограничения.</w:t>
      </w:r>
    </w:p>
    <w:p w:rsidR="00030C0D" w:rsidRDefault="00986C69">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030C0D">
        <w:tc>
          <w:tcPr>
            <w:tcW w:w="3240" w:type="dxa"/>
          </w:tcPr>
          <w:p w:rsidR="00030C0D" w:rsidRDefault="00986C69">
            <w:pPr>
              <w:rPr>
                <w:noProof/>
                <w:sz w:val="20"/>
              </w:rPr>
            </w:pPr>
            <w:r>
              <w:rPr>
                <w:noProof/>
                <w:sz w:val="20"/>
              </w:rPr>
              <w:t>Длъжностни лица и временно наети служители</w:t>
            </w:r>
          </w:p>
        </w:tc>
        <w:tc>
          <w:tcPr>
            <w:tcW w:w="7200" w:type="dxa"/>
          </w:tcPr>
          <w:p w:rsidR="00030C0D" w:rsidRDefault="00986C69">
            <w:pPr>
              <w:rPr>
                <w:noProof/>
                <w:sz w:val="20"/>
                <w:szCs w:val="20"/>
              </w:rPr>
            </w:pPr>
            <w:r>
              <w:rPr>
                <w:noProof/>
                <w:sz w:val="20"/>
                <w:szCs w:val="20"/>
              </w:rPr>
              <w:t>Администратори:</w:t>
            </w:r>
          </w:p>
          <w:p w:rsidR="00030C0D" w:rsidRDefault="00986C69">
            <w:pPr>
              <w:pStyle w:val="Bullet0"/>
              <w:numPr>
                <w:ilvl w:val="0"/>
                <w:numId w:val="0"/>
              </w:numPr>
              <w:rPr>
                <w:noProof/>
                <w:sz w:val="20"/>
                <w:szCs w:val="20"/>
              </w:rPr>
            </w:pPr>
            <w:r>
              <w:rPr>
                <w:noProof/>
                <w:sz w:val="20"/>
                <w:szCs w:val="20"/>
              </w:rPr>
              <w:t xml:space="preserve">0,3 ЕПВР на ръководител на </w:t>
            </w:r>
            <w:r>
              <w:rPr>
                <w:noProof/>
                <w:sz w:val="20"/>
                <w:szCs w:val="20"/>
              </w:rPr>
              <w:t>екип</w:t>
            </w:r>
          </w:p>
          <w:p w:rsidR="00030C0D" w:rsidRDefault="00986C69">
            <w:pPr>
              <w:pStyle w:val="Bullet0"/>
              <w:numPr>
                <w:ilvl w:val="0"/>
                <w:numId w:val="0"/>
              </w:numPr>
              <w:rPr>
                <w:noProof/>
                <w:sz w:val="20"/>
                <w:szCs w:val="20"/>
              </w:rPr>
            </w:pPr>
            <w:r>
              <w:rPr>
                <w:noProof/>
                <w:sz w:val="20"/>
                <w:szCs w:val="20"/>
              </w:rPr>
              <w:t>2,7 ЕПВР на отговорни служители за регламента, продуктово специфичните делегирани актове и за съдействие на координирането на правоприлагането от страна на органите за надзор на пазара</w:t>
            </w:r>
          </w:p>
          <w:p w:rsidR="00030C0D" w:rsidRDefault="00986C69">
            <w:pPr>
              <w:pStyle w:val="Bullet0"/>
              <w:numPr>
                <w:ilvl w:val="0"/>
                <w:numId w:val="0"/>
              </w:numPr>
              <w:ind w:left="850" w:hanging="850"/>
              <w:rPr>
                <w:noProof/>
                <w:sz w:val="20"/>
                <w:szCs w:val="20"/>
              </w:rPr>
            </w:pPr>
            <w:r>
              <w:rPr>
                <w:noProof/>
                <w:sz w:val="20"/>
                <w:szCs w:val="20"/>
              </w:rPr>
              <w:t>Асистенти:</w:t>
            </w:r>
          </w:p>
          <w:p w:rsidR="00030C0D" w:rsidRDefault="00986C69">
            <w:pPr>
              <w:pStyle w:val="Bullet0"/>
              <w:numPr>
                <w:ilvl w:val="0"/>
                <w:numId w:val="0"/>
              </w:numPr>
              <w:ind w:left="850" w:hanging="850"/>
              <w:rPr>
                <w:noProof/>
                <w:sz w:val="20"/>
                <w:szCs w:val="20"/>
              </w:rPr>
            </w:pPr>
            <w:r>
              <w:rPr>
                <w:noProof/>
                <w:sz w:val="20"/>
                <w:szCs w:val="20"/>
              </w:rPr>
              <w:t xml:space="preserve">0,3 ЕПВР за съдействие за законодателни процедури и </w:t>
            </w:r>
            <w:r>
              <w:rPr>
                <w:noProof/>
                <w:sz w:val="20"/>
                <w:szCs w:val="20"/>
              </w:rPr>
              <w:t>комуникиране</w:t>
            </w:r>
          </w:p>
        </w:tc>
      </w:tr>
      <w:tr w:rsidR="00030C0D">
        <w:tc>
          <w:tcPr>
            <w:tcW w:w="3240" w:type="dxa"/>
          </w:tcPr>
          <w:p w:rsidR="00030C0D" w:rsidRDefault="00986C69">
            <w:pPr>
              <w:spacing w:before="60" w:after="60"/>
              <w:rPr>
                <w:noProof/>
                <w:sz w:val="20"/>
              </w:rPr>
            </w:pPr>
            <w:r>
              <w:rPr>
                <w:noProof/>
                <w:sz w:val="20"/>
              </w:rPr>
              <w:t>Външен персонал</w:t>
            </w:r>
          </w:p>
        </w:tc>
        <w:tc>
          <w:tcPr>
            <w:tcW w:w="7200" w:type="dxa"/>
          </w:tcPr>
          <w:p w:rsidR="00030C0D" w:rsidRDefault="00986C69">
            <w:pPr>
              <w:rPr>
                <w:noProof/>
                <w:sz w:val="20"/>
                <w:szCs w:val="20"/>
              </w:rPr>
            </w:pPr>
            <w:r>
              <w:rPr>
                <w:noProof/>
                <w:sz w:val="20"/>
                <w:szCs w:val="20"/>
              </w:rPr>
              <w:t>0,3 ЕПВР на секретар на екипа и отговорник за логистиката</w:t>
            </w:r>
          </w:p>
        </w:tc>
      </w:tr>
    </w:tbl>
    <w:p w:rsidR="00030C0D" w:rsidRDefault="00986C69">
      <w:pPr>
        <w:pStyle w:val="ManualHeading3"/>
        <w:rPr>
          <w:bCs/>
          <w:noProof/>
          <w:szCs w:val="24"/>
        </w:rPr>
      </w:pPr>
      <w:r>
        <w:rPr>
          <w:noProof/>
        </w:rPr>
        <w:t>3.2.4.</w:t>
      </w:r>
      <w:r>
        <w:rPr>
          <w:noProof/>
        </w:rPr>
        <w:tab/>
        <w:t xml:space="preserve">Съвместимост с настоящата многогодишна финансова рамка </w:t>
      </w:r>
    </w:p>
    <w:p w:rsidR="00030C0D" w:rsidRDefault="00986C69">
      <w:pPr>
        <w:pStyle w:val="Text1"/>
        <w:rPr>
          <w:noProof/>
        </w:rPr>
      </w:pPr>
      <w:r>
        <w:rPr>
          <w:noProof/>
        </w:rPr>
        <w:t>Предложението/инициативата е съвместимо (съвместима) с настоящата многогодишна финансова рамка.</w:t>
      </w:r>
    </w:p>
    <w:p w:rsidR="00030C0D" w:rsidRDefault="00986C69">
      <w:pPr>
        <w:pStyle w:val="ManualHeading3"/>
        <w:rPr>
          <w:bCs/>
          <w:noProof/>
          <w:szCs w:val="24"/>
        </w:rPr>
      </w:pPr>
      <w:r>
        <w:rPr>
          <w:noProof/>
        </w:rPr>
        <w:t>3.2.5.</w:t>
      </w:r>
      <w:r>
        <w:rPr>
          <w:noProof/>
        </w:rPr>
        <w:tab/>
        <w:t>У</w:t>
      </w:r>
      <w:r>
        <w:rPr>
          <w:noProof/>
        </w:rPr>
        <w:t xml:space="preserve">частие на трети страни във финансирането </w:t>
      </w:r>
    </w:p>
    <w:p w:rsidR="00030C0D" w:rsidRDefault="00986C69">
      <w:pPr>
        <w:pStyle w:val="Text1"/>
        <w:rPr>
          <w:noProof/>
        </w:rPr>
      </w:pPr>
      <w:r>
        <w:rPr>
          <w:noProof/>
        </w:rPr>
        <w:t xml:space="preserve">Предложението/инициативата не предвижда съфинансиране от трети страни. </w:t>
      </w:r>
    </w:p>
    <w:p w:rsidR="00030C0D" w:rsidRDefault="00986C69">
      <w:pPr>
        <w:pStyle w:val="ManualHeading2"/>
        <w:rPr>
          <w:bCs/>
          <w:noProof/>
          <w:szCs w:val="24"/>
        </w:rPr>
      </w:pPr>
      <w:r>
        <w:rPr>
          <w:noProof/>
        </w:rPr>
        <w:t>3.3.</w:t>
      </w:r>
      <w:r>
        <w:rPr>
          <w:noProof/>
        </w:rPr>
        <w:tab/>
        <w:t xml:space="preserve">Очаквано отражение върху приходите </w:t>
      </w:r>
    </w:p>
    <w:p w:rsidR="00030C0D" w:rsidRDefault="00986C69">
      <w:pPr>
        <w:pStyle w:val="Text1"/>
        <w:rPr>
          <w:noProof/>
        </w:rPr>
      </w:pPr>
      <w:r>
        <w:rPr>
          <w:noProof/>
        </w:rPr>
        <w:t>Предложението/инициативата няма финансово отражение върху приходите.</w:t>
      </w:r>
    </w:p>
    <w:sectPr w:rsidR="00030C0D">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C0D" w:rsidRDefault="00986C69">
      <w:pPr>
        <w:spacing w:before="0" w:after="0"/>
      </w:pPr>
      <w:r>
        <w:separator/>
      </w:r>
    </w:p>
  </w:endnote>
  <w:endnote w:type="continuationSeparator" w:id="0">
    <w:p w:rsidR="00030C0D" w:rsidRDefault="00986C69">
      <w:pPr>
        <w:spacing w:before="0" w:after="0"/>
      </w:pPr>
      <w:r>
        <w:continuationSeparator/>
      </w:r>
    </w:p>
  </w:endnote>
  <w:endnote w:type="continuationNotice" w:id="1">
    <w:p w:rsidR="00030C0D" w:rsidRDefault="00030C0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0D" w:rsidRDefault="00986C69">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BG</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0D" w:rsidRDefault="00986C69">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0D" w:rsidRDefault="00030C0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0D" w:rsidRDefault="00986C69">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0D" w:rsidRDefault="00030C0D">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0D" w:rsidRDefault="00986C69">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43</w:t>
    </w:r>
    <w:r>
      <w:fldChar w:fldCharType="end"/>
    </w:r>
    <w:r>
      <w:tab/>
    </w:r>
    <w:r>
      <w:fldChar w:fldCharType="begin"/>
    </w:r>
    <w:r>
      <w:instrText xml:space="preserve"> DOCVARIABLE "</w:instrText>
    </w:r>
    <w:r>
      <w:instrText xml:space="preserve">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0D" w:rsidRDefault="00030C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C0D" w:rsidRDefault="00986C69">
      <w:pPr>
        <w:spacing w:before="0" w:after="0"/>
      </w:pPr>
      <w:r>
        <w:separator/>
      </w:r>
    </w:p>
  </w:footnote>
  <w:footnote w:type="continuationSeparator" w:id="0">
    <w:p w:rsidR="00030C0D" w:rsidRDefault="00986C69">
      <w:pPr>
        <w:spacing w:before="0" w:after="0"/>
      </w:pPr>
      <w:r>
        <w:continuationSeparator/>
      </w:r>
    </w:p>
  </w:footnote>
  <w:footnote w:type="continuationNotice" w:id="1">
    <w:p w:rsidR="00030C0D" w:rsidRDefault="00030C0D">
      <w:pPr>
        <w:spacing w:before="0" w:after="0"/>
      </w:pPr>
    </w:p>
  </w:footnote>
  <w:footnote w:id="2">
    <w:p w:rsidR="00030C0D" w:rsidRDefault="00986C69">
      <w:pPr>
        <w:pStyle w:val="FootnoteText"/>
        <w:rPr>
          <w:lang w:val="en-US"/>
        </w:rPr>
      </w:pPr>
      <w:r>
        <w:rPr>
          <w:rStyle w:val="FootnoteReference"/>
        </w:rPr>
        <w:footnoteRef/>
      </w:r>
      <w:r>
        <w:tab/>
        <w:t>COM(2015)143</w:t>
      </w:r>
    </w:p>
  </w:footnote>
  <w:footnote w:id="3">
    <w:p w:rsidR="00030C0D" w:rsidRDefault="00986C69">
      <w:pPr>
        <w:pStyle w:val="FootnoteText"/>
        <w:rPr>
          <w:lang w:val="en-US"/>
        </w:rPr>
      </w:pPr>
      <w:r>
        <w:rPr>
          <w:rStyle w:val="FootnoteReference"/>
        </w:rPr>
        <w:footnoteRef/>
      </w:r>
      <w:r>
        <w:tab/>
      </w:r>
      <w:r>
        <w:t>Директива 92/75/ЕО на Съвета</w:t>
      </w:r>
    </w:p>
  </w:footnote>
  <w:footnote w:id="4">
    <w:p w:rsidR="00030C0D" w:rsidRDefault="00986C69">
      <w:pPr>
        <w:pStyle w:val="FootnoteText"/>
        <w:rPr>
          <w:lang w:val="en-US"/>
        </w:rPr>
      </w:pPr>
      <w:r>
        <w:rPr>
          <w:rStyle w:val="FootnoteReference"/>
        </w:rPr>
        <w:footnoteRef/>
      </w:r>
      <w:r>
        <w:tab/>
      </w:r>
      <w:r>
        <w:t xml:space="preserve">Например френския закон за защита на потребителите по отношение на предоставянето на информация за </w:t>
      </w:r>
      <w:proofErr w:type="spellStart"/>
      <w:r>
        <w:t>разполагаемостта</w:t>
      </w:r>
      <w:proofErr w:type="spellEnd"/>
      <w:r>
        <w:t xml:space="preserve"> на резервни части.</w:t>
      </w:r>
    </w:p>
  </w:footnote>
  <w:footnote w:id="5">
    <w:p w:rsidR="00030C0D" w:rsidRDefault="00986C69">
      <w:pPr>
        <w:pStyle w:val="FootnoteText"/>
      </w:pPr>
      <w:r>
        <w:rPr>
          <w:rStyle w:val="FootnoteReference"/>
        </w:rPr>
        <w:footnoteRef/>
      </w:r>
      <w:r>
        <w:tab/>
      </w:r>
      <w:r>
        <w:t>Съгласно оценките, прилагането на двете директиви би довело в 2020 г. до спестяване на 1</w:t>
      </w:r>
      <w:r>
        <w:t xml:space="preserve">75 млн. тона нефтен еквивалент (т н.е.) годишно (като около 15 % от тези икономии се дължат на мерки за енергийно етикетиране, като се има предвид, че около половината от продуктовите групи са обхванати само от мерките за </w:t>
      </w:r>
      <w:proofErr w:type="spellStart"/>
      <w:r>
        <w:t>екопроектиране</w:t>
      </w:r>
      <w:proofErr w:type="spellEnd"/>
      <w:r>
        <w:t xml:space="preserve">). Това съответства </w:t>
      </w:r>
      <w:r>
        <w:t>на около 19 % икономии в сравнение с обичайната практика на ползването на енергия за тези продукти. Разглежданите политики ще осигурят близо половината от подобрението с 20 %  на енергийната ефективност, което е поставено като цел за 2020 г. Зависимостта о</w:t>
      </w:r>
      <w:r>
        <w:t xml:space="preserve">т внос на енергоносители би намаляла съответно с 23 % за вноса на природен газ и с 37 % за вноса на въглища. Съгласно оценките, сега действащите мерки за </w:t>
      </w:r>
      <w:proofErr w:type="spellStart"/>
      <w:r>
        <w:t>екопроектиране</w:t>
      </w:r>
      <w:proofErr w:type="spellEnd"/>
      <w:r>
        <w:t xml:space="preserve"> и за енергийно етикетиране до 2020 г. биха довели сумарно до икономии на крайните потре</w:t>
      </w:r>
      <w:r>
        <w:t>бители на съответните продукти в размер на 100 млрд. евро годишно чрез намаляване на енергийните разходи.</w:t>
      </w:r>
    </w:p>
  </w:footnote>
  <w:footnote w:id="6">
    <w:p w:rsidR="00030C0D" w:rsidRDefault="00986C69">
      <w:pPr>
        <w:pStyle w:val="FootnoteText"/>
      </w:pPr>
      <w:r>
        <w:rPr>
          <w:rStyle w:val="FootnoteReference"/>
        </w:rPr>
        <w:footnoteRef/>
      </w:r>
      <w:r>
        <w:tab/>
      </w:r>
      <w:r>
        <w:t xml:space="preserve">При все че първоначално разходите, породени от изискванията за етикетиране, се поемат от производителите, впоследствие те се прехвърлят на крайните </w:t>
      </w:r>
      <w:r>
        <w:t>клиенти (домакинства или предприятия), които реализират финансови икономии от намалена консумация на енергия, чувствително надхвърлящи първоначалните разходи при покупката на продуктите. Липсват подробни данни за ЕС като цяло. За Обединеното кралство съотн</w:t>
      </w:r>
      <w:r>
        <w:t>ошението между разходите и ползите е оценено на 3:8.</w:t>
      </w:r>
    </w:p>
  </w:footnote>
  <w:footnote w:id="7">
    <w:p w:rsidR="00030C0D" w:rsidRDefault="00986C69">
      <w:pPr>
        <w:pStyle w:val="FootnoteText"/>
      </w:pPr>
      <w:r>
        <w:rPr>
          <w:rStyle w:val="FootnoteReference"/>
        </w:rPr>
        <w:footnoteRef/>
      </w:r>
      <w:r>
        <w:tab/>
      </w:r>
      <w:r>
        <w:t>Изменението на символиката, свързано с използване на допълнителни плюсове за изразяване на класове с по-добра ефективност в сравнение с клас А е по-малко ефикасно за мотивиране на покупката на продукти</w:t>
      </w:r>
      <w:r>
        <w:t xml:space="preserve"> с по-добра ефективност в сравнение с първоначалната скала от А до G. При все че проучванията показват, че новата скала е разбираема за потребителите, с нея се намалява желанието им да платят повече за по-ефективни продукти, тъй като са по-слабо мотивирани</w:t>
      </w:r>
      <w:r>
        <w:t xml:space="preserve"> от разликата между A+ и A+++ в сравнение с разликата между C и A. По-подробна информация  по този въпрос има в проучването </w:t>
      </w:r>
      <w:proofErr w:type="spellStart"/>
      <w:r>
        <w:rPr>
          <w:i/>
        </w:rPr>
        <w:t>London</w:t>
      </w:r>
      <w:proofErr w:type="spellEnd"/>
      <w:r>
        <w:rPr>
          <w:i/>
        </w:rPr>
        <w:t xml:space="preserve"> </w:t>
      </w:r>
      <w:proofErr w:type="spellStart"/>
      <w:r>
        <w:rPr>
          <w:i/>
        </w:rPr>
        <w:t>Economics</w:t>
      </w:r>
      <w:proofErr w:type="spellEnd"/>
      <w:r>
        <w:rPr>
          <w:i/>
        </w:rPr>
        <w:t xml:space="preserve"> &amp; </w:t>
      </w:r>
      <w:proofErr w:type="spellStart"/>
      <w:r>
        <w:rPr>
          <w:i/>
        </w:rPr>
        <w:t>Ipsos</w:t>
      </w:r>
      <w:proofErr w:type="spellEnd"/>
      <w:r>
        <w:rPr>
          <w:i/>
        </w:rPr>
        <w:t xml:space="preserve"> </w:t>
      </w:r>
      <w:proofErr w:type="spellStart"/>
      <w:r>
        <w:rPr>
          <w:i/>
        </w:rPr>
        <w:t>Mori</w:t>
      </w:r>
      <w:proofErr w:type="spellEnd"/>
      <w:r>
        <w:rPr>
          <w:i/>
        </w:rPr>
        <w:t xml:space="preserve">, A </w:t>
      </w:r>
      <w:proofErr w:type="spellStart"/>
      <w:r>
        <w:rPr>
          <w:i/>
        </w:rPr>
        <w:t>study</w:t>
      </w:r>
      <w:proofErr w:type="spellEnd"/>
      <w:r>
        <w:rPr>
          <w:i/>
        </w:rPr>
        <w:t xml:space="preserve"> </w:t>
      </w:r>
      <w:proofErr w:type="spellStart"/>
      <w:r>
        <w:rPr>
          <w:i/>
        </w:rPr>
        <w:t>on</w:t>
      </w:r>
      <w:proofErr w:type="spellEnd"/>
      <w:r>
        <w:rPr>
          <w:i/>
        </w:rPr>
        <w:t xml:space="preserve"> </w:t>
      </w:r>
      <w:proofErr w:type="spellStart"/>
      <w:r>
        <w:rPr>
          <w:i/>
        </w:rPr>
        <w:t>the</w:t>
      </w:r>
      <w:proofErr w:type="spellEnd"/>
      <w:r>
        <w:rPr>
          <w:i/>
        </w:rPr>
        <w:t xml:space="preserve"> </w:t>
      </w:r>
      <w:proofErr w:type="spellStart"/>
      <w:r>
        <w:rPr>
          <w:i/>
        </w:rPr>
        <w:t>impact</w:t>
      </w:r>
      <w:proofErr w:type="spellEnd"/>
      <w:r>
        <w:rPr>
          <w:i/>
        </w:rPr>
        <w:t xml:space="preserve"> of </w:t>
      </w:r>
      <w:proofErr w:type="spellStart"/>
      <w:r>
        <w:rPr>
          <w:i/>
        </w:rPr>
        <w:t>the</w:t>
      </w:r>
      <w:proofErr w:type="spellEnd"/>
      <w:r>
        <w:rPr>
          <w:i/>
        </w:rPr>
        <w:t xml:space="preserve"> </w:t>
      </w:r>
      <w:proofErr w:type="spellStart"/>
      <w:r>
        <w:rPr>
          <w:i/>
        </w:rPr>
        <w:t>energy</w:t>
      </w:r>
      <w:proofErr w:type="spellEnd"/>
      <w:r>
        <w:rPr>
          <w:i/>
        </w:rPr>
        <w:t xml:space="preserve"> </w:t>
      </w:r>
      <w:proofErr w:type="spellStart"/>
      <w:r>
        <w:rPr>
          <w:i/>
        </w:rPr>
        <w:t>label</w:t>
      </w:r>
      <w:proofErr w:type="spellEnd"/>
      <w:r>
        <w:rPr>
          <w:i/>
        </w:rPr>
        <w:t xml:space="preserve"> – </w:t>
      </w:r>
      <w:proofErr w:type="spellStart"/>
      <w:r>
        <w:rPr>
          <w:i/>
        </w:rPr>
        <w:t>and</w:t>
      </w:r>
      <w:proofErr w:type="spellEnd"/>
      <w:r>
        <w:rPr>
          <w:i/>
        </w:rPr>
        <w:t xml:space="preserve"> of </w:t>
      </w:r>
      <w:proofErr w:type="spellStart"/>
      <w:r>
        <w:rPr>
          <w:i/>
        </w:rPr>
        <w:t>potential</w:t>
      </w:r>
      <w:proofErr w:type="spellEnd"/>
      <w:r>
        <w:rPr>
          <w:i/>
        </w:rPr>
        <w:t xml:space="preserve"> </w:t>
      </w:r>
      <w:proofErr w:type="spellStart"/>
      <w:r>
        <w:rPr>
          <w:i/>
        </w:rPr>
        <w:t>changes</w:t>
      </w:r>
      <w:proofErr w:type="spellEnd"/>
      <w:r>
        <w:rPr>
          <w:i/>
        </w:rPr>
        <w:t xml:space="preserve"> to </w:t>
      </w:r>
      <w:proofErr w:type="spellStart"/>
      <w:r>
        <w:rPr>
          <w:i/>
        </w:rPr>
        <w:t>it</w:t>
      </w:r>
      <w:proofErr w:type="spellEnd"/>
      <w:r>
        <w:rPr>
          <w:i/>
        </w:rPr>
        <w:t xml:space="preserve"> – </w:t>
      </w:r>
      <w:proofErr w:type="spellStart"/>
      <w:r>
        <w:rPr>
          <w:i/>
        </w:rPr>
        <w:t>on</w:t>
      </w:r>
      <w:proofErr w:type="spellEnd"/>
      <w:r>
        <w:rPr>
          <w:i/>
        </w:rPr>
        <w:t xml:space="preserve"> </w:t>
      </w:r>
      <w:proofErr w:type="spellStart"/>
      <w:r>
        <w:rPr>
          <w:i/>
        </w:rPr>
        <w:t>consumer</w:t>
      </w:r>
      <w:proofErr w:type="spellEnd"/>
      <w:r>
        <w:rPr>
          <w:i/>
        </w:rPr>
        <w:t xml:space="preserve"> </w:t>
      </w:r>
      <w:proofErr w:type="spellStart"/>
      <w:r>
        <w:rPr>
          <w:i/>
        </w:rPr>
        <w:t>understandin</w:t>
      </w:r>
      <w:r>
        <w:rPr>
          <w:i/>
        </w:rPr>
        <w:t>g</w:t>
      </w:r>
      <w:proofErr w:type="spellEnd"/>
      <w:r>
        <w:rPr>
          <w:i/>
        </w:rPr>
        <w:t xml:space="preserve"> </w:t>
      </w:r>
      <w:proofErr w:type="spellStart"/>
      <w:r>
        <w:rPr>
          <w:i/>
        </w:rPr>
        <w:t>and</w:t>
      </w:r>
      <w:proofErr w:type="spellEnd"/>
      <w:r>
        <w:rPr>
          <w:i/>
        </w:rPr>
        <w:t xml:space="preserve"> </w:t>
      </w:r>
      <w:proofErr w:type="spellStart"/>
      <w:r>
        <w:rPr>
          <w:i/>
        </w:rPr>
        <w:t>on</w:t>
      </w:r>
      <w:proofErr w:type="spellEnd"/>
      <w:r>
        <w:rPr>
          <w:i/>
        </w:rPr>
        <w:t xml:space="preserve"> </w:t>
      </w:r>
      <w:proofErr w:type="spellStart"/>
      <w:r>
        <w:rPr>
          <w:i/>
        </w:rPr>
        <w:t>purchase</w:t>
      </w:r>
      <w:proofErr w:type="spellEnd"/>
      <w:r>
        <w:rPr>
          <w:i/>
        </w:rPr>
        <w:t xml:space="preserve"> </w:t>
      </w:r>
      <w:proofErr w:type="spellStart"/>
      <w:r>
        <w:rPr>
          <w:i/>
        </w:rPr>
        <w:t>decisions</w:t>
      </w:r>
      <w:proofErr w:type="spellEnd"/>
      <w:r>
        <w:rPr>
          <w:i/>
        </w:rPr>
        <w:t>, 2014(Проучване на въздействието на енергийния етикет — и на потенциалните изменения в него — върху разбирането му от потребителите и решенията за покупки)</w:t>
      </w:r>
      <w:r>
        <w:t>.</w:t>
      </w:r>
    </w:p>
  </w:footnote>
  <w:footnote w:id="8">
    <w:p w:rsidR="00030C0D" w:rsidRDefault="00986C69">
      <w:pPr>
        <w:pStyle w:val="FootnoteText"/>
      </w:pPr>
      <w:r>
        <w:rPr>
          <w:rStyle w:val="FootnoteReference"/>
        </w:rPr>
        <w:footnoteRef/>
      </w:r>
      <w:r>
        <w:tab/>
      </w:r>
      <w:r>
        <w:t xml:space="preserve">Например по аспекти във връзка с повторна използваемост, </w:t>
      </w:r>
      <w:proofErr w:type="spellStart"/>
      <w:r>
        <w:t>рециклируемо</w:t>
      </w:r>
      <w:r>
        <w:t>ст</w:t>
      </w:r>
      <w:proofErr w:type="spellEnd"/>
      <w:r>
        <w:t xml:space="preserve"> и </w:t>
      </w:r>
      <w:proofErr w:type="spellStart"/>
      <w:r>
        <w:t>оползотворяемост</w:t>
      </w:r>
      <w:proofErr w:type="spellEnd"/>
      <w:r>
        <w:t>, със съдържанието на рециклирани материали, с използването на приоритетни материали, опасни вещества, както и с дълготрайността.</w:t>
      </w:r>
    </w:p>
  </w:footnote>
  <w:footnote w:id="9">
    <w:p w:rsidR="00030C0D" w:rsidRDefault="00986C69">
      <w:pPr>
        <w:pStyle w:val="FootnoteText"/>
      </w:pPr>
      <w:r>
        <w:rPr>
          <w:rStyle w:val="FootnoteReference"/>
        </w:rPr>
        <w:footnoteRef/>
      </w:r>
      <w:r>
        <w:tab/>
      </w:r>
      <w:r>
        <w:t>Директива 2012/27/EС, OВ L 315 от 14.11.2012 г., стр. 1</w:t>
      </w:r>
    </w:p>
  </w:footnote>
  <w:footnote w:id="10">
    <w:p w:rsidR="00030C0D" w:rsidRDefault="00986C69">
      <w:pPr>
        <w:pStyle w:val="FootnoteText"/>
      </w:pPr>
      <w:r>
        <w:rPr>
          <w:rStyle w:val="FootnoteReference"/>
        </w:rPr>
        <w:footnoteRef/>
      </w:r>
      <w:r>
        <w:tab/>
        <w:t>https://ec.europa.eu/energy/sites/ener/files/</w:t>
      </w:r>
      <w:r>
        <w:t>documents/Background_document_II_-_Survey_results.pdf</w:t>
      </w:r>
    </w:p>
  </w:footnote>
  <w:footnote w:id="11">
    <w:p w:rsidR="00030C0D" w:rsidRDefault="00986C69">
      <w:pPr>
        <w:pStyle w:val="FootnoteText"/>
      </w:pPr>
      <w:r>
        <w:rPr>
          <w:rStyle w:val="FootnoteReference"/>
        </w:rPr>
        <w:footnoteRef/>
      </w:r>
      <w:r>
        <w:tab/>
      </w:r>
      <w:r>
        <w:t>http://ec.europa.eu/energy/en/studies?field_associated_topic_tid=45</w:t>
      </w:r>
    </w:p>
  </w:footnote>
  <w:footnote w:id="12">
    <w:p w:rsidR="00030C0D" w:rsidRDefault="00986C69">
      <w:pPr>
        <w:pStyle w:val="FootnoteText"/>
      </w:pPr>
      <w:r>
        <w:rPr>
          <w:rStyle w:val="FootnoteReference"/>
        </w:rPr>
        <w:footnoteRef/>
      </w:r>
      <w:r>
        <w:tab/>
      </w:r>
      <w:r>
        <w:t>http://ec.europa.eu/smart-regulation/impact/ia_carried_out/cia_2015_en.htm</w:t>
      </w:r>
    </w:p>
  </w:footnote>
  <w:footnote w:id="13">
    <w:p w:rsidR="00030C0D" w:rsidRDefault="00986C69">
      <w:pPr>
        <w:pStyle w:val="FootnoteText"/>
        <w:ind w:left="0" w:firstLine="0"/>
      </w:pPr>
      <w:r>
        <w:rPr>
          <w:rStyle w:val="FootnoteReference"/>
        </w:rPr>
        <w:footnoteRef/>
      </w:r>
      <w:r>
        <w:tab/>
      </w:r>
      <w:r>
        <w:t>По-специално, с Регламент (ЕО) № 765/2008 на Европейс</w:t>
      </w:r>
      <w:r>
        <w:t>кия парламент и на Съвета от 9 юли 2008 г. за определяне на изискванията за акредитация и надзор на пазара във връзка с предлагането на пазара на продукти и за отмяна на Регламент (ЕИО) № 339/93.</w:t>
      </w:r>
    </w:p>
  </w:footnote>
  <w:footnote w:id="14">
    <w:p w:rsidR="00030C0D" w:rsidRDefault="00986C69">
      <w:pPr>
        <w:pStyle w:val="FootnoteText"/>
      </w:pPr>
      <w:r>
        <w:rPr>
          <w:rStyle w:val="FootnoteReference"/>
        </w:rPr>
        <w:footnoteRef/>
      </w:r>
      <w:r>
        <w:tab/>
      </w:r>
      <w:r>
        <w:t>OВ C […], […] г., стр. […].</w:t>
      </w:r>
    </w:p>
  </w:footnote>
  <w:footnote w:id="15">
    <w:p w:rsidR="00030C0D" w:rsidRDefault="00986C69">
      <w:pPr>
        <w:pStyle w:val="FootnoteText"/>
        <w:rPr>
          <w:lang w:val="pt-PT"/>
        </w:rPr>
      </w:pPr>
      <w:r>
        <w:rPr>
          <w:rStyle w:val="FootnoteReference"/>
        </w:rPr>
        <w:footnoteRef/>
      </w:r>
      <w:r>
        <w:tab/>
      </w:r>
      <w:r>
        <w:t>OВ C […], […] г., стр. </w:t>
      </w:r>
      <w:r>
        <w:rPr>
          <w:lang w:val="pt-PT"/>
        </w:rPr>
        <w:t>[…].</w:t>
      </w:r>
    </w:p>
  </w:footnote>
  <w:footnote w:id="16">
    <w:p w:rsidR="00030C0D" w:rsidRDefault="00986C69">
      <w:pPr>
        <w:pStyle w:val="FootnoteText"/>
        <w:rPr>
          <w:lang w:val="pt-PT"/>
        </w:rPr>
      </w:pPr>
      <w:r>
        <w:rPr>
          <w:rStyle w:val="FootnoteReference"/>
        </w:rPr>
        <w:footnoteRef/>
      </w:r>
      <w:r>
        <w:rPr>
          <w:lang w:val="pt-PT"/>
        </w:rPr>
        <w:tab/>
      </w:r>
      <w:r>
        <w:t>ОВ</w:t>
      </w:r>
      <w:r>
        <w:rPr>
          <w:lang w:val="pt-PT"/>
        </w:rPr>
        <w:t> L 153, 18.6.2010 </w:t>
      </w:r>
      <w:r>
        <w:t>г</w:t>
      </w:r>
      <w:r>
        <w:rPr>
          <w:lang w:val="pt-PT"/>
        </w:rPr>
        <w:t xml:space="preserve">., </w:t>
      </w:r>
      <w:proofErr w:type="spellStart"/>
      <w:r>
        <w:t>стр</w:t>
      </w:r>
      <w:proofErr w:type="spellEnd"/>
      <w:r>
        <w:rPr>
          <w:lang w:val="pt-PT"/>
        </w:rPr>
        <w:t>. 1</w:t>
      </w:r>
    </w:p>
  </w:footnote>
  <w:footnote w:id="17">
    <w:p w:rsidR="00030C0D" w:rsidRDefault="00986C69">
      <w:pPr>
        <w:pStyle w:val="FootnoteText"/>
        <w:rPr>
          <w:lang w:val="pt-PT"/>
        </w:rPr>
      </w:pPr>
      <w:r>
        <w:rPr>
          <w:rStyle w:val="FootnoteReference"/>
        </w:rPr>
        <w:footnoteRef/>
      </w:r>
      <w:r>
        <w:rPr>
          <w:lang w:val="pt-PT"/>
        </w:rPr>
        <w:tab/>
      </w:r>
      <w:proofErr w:type="gramStart"/>
      <w:r>
        <w:rPr>
          <w:lang w:val="pt-PT"/>
        </w:rPr>
        <w:t>COM(2015</w:t>
      </w:r>
      <w:proofErr w:type="gramEnd"/>
      <w:r>
        <w:rPr>
          <w:lang w:val="pt-PT"/>
        </w:rPr>
        <w:t>)143</w:t>
      </w:r>
    </w:p>
  </w:footnote>
  <w:footnote w:id="18">
    <w:p w:rsidR="00030C0D" w:rsidRDefault="00986C69">
      <w:pPr>
        <w:pStyle w:val="FootnoteText"/>
        <w:rPr>
          <w:lang w:val="pt-PT"/>
        </w:rPr>
      </w:pPr>
      <w:r>
        <w:rPr>
          <w:rStyle w:val="FootnoteReference"/>
        </w:rPr>
        <w:footnoteRef/>
      </w:r>
      <w:r>
        <w:rPr>
          <w:lang w:val="pt-PT"/>
        </w:rPr>
        <w:tab/>
        <w:t>COM/2014/330</w:t>
      </w:r>
    </w:p>
  </w:footnote>
  <w:footnote w:id="19">
    <w:p w:rsidR="00030C0D" w:rsidRDefault="00986C69">
      <w:pPr>
        <w:pStyle w:val="FootnoteText"/>
        <w:rPr>
          <w:lang w:val="pt-PT"/>
        </w:rPr>
      </w:pPr>
      <w:r>
        <w:rPr>
          <w:rStyle w:val="FootnoteReference"/>
        </w:rPr>
        <w:footnoteRef/>
      </w:r>
      <w:r>
        <w:rPr>
          <w:lang w:val="pt-PT"/>
        </w:rPr>
        <w:tab/>
      </w:r>
      <w:proofErr w:type="gramStart"/>
      <w:r>
        <w:rPr>
          <w:lang w:val="pt-PT"/>
        </w:rPr>
        <w:t>COM(2015</w:t>
      </w:r>
      <w:proofErr w:type="gramEnd"/>
      <w:r>
        <w:rPr>
          <w:lang w:val="pt-PT"/>
        </w:rPr>
        <w:t>) 80 final</w:t>
      </w:r>
    </w:p>
  </w:footnote>
  <w:footnote w:id="20">
    <w:p w:rsidR="00030C0D" w:rsidRDefault="00986C69">
      <w:pPr>
        <w:pStyle w:val="FootnoteText"/>
        <w:rPr>
          <w:lang w:val="pt-PT"/>
        </w:rPr>
      </w:pPr>
      <w:r>
        <w:rPr>
          <w:rStyle w:val="FootnoteReference"/>
        </w:rPr>
        <w:footnoteRef/>
      </w:r>
      <w:r>
        <w:rPr>
          <w:lang w:val="pt-PT"/>
        </w:rPr>
        <w:tab/>
      </w:r>
      <w:r>
        <w:t>ОВ</w:t>
      </w:r>
      <w:r>
        <w:rPr>
          <w:lang w:val="pt-PT"/>
        </w:rPr>
        <w:t> L 218, 13.8.2008 </w:t>
      </w:r>
      <w:r>
        <w:t>г</w:t>
      </w:r>
      <w:r>
        <w:rPr>
          <w:lang w:val="pt-PT"/>
        </w:rPr>
        <w:t xml:space="preserve">., </w:t>
      </w:r>
      <w:proofErr w:type="spellStart"/>
      <w:r>
        <w:t>стр</w:t>
      </w:r>
      <w:proofErr w:type="spellEnd"/>
      <w:r>
        <w:rPr>
          <w:lang w:val="pt-PT"/>
        </w:rPr>
        <w:t>. 30.</w:t>
      </w:r>
    </w:p>
  </w:footnote>
  <w:footnote w:id="21">
    <w:p w:rsidR="00030C0D" w:rsidRDefault="00986C69">
      <w:pPr>
        <w:pStyle w:val="FootnoteText"/>
        <w:rPr>
          <w:lang w:val="pt-PT"/>
        </w:rPr>
      </w:pPr>
      <w:r>
        <w:rPr>
          <w:rStyle w:val="FootnoteReference"/>
        </w:rPr>
        <w:footnoteRef/>
      </w:r>
      <w:r>
        <w:rPr>
          <w:lang w:val="pt-PT"/>
        </w:rPr>
        <w:tab/>
      </w:r>
      <w:r>
        <w:t>Регламент</w:t>
      </w:r>
      <w:r>
        <w:rPr>
          <w:lang w:val="pt-PT"/>
        </w:rPr>
        <w:t> (</w:t>
      </w:r>
      <w:r>
        <w:t>ЕС</w:t>
      </w:r>
      <w:r>
        <w:rPr>
          <w:lang w:val="pt-PT"/>
        </w:rPr>
        <w:t xml:space="preserve">) № 1025/2012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25 </w:t>
      </w:r>
      <w:r>
        <w:t>октомври</w:t>
      </w:r>
      <w:r>
        <w:rPr>
          <w:lang w:val="pt-PT"/>
        </w:rPr>
        <w:t xml:space="preserve"> 2012 </w:t>
      </w:r>
      <w:r>
        <w:t>г</w:t>
      </w:r>
      <w:r>
        <w:rPr>
          <w:lang w:val="pt-PT"/>
        </w:rPr>
        <w:t xml:space="preserve">. </w:t>
      </w:r>
      <w:r>
        <w:t>относно</w:t>
      </w:r>
      <w:r>
        <w:rPr>
          <w:lang w:val="pt-PT"/>
        </w:rPr>
        <w:t xml:space="preserve"> </w:t>
      </w:r>
      <w:r>
        <w:t>европейската</w:t>
      </w:r>
      <w:r>
        <w:rPr>
          <w:lang w:val="pt-PT"/>
        </w:rPr>
        <w:t xml:space="preserve"> </w:t>
      </w:r>
      <w:r>
        <w:t>стандартизация</w:t>
      </w:r>
      <w:r>
        <w:rPr>
          <w:lang w:val="pt-PT"/>
        </w:rPr>
        <w:t xml:space="preserve"> (</w:t>
      </w:r>
      <w:r>
        <w:t>ОВ</w:t>
      </w:r>
      <w:r>
        <w:rPr>
          <w:lang w:val="pt-PT"/>
        </w:rPr>
        <w:t> L 316, 1</w:t>
      </w:r>
      <w:r>
        <w:rPr>
          <w:lang w:val="pt-PT"/>
        </w:rPr>
        <w:t>4.11.2012 </w:t>
      </w:r>
      <w:r>
        <w:t>г</w:t>
      </w:r>
      <w:r>
        <w:rPr>
          <w:lang w:val="pt-PT"/>
        </w:rPr>
        <w:t xml:space="preserve">., </w:t>
      </w:r>
      <w:proofErr w:type="spellStart"/>
      <w:r>
        <w:t>стр</w:t>
      </w:r>
      <w:proofErr w:type="spellEnd"/>
      <w:r>
        <w:rPr>
          <w:lang w:val="pt-PT"/>
        </w:rPr>
        <w:t>. 12).</w:t>
      </w:r>
    </w:p>
  </w:footnote>
  <w:footnote w:id="22">
    <w:p w:rsidR="00030C0D" w:rsidRDefault="00986C69">
      <w:pPr>
        <w:pStyle w:val="FootnoteText"/>
        <w:rPr>
          <w:lang w:val="pt-PT"/>
        </w:rPr>
      </w:pPr>
      <w:r>
        <w:rPr>
          <w:rStyle w:val="FootnoteReference"/>
        </w:rPr>
        <w:footnoteRef/>
      </w:r>
      <w:r>
        <w:rPr>
          <w:lang w:val="pt-PT"/>
        </w:rPr>
        <w:tab/>
        <w:t>O</w:t>
      </w:r>
      <w:r>
        <w:t>В</w:t>
      </w:r>
      <w:r>
        <w:rPr>
          <w:lang w:val="pt-PT"/>
        </w:rPr>
        <w:t> L 316, 14.11.2012 </w:t>
      </w:r>
      <w:r>
        <w:t>г</w:t>
      </w:r>
      <w:r>
        <w:rPr>
          <w:lang w:val="pt-PT"/>
        </w:rPr>
        <w:t xml:space="preserve">., </w:t>
      </w:r>
      <w:proofErr w:type="spellStart"/>
      <w:r>
        <w:t>стр</w:t>
      </w:r>
      <w:proofErr w:type="spellEnd"/>
      <w:r>
        <w:rPr>
          <w:lang w:val="pt-PT"/>
        </w:rPr>
        <w:t>. 12</w:t>
      </w:r>
    </w:p>
  </w:footnote>
  <w:footnote w:id="23">
    <w:p w:rsidR="00030C0D" w:rsidRDefault="00986C69">
      <w:pPr>
        <w:pStyle w:val="FootnoteText"/>
        <w:rPr>
          <w:szCs w:val="24"/>
          <w:lang w:val="pt-PT"/>
        </w:rPr>
      </w:pPr>
      <w:r>
        <w:rPr>
          <w:rStyle w:val="FootnoteReference"/>
        </w:rPr>
        <w:footnoteRef/>
      </w:r>
      <w:r>
        <w:rPr>
          <w:lang w:val="pt-PT"/>
        </w:rPr>
        <w:tab/>
      </w:r>
      <w:r>
        <w:t>УД</w:t>
      </w:r>
      <w:r>
        <w:rPr>
          <w:lang w:val="pt-PT"/>
        </w:rPr>
        <w:t xml:space="preserve">: </w:t>
      </w:r>
      <w:r>
        <w:t>управление</w:t>
      </w:r>
      <w:r>
        <w:rPr>
          <w:lang w:val="pt-PT"/>
        </w:rPr>
        <w:t xml:space="preserve"> </w:t>
      </w:r>
      <w:r>
        <w:t>по</w:t>
      </w:r>
      <w:r>
        <w:rPr>
          <w:lang w:val="pt-PT"/>
        </w:rPr>
        <w:t xml:space="preserve"> </w:t>
      </w:r>
      <w:r>
        <w:t>дейности</w:t>
      </w:r>
      <w:r>
        <w:rPr>
          <w:lang w:val="pt-PT"/>
        </w:rPr>
        <w:t xml:space="preserve">; </w:t>
      </w:r>
      <w:r>
        <w:t>БД</w:t>
      </w:r>
      <w:r>
        <w:rPr>
          <w:lang w:val="pt-PT"/>
        </w:rPr>
        <w:t xml:space="preserve">: </w:t>
      </w:r>
      <w:proofErr w:type="spellStart"/>
      <w:r>
        <w:t>бюджетиране</w:t>
      </w:r>
      <w:proofErr w:type="spellEnd"/>
      <w:r>
        <w:rPr>
          <w:lang w:val="pt-PT"/>
        </w:rPr>
        <w:t xml:space="preserve"> </w:t>
      </w:r>
      <w:r>
        <w:t>по</w:t>
      </w:r>
      <w:r>
        <w:rPr>
          <w:lang w:val="pt-PT"/>
        </w:rPr>
        <w:t xml:space="preserve"> </w:t>
      </w:r>
      <w:r>
        <w:t>дейности</w:t>
      </w:r>
      <w:r>
        <w:rPr>
          <w:lang w:val="pt-PT"/>
        </w:rPr>
        <w:t>.</w:t>
      </w:r>
    </w:p>
  </w:footnote>
  <w:footnote w:id="24">
    <w:p w:rsidR="00030C0D" w:rsidRDefault="00986C69">
      <w:pPr>
        <w:pStyle w:val="FootnoteText"/>
        <w:rPr>
          <w:szCs w:val="24"/>
          <w:lang w:val="pt-PT"/>
        </w:rPr>
      </w:pPr>
      <w:r>
        <w:rPr>
          <w:rStyle w:val="FootnoteReference"/>
        </w:rPr>
        <w:footnoteRef/>
      </w:r>
      <w:r>
        <w:rPr>
          <w:lang w:val="pt-PT"/>
        </w:rPr>
        <w:tab/>
      </w:r>
      <w:r>
        <w:t>Подробна</w:t>
      </w:r>
      <w:r>
        <w:rPr>
          <w:lang w:val="pt-PT"/>
        </w:rPr>
        <w:t xml:space="preserve"> </w:t>
      </w:r>
      <w:r>
        <w:t>информация</w:t>
      </w:r>
      <w:r>
        <w:rPr>
          <w:lang w:val="pt-PT"/>
        </w:rPr>
        <w:t xml:space="preserve"> </w:t>
      </w:r>
      <w:r>
        <w:t>за</w:t>
      </w:r>
      <w:r>
        <w:rPr>
          <w:lang w:val="pt-PT"/>
        </w:rPr>
        <w:t xml:space="preserve"> </w:t>
      </w:r>
      <w:r>
        <w:t>методите</w:t>
      </w:r>
      <w:r>
        <w:rPr>
          <w:lang w:val="pt-PT"/>
        </w:rPr>
        <w:t xml:space="preserve"> </w:t>
      </w:r>
      <w:r>
        <w:t>на</w:t>
      </w:r>
      <w:r>
        <w:rPr>
          <w:lang w:val="pt-PT"/>
        </w:rPr>
        <w:t xml:space="preserve"> </w:t>
      </w:r>
      <w:r>
        <w:t>управление</w:t>
      </w:r>
      <w:r>
        <w:rPr>
          <w:lang w:val="pt-PT"/>
        </w:rPr>
        <w:t xml:space="preserve"> </w:t>
      </w:r>
      <w:r>
        <w:t>и</w:t>
      </w:r>
      <w:r>
        <w:rPr>
          <w:lang w:val="pt-PT"/>
        </w:rPr>
        <w:t xml:space="preserve"> </w:t>
      </w:r>
      <w:r>
        <w:t>позовавания</w:t>
      </w:r>
      <w:r>
        <w:rPr>
          <w:lang w:val="pt-PT"/>
        </w:rPr>
        <w:t xml:space="preserve"> </w:t>
      </w:r>
      <w:r>
        <w:t>на</w:t>
      </w:r>
      <w:r>
        <w:rPr>
          <w:lang w:val="pt-PT"/>
        </w:rPr>
        <w:t xml:space="preserve"> </w:t>
      </w:r>
      <w:r>
        <w:t>Финансовия</w:t>
      </w:r>
      <w:r>
        <w:rPr>
          <w:lang w:val="pt-PT"/>
        </w:rPr>
        <w:t xml:space="preserve"> </w:t>
      </w:r>
      <w:r>
        <w:t>регламент</w:t>
      </w:r>
      <w:r>
        <w:rPr>
          <w:lang w:val="pt-PT"/>
        </w:rPr>
        <w:t xml:space="preserve"> </w:t>
      </w:r>
      <w:r>
        <w:t>могат</w:t>
      </w:r>
      <w:r>
        <w:rPr>
          <w:lang w:val="pt-PT"/>
        </w:rPr>
        <w:t xml:space="preserve"> </w:t>
      </w:r>
      <w:r>
        <w:t>да</w:t>
      </w:r>
      <w:r>
        <w:rPr>
          <w:lang w:val="pt-PT"/>
        </w:rPr>
        <w:t xml:space="preserve"> </w:t>
      </w:r>
      <w:r>
        <w:t>бъдат</w:t>
      </w:r>
      <w:r>
        <w:rPr>
          <w:lang w:val="pt-PT"/>
        </w:rPr>
        <w:t xml:space="preserve"> </w:t>
      </w:r>
      <w:r>
        <w:t>намерени</w:t>
      </w:r>
      <w:r>
        <w:rPr>
          <w:lang w:val="pt-PT"/>
        </w:rPr>
        <w:t xml:space="preserve"> </w:t>
      </w:r>
      <w:r>
        <w:t>на</w:t>
      </w:r>
      <w:r>
        <w:rPr>
          <w:lang w:val="pt-PT"/>
        </w:rPr>
        <w:t xml:space="preserve"> </w:t>
      </w:r>
      <w:r>
        <w:t>уебсайта</w:t>
      </w:r>
      <w:r>
        <w:rPr>
          <w:lang w:val="pt-PT"/>
        </w:rPr>
        <w:t xml:space="preserve"> </w:t>
      </w:r>
      <w:proofErr w:type="spellStart"/>
      <w:r>
        <w:rPr>
          <w:lang w:val="pt-PT"/>
        </w:rPr>
        <w:t>BudgWeb</w:t>
      </w:r>
      <w:proofErr w:type="spellEnd"/>
      <w:r>
        <w:rPr>
          <w:lang w:val="pt-PT"/>
        </w:rPr>
        <w:t>: http://ec.europa.eu/budget/index_en.cfm</w:t>
      </w:r>
    </w:p>
  </w:footnote>
  <w:footnote w:id="25">
    <w:p w:rsidR="00030C0D" w:rsidRDefault="00986C69">
      <w:pPr>
        <w:pStyle w:val="FootnoteText"/>
        <w:rPr>
          <w:szCs w:val="24"/>
        </w:rPr>
      </w:pPr>
      <w:r>
        <w:rPr>
          <w:rStyle w:val="FootnoteReference"/>
        </w:rPr>
        <w:footnoteRef/>
      </w:r>
      <w:r>
        <w:tab/>
      </w:r>
      <w:proofErr w:type="spellStart"/>
      <w:r>
        <w:t>Многогод</w:t>
      </w:r>
      <w:proofErr w:type="spellEnd"/>
      <w:r>
        <w:t xml:space="preserve">. = многогодишни бюджетни кредити / </w:t>
      </w:r>
      <w:proofErr w:type="spellStart"/>
      <w:r>
        <w:t>едногод</w:t>
      </w:r>
      <w:proofErr w:type="spellEnd"/>
      <w:r>
        <w:t>. = едногодишни бюджетни кредити.</w:t>
      </w:r>
    </w:p>
  </w:footnote>
  <w:footnote w:id="26">
    <w:p w:rsidR="00030C0D" w:rsidRDefault="00986C69">
      <w:pPr>
        <w:pStyle w:val="FootnoteText"/>
        <w:rPr>
          <w:szCs w:val="24"/>
        </w:rPr>
      </w:pPr>
      <w:r>
        <w:rPr>
          <w:rStyle w:val="FootnoteReference"/>
        </w:rPr>
        <w:footnoteRef/>
      </w:r>
      <w:r>
        <w:tab/>
      </w:r>
      <w:r>
        <w:t xml:space="preserve">ЕАСТ: Европейска асоциация за свободна търговия. </w:t>
      </w:r>
    </w:p>
  </w:footnote>
  <w:footnote w:id="27">
    <w:p w:rsidR="00030C0D" w:rsidRDefault="00986C69">
      <w:pPr>
        <w:pStyle w:val="FootnoteText"/>
        <w:rPr>
          <w:szCs w:val="24"/>
        </w:rPr>
      </w:pPr>
      <w:r>
        <w:rPr>
          <w:rStyle w:val="FootnoteReference"/>
        </w:rPr>
        <w:footnoteRef/>
      </w:r>
      <w:r>
        <w:tab/>
      </w:r>
      <w:r>
        <w:t>Държави кандидатки и ако е приложимо, държави потенциални кандида</w:t>
      </w:r>
      <w:r>
        <w:t>тки от Западните Балкани.</w:t>
      </w:r>
    </w:p>
  </w:footnote>
  <w:footnote w:id="28">
    <w:p w:rsidR="00030C0D" w:rsidRDefault="00986C69">
      <w:pPr>
        <w:pStyle w:val="FootnoteText"/>
        <w:rPr>
          <w:szCs w:val="24"/>
        </w:rPr>
      </w:pPr>
      <w:r>
        <w:rPr>
          <w:rStyle w:val="FootnoteReference"/>
        </w:rPr>
        <w:footnoteRef/>
      </w:r>
      <w:r>
        <w:tab/>
      </w:r>
      <w: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9">
    <w:p w:rsidR="00030C0D" w:rsidRDefault="00986C69">
      <w:pPr>
        <w:pStyle w:val="FootnoteText"/>
        <w:rPr>
          <w:szCs w:val="24"/>
        </w:rPr>
      </w:pPr>
      <w:r>
        <w:rPr>
          <w:rStyle w:val="FootnoteReference"/>
        </w:rPr>
        <w:footnoteRef/>
      </w:r>
      <w:r>
        <w:tab/>
      </w:r>
      <w:r>
        <w:t>Резултатите са продуктите и услугите, кои</w:t>
      </w:r>
      <w:r>
        <w:t>то ще бъдат доставени (например брой финансирани обмени на учащи се, дължина на построените пътища в километри и т.н.).</w:t>
      </w:r>
    </w:p>
  </w:footnote>
  <w:footnote w:id="30">
    <w:p w:rsidR="00030C0D" w:rsidRDefault="00986C69">
      <w:pPr>
        <w:pStyle w:val="FootnoteText"/>
        <w:rPr>
          <w:szCs w:val="24"/>
        </w:rPr>
      </w:pPr>
      <w:r>
        <w:rPr>
          <w:rStyle w:val="FootnoteReference"/>
        </w:rPr>
        <w:footnoteRef/>
      </w:r>
      <w:r>
        <w:tab/>
      </w:r>
      <w:r>
        <w:t>Техническа и/или административна помощ и разходи в подкрепа на изпълнението на програми и/или дейности на ЕС (предишни редове BA), неп</w:t>
      </w:r>
      <w:r>
        <w:t>реки научни изследвания, преки научни изследвания.</w:t>
      </w:r>
    </w:p>
  </w:footnote>
  <w:footnote w:id="31">
    <w:p w:rsidR="00030C0D" w:rsidRDefault="00986C69">
      <w:pPr>
        <w:pStyle w:val="FootnoteText"/>
        <w:rPr>
          <w:szCs w:val="24"/>
        </w:rPr>
      </w:pPr>
      <w:r>
        <w:rPr>
          <w:rStyle w:val="FootnoteReference"/>
        </w:rPr>
        <w:footnoteRef/>
      </w:r>
      <w:r>
        <w:tab/>
      </w:r>
      <w:r>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32">
    <w:p w:rsidR="00030C0D" w:rsidRDefault="00986C69">
      <w:pPr>
        <w:pStyle w:val="FootnoteText"/>
        <w:rPr>
          <w:szCs w:val="24"/>
        </w:rPr>
      </w:pPr>
      <w:r>
        <w:rPr>
          <w:rStyle w:val="FootnoteReference"/>
        </w:rPr>
        <w:footnoteRef/>
      </w:r>
      <w:r>
        <w:tab/>
      </w:r>
      <w:proofErr w:type="spellStart"/>
      <w:r>
        <w:t>Подтаван</w:t>
      </w:r>
      <w:proofErr w:type="spellEnd"/>
      <w:r>
        <w:t xml:space="preserve"> за външния</w:t>
      </w:r>
      <w:r>
        <w:t xml:space="preserve"> персонал, покрит с бюджетните кредити за оперативни разходи (предишни редове 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0D" w:rsidRDefault="00030C0D">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0D" w:rsidRDefault="00030C0D">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0D" w:rsidRDefault="00030C0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0D" w:rsidRDefault="00030C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312DD7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33420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9080FC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C2863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CF47E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85632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C287158"/>
    <w:name w:val="0.4376293"/>
    <w:lvl w:ilvl="0">
      <w:start w:val="1"/>
      <w:numFmt w:val="decimal"/>
      <w:pStyle w:val="ListNumber"/>
      <w:lvlText w:val="%1."/>
      <w:lvlJc w:val="left"/>
      <w:pPr>
        <w:tabs>
          <w:tab w:val="num" w:pos="360"/>
        </w:tabs>
        <w:ind w:left="360" w:hanging="360"/>
      </w:pPr>
    </w:lvl>
  </w:abstractNum>
  <w:abstractNum w:abstractNumId="7">
    <w:nsid w:val="FFFFFF89"/>
    <w:multiLevelType w:val="singleLevel"/>
    <w:tmpl w:val="851C1D2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num>
  <w:num w:numId="12">
    <w:abstractNumId w:val="15"/>
    <w:lvlOverride w:ilvl="0">
      <w:startOverride w:val="1"/>
    </w:lvlOverride>
  </w:num>
  <w:num w:numId="13">
    <w:abstractNumId w:val="8"/>
  </w:num>
  <w:num w:numId="14">
    <w:abstractNumId w:val="18"/>
  </w:num>
  <w:num w:numId="15">
    <w:abstractNumId w:val="17"/>
  </w:num>
  <w:num w:numId="16">
    <w:abstractNumId w:val="22"/>
  </w:num>
  <w:num w:numId="17">
    <w:abstractNumId w:val="13"/>
  </w:num>
  <w:num w:numId="18">
    <w:abstractNumId w:val="24"/>
  </w:num>
  <w:num w:numId="19">
    <w:abstractNumId w:val="12"/>
  </w:num>
  <w:num w:numId="20">
    <w:abstractNumId w:val="14"/>
  </w:num>
  <w:num w:numId="21">
    <w:abstractNumId w:val="10"/>
  </w:num>
  <w:num w:numId="22">
    <w:abstractNumId w:val="23"/>
  </w:num>
  <w:num w:numId="23">
    <w:abstractNumId w:val="9"/>
  </w:num>
  <w:num w:numId="24">
    <w:abstractNumId w:val="15"/>
  </w:num>
  <w:num w:numId="25">
    <w:abstractNumId w:val="20"/>
  </w:num>
  <w:num w:numId="26">
    <w:abstractNumId w:val="21"/>
  </w:num>
  <w:num w:numId="27">
    <w:abstractNumId w:val="11"/>
  </w:num>
  <w:num w:numId="28">
    <w:abstractNumId w:val="19"/>
  </w:num>
  <w:num w:numId="29">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proofState w:spelling="clean" w:grammar="clean"/>
  <w:attachedTemplate r:id="rId1"/>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20 10:39: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1"/>
    <w:docVar w:name="DQCResult_StructureCheck" w:val="0;0"/>
    <w:docVar w:name="DQCResult_SuperfluousWhitespace" w:val="0;5"/>
    <w:docVar w:name="DQCResult_UnknownFonts" w:val="0;0"/>
    <w:docVar w:name="DQCResult_UnknownStyles" w:val="0;0"/>
    <w:docVar w:name="DQCStatus" w:val="Yellow"/>
    <w:docVar w:name="DQCVersion" w:val="2"/>
    <w:docVar w:name="DQCWithWarnings" w:val="0"/>
    <w:docVar w:name="LW_CONFIDENCE" w:val=" "/>
    <w:docVar w:name="LW_CONST_RESTREINT_UE" w:val="RESTREINT UE"/>
    <w:docVar w:name="LW_CORRIGENDUM" w:val="&lt;UNUSED&gt;"/>
    <w:docVar w:name="LW_COVERPAGE_GUID" w:val="4E4FB20112904E4B9AE1EF33A3ABD35B"/>
    <w:docVar w:name="LW_CROSSREFERENCE" w:val="{SWD(2015) 139 final}_x000b_{SWD(2015) 140 final}"/>
    <w:docVar w:name="LW_DocType" w:val="COM"/>
    <w:docVar w:name="LW_EMISSION" w:val="15.7.2015"/>
    <w:docVar w:name="LW_EMISSION_ISODATE" w:val="2015-07-15"/>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49"/>
    <w:docVar w:name="LW_REF.II.NEW.CP_YEAR" w:val="2015"/>
    <w:docVar w:name="LW_REF.INST.NEW" w:val="COM"/>
    <w:docVar w:name="LW_REF.INST.NEW_ADOPTED" w:val="final"/>
    <w:docVar w:name="LW_REF.INST.NEW_TEXT" w:val="(2015) 341"/>
    <w:docVar w:name="LW_REF.INTERNE" w:val="&lt;UNUSED&gt;"/>
    <w:docVar w:name="LW_SOUS.TITRE.OBJ.CP" w:val="&lt;UNUSED&gt;"/>
    <w:docVar w:name="LW_STATUT.CP" w:val="\u1055?\u1088?\u1077?\u1076?\u1083?\u1086?\u1078?\u1077?\u1085?\u1080?\u1077? \u1079?\u1072?"/>
    <w:docVar w:name="LW_SUPERTITRE" w:val="&lt;UNUSED&gt;"/>
    <w:docVar w:name="LW_TITRE.OBJ.CP" w:val="\u1079?\u1072? \u1086?\u1087?\u1088?\u1077?\u1076?\u1077?\u1083?\u1103?\u1085?\u1077? \u1085?\u1072? \u1085?\u1086?\u1088?\u1084?\u1072?\u1090?\u1080?\u1074?\u1085?\u1072? \u1088?\u1072?\u1084?\u1082?\u1072? \u1079?\u1072? \u1077?\u1090?\u1080?\u1082?\u1077?\u1090?\u1080?\u1088?\u1072?\u1085?\u1077? \u1085?\u1072? \u1077?\u1085?\u1077?\u1088?\u1075?\u1080?\u1081?\u1085?\u1072?\u1090?\u1072? \u1077?\u1092?\u1077?\u1082?\u1090?\u1080?\u1074?\u1085?\u1086?\u1089?\u1090? \u1080? \u1079?\u1072? \u1086?\u1090?\u1084?\u1103?\u1085?\u1072? \u1085?\u1072? \u1044?\u1080?\u1088?\u1077?\u1082?\u1090?\u1080?\u1074?\u1072? 2010/30/\u1045?\u1057?"/>
    <w:docVar w:name="LW_TYPE.DOC.CP" w:val="\u1056?\u1045?\u1043?\u1051?\u1040?\u1052?\u1045?\u1053?\u1058? \u1053?\u1040? \u1045?\u1042?\u1056?\u1054?\u1055?\u1045?\u1049?\u1057?\u1050?\u1048?\u1071? \u1055?\u1040?\u1056?\u1051?\u1040?\u1052?\u1045?\u1053?\u1058? \u1048? \u1053?\u1040? \u1057?\u1066?\u1042?\u1045?\u1058?\u1040?"/>
  </w:docVars>
  <w:rsids>
    <w:rsidRoot w:val="00030C0D"/>
    <w:rsid w:val="00030C0D"/>
    <w:rsid w:val="00986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99"/>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Revision">
    <w:name w:val="Revision"/>
    <w:hidden/>
    <w:uiPriority w:val="99"/>
    <w:semiHidden/>
    <w:rPr>
      <w:rFonts w:ascii="Times New Roman" w:hAnsi="Times New Roman"/>
      <w:sz w:val="24"/>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customStyle="1" w:styleId="ListDash3">
    <w:name w:val="List Dash 3"/>
    <w:basedOn w:val="Text3"/>
    <w:pPr>
      <w:numPr>
        <w:numId w:val="9"/>
      </w:numPr>
      <w:spacing w:before="0" w:after="240"/>
    </w:pPr>
    <w:rPr>
      <w:rFonts w:eastAsia="Times New Roman"/>
      <w:szCs w:val="20"/>
    </w:rPr>
  </w:style>
  <w:style w:type="paragraph" w:customStyle="1" w:styleId="ListNumberLevel2">
    <w:name w:val="List Number (Level 2)"/>
    <w:basedOn w:val="Normal"/>
    <w:pPr>
      <w:tabs>
        <w:tab w:val="num" w:pos="1417"/>
      </w:tabs>
      <w:spacing w:before="0" w:after="240"/>
      <w:ind w:left="1417" w:hanging="708"/>
    </w:pPr>
    <w:rPr>
      <w:rFonts w:eastAsia="Times New Roman"/>
      <w:szCs w:val="20"/>
    </w:rPr>
  </w:style>
  <w:style w:type="paragraph" w:customStyle="1" w:styleId="ListNumberLevel3">
    <w:name w:val="List Number (Level 3)"/>
    <w:basedOn w:val="Normal"/>
    <w:pPr>
      <w:tabs>
        <w:tab w:val="num" w:pos="2126"/>
      </w:tabs>
      <w:spacing w:before="0" w:after="240"/>
      <w:ind w:left="2126" w:hanging="709"/>
    </w:pPr>
    <w:rPr>
      <w:rFonts w:eastAsia="Times New Roman"/>
      <w:szCs w:val="20"/>
    </w:rPr>
  </w:style>
  <w:style w:type="paragraph" w:customStyle="1" w:styleId="ListNumberLevel4">
    <w:name w:val="List Number (Level 4)"/>
    <w:basedOn w:val="Normal"/>
    <w:pPr>
      <w:tabs>
        <w:tab w:val="num" w:pos="2835"/>
      </w:tabs>
      <w:spacing w:before="0" w:after="240"/>
      <w:ind w:left="2835" w:hanging="709"/>
    </w:pPr>
    <w:rPr>
      <w:rFonts w:eastAsia="Times New Roman"/>
      <w:szCs w:val="20"/>
    </w:rPr>
  </w:style>
  <w:style w:type="paragraph" w:customStyle="1" w:styleId="ListBullet1">
    <w:name w:val="List Bullet 1"/>
    <w:basedOn w:val="Normal"/>
    <w:pPr>
      <w:numPr>
        <w:numId w:val="13"/>
      </w:numPr>
    </w:pPr>
    <w:rPr>
      <w:rFonts w:eastAsia="Times New Roman"/>
    </w:rPr>
  </w:style>
  <w:style w:type="paragraph" w:customStyle="1" w:styleId="ListDash1">
    <w:name w:val="List Dash 1"/>
    <w:basedOn w:val="Normal"/>
    <w:pPr>
      <w:numPr>
        <w:numId w:val="14"/>
      </w:numPr>
    </w:pPr>
    <w:rPr>
      <w:rFonts w:eastAsia="Times New Roman"/>
    </w:rPr>
  </w:style>
  <w:style w:type="paragraph" w:customStyle="1" w:styleId="ListDash2">
    <w:name w:val="List Dash 2"/>
    <w:basedOn w:val="Normal"/>
    <w:pPr>
      <w:numPr>
        <w:numId w:val="15"/>
      </w:numPr>
    </w:pPr>
    <w:rPr>
      <w:rFonts w:eastAsia="Times New Roman"/>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99"/>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Revision">
    <w:name w:val="Revision"/>
    <w:hidden/>
    <w:uiPriority w:val="99"/>
    <w:semiHidden/>
    <w:rPr>
      <w:rFonts w:ascii="Times New Roman" w:hAnsi="Times New Roman"/>
      <w:sz w:val="24"/>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customStyle="1" w:styleId="ListDash3">
    <w:name w:val="List Dash 3"/>
    <w:basedOn w:val="Text3"/>
    <w:pPr>
      <w:numPr>
        <w:numId w:val="9"/>
      </w:numPr>
      <w:spacing w:before="0" w:after="240"/>
    </w:pPr>
    <w:rPr>
      <w:rFonts w:eastAsia="Times New Roman"/>
      <w:szCs w:val="20"/>
    </w:rPr>
  </w:style>
  <w:style w:type="paragraph" w:customStyle="1" w:styleId="ListNumberLevel2">
    <w:name w:val="List Number (Level 2)"/>
    <w:basedOn w:val="Normal"/>
    <w:pPr>
      <w:tabs>
        <w:tab w:val="num" w:pos="1417"/>
      </w:tabs>
      <w:spacing w:before="0" w:after="240"/>
      <w:ind w:left="1417" w:hanging="708"/>
    </w:pPr>
    <w:rPr>
      <w:rFonts w:eastAsia="Times New Roman"/>
      <w:szCs w:val="20"/>
    </w:rPr>
  </w:style>
  <w:style w:type="paragraph" w:customStyle="1" w:styleId="ListNumberLevel3">
    <w:name w:val="List Number (Level 3)"/>
    <w:basedOn w:val="Normal"/>
    <w:pPr>
      <w:tabs>
        <w:tab w:val="num" w:pos="2126"/>
      </w:tabs>
      <w:spacing w:before="0" w:after="240"/>
      <w:ind w:left="2126" w:hanging="709"/>
    </w:pPr>
    <w:rPr>
      <w:rFonts w:eastAsia="Times New Roman"/>
      <w:szCs w:val="20"/>
    </w:rPr>
  </w:style>
  <w:style w:type="paragraph" w:customStyle="1" w:styleId="ListNumberLevel4">
    <w:name w:val="List Number (Level 4)"/>
    <w:basedOn w:val="Normal"/>
    <w:pPr>
      <w:tabs>
        <w:tab w:val="num" w:pos="2835"/>
      </w:tabs>
      <w:spacing w:before="0" w:after="240"/>
      <w:ind w:left="2835" w:hanging="709"/>
    </w:pPr>
    <w:rPr>
      <w:rFonts w:eastAsia="Times New Roman"/>
      <w:szCs w:val="20"/>
    </w:rPr>
  </w:style>
  <w:style w:type="paragraph" w:customStyle="1" w:styleId="ListBullet1">
    <w:name w:val="List Bullet 1"/>
    <w:basedOn w:val="Normal"/>
    <w:pPr>
      <w:numPr>
        <w:numId w:val="13"/>
      </w:numPr>
    </w:pPr>
    <w:rPr>
      <w:rFonts w:eastAsia="Times New Roman"/>
    </w:rPr>
  </w:style>
  <w:style w:type="paragraph" w:customStyle="1" w:styleId="ListDash1">
    <w:name w:val="List Dash 1"/>
    <w:basedOn w:val="Normal"/>
    <w:pPr>
      <w:numPr>
        <w:numId w:val="14"/>
      </w:numPr>
    </w:pPr>
    <w:rPr>
      <w:rFonts w:eastAsia="Times New Roman"/>
    </w:rPr>
  </w:style>
  <w:style w:type="paragraph" w:customStyle="1" w:styleId="ListDash2">
    <w:name w:val="List Dash 2"/>
    <w:basedOn w:val="Normal"/>
    <w:pPr>
      <w:numPr>
        <w:numId w:val="15"/>
      </w:numPr>
    </w:pPr>
    <w:rPr>
      <w:rFonts w:eastAsia="Times New Roman"/>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7443">
      <w:bodyDiv w:val="1"/>
      <w:marLeft w:val="0"/>
      <w:marRight w:val="0"/>
      <w:marTop w:val="0"/>
      <w:marBottom w:val="0"/>
      <w:divBdr>
        <w:top w:val="none" w:sz="0" w:space="0" w:color="auto"/>
        <w:left w:val="none" w:sz="0" w:space="0" w:color="auto"/>
        <w:bottom w:val="none" w:sz="0" w:space="0" w:color="auto"/>
        <w:right w:val="none" w:sz="0" w:space="0" w:color="auto"/>
      </w:divBdr>
    </w:div>
    <w:div w:id="151921186">
      <w:bodyDiv w:val="1"/>
      <w:marLeft w:val="0"/>
      <w:marRight w:val="0"/>
      <w:marTop w:val="0"/>
      <w:marBottom w:val="0"/>
      <w:divBdr>
        <w:top w:val="none" w:sz="0" w:space="0" w:color="auto"/>
        <w:left w:val="none" w:sz="0" w:space="0" w:color="auto"/>
        <w:bottom w:val="none" w:sz="0" w:space="0" w:color="auto"/>
        <w:right w:val="none" w:sz="0" w:space="0" w:color="auto"/>
      </w:divBdr>
    </w:div>
    <w:div w:id="240023862">
      <w:bodyDiv w:val="1"/>
      <w:marLeft w:val="0"/>
      <w:marRight w:val="0"/>
      <w:marTop w:val="0"/>
      <w:marBottom w:val="0"/>
      <w:divBdr>
        <w:top w:val="none" w:sz="0" w:space="0" w:color="auto"/>
        <w:left w:val="none" w:sz="0" w:space="0" w:color="auto"/>
        <w:bottom w:val="none" w:sz="0" w:space="0" w:color="auto"/>
        <w:right w:val="none" w:sz="0" w:space="0" w:color="auto"/>
      </w:divBdr>
      <w:divsChild>
        <w:div w:id="1433361498">
          <w:marLeft w:val="0"/>
          <w:marRight w:val="0"/>
          <w:marTop w:val="0"/>
          <w:marBottom w:val="0"/>
          <w:divBdr>
            <w:top w:val="none" w:sz="0" w:space="0" w:color="auto"/>
            <w:left w:val="none" w:sz="0" w:space="0" w:color="auto"/>
            <w:bottom w:val="none" w:sz="0" w:space="0" w:color="auto"/>
            <w:right w:val="none" w:sz="0" w:space="0" w:color="auto"/>
          </w:divBdr>
          <w:divsChild>
            <w:div w:id="1864830265">
              <w:marLeft w:val="0"/>
              <w:marRight w:val="0"/>
              <w:marTop w:val="0"/>
              <w:marBottom w:val="0"/>
              <w:divBdr>
                <w:top w:val="none" w:sz="0" w:space="0" w:color="auto"/>
                <w:left w:val="none" w:sz="0" w:space="0" w:color="auto"/>
                <w:bottom w:val="none" w:sz="0" w:space="0" w:color="auto"/>
                <w:right w:val="none" w:sz="0" w:space="0" w:color="auto"/>
              </w:divBdr>
              <w:divsChild>
                <w:div w:id="23021229">
                  <w:marLeft w:val="0"/>
                  <w:marRight w:val="0"/>
                  <w:marTop w:val="0"/>
                  <w:marBottom w:val="0"/>
                  <w:divBdr>
                    <w:top w:val="none" w:sz="0" w:space="0" w:color="auto"/>
                    <w:left w:val="none" w:sz="0" w:space="0" w:color="auto"/>
                    <w:bottom w:val="none" w:sz="0" w:space="0" w:color="auto"/>
                    <w:right w:val="none" w:sz="0" w:space="0" w:color="auto"/>
                  </w:divBdr>
                  <w:divsChild>
                    <w:div w:id="2101876938">
                      <w:marLeft w:val="1"/>
                      <w:marRight w:val="1"/>
                      <w:marTop w:val="0"/>
                      <w:marBottom w:val="0"/>
                      <w:divBdr>
                        <w:top w:val="none" w:sz="0" w:space="0" w:color="auto"/>
                        <w:left w:val="none" w:sz="0" w:space="0" w:color="auto"/>
                        <w:bottom w:val="none" w:sz="0" w:space="0" w:color="auto"/>
                        <w:right w:val="none" w:sz="0" w:space="0" w:color="auto"/>
                      </w:divBdr>
                      <w:divsChild>
                        <w:div w:id="724261450">
                          <w:marLeft w:val="0"/>
                          <w:marRight w:val="0"/>
                          <w:marTop w:val="0"/>
                          <w:marBottom w:val="0"/>
                          <w:divBdr>
                            <w:top w:val="none" w:sz="0" w:space="0" w:color="auto"/>
                            <w:left w:val="none" w:sz="0" w:space="0" w:color="auto"/>
                            <w:bottom w:val="none" w:sz="0" w:space="0" w:color="auto"/>
                            <w:right w:val="none" w:sz="0" w:space="0" w:color="auto"/>
                          </w:divBdr>
                          <w:divsChild>
                            <w:div w:id="316496363">
                              <w:marLeft w:val="0"/>
                              <w:marRight w:val="0"/>
                              <w:marTop w:val="0"/>
                              <w:marBottom w:val="360"/>
                              <w:divBdr>
                                <w:top w:val="none" w:sz="0" w:space="0" w:color="auto"/>
                                <w:left w:val="none" w:sz="0" w:space="0" w:color="auto"/>
                                <w:bottom w:val="none" w:sz="0" w:space="0" w:color="auto"/>
                                <w:right w:val="none" w:sz="0" w:space="0" w:color="auto"/>
                              </w:divBdr>
                              <w:divsChild>
                                <w:div w:id="1249539848">
                                  <w:marLeft w:val="0"/>
                                  <w:marRight w:val="0"/>
                                  <w:marTop w:val="0"/>
                                  <w:marBottom w:val="0"/>
                                  <w:divBdr>
                                    <w:top w:val="none" w:sz="0" w:space="0" w:color="auto"/>
                                    <w:left w:val="none" w:sz="0" w:space="0" w:color="auto"/>
                                    <w:bottom w:val="none" w:sz="0" w:space="0" w:color="auto"/>
                                    <w:right w:val="none" w:sz="0" w:space="0" w:color="auto"/>
                                  </w:divBdr>
                                  <w:divsChild>
                                    <w:div w:id="1030955983">
                                      <w:marLeft w:val="0"/>
                                      <w:marRight w:val="0"/>
                                      <w:marTop w:val="0"/>
                                      <w:marBottom w:val="0"/>
                                      <w:divBdr>
                                        <w:top w:val="none" w:sz="0" w:space="0" w:color="auto"/>
                                        <w:left w:val="none" w:sz="0" w:space="0" w:color="auto"/>
                                        <w:bottom w:val="none" w:sz="0" w:space="0" w:color="auto"/>
                                        <w:right w:val="none" w:sz="0" w:space="0" w:color="auto"/>
                                      </w:divBdr>
                                      <w:divsChild>
                                        <w:div w:id="114990332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276723697">
      <w:bodyDiv w:val="1"/>
      <w:marLeft w:val="0"/>
      <w:marRight w:val="0"/>
      <w:marTop w:val="0"/>
      <w:marBottom w:val="0"/>
      <w:divBdr>
        <w:top w:val="none" w:sz="0" w:space="0" w:color="auto"/>
        <w:left w:val="none" w:sz="0" w:space="0" w:color="auto"/>
        <w:bottom w:val="none" w:sz="0" w:space="0" w:color="auto"/>
        <w:right w:val="none" w:sz="0" w:space="0" w:color="auto"/>
      </w:divBdr>
    </w:div>
    <w:div w:id="332496386">
      <w:bodyDiv w:val="1"/>
      <w:marLeft w:val="0"/>
      <w:marRight w:val="0"/>
      <w:marTop w:val="0"/>
      <w:marBottom w:val="0"/>
      <w:divBdr>
        <w:top w:val="none" w:sz="0" w:space="0" w:color="auto"/>
        <w:left w:val="none" w:sz="0" w:space="0" w:color="auto"/>
        <w:bottom w:val="none" w:sz="0" w:space="0" w:color="auto"/>
        <w:right w:val="none" w:sz="0" w:space="0" w:color="auto"/>
      </w:divBdr>
    </w:div>
    <w:div w:id="364136034">
      <w:marLeft w:val="0"/>
      <w:marRight w:val="0"/>
      <w:marTop w:val="0"/>
      <w:marBottom w:val="0"/>
      <w:divBdr>
        <w:top w:val="none" w:sz="0" w:space="0" w:color="auto"/>
        <w:left w:val="none" w:sz="0" w:space="0" w:color="auto"/>
        <w:bottom w:val="none" w:sz="0" w:space="0" w:color="auto"/>
        <w:right w:val="none" w:sz="0" w:space="0" w:color="auto"/>
      </w:divBdr>
      <w:divsChild>
        <w:div w:id="364136047">
          <w:marLeft w:val="0"/>
          <w:marRight w:val="0"/>
          <w:marTop w:val="0"/>
          <w:marBottom w:val="0"/>
          <w:divBdr>
            <w:top w:val="none" w:sz="0" w:space="0" w:color="auto"/>
            <w:left w:val="none" w:sz="0" w:space="0" w:color="auto"/>
            <w:bottom w:val="none" w:sz="0" w:space="0" w:color="auto"/>
            <w:right w:val="none" w:sz="0" w:space="0" w:color="auto"/>
          </w:divBdr>
          <w:divsChild>
            <w:div w:id="364136050">
              <w:marLeft w:val="0"/>
              <w:marRight w:val="0"/>
              <w:marTop w:val="0"/>
              <w:marBottom w:val="0"/>
              <w:divBdr>
                <w:top w:val="none" w:sz="0" w:space="0" w:color="auto"/>
                <w:left w:val="none" w:sz="0" w:space="0" w:color="auto"/>
                <w:bottom w:val="none" w:sz="0" w:space="0" w:color="auto"/>
                <w:right w:val="none" w:sz="0" w:space="0" w:color="auto"/>
              </w:divBdr>
              <w:divsChild>
                <w:div w:id="364136033">
                  <w:marLeft w:val="0"/>
                  <w:marRight w:val="0"/>
                  <w:marTop w:val="0"/>
                  <w:marBottom w:val="0"/>
                  <w:divBdr>
                    <w:top w:val="none" w:sz="0" w:space="0" w:color="auto"/>
                    <w:left w:val="none" w:sz="0" w:space="0" w:color="auto"/>
                    <w:bottom w:val="none" w:sz="0" w:space="0" w:color="auto"/>
                    <w:right w:val="none" w:sz="0" w:space="0" w:color="auto"/>
                  </w:divBdr>
                  <w:divsChild>
                    <w:div w:id="364136053">
                      <w:marLeft w:val="1"/>
                      <w:marRight w:val="1"/>
                      <w:marTop w:val="0"/>
                      <w:marBottom w:val="0"/>
                      <w:divBdr>
                        <w:top w:val="none" w:sz="0" w:space="0" w:color="auto"/>
                        <w:left w:val="none" w:sz="0" w:space="0" w:color="auto"/>
                        <w:bottom w:val="none" w:sz="0" w:space="0" w:color="auto"/>
                        <w:right w:val="none" w:sz="0" w:space="0" w:color="auto"/>
                      </w:divBdr>
                      <w:divsChild>
                        <w:div w:id="364136039">
                          <w:marLeft w:val="0"/>
                          <w:marRight w:val="0"/>
                          <w:marTop w:val="0"/>
                          <w:marBottom w:val="0"/>
                          <w:divBdr>
                            <w:top w:val="none" w:sz="0" w:space="0" w:color="auto"/>
                            <w:left w:val="none" w:sz="0" w:space="0" w:color="auto"/>
                            <w:bottom w:val="none" w:sz="0" w:space="0" w:color="auto"/>
                            <w:right w:val="none" w:sz="0" w:space="0" w:color="auto"/>
                          </w:divBdr>
                          <w:divsChild>
                            <w:div w:id="364136035">
                              <w:marLeft w:val="0"/>
                              <w:marRight w:val="0"/>
                              <w:marTop w:val="0"/>
                              <w:marBottom w:val="360"/>
                              <w:divBdr>
                                <w:top w:val="none" w:sz="0" w:space="0" w:color="auto"/>
                                <w:left w:val="none" w:sz="0" w:space="0" w:color="auto"/>
                                <w:bottom w:val="none" w:sz="0" w:space="0" w:color="auto"/>
                                <w:right w:val="none" w:sz="0" w:space="0" w:color="auto"/>
                              </w:divBdr>
                              <w:divsChild>
                                <w:div w:id="364136045">
                                  <w:marLeft w:val="0"/>
                                  <w:marRight w:val="0"/>
                                  <w:marTop w:val="0"/>
                                  <w:marBottom w:val="0"/>
                                  <w:divBdr>
                                    <w:top w:val="none" w:sz="0" w:space="0" w:color="auto"/>
                                    <w:left w:val="none" w:sz="0" w:space="0" w:color="auto"/>
                                    <w:bottom w:val="none" w:sz="0" w:space="0" w:color="auto"/>
                                    <w:right w:val="none" w:sz="0" w:space="0" w:color="auto"/>
                                  </w:divBdr>
                                  <w:divsChild>
                                    <w:div w:id="364136041">
                                      <w:marLeft w:val="0"/>
                                      <w:marRight w:val="0"/>
                                      <w:marTop w:val="0"/>
                                      <w:marBottom w:val="0"/>
                                      <w:divBdr>
                                        <w:top w:val="none" w:sz="0" w:space="0" w:color="auto"/>
                                        <w:left w:val="none" w:sz="0" w:space="0" w:color="auto"/>
                                        <w:bottom w:val="none" w:sz="0" w:space="0" w:color="auto"/>
                                        <w:right w:val="none" w:sz="0" w:space="0" w:color="auto"/>
                                      </w:divBdr>
                                      <w:divsChild>
                                        <w:div w:id="3641360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364136040">
      <w:marLeft w:val="0"/>
      <w:marRight w:val="0"/>
      <w:marTop w:val="0"/>
      <w:marBottom w:val="0"/>
      <w:divBdr>
        <w:top w:val="none" w:sz="0" w:space="0" w:color="auto"/>
        <w:left w:val="none" w:sz="0" w:space="0" w:color="auto"/>
        <w:bottom w:val="none" w:sz="0" w:space="0" w:color="auto"/>
        <w:right w:val="none" w:sz="0" w:space="0" w:color="auto"/>
      </w:divBdr>
    </w:div>
    <w:div w:id="364136044">
      <w:marLeft w:val="0"/>
      <w:marRight w:val="0"/>
      <w:marTop w:val="0"/>
      <w:marBottom w:val="0"/>
      <w:divBdr>
        <w:top w:val="none" w:sz="0" w:space="0" w:color="auto"/>
        <w:left w:val="none" w:sz="0" w:space="0" w:color="auto"/>
        <w:bottom w:val="none" w:sz="0" w:space="0" w:color="auto"/>
        <w:right w:val="none" w:sz="0" w:space="0" w:color="auto"/>
      </w:divBdr>
      <w:divsChild>
        <w:div w:id="364136052">
          <w:marLeft w:val="0"/>
          <w:marRight w:val="0"/>
          <w:marTop w:val="0"/>
          <w:marBottom w:val="0"/>
          <w:divBdr>
            <w:top w:val="none" w:sz="0" w:space="0" w:color="auto"/>
            <w:left w:val="none" w:sz="0" w:space="0" w:color="auto"/>
            <w:bottom w:val="none" w:sz="0" w:space="0" w:color="auto"/>
            <w:right w:val="none" w:sz="0" w:space="0" w:color="auto"/>
          </w:divBdr>
          <w:divsChild>
            <w:div w:id="364136048">
              <w:marLeft w:val="0"/>
              <w:marRight w:val="0"/>
              <w:marTop w:val="0"/>
              <w:marBottom w:val="0"/>
              <w:divBdr>
                <w:top w:val="none" w:sz="0" w:space="0" w:color="auto"/>
                <w:left w:val="none" w:sz="0" w:space="0" w:color="auto"/>
                <w:bottom w:val="none" w:sz="0" w:space="0" w:color="auto"/>
                <w:right w:val="none" w:sz="0" w:space="0" w:color="auto"/>
              </w:divBdr>
              <w:divsChild>
                <w:div w:id="364136049">
                  <w:marLeft w:val="0"/>
                  <w:marRight w:val="0"/>
                  <w:marTop w:val="0"/>
                  <w:marBottom w:val="0"/>
                  <w:divBdr>
                    <w:top w:val="none" w:sz="0" w:space="0" w:color="auto"/>
                    <w:left w:val="none" w:sz="0" w:space="0" w:color="auto"/>
                    <w:bottom w:val="none" w:sz="0" w:space="0" w:color="auto"/>
                    <w:right w:val="none" w:sz="0" w:space="0" w:color="auto"/>
                  </w:divBdr>
                  <w:divsChild>
                    <w:div w:id="364136051">
                      <w:marLeft w:val="1"/>
                      <w:marRight w:val="1"/>
                      <w:marTop w:val="0"/>
                      <w:marBottom w:val="0"/>
                      <w:divBdr>
                        <w:top w:val="none" w:sz="0" w:space="0" w:color="auto"/>
                        <w:left w:val="none" w:sz="0" w:space="0" w:color="auto"/>
                        <w:bottom w:val="none" w:sz="0" w:space="0" w:color="auto"/>
                        <w:right w:val="none" w:sz="0" w:space="0" w:color="auto"/>
                      </w:divBdr>
                      <w:divsChild>
                        <w:div w:id="364136046">
                          <w:marLeft w:val="0"/>
                          <w:marRight w:val="0"/>
                          <w:marTop w:val="0"/>
                          <w:marBottom w:val="0"/>
                          <w:divBdr>
                            <w:top w:val="none" w:sz="0" w:space="0" w:color="auto"/>
                            <w:left w:val="none" w:sz="0" w:space="0" w:color="auto"/>
                            <w:bottom w:val="none" w:sz="0" w:space="0" w:color="auto"/>
                            <w:right w:val="none" w:sz="0" w:space="0" w:color="auto"/>
                          </w:divBdr>
                          <w:divsChild>
                            <w:div w:id="364136043">
                              <w:marLeft w:val="0"/>
                              <w:marRight w:val="0"/>
                              <w:marTop w:val="0"/>
                              <w:marBottom w:val="360"/>
                              <w:divBdr>
                                <w:top w:val="none" w:sz="0" w:space="0" w:color="auto"/>
                                <w:left w:val="none" w:sz="0" w:space="0" w:color="auto"/>
                                <w:bottom w:val="none" w:sz="0" w:space="0" w:color="auto"/>
                                <w:right w:val="none" w:sz="0" w:space="0" w:color="auto"/>
                              </w:divBdr>
                              <w:divsChild>
                                <w:div w:id="364136036">
                                  <w:marLeft w:val="0"/>
                                  <w:marRight w:val="0"/>
                                  <w:marTop w:val="0"/>
                                  <w:marBottom w:val="0"/>
                                  <w:divBdr>
                                    <w:top w:val="none" w:sz="0" w:space="0" w:color="auto"/>
                                    <w:left w:val="none" w:sz="0" w:space="0" w:color="auto"/>
                                    <w:bottom w:val="none" w:sz="0" w:space="0" w:color="auto"/>
                                    <w:right w:val="none" w:sz="0" w:space="0" w:color="auto"/>
                                  </w:divBdr>
                                  <w:divsChild>
                                    <w:div w:id="364136038">
                                      <w:marLeft w:val="0"/>
                                      <w:marRight w:val="0"/>
                                      <w:marTop w:val="0"/>
                                      <w:marBottom w:val="0"/>
                                      <w:divBdr>
                                        <w:top w:val="none" w:sz="0" w:space="0" w:color="auto"/>
                                        <w:left w:val="none" w:sz="0" w:space="0" w:color="auto"/>
                                        <w:bottom w:val="none" w:sz="0" w:space="0" w:color="auto"/>
                                        <w:right w:val="none" w:sz="0" w:space="0" w:color="auto"/>
                                      </w:divBdr>
                                      <w:divsChild>
                                        <w:div w:id="3641360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856194017">
      <w:bodyDiv w:val="1"/>
      <w:marLeft w:val="0"/>
      <w:marRight w:val="0"/>
      <w:marTop w:val="0"/>
      <w:marBottom w:val="0"/>
      <w:divBdr>
        <w:top w:val="none" w:sz="0" w:space="0" w:color="auto"/>
        <w:left w:val="none" w:sz="0" w:space="0" w:color="auto"/>
        <w:bottom w:val="none" w:sz="0" w:space="0" w:color="auto"/>
        <w:right w:val="none" w:sz="0" w:space="0" w:color="auto"/>
      </w:divBdr>
    </w:div>
    <w:div w:id="962538387">
      <w:bodyDiv w:val="1"/>
      <w:marLeft w:val="0"/>
      <w:marRight w:val="0"/>
      <w:marTop w:val="0"/>
      <w:marBottom w:val="0"/>
      <w:divBdr>
        <w:top w:val="none" w:sz="0" w:space="0" w:color="auto"/>
        <w:left w:val="none" w:sz="0" w:space="0" w:color="auto"/>
        <w:bottom w:val="none" w:sz="0" w:space="0" w:color="auto"/>
        <w:right w:val="none" w:sz="0" w:space="0" w:color="auto"/>
      </w:divBdr>
    </w:div>
    <w:div w:id="1202279936">
      <w:bodyDiv w:val="1"/>
      <w:marLeft w:val="0"/>
      <w:marRight w:val="0"/>
      <w:marTop w:val="0"/>
      <w:marBottom w:val="0"/>
      <w:divBdr>
        <w:top w:val="none" w:sz="0" w:space="0" w:color="auto"/>
        <w:left w:val="none" w:sz="0" w:space="0" w:color="auto"/>
        <w:bottom w:val="none" w:sz="0" w:space="0" w:color="auto"/>
        <w:right w:val="none" w:sz="0" w:space="0" w:color="auto"/>
      </w:divBdr>
      <w:divsChild>
        <w:div w:id="1974406907">
          <w:marLeft w:val="0"/>
          <w:marRight w:val="0"/>
          <w:marTop w:val="0"/>
          <w:marBottom w:val="0"/>
          <w:divBdr>
            <w:top w:val="none" w:sz="0" w:space="0" w:color="auto"/>
            <w:left w:val="none" w:sz="0" w:space="0" w:color="auto"/>
            <w:bottom w:val="none" w:sz="0" w:space="0" w:color="auto"/>
            <w:right w:val="none" w:sz="0" w:space="0" w:color="auto"/>
          </w:divBdr>
          <w:divsChild>
            <w:div w:id="1546017695">
              <w:marLeft w:val="0"/>
              <w:marRight w:val="0"/>
              <w:marTop w:val="0"/>
              <w:marBottom w:val="0"/>
              <w:divBdr>
                <w:top w:val="none" w:sz="0" w:space="0" w:color="auto"/>
                <w:left w:val="none" w:sz="0" w:space="0" w:color="auto"/>
                <w:bottom w:val="none" w:sz="0" w:space="0" w:color="auto"/>
                <w:right w:val="none" w:sz="0" w:space="0" w:color="auto"/>
              </w:divBdr>
              <w:divsChild>
                <w:div w:id="1569070221">
                  <w:marLeft w:val="0"/>
                  <w:marRight w:val="0"/>
                  <w:marTop w:val="0"/>
                  <w:marBottom w:val="0"/>
                  <w:divBdr>
                    <w:top w:val="none" w:sz="0" w:space="0" w:color="auto"/>
                    <w:left w:val="none" w:sz="0" w:space="0" w:color="auto"/>
                    <w:bottom w:val="none" w:sz="0" w:space="0" w:color="auto"/>
                    <w:right w:val="none" w:sz="0" w:space="0" w:color="auto"/>
                  </w:divBdr>
                  <w:divsChild>
                    <w:div w:id="1922521530">
                      <w:marLeft w:val="1"/>
                      <w:marRight w:val="1"/>
                      <w:marTop w:val="0"/>
                      <w:marBottom w:val="0"/>
                      <w:divBdr>
                        <w:top w:val="none" w:sz="0" w:space="0" w:color="auto"/>
                        <w:left w:val="none" w:sz="0" w:space="0" w:color="auto"/>
                        <w:bottom w:val="none" w:sz="0" w:space="0" w:color="auto"/>
                        <w:right w:val="none" w:sz="0" w:space="0" w:color="auto"/>
                      </w:divBdr>
                      <w:divsChild>
                        <w:div w:id="1250969838">
                          <w:marLeft w:val="0"/>
                          <w:marRight w:val="0"/>
                          <w:marTop w:val="0"/>
                          <w:marBottom w:val="0"/>
                          <w:divBdr>
                            <w:top w:val="none" w:sz="0" w:space="0" w:color="auto"/>
                            <w:left w:val="none" w:sz="0" w:space="0" w:color="auto"/>
                            <w:bottom w:val="none" w:sz="0" w:space="0" w:color="auto"/>
                            <w:right w:val="none" w:sz="0" w:space="0" w:color="auto"/>
                          </w:divBdr>
                          <w:divsChild>
                            <w:div w:id="1184436547">
                              <w:marLeft w:val="0"/>
                              <w:marRight w:val="0"/>
                              <w:marTop w:val="0"/>
                              <w:marBottom w:val="360"/>
                              <w:divBdr>
                                <w:top w:val="none" w:sz="0" w:space="0" w:color="auto"/>
                                <w:left w:val="none" w:sz="0" w:space="0" w:color="auto"/>
                                <w:bottom w:val="none" w:sz="0" w:space="0" w:color="auto"/>
                                <w:right w:val="none" w:sz="0" w:space="0" w:color="auto"/>
                              </w:divBdr>
                              <w:divsChild>
                                <w:div w:id="405346404">
                                  <w:marLeft w:val="0"/>
                                  <w:marRight w:val="0"/>
                                  <w:marTop w:val="0"/>
                                  <w:marBottom w:val="0"/>
                                  <w:divBdr>
                                    <w:top w:val="none" w:sz="0" w:space="0" w:color="auto"/>
                                    <w:left w:val="none" w:sz="0" w:space="0" w:color="auto"/>
                                    <w:bottom w:val="none" w:sz="0" w:space="0" w:color="auto"/>
                                    <w:right w:val="none" w:sz="0" w:space="0" w:color="auto"/>
                                  </w:divBdr>
                                  <w:divsChild>
                                    <w:div w:id="622460938">
                                      <w:marLeft w:val="0"/>
                                      <w:marRight w:val="0"/>
                                      <w:marTop w:val="0"/>
                                      <w:marBottom w:val="0"/>
                                      <w:divBdr>
                                        <w:top w:val="none" w:sz="0" w:space="0" w:color="auto"/>
                                        <w:left w:val="none" w:sz="0" w:space="0" w:color="auto"/>
                                        <w:bottom w:val="none" w:sz="0" w:space="0" w:color="auto"/>
                                        <w:right w:val="none" w:sz="0" w:space="0" w:color="auto"/>
                                      </w:divBdr>
                                      <w:divsChild>
                                        <w:div w:id="44566229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32542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340F8-3B6B-42B5-998E-E40DD0159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43</Pages>
  <Words>11310</Words>
  <Characters>76684</Characters>
  <Application>Microsoft Office Word</Application>
  <DocSecurity>0</DocSecurity>
  <Lines>5112</Lines>
  <Paragraphs>4631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20</cp:revision>
  <cp:lastPrinted>2015-07-17T10:04:00Z</cp:lastPrinted>
  <dcterms:created xsi:type="dcterms:W3CDTF">2015-07-17T10:50:00Z</dcterms:created>
  <dcterms:modified xsi:type="dcterms:W3CDTF">2015-07-20T10:19:00Z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02)</vt:lpwstr>
  </property>
</Properties>
</file>