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D95DDB67DE434E7780296A5F016982E3" style="width:450.45pt;height:383.6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CRSeparator"/>
        <w:rPr>
          <w:noProof/>
          <w:lang w:val="en-US"/>
        </w:rPr>
      </w:pPr>
      <w:bookmarkStart w:id="0" w:name="_GoBack"/>
      <w:bookmarkEnd w:id="0"/>
    </w:p>
    <w:p>
      <w:pPr>
        <w:pStyle w:val="CRReference"/>
        <w:rPr>
          <w:noProof/>
          <w:lang w:val="en-US"/>
        </w:rPr>
      </w:pPr>
      <w:r>
        <w:rPr>
          <w:noProof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ê</w:instrText>
      </w:r>
      <w:r>
        <w:rPr>
          <w:noProof/>
          <w:lang w:val="en-GB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en-GB"/>
        </w:rPr>
        <w:t>ê</w:t>
      </w:r>
      <w:r>
        <w:rPr>
          <w:noProof/>
        </w:rPr>
        <w:fldChar w:fldCharType="end"/>
      </w:r>
      <w:r>
        <w:rPr>
          <w:noProof/>
          <w:lang w:val="en-GB"/>
        </w:rPr>
        <w:t> 303/2014 Art. 1(2) and Annex (adapted)</w:t>
      </w:r>
    </w:p>
    <w:p>
      <w:pPr>
        <w:pStyle w:val="Annexetitre"/>
        <w:rPr>
          <w:noProof/>
          <w:lang w:val="en-US"/>
        </w:rPr>
      </w:pPr>
      <w:r>
        <w:rPr>
          <w:noProof/>
          <w:lang w:val="en-US"/>
        </w:rPr>
        <w:t>ANNEX I</w:t>
      </w:r>
    </w:p>
    <w:p>
      <w:pPr>
        <w:rPr>
          <w:noProof/>
        </w:rPr>
      </w:pPr>
      <w:r>
        <w:rPr>
          <w:noProof/>
          <w:lang w:val="en-US"/>
        </w:rPr>
        <w:t>The products on which additional duties are to apply are identified by their eight-digit CN codes. The description of products classified under these codes can be found in Annex I to Council Regulation (EEC) No 2658/87</w:t>
      </w:r>
      <w:r>
        <w:rPr>
          <w:rStyle w:val="FootnoteReference"/>
          <w:noProof/>
        </w:rPr>
        <w:footnoteReference w:id="1"/>
      </w:r>
      <w:r>
        <w:rPr>
          <w:noProof/>
          <w:lang w:val="en-US"/>
        </w:rPr>
        <w:t xml:space="preserve"> </w:t>
      </w:r>
      <w:r>
        <w:rPr>
          <w:noProof/>
        </w:rPr>
        <w:t>as amended by Commission Regulation (EC) No 1810/2004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>
      <w:pPr>
        <w:rPr>
          <w:noProof/>
          <w:lang w:val="en-US"/>
        </w:rPr>
      </w:pPr>
      <w:r>
        <w:rPr>
          <w:noProof/>
          <w:lang w:val="en-US"/>
        </w:rPr>
        <w:t>0710 40 00</w:t>
      </w:r>
    </w:p>
    <w:p>
      <w:pPr>
        <w:rPr>
          <w:noProof/>
          <w:lang w:val="en-US"/>
        </w:rPr>
      </w:pPr>
      <w:r>
        <w:rPr>
          <w:noProof/>
          <w:lang w:val="en-US"/>
        </w:rPr>
        <w:t xml:space="preserve">9003 19 30 </w:t>
      </w:r>
    </w:p>
    <w:p>
      <w:pPr>
        <w:rPr>
          <w:noProof/>
          <w:lang w:val="en-US"/>
        </w:rPr>
      </w:pPr>
      <w:r>
        <w:rPr>
          <w:noProof/>
          <w:lang w:val="en-US"/>
        </w:rPr>
        <w:t>8705 10 00</w:t>
      </w:r>
    </w:p>
    <w:p>
      <w:pPr>
        <w:rPr>
          <w:noProof/>
          <w:lang w:val="en-US"/>
        </w:rPr>
      </w:pPr>
      <w:r>
        <w:rPr>
          <w:noProof/>
          <w:lang w:val="en-US"/>
        </w:rPr>
        <w:t>6204 62 31</w:t>
      </w:r>
    </w:p>
    <w:p>
      <w:pPr>
        <w:jc w:val="center"/>
        <w:rPr>
          <w:rFonts w:eastAsia="Times New Roman"/>
          <w:noProof/>
        </w:rPr>
      </w:pPr>
      <w:r>
        <w:rPr>
          <w:rFonts w:eastAsia="Times New Roman"/>
          <w:noProof/>
        </w:rPr>
        <w:t>_____________</w:t>
      </w:r>
    </w:p>
    <w:p>
      <w:pPr>
        <w:adjustRightInd w:val="0"/>
        <w:spacing w:before="0" w:after="0"/>
        <w:jc w:val="left"/>
        <w:rPr>
          <w:noProof/>
          <w:lang w:val="en-US"/>
        </w:rPr>
        <w:sectPr>
          <w:footerReference w:type="default" r:id="rId15"/>
          <w:footerReference w:type="first" r:id="rId16"/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CRSeparator"/>
        <w:rPr>
          <w:noProof/>
          <w:lang w:val="en-US"/>
        </w:rPr>
      </w:pPr>
    </w:p>
    <w:p>
      <w:pPr>
        <w:pStyle w:val="CRReference"/>
        <w:rPr>
          <w:noProof/>
          <w:lang w:val="en-US"/>
        </w:rPr>
      </w:pP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QUOTE "</w:instrText>
      </w:r>
      <w:r>
        <w:rPr>
          <w:rStyle w:val="CRMarker"/>
          <w:noProof/>
          <w:lang w:val="en-US"/>
        </w:rPr>
        <w:instrText>ê</w:instrText>
      </w:r>
      <w:r>
        <w:rPr>
          <w:noProof/>
          <w:lang w:val="en-US"/>
        </w:rPr>
        <w:instrText xml:space="preserve">" </w:instrText>
      </w:r>
      <w:r>
        <w:rPr>
          <w:noProof/>
          <w:lang w:val="en-US"/>
        </w:rPr>
        <w:fldChar w:fldCharType="separate"/>
      </w:r>
      <w:r>
        <w:rPr>
          <w:rStyle w:val="CRMarker"/>
          <w:noProof/>
          <w:lang w:val="en-US"/>
        </w:rPr>
        <w:t>ê</w:t>
      </w:r>
      <w:r>
        <w:rPr>
          <w:noProof/>
          <w:lang w:val="en-US"/>
        </w:rPr>
        <w:fldChar w:fldCharType="end"/>
      </w:r>
      <w:r>
        <w:rPr>
          <w:noProof/>
          <w:lang w:val="en-US"/>
        </w:rPr>
        <w:t xml:space="preserve"> 349/2013 Art. 2 and Annex II </w:t>
      </w:r>
    </w:p>
    <w:p>
      <w:pPr>
        <w:pStyle w:val="Annexetitre"/>
        <w:rPr>
          <w:noProof/>
          <w:lang w:val="en-US"/>
        </w:rPr>
      </w:pPr>
      <w:r>
        <w:rPr>
          <w:noProof/>
          <w:lang w:val="en-US"/>
        </w:rPr>
        <w:t>ANNEX II</w:t>
      </w:r>
    </w:p>
    <w:p>
      <w:pPr>
        <w:rPr>
          <w:noProof/>
          <w:lang w:val="en-US"/>
        </w:rPr>
      </w:pPr>
      <w:r>
        <w:rPr>
          <w:noProof/>
          <w:lang w:val="en-US"/>
        </w:rPr>
        <w:t xml:space="preserve">The products in this Annex are identified by their eight-digit CN codes. The description of products classified under these codes </w:t>
      </w:r>
      <w:r>
        <w:rPr>
          <w:noProof/>
        </w:rPr>
        <w:t>can be found</w:t>
      </w:r>
      <w:r>
        <w:rPr>
          <w:noProof/>
          <w:lang w:val="en-US"/>
        </w:rPr>
        <w:t xml:space="preserve"> in Annex I to Regulation (EEC) No 2658/87.</w:t>
      </w:r>
    </w:p>
    <w:p>
      <w:pPr>
        <w:jc w:val="center"/>
        <w:rPr>
          <w:rFonts w:eastAsia="Times New Roman"/>
          <w:noProof/>
        </w:rPr>
      </w:pPr>
      <w:r>
        <w:rPr>
          <w:rFonts w:eastAsia="Times New Roman"/>
          <w:noProof/>
        </w:rPr>
        <w:t>_____________</w:t>
      </w:r>
    </w:p>
    <w:p>
      <w:pPr>
        <w:adjustRightInd w:val="0"/>
        <w:spacing w:before="0" w:after="0"/>
        <w:jc w:val="left"/>
        <w:rPr>
          <w:noProof/>
        </w:rPr>
        <w:sectPr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US"/>
        </w:rPr>
      </w:pP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QUOTE "</w:instrText>
      </w:r>
      <w:r>
        <w:rPr>
          <w:rStyle w:val="CRMarker"/>
          <w:noProof/>
          <w:lang w:val="en-US"/>
        </w:rPr>
        <w:instrText>é</w:instrText>
      </w:r>
      <w:r>
        <w:rPr>
          <w:noProof/>
          <w:lang w:val="en-US"/>
        </w:rPr>
        <w:instrText xml:space="preserve">" </w:instrText>
      </w:r>
      <w:r>
        <w:rPr>
          <w:noProof/>
          <w:lang w:val="en-US"/>
        </w:rPr>
        <w:fldChar w:fldCharType="separate"/>
      </w:r>
      <w:r>
        <w:rPr>
          <w:rStyle w:val="CRMarker"/>
          <w:noProof/>
          <w:lang w:val="en-US"/>
        </w:rPr>
        <w:t>é</w:t>
      </w:r>
      <w:r>
        <w:rPr>
          <w:noProof/>
          <w:lang w:val="en-US"/>
        </w:rPr>
        <w:fldChar w:fldCharType="end"/>
      </w:r>
    </w:p>
    <w:p>
      <w:pPr>
        <w:pStyle w:val="Annexetitre"/>
        <w:rPr>
          <w:noProof/>
        </w:rPr>
      </w:pPr>
      <w:r>
        <w:rPr>
          <w:noProof/>
        </w:rPr>
        <w:t>ANNEX III</w:t>
      </w:r>
    </w:p>
    <w:p>
      <w:pPr>
        <w:jc w:val="center"/>
        <w:rPr>
          <w:rFonts w:eastAsia="Times New Roman"/>
          <w:b/>
          <w:noProof/>
        </w:rPr>
      </w:pPr>
      <w:r>
        <w:rPr>
          <w:rFonts w:eastAsia="Times New Roman"/>
          <w:b/>
          <w:noProof/>
        </w:rPr>
        <w:t>Repealed Regulation with list of its successive amendments</w:t>
      </w:r>
    </w:p>
    <w:tbl>
      <w:tblPr>
        <w:tblW w:w="9348" w:type="dxa"/>
        <w:tblLayout w:type="fixed"/>
        <w:tblLook w:val="0000" w:firstRow="0" w:lastRow="0" w:firstColumn="0" w:lastColumn="0" w:noHBand="0" w:noVBand="0"/>
      </w:tblPr>
      <w:tblGrid>
        <w:gridCol w:w="348"/>
        <w:gridCol w:w="5520"/>
        <w:gridCol w:w="477"/>
        <w:gridCol w:w="2523"/>
        <w:gridCol w:w="480"/>
      </w:tblGrid>
      <w:tr>
        <w:trPr>
          <w:gridAfter w:val="1"/>
          <w:wAfter w:w="480" w:type="dxa"/>
          <w:cantSplit/>
        </w:trPr>
        <w:tc>
          <w:tcPr>
            <w:tcW w:w="5868" w:type="dxa"/>
            <w:gridSpan w:val="2"/>
          </w:tcPr>
          <w:p>
            <w:pPr>
              <w:jc w:val="lef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Council Regulation (EC) No 673/2005</w:t>
            </w:r>
            <w:r>
              <w:rPr>
                <w:noProof/>
                <w:lang w:val="en-US"/>
              </w:rPr>
              <w:br/>
              <w:t>(OJ L 110, 30.4.2005, p. 1)</w:t>
            </w:r>
          </w:p>
        </w:tc>
        <w:tc>
          <w:tcPr>
            <w:tcW w:w="3000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997" w:type="dxa"/>
            <w:gridSpan w:val="2"/>
          </w:tcPr>
          <w:p>
            <w:pPr>
              <w:jc w:val="left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Commission Regulation (EC) No 632/2006</w:t>
            </w:r>
            <w:r>
              <w:rPr>
                <w:bCs/>
                <w:noProof/>
                <w:lang w:val="en-US"/>
              </w:rPr>
              <w:br/>
            </w:r>
            <w:r>
              <w:rPr>
                <w:noProof/>
                <w:lang w:val="en-US"/>
              </w:rPr>
              <w:t>(OJ L 111, 25.4.2006, p. 5)</w:t>
            </w:r>
          </w:p>
        </w:tc>
        <w:tc>
          <w:tcPr>
            <w:tcW w:w="3003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997" w:type="dxa"/>
            <w:gridSpan w:val="2"/>
          </w:tcPr>
          <w:p>
            <w:pPr>
              <w:jc w:val="left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Commission Regulation (EC) No 409/2007</w:t>
            </w:r>
            <w:r>
              <w:rPr>
                <w:bCs/>
                <w:noProof/>
                <w:lang w:val="en-US"/>
              </w:rPr>
              <w:br/>
            </w:r>
            <w:r>
              <w:rPr>
                <w:noProof/>
                <w:lang w:val="en-US"/>
              </w:rPr>
              <w:t>(OJ L 100, 17.4.2007, p. 16)</w:t>
            </w:r>
          </w:p>
        </w:tc>
        <w:tc>
          <w:tcPr>
            <w:tcW w:w="3003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997" w:type="dxa"/>
            <w:gridSpan w:val="2"/>
          </w:tcPr>
          <w:p>
            <w:pPr>
              <w:jc w:val="left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Commission Regulation (EC) No 283/2008</w:t>
            </w:r>
            <w:r>
              <w:rPr>
                <w:bCs/>
                <w:noProof/>
                <w:lang w:val="en-US"/>
              </w:rPr>
              <w:br/>
            </w:r>
            <w:r>
              <w:rPr>
                <w:noProof/>
                <w:lang w:val="en-US"/>
              </w:rPr>
              <w:t>(OJ L 86, 28.3.2008, p. 19)</w:t>
            </w:r>
          </w:p>
        </w:tc>
        <w:tc>
          <w:tcPr>
            <w:tcW w:w="3003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997" w:type="dxa"/>
            <w:gridSpan w:val="2"/>
          </w:tcPr>
          <w:p>
            <w:pPr>
              <w:jc w:val="left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Commission Regulation (EC) No 317/2009</w:t>
            </w:r>
            <w:r>
              <w:rPr>
                <w:bCs/>
                <w:noProof/>
                <w:lang w:val="en-US"/>
              </w:rPr>
              <w:br/>
            </w:r>
            <w:r>
              <w:rPr>
                <w:noProof/>
                <w:lang w:val="en-US"/>
              </w:rPr>
              <w:t>(OJ L 100, 18.4.2009, p. 6)</w:t>
            </w:r>
          </w:p>
        </w:tc>
        <w:tc>
          <w:tcPr>
            <w:tcW w:w="3003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997" w:type="dxa"/>
            <w:gridSpan w:val="2"/>
          </w:tcPr>
          <w:p>
            <w:pPr>
              <w:jc w:val="left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Commission Regulation (EU) No 305/2010</w:t>
            </w:r>
            <w:r>
              <w:rPr>
                <w:bCs/>
                <w:noProof/>
                <w:lang w:val="en-US"/>
              </w:rPr>
              <w:br/>
            </w:r>
            <w:r>
              <w:rPr>
                <w:noProof/>
                <w:lang w:val="en-US"/>
              </w:rPr>
              <w:t>(OJ L 94, 15.4.2010, p. 15)</w:t>
            </w:r>
          </w:p>
        </w:tc>
        <w:tc>
          <w:tcPr>
            <w:tcW w:w="3003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997" w:type="dxa"/>
            <w:gridSpan w:val="2"/>
          </w:tcPr>
          <w:p>
            <w:pPr>
              <w:jc w:val="left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Commission Implementing Regulation (EU) No 311/2011</w:t>
            </w:r>
            <w:r>
              <w:rPr>
                <w:bCs/>
                <w:noProof/>
                <w:lang w:val="en-US"/>
              </w:rPr>
              <w:br/>
            </w:r>
            <w:r>
              <w:rPr>
                <w:noProof/>
                <w:lang w:val="en-US"/>
              </w:rPr>
              <w:t>(OJ L 86, 1.4.2011, p. 51)</w:t>
            </w:r>
          </w:p>
        </w:tc>
        <w:tc>
          <w:tcPr>
            <w:tcW w:w="3003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997" w:type="dxa"/>
            <w:gridSpan w:val="2"/>
          </w:tcPr>
          <w:p>
            <w:pPr>
              <w:jc w:val="left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Commission Implementing Regulation (EU) No 349/2013</w:t>
            </w:r>
            <w:r>
              <w:rPr>
                <w:bCs/>
                <w:noProof/>
                <w:lang w:val="en-US"/>
              </w:rPr>
              <w:br/>
            </w:r>
            <w:r>
              <w:rPr>
                <w:noProof/>
                <w:lang w:val="en-US"/>
              </w:rPr>
              <w:t>(OJ L 108, 18.4.2013, p. 6)</w:t>
            </w:r>
          </w:p>
        </w:tc>
        <w:tc>
          <w:tcPr>
            <w:tcW w:w="3003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997" w:type="dxa"/>
            <w:gridSpan w:val="2"/>
          </w:tcPr>
          <w:p>
            <w:pPr>
              <w:jc w:val="left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Regulation (EU) No 37/2014 of</w:t>
            </w:r>
            <w:r>
              <w:rPr>
                <w:bCs/>
                <w:noProof/>
                <w:lang w:val="en-US"/>
              </w:rPr>
              <w:br/>
              <w:t>the European Parliament and of the Council</w:t>
            </w:r>
            <w:r>
              <w:rPr>
                <w:bCs/>
                <w:noProof/>
                <w:lang w:val="en-US"/>
              </w:rPr>
              <w:br/>
            </w:r>
            <w:r>
              <w:rPr>
                <w:noProof/>
                <w:lang w:val="en-US"/>
              </w:rPr>
              <w:t>(OJ L 18, 21.1.2014, p. 1)</w:t>
            </w:r>
          </w:p>
        </w:tc>
        <w:tc>
          <w:tcPr>
            <w:tcW w:w="3003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Only point 11 of the Annex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5997" w:type="dxa"/>
            <w:gridSpan w:val="2"/>
          </w:tcPr>
          <w:p>
            <w:pPr>
              <w:jc w:val="left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Regulation (EU) No 38/2014 of</w:t>
            </w:r>
            <w:r>
              <w:rPr>
                <w:bCs/>
                <w:noProof/>
                <w:lang w:val="en-US"/>
              </w:rPr>
              <w:br/>
              <w:t>the European Parliament and of the Council</w:t>
            </w:r>
            <w:r>
              <w:rPr>
                <w:bCs/>
                <w:noProof/>
                <w:lang w:val="en-US"/>
              </w:rPr>
              <w:br/>
            </w:r>
            <w:r>
              <w:rPr>
                <w:noProof/>
                <w:lang w:val="en-US"/>
              </w:rPr>
              <w:t>(OJ L 18, 21.1.2014, p. 52)</w:t>
            </w:r>
          </w:p>
        </w:tc>
        <w:tc>
          <w:tcPr>
            <w:tcW w:w="3003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Only point 4 of the Annex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5997" w:type="dxa"/>
            <w:gridSpan w:val="2"/>
          </w:tcPr>
          <w:p>
            <w:pPr>
              <w:jc w:val="left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Commission Implementing Regulation (EU) No 303/2014</w:t>
            </w:r>
            <w:r>
              <w:rPr>
                <w:bCs/>
                <w:noProof/>
                <w:lang w:val="en-US"/>
              </w:rPr>
              <w:br/>
            </w:r>
            <w:r>
              <w:rPr>
                <w:noProof/>
                <w:lang w:val="en-US"/>
              </w:rPr>
              <w:t>(OJ L 90, 26.3.2014, p. 6)</w:t>
            </w:r>
          </w:p>
        </w:tc>
        <w:tc>
          <w:tcPr>
            <w:tcW w:w="3003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5997" w:type="dxa"/>
            <w:gridSpan w:val="2"/>
          </w:tcPr>
          <w:p>
            <w:pPr>
              <w:jc w:val="left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Commission Delegated Regulation (EU) 2015/675</w:t>
            </w:r>
            <w:r>
              <w:rPr>
                <w:bCs/>
                <w:noProof/>
                <w:lang w:val="en-US"/>
              </w:rPr>
              <w:br/>
            </w:r>
            <w:r>
              <w:rPr>
                <w:noProof/>
                <w:lang w:val="en-US"/>
              </w:rPr>
              <w:t>(OJ L 111, 30.4.2015, p. 16)</w:t>
            </w:r>
          </w:p>
        </w:tc>
        <w:tc>
          <w:tcPr>
            <w:tcW w:w="3003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</w:p>
        </w:tc>
      </w:tr>
    </w:tbl>
    <w:p>
      <w:pPr>
        <w:jc w:val="center"/>
        <w:rPr>
          <w:rFonts w:eastAsia="Times New Roman"/>
          <w:noProof/>
        </w:rPr>
      </w:pPr>
      <w:r>
        <w:rPr>
          <w:rFonts w:eastAsia="Times New Roman"/>
          <w:noProof/>
        </w:rPr>
        <w:t>_____________</w:t>
      </w:r>
    </w:p>
    <w:p>
      <w:pPr>
        <w:jc w:val="center"/>
        <w:rPr>
          <w:rFonts w:eastAsia="Times New Roman"/>
          <w:b/>
          <w:noProof/>
          <w:u w:val="single"/>
        </w:rPr>
        <w:sectPr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ANNEX IV</w:t>
      </w:r>
    </w:p>
    <w:p>
      <w:pPr>
        <w:keepNext/>
        <w:spacing w:before="360"/>
        <w:jc w:val="center"/>
        <w:outlineLvl w:val="0"/>
        <w:rPr>
          <w:rFonts w:eastAsia="Times New Roman"/>
          <w:b/>
          <w:smallCaps/>
          <w:noProof/>
          <w:lang w:eastAsia="de-DE"/>
        </w:rPr>
      </w:pPr>
      <w:r>
        <w:rPr>
          <w:rFonts w:eastAsia="Times New Roman"/>
          <w:b/>
          <w:smallCaps/>
          <w:noProof/>
          <w:lang w:eastAsia="de-DE"/>
        </w:rPr>
        <w:t>Correlation Table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4674"/>
      </w:tblGrid>
      <w:tr>
        <w:tc>
          <w:tcPr>
            <w:tcW w:w="4674" w:type="dxa"/>
            <w:tcBorders>
              <w:left w:val="nil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  <w:lang w:val="en-US"/>
              </w:rPr>
              <w:t>Regulation (EC) No 673/2005</w:t>
            </w:r>
          </w:p>
        </w:tc>
        <w:tc>
          <w:tcPr>
            <w:tcW w:w="4674" w:type="dxa"/>
            <w:tcBorders>
              <w:right w:val="nil"/>
            </w:tcBorders>
          </w:tcPr>
          <w:p>
            <w:pPr>
              <w:jc w:val="center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This Regulation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Articles 1 to 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Articles 1 to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4a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6(1)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7(1)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6(2)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–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6(3)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7(2)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6(4)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7(3)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–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Article 9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Annex I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Annex 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Annex II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Annex II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–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Annex III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–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Annex IV</w:t>
            </w:r>
          </w:p>
        </w:tc>
      </w:tr>
    </w:tbl>
    <w:p>
      <w:pPr>
        <w:jc w:val="center"/>
        <w:rPr>
          <w:rFonts w:eastAsia="Times New Roman"/>
          <w:noProof/>
        </w:rPr>
      </w:pPr>
      <w:r>
        <w:rPr>
          <w:rFonts w:eastAsia="Times New Roman"/>
          <w:noProof/>
        </w:rPr>
        <w:t>_____________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highlight w:val="green"/>
        </w:rPr>
      </w:pPr>
      <w:r>
        <w:rPr>
          <w:rStyle w:val="FootnoteReference"/>
          <w:lang w:val="en-US"/>
        </w:rPr>
        <w:footnoteRef/>
      </w:r>
      <w:r>
        <w:rPr>
          <w:lang w:val="en-US"/>
        </w:rPr>
        <w:tab/>
        <w:t>Council</w:t>
      </w:r>
      <w:r>
        <w:t xml:space="preserve"> </w:t>
      </w:r>
      <w:r>
        <w:rPr>
          <w:lang w:val="en-US"/>
        </w:rPr>
        <w:t>Regulation</w:t>
      </w:r>
      <w:r>
        <w:t xml:space="preserve"> </w:t>
      </w:r>
      <w:r>
        <w:rPr>
          <w:lang w:val="en-US"/>
        </w:rPr>
        <w:t>(EEC)</w:t>
      </w:r>
      <w:r>
        <w:t xml:space="preserve"> </w:t>
      </w:r>
      <w:r>
        <w:rPr>
          <w:lang w:val="en-US"/>
        </w:rPr>
        <w:t>No 2658/87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23 July</w:t>
      </w:r>
      <w:r>
        <w:t xml:space="preserve"> </w:t>
      </w:r>
      <w:r>
        <w:rPr>
          <w:lang w:val="en-US"/>
        </w:rPr>
        <w:t>1987</w:t>
      </w:r>
      <w:r>
        <w:t xml:space="preserve"> </w:t>
      </w:r>
      <w:r>
        <w:rPr>
          <w:lang w:val="en-US"/>
        </w:rPr>
        <w:t>on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tariff</w:t>
      </w:r>
      <w:r>
        <w:t xml:space="preserve"> </w:t>
      </w:r>
      <w:r>
        <w:rPr>
          <w:lang w:val="en-US"/>
        </w:rPr>
        <w:t>and</w:t>
      </w:r>
      <w:r>
        <w:t xml:space="preserve"> </w:t>
      </w:r>
      <w:r>
        <w:rPr>
          <w:lang w:val="en-US"/>
        </w:rPr>
        <w:t>statistical</w:t>
      </w:r>
      <w:r>
        <w:t xml:space="preserve"> </w:t>
      </w:r>
      <w:r>
        <w:rPr>
          <w:lang w:val="en-US"/>
        </w:rPr>
        <w:t>nomenclature</w:t>
      </w:r>
      <w:r>
        <w:t xml:space="preserve"> </w:t>
      </w:r>
      <w:r>
        <w:rPr>
          <w:lang w:val="en-US"/>
        </w:rPr>
        <w:t>and</w:t>
      </w:r>
      <w:r>
        <w:t xml:space="preserve"> </w:t>
      </w:r>
      <w:r>
        <w:rPr>
          <w:lang w:val="en-US"/>
        </w:rPr>
        <w:t>on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Common</w:t>
      </w:r>
      <w:r>
        <w:t xml:space="preserve"> </w:t>
      </w:r>
      <w:r>
        <w:rPr>
          <w:lang w:val="en-US"/>
        </w:rPr>
        <w:t>Customs</w:t>
      </w:r>
      <w:r>
        <w:t xml:space="preserve"> </w:t>
      </w:r>
      <w:r>
        <w:rPr>
          <w:lang w:val="en-US"/>
        </w:rPr>
        <w:t>Tariff</w:t>
      </w:r>
      <w:r>
        <w:t xml:space="preserve"> </w:t>
      </w:r>
      <w:r>
        <w:rPr>
          <w:lang w:val="en-US"/>
        </w:rPr>
        <w:t>(OJ L 256, 7.9.1987, p. 1).</w:t>
      </w:r>
    </w:p>
  </w:footnote>
  <w:footnote w:id="2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Commission Regulation (EC) No 1810/2004 of 7 September 2004 amending Annex I to Council Regulation (EEC) No 2658/87 on the tariff and statistical nomenclature and on the Common Customs Tariff (OJ L 327, 30.10.2004, p.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90E55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FF863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DC663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0EE97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4E46A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79CD8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06E7C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1C089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CR_TimeStamp" w:val="12:21:15"/>
    <w:docVar w:name="DQCDateTime" w:val="2015-07-17 10:16:0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2"/>
    <w:docVar w:name="DQCWithWarnings" w:val="1"/>
    <w:docVar w:name="LW_ACCOMPAGNANT" w:val="to the amended proposal for a"/>
    <w:docVar w:name="LW_ACCOMPAGNANT.CP" w:val="to the amended proposal for a"/>
    <w:docVar w:name="LW_ANNEX_NBR_FIRST" w:val="1"/>
    <w:docVar w:name="LW_ANNEX_NBR_LAST" w:val="4"/>
    <w:docVar w:name="LW_CONFIDENCE" w:val=" "/>
    <w:docVar w:name="LW_CONST_RESTREINT_UE" w:val="RESTREINT UE"/>
    <w:docVar w:name="LW_CORRIGENDUM" w:val="&lt;UNUSED&gt;"/>
    <w:docVar w:name="LW_COVERPAGE_GUID" w:val="D95DDB67DE434E7780296A5F016982E3"/>
    <w:docVar w:name="LW_CROSSREFERENCE" w:val="&lt;UNUSED&gt;"/>
    <w:docVar w:name="LW_DocType" w:val="ANNEX"/>
    <w:docVar w:name="LW_EMISSION" w:val="17.7.2015"/>
    <w:docVar w:name="LW_EMISSION_ISODATE" w:val="2015-07-17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" w:val="on additional customs duties on imports of certain products originating in the United&lt;LWCR:NBS&gt;States of America (codification)"/>
    <w:docVar w:name="LW_OBJETACTEPRINCIPAL.CP" w:val="on additional customs duties on imports of certain products originating in the United States of America (codification)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5) 350"/>
    <w:docVar w:name="LW_REF.INTERNE" w:val="&lt;UNUSED&gt;"/>
    <w:docVar w:name="LW_SUPERTITRE" w:val="&lt;UNUSED&gt;"/>
    <w:docVar w:name="LW_TITRE.OBJ.CP" w:val="&lt;UNUSED&gt;"/>
    <w:docVar w:name="LW_TYPE.DOC" w:val="ANNEXES"/>
    <w:docVar w:name="LW_TYPE.DOC.CP" w:val="ANNEXES"/>
    <w:docVar w:name="LW_TYPEACTEPRINCIPAL" w:val="REGULATION OF THE EUROPEAN PARLIAMENT AND OF THE COUNCIL"/>
    <w:docVar w:name="LW_TYPEACTEPRINCIPAL.CP" w:val="REGULATION OF THE EUROPEAN PARLIAMENT AND OF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RMarker">
    <w:name w:val="CR Marker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="Times New Roman"/>
      <w:szCs w:val="24"/>
      <w:lang w:val="fr-FR" w:eastAsia="fr-FR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="Times New Roman"/>
      <w:szCs w:val="24"/>
      <w:lang w:val="fr-FR" w:eastAsia="fr-FR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RMarker">
    <w:name w:val="CR Marker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="Times New Roman"/>
      <w:szCs w:val="24"/>
      <w:lang w:val="fr-FR" w:eastAsia="fr-FR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="Times New Roman"/>
      <w:szCs w:val="24"/>
      <w:lang w:val="fr-FR" w:eastAsia="fr-FR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5</Pages>
  <Words>356</Words>
  <Characters>1748</Characters>
  <Application>Microsoft Office Word</Application>
  <DocSecurity>0</DocSecurity>
  <Lines>109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TUOMINEN Seija (SJ)</dc:creator>
  <cp:lastModifiedBy>DIGIT/A3</cp:lastModifiedBy>
  <cp:revision>7</cp:revision>
  <cp:lastPrinted>2015-06-25T10:15:00Z</cp:lastPrinted>
  <dcterms:created xsi:type="dcterms:W3CDTF">2015-06-30T12:38:00Z</dcterms:created>
  <dcterms:modified xsi:type="dcterms:W3CDTF">2015-07-17T08:16:00Z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4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LWCR Document">
    <vt:lpwstr>True</vt:lpwstr>
  </property>
  <property fmtid="{D5CDD505-2E9C-101B-9397-08002B2CF9AE}" pid="13" name="LWCR Version">
    <vt:lpwstr>1.6.413</vt:lpwstr>
  </property>
  <property fmtid="{D5CDD505-2E9C-101B-9397-08002B2CF9AE}" pid="14" name="LWCR IsRefonte">
    <vt:lpwstr>False</vt:lpwstr>
  </property>
  <property fmtid="{D5CDD505-2E9C-101B-9397-08002B2CF9AE}" pid="15" name="DQCStatus">
    <vt:lpwstr>Green (DQC version 02)</vt:lpwstr>
  </property>
</Properties>
</file>