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E6455BAF1C2423E9A38FC167E7415B1"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Accompagnant"/>
        <w:rPr>
          <w:noProof/>
        </w:rPr>
      </w:pPr>
      <w:r>
        <w:rPr>
          <w:noProof/>
        </w:rPr>
        <w:t>to the</w:t>
      </w:r>
    </w:p>
    <w:p>
      <w:pPr>
        <w:pStyle w:val="Typeacteprincipal"/>
        <w:rPr>
          <w:noProof/>
        </w:rPr>
      </w:pPr>
      <w:r>
        <w:rPr>
          <w:noProof/>
        </w:rPr>
        <w:t>Council Decision</w:t>
      </w:r>
    </w:p>
    <w:p>
      <w:pPr>
        <w:pStyle w:val="Objetacteprincipal"/>
        <w:rPr>
          <w:noProof/>
        </w:rPr>
      </w:pPr>
      <w:r>
        <w:rPr>
          <w:noProof/>
        </w:rPr>
        <w:t>on the position to be adopted, on behalf of the European Union, with regard to the draft Rules of Procedures at the Conference of State Parties to the Arms Trade Treaty (ATT)</w:t>
      </w:r>
    </w:p>
    <w:p>
      <w:pPr>
        <w:rPr>
          <w:noProof/>
        </w:rPr>
      </w:pPr>
      <w:r>
        <w:rPr>
          <w:noProof/>
        </w:rPr>
        <w:t>As concerns the Rules of Procedure for the Conference of State Parties to the Arms Trade Treaty (ATT) to be adopted at the Conference’s first session on 24-27 August in Mexico, Member States that are State Party to the ATT acting jointly in the interest of the Union will ensure that these Rules of Procedure do not contain any provisions that may prevent Member States from applying existing and future EU legislation in the area of EU exclusive competence.</w:t>
      </w:r>
    </w:p>
    <w:p>
      <w:pPr>
        <w:rPr>
          <w:noProof/>
        </w:rPr>
      </w:pPr>
      <w:r>
        <w:rPr>
          <w:noProof/>
        </w:rPr>
        <w:t>In particular, Member States that are State Party to the Arms Trade Treaty shall ensure appropriate participation of the EU at the Conference of State Parties to the ATT and any other body set up in the ATT framework. The Rules of Procedure shall ensure time-limits which allow appropriate consultation among EU Member States and the Union Institutions of drafts of any acts having legal effects prior to their adoption by the Conference of State Parties.</w:t>
      </w:r>
    </w:p>
    <w:p>
      <w:pPr>
        <w:rPr>
          <w:noProof/>
        </w:rPr>
      </w:pPr>
      <w:r>
        <w:rPr>
          <w:noProof/>
        </w:rPr>
        <w:t>As the ATT is an agreement and adopted under the auspices of the UN the Union's participation in the Conference of the State Parties to the ATT and any other body set up under the ATT framework should be consistent with the extended observer status granted to the EU as concerns participation in UN bodies established by the UN General Assembly by Resolution A/65/276 adopted on 3 May 2011.</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0465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806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78533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BCAED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55A67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74FA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8461F6"/>
    <w:lvl w:ilvl="0">
      <w:start w:val="1"/>
      <w:numFmt w:val="decimal"/>
      <w:pStyle w:val="ListNumber"/>
      <w:lvlText w:val="%1."/>
      <w:lvlJc w:val="left"/>
      <w:pPr>
        <w:tabs>
          <w:tab w:val="num" w:pos="360"/>
        </w:tabs>
        <w:ind w:left="360" w:hanging="360"/>
      </w:pPr>
    </w:lvl>
  </w:abstractNum>
  <w:abstractNum w:abstractNumId="7">
    <w:nsid w:val="FFFFFF89"/>
    <w:multiLevelType w:val="singleLevel"/>
    <w:tmpl w:val="4830A6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4 10:1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9E6455BAF1C2423E9A38FC167E7415B1"/>
    <w:docVar w:name="LW_CROSSREFERENCE" w:val="&lt;UNUSED&gt;"/>
    <w:docVar w:name="LW_DocType" w:val="ANNEX"/>
    <w:docVar w:name="LW_EMISSION" w:val="14.7.2015"/>
    <w:docVar w:name="LW_EMISSION_ISODATE" w:val="2015-07-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 regard to the draft Rules of Procedures at the Conference of State Parties to the Arms Trade Treaty (ATT)"/>
    <w:docVar w:name="LW_PART_NBR" w:val="1"/>
    <w:docVar w:name="LW_PART_NBR_TOTAL" w:val="1"/>
    <w:docVar w:name="LW_REF.INST.NEW" w:val="COM"/>
    <w:docVar w:name="LW_REF.INST.NEW_ADOPTED" w:val="final"/>
    <w:docVar w:name="LW_REF.INST.NEW_TEXT" w:val="(2015) 352"/>
    <w:docVar w:name="LW_REF.INTERNE" w:val="&lt;UNUSED&gt;"/>
    <w:docVar w:name="LW_SUPERTITRE" w:val="&lt;UNUSED&gt;"/>
    <w:docVar w:name="LW_TITRE.OBJ.CP" w:val="&lt;UNUSED&gt;"/>
    <w:docVar w:name="LW_TYPE.DOC.CP" w:val="ANNEX"/>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261</Words>
  <Characters>1253</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alessgr</dc:creator>
  <cp:lastModifiedBy>DIGIT/A3</cp:lastModifiedBy>
  <cp:revision>8</cp:revision>
  <dcterms:created xsi:type="dcterms:W3CDTF">2015-07-08T13:52:00Z</dcterms:created>
  <dcterms:modified xsi:type="dcterms:W3CDTF">2015-07-14T08:13:00Z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