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4" type="#_x0000_t75" alt="DE605C6426D3424EB3690BCA2ADE2419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ПРИЛОЖЕНИЕ</w:t>
      </w:r>
    </w:p>
    <w:p>
      <w:pPr>
        <w:pStyle w:val="Accompagnant"/>
        <w:rPr>
          <w:noProof/>
        </w:rPr>
      </w:pPr>
      <w:r>
        <w:rPr>
          <w:noProof/>
        </w:rPr>
        <w:t>към</w:t>
      </w:r>
    </w:p>
    <w:p>
      <w:pPr>
        <w:pStyle w:val="Typeacteprincipal"/>
        <w:rPr>
          <w:noProof/>
        </w:rPr>
      </w:pPr>
      <w:r>
        <w:rPr>
          <w:noProof/>
        </w:rPr>
        <w:t>Решение на Съвета</w:t>
      </w:r>
    </w:p>
    <w:p>
      <w:pPr>
        <w:pStyle w:val="Objetacteprincipal"/>
        <w:rPr>
          <w:noProof/>
        </w:rPr>
      </w:pPr>
      <w:r>
        <w:rPr>
          <w:noProof/>
        </w:rPr>
        <w:t>относно позицията, която да бъде заета от името на Европейския съюз по отношение на проекта за процедурен правилник на Конференцията на държавите — страни по Договора за търговията с оръжие (ДТО)</w:t>
      </w:r>
    </w:p>
    <w:p>
      <w:pPr>
        <w:rPr>
          <w:noProof/>
        </w:rPr>
      </w:pPr>
      <w:r>
        <w:rPr>
          <w:noProof/>
        </w:rPr>
        <w:t>Държавите членки, които са страни по Договора за търговията с оръжие (ДТО), действащи съвместно в интерес на Съюза, ще гарантират, че процедурният правилник на Конференцията на държавите — страни по ДТО, който ще бъде приет на първото заседание на Конференцията на 24—27 август в Мексико, не съдържа разпоредби, които могат да възпрепятстват държавите членки при прилагането на съществуващото и бъдещото законодателство на ЕС в областта на изключителната компетентност на ЕС.</w:t>
      </w:r>
    </w:p>
    <w:p>
      <w:pPr>
        <w:rPr>
          <w:noProof/>
        </w:rPr>
      </w:pPr>
      <w:r>
        <w:rPr>
          <w:noProof/>
        </w:rPr>
        <w:t>Държавите членки, които са страни по Договора за търговията с оръжие, следва по-специално да осигурят адекватно ниво на участие на ЕС в Конференцията на държавите — страни по ДТО, и във всеки друг орган, създаден в рамките на ДТО. Процедурният правилник следва да гарантира достатъчно време за консултиране между държавите — членки на ЕС, и институциите на Съюза на проектите на актове с правно действие преди тяхното приемане от Конференцията на държавите — страни по ДТО.</w:t>
      </w:r>
    </w:p>
    <w:p>
      <w:pPr>
        <w:rPr>
          <w:noProof/>
        </w:rPr>
      </w:pPr>
      <w:r>
        <w:rPr>
          <w:noProof/>
        </w:rPr>
        <w:t>Тъй като ДТО е споразумение, прието под егидата на ООН, участието на Съюза в Конференцията на държавите — страни по ДТО, и във всеки друг орган, създаден в рамките на ДТО, следва да е в съответствие с разширения статут на наблюдател, предоставен на ЕС по отношение на участието в органите на ООН, създадени от Общото събрание на ООН с Резолюция A/65/276, приета на 3 май 2011 г.</w:t>
      </w: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70465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B28062C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E978533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4BCAED2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155A673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0974FAFE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78461F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4830A62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efaultTabStop w:val="72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7-17 10:05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0"/>
    <w:docVar w:name="DQCResult_UnknownFonts" w:val="0;0"/>
    <w:docVar w:name="DQCResult_UnknownStyles" w:val="0;0"/>
    <w:docVar w:name="DQCStatus" w:val="Green"/>
    <w:docVar w:name="DQCVersion" w:val="2"/>
    <w:docVar w:name="DQCWithWarnings" w:val="0"/>
    <w:docVar w:name="LW_ACCOMPAGNANT.CP" w:val="\u1082?\u1098?\u1084?"/>
    <w:docVar w:name="LW_ANNEX_NBR_FIRST" w:val="1"/>
    <w:docVar w:name="LW_ANNEX_NBR_LAST" w:val="1"/>
    <w:docVar w:name="LW_CONFIDENCE" w:val=" "/>
    <w:docVar w:name="LW_CONST_RESTREINT_UE" w:val="RESTREINT UE"/>
    <w:docVar w:name="LW_CORRIGENDUM" w:val="&lt;UNUSED&gt;"/>
    <w:docVar w:name="LW_COVERPAGE_GUID" w:val="DE605C6426D3424EB3690BCA2ADE2419"/>
    <w:docVar w:name="LW_CROSSREFERENCE" w:val="&lt;UNUSED&gt;"/>
    <w:docVar w:name="LW_DocType" w:val="ANNEX"/>
    <w:docVar w:name="LW_EMISSION" w:val="14.7.2015"/>
    <w:docVar w:name="LW_EMISSION_ISODATE" w:val="2015-07-14"/>
    <w:docVar w:name="LW_EMISSION_LOCATION" w:val="BRX"/>
    <w:docVar w:name="LW_EMISSION_PREFIX" w:val="Брюксел, "/>
    <w:docVar w:name="LW_EMISSION_SUFFIX" w:val=" \u1075?."/>
    <w:docVar w:name="LW_ID_DOCSTRUCTURE" w:val="COM/ANNEX"/>
    <w:docVar w:name="LW_ID_DOCTYPE" w:val="SG-017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\u1086?\u1090?\u1085?\u1086?\u1089?\u1085?\u1086? \u1087?\u1086?\u1079?\u1080?\u1094?\u1080?\u1103?\u1090?\u1072?, \u1082?\u1086?\u1103?\u1090?\u1086? \u1076?\u1072? \u1073?\u1098?\u1076?\u1077? \u1079?\u1072?\u1077?\u1090?\u1072? \u1086?\u1090? \u1080?\u1084?\u1077?\u1090?\u1086? \u1085?\u1072? \u1045?\u1074?\u1088?\u1086?\u1087?\u1077?\u1081?\u1089?\u1082?\u1080?\u1103? \u1089?\u1098?\u1102?\u1079? \u1087?\u1086? \u1086?\u1090?\u1085?\u1086?\u1096?\u1077?\u1085?\u1080?\u1077? \u1085?\u1072? \u1087?\u1088?\u1086?\u1077?\u1082?\u1090?\u1072? \u1079?\u1072? \u1087?\u1088?\u1086?\u1094?\u1077?\u1076?\u1091?\u1088?\u1077?\u1085? \u1087?\u1088?\u1072?\u1074?\u1080?\u1083?\u1085?\u1080?\u1082? \u1085?\u1072? \u1050?\u1086?\u1085?\u1092?\u1077?\u1088?\u1077?\u1085?\u1094?\u1080?\u1103?\u1090?\u1072? \u1085?\u1072? \u1076?\u1098?\u1088?\u1078?\u1072?\u1074?\u1080?\u1090?\u1077? \u8212? \u1089?\u1090?\u1088?\u1072?\u1085?\u1080? \u1087?\u1086? \u1044?\u1086?\u1075?\u1086?\u1074?\u1086?\u1088?\u1072? \u1079?\u1072? \u1090?\u1098?\u1088?\u1075?\u1086?\u1074?\u1080?\u1103?\u1090?\u1072? \u1089? \u1086?\u1088?\u1098?\u1078?\u1080?\u1077? (\u1044?\u1058?\u1054?)"/>
    <w:docVar w:name="LW_PART_NBR" w:val="1"/>
    <w:docVar w:name="LW_PART_NBR_TOTAL" w:val="1"/>
    <w:docVar w:name="LW_REF.INST.NEW" w:val="COM"/>
    <w:docVar w:name="LW_REF.INST.NEW_ADOPTED" w:val="final"/>
    <w:docVar w:name="LW_REF.INST.NEW_TEXT" w:val="(2015) 352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"/>
    <w:docVar w:name="LW_TYPEACTEPRINCIPAL.CP" w:val="\u1056?\u1077?\u1096?\u1077?\u1085?\u1080?\u1077? \u1085?\u1072? \u1057?\u1098?\u1074?\u1077?\u1090?\u1072?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15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15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15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15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9"/>
      </w:numPr>
    </w:pPr>
  </w:style>
  <w:style w:type="paragraph" w:customStyle="1" w:styleId="Tiret1">
    <w:name w:val="Tiret 1"/>
    <w:basedOn w:val="Point1"/>
    <w:pPr>
      <w:numPr>
        <w:numId w:val="10"/>
      </w:numPr>
    </w:pPr>
  </w:style>
  <w:style w:type="paragraph" w:customStyle="1" w:styleId="Tiret2">
    <w:name w:val="Tiret 2"/>
    <w:basedOn w:val="Point2"/>
    <w:pPr>
      <w:numPr>
        <w:numId w:val="11"/>
      </w:numPr>
    </w:pPr>
  </w:style>
  <w:style w:type="paragraph" w:customStyle="1" w:styleId="Tiret3">
    <w:name w:val="Tiret 3"/>
    <w:basedOn w:val="Point3"/>
    <w:pPr>
      <w:numPr>
        <w:numId w:val="12"/>
      </w:numPr>
    </w:pPr>
  </w:style>
  <w:style w:type="paragraph" w:customStyle="1" w:styleId="Tiret4">
    <w:name w:val="Tiret 4"/>
    <w:basedOn w:val="Point4"/>
    <w:pPr>
      <w:numPr>
        <w:numId w:val="13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14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14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14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14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16"/>
      </w:numPr>
    </w:pPr>
  </w:style>
  <w:style w:type="paragraph" w:customStyle="1" w:styleId="Point1number">
    <w:name w:val="Point 1 (number)"/>
    <w:basedOn w:val="Normal"/>
    <w:pPr>
      <w:numPr>
        <w:ilvl w:val="2"/>
        <w:numId w:val="16"/>
      </w:numPr>
    </w:pPr>
  </w:style>
  <w:style w:type="paragraph" w:customStyle="1" w:styleId="Point2number">
    <w:name w:val="Point 2 (number)"/>
    <w:basedOn w:val="Normal"/>
    <w:pPr>
      <w:numPr>
        <w:ilvl w:val="4"/>
        <w:numId w:val="16"/>
      </w:numPr>
    </w:pPr>
  </w:style>
  <w:style w:type="paragraph" w:customStyle="1" w:styleId="Point3number">
    <w:name w:val="Point 3 (number)"/>
    <w:basedOn w:val="Normal"/>
    <w:pPr>
      <w:numPr>
        <w:ilvl w:val="6"/>
        <w:numId w:val="16"/>
      </w:numPr>
    </w:pPr>
  </w:style>
  <w:style w:type="paragraph" w:customStyle="1" w:styleId="Point0letter">
    <w:name w:val="Point 0 (letter)"/>
    <w:basedOn w:val="Normal"/>
    <w:pPr>
      <w:numPr>
        <w:ilvl w:val="1"/>
        <w:numId w:val="16"/>
      </w:numPr>
    </w:pPr>
  </w:style>
  <w:style w:type="paragraph" w:customStyle="1" w:styleId="Point1letter">
    <w:name w:val="Point 1 (letter)"/>
    <w:basedOn w:val="Normal"/>
    <w:pPr>
      <w:numPr>
        <w:ilvl w:val="3"/>
        <w:numId w:val="16"/>
      </w:numPr>
    </w:pPr>
  </w:style>
  <w:style w:type="paragraph" w:customStyle="1" w:styleId="Point2letter">
    <w:name w:val="Point 2 (letter)"/>
    <w:basedOn w:val="Normal"/>
    <w:pPr>
      <w:numPr>
        <w:ilvl w:val="5"/>
        <w:numId w:val="16"/>
      </w:numPr>
    </w:pPr>
  </w:style>
  <w:style w:type="paragraph" w:customStyle="1" w:styleId="Point3letter">
    <w:name w:val="Point 3 (letter)"/>
    <w:basedOn w:val="Normal"/>
    <w:pPr>
      <w:numPr>
        <w:ilvl w:val="7"/>
        <w:numId w:val="16"/>
      </w:numPr>
    </w:pPr>
  </w:style>
  <w:style w:type="paragraph" w:customStyle="1" w:styleId="Point4letter">
    <w:name w:val="Point 4 (letter)"/>
    <w:basedOn w:val="Normal"/>
    <w:pPr>
      <w:numPr>
        <w:ilvl w:val="8"/>
        <w:numId w:val="16"/>
      </w:numPr>
    </w:pPr>
  </w:style>
  <w:style w:type="paragraph" w:customStyle="1" w:styleId="Bullet0">
    <w:name w:val="Bullet 0"/>
    <w:basedOn w:val="Normal"/>
    <w:pPr>
      <w:numPr>
        <w:numId w:val="17"/>
      </w:numPr>
    </w:pPr>
  </w:style>
  <w:style w:type="paragraph" w:customStyle="1" w:styleId="Bullet1">
    <w:name w:val="Bullet 1"/>
    <w:basedOn w:val="Normal"/>
    <w:pPr>
      <w:numPr>
        <w:numId w:val="18"/>
      </w:numPr>
    </w:pPr>
  </w:style>
  <w:style w:type="paragraph" w:customStyle="1" w:styleId="Bullet2">
    <w:name w:val="Bullet 2"/>
    <w:basedOn w:val="Normal"/>
    <w:pPr>
      <w:numPr>
        <w:numId w:val="19"/>
      </w:numPr>
    </w:pPr>
  </w:style>
  <w:style w:type="paragraph" w:customStyle="1" w:styleId="Bullet3">
    <w:name w:val="Bullet 3"/>
    <w:basedOn w:val="Normal"/>
    <w:pPr>
      <w:numPr>
        <w:numId w:val="20"/>
      </w:numPr>
    </w:pPr>
  </w:style>
  <w:style w:type="paragraph" w:customStyle="1" w:styleId="Bullet4">
    <w:name w:val="Bullet 4"/>
    <w:basedOn w:val="Normal"/>
    <w:pPr>
      <w:numPr>
        <w:numId w:val="21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22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2</Pages>
  <Words>245</Words>
  <Characters>1316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alessgr</dc:creator>
  <cp:lastModifiedBy>DIGIT/A3</cp:lastModifiedBy>
  <cp:revision>8</cp:revision>
  <dcterms:created xsi:type="dcterms:W3CDTF">2015-07-15T15:15:00Z</dcterms:created>
  <dcterms:modified xsi:type="dcterms:W3CDTF">2015-07-17T08:05:00Z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1</vt:lpwstr>
  </property>
  <property fmtid="{D5CDD505-2E9C-101B-9397-08002B2CF9AE}" pid="9" name="Part">
    <vt:lpwstr>1</vt:lpwstr>
  </property>
  <property fmtid="{D5CDD505-2E9C-101B-9397-08002B2CF9AE}" pid="10" name="Total parts">
    <vt:lpwstr>1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02)</vt:lpwstr>
  </property>
</Properties>
</file>