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3DC5567F85D41F699A9FD7AA2ABDE9F" style="width:450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rPr>
          <w:noProof/>
        </w:rPr>
      </w:pPr>
      <w:r>
        <w:rPr>
          <w:noProof/>
        </w:rPr>
        <w:t>le budget général de l'Union européenne pour l'exercice 2015, adopté le 17 décembre 2014</w:t>
      </w:r>
      <w:r>
        <w:rPr>
          <w:rStyle w:val="FootnoteReference"/>
          <w:noProof/>
        </w:rPr>
        <w:footnoteReference w:id="3"/>
      </w:r>
      <w:r>
        <w:rPr>
          <w:noProof/>
        </w:rPr>
        <w:t>,</w:t>
      </w:r>
    </w:p>
    <w:p>
      <w:pPr>
        <w:pStyle w:val="Tiret0"/>
        <w:rPr>
          <w:noProof/>
        </w:rPr>
      </w:pPr>
      <w:r>
        <w:rPr>
          <w:noProof/>
        </w:rPr>
        <w:t>le budget rectificatif nº 1/2015</w:t>
      </w:r>
      <w:r>
        <w:rPr>
          <w:rStyle w:val="FootnoteReference"/>
          <w:noProof/>
        </w:rPr>
        <w:footnoteReference w:id="4"/>
      </w:r>
      <w:r>
        <w:rPr>
          <w:noProof/>
        </w:rPr>
        <w:t>, adopté le 28 avril 2015,</w:t>
      </w:r>
    </w:p>
    <w:p>
      <w:pPr>
        <w:pStyle w:val="Tiret0"/>
        <w:rPr>
          <w:noProof/>
        </w:rPr>
      </w:pPr>
      <w:r>
        <w:rPr>
          <w:noProof/>
        </w:rPr>
        <w:t>le projet de budget rectificatif nº 1/2015</w:t>
      </w:r>
      <w:r>
        <w:rPr>
          <w:rStyle w:val="FootnoteReference"/>
          <w:noProof/>
        </w:rPr>
        <w:footnoteReference w:id="5"/>
      </w:r>
      <w:r>
        <w:rPr>
          <w:noProof/>
        </w:rPr>
        <w:t>, adopté le 13 janvier 2015,</w:t>
      </w:r>
    </w:p>
    <w:p>
      <w:pPr>
        <w:pStyle w:val="Tiret0"/>
        <w:rPr>
          <w:noProof/>
        </w:rPr>
      </w:pPr>
      <w:r>
        <w:rPr>
          <w:noProof/>
        </w:rPr>
        <w:t>le projet de budget rectificatif nº 3/2015</w:t>
      </w:r>
      <w:r>
        <w:rPr>
          <w:rStyle w:val="FootnoteReference"/>
          <w:noProof/>
        </w:rPr>
        <w:footnoteReference w:id="6"/>
      </w:r>
      <w:r>
        <w:rPr>
          <w:noProof/>
        </w:rPr>
        <w:t>, adopté le 15 avril 2015,</w:t>
      </w:r>
    </w:p>
    <w:p>
      <w:pPr>
        <w:pStyle w:val="Tiret0"/>
        <w:rPr>
          <w:noProof/>
        </w:rPr>
      </w:pPr>
      <w:r>
        <w:rPr>
          <w:noProof/>
        </w:rPr>
        <w:t>le projet de budget rectificatif nº 4/2015</w:t>
      </w:r>
      <w:r>
        <w:rPr>
          <w:rStyle w:val="FootnoteReference"/>
          <w:noProof/>
        </w:rPr>
        <w:footnoteReference w:id="7"/>
      </w:r>
      <w:r>
        <w:rPr>
          <w:noProof/>
        </w:rPr>
        <w:t>, adopté le 15 avril 2015,</w:t>
      </w:r>
    </w:p>
    <w:p>
      <w:pPr>
        <w:pStyle w:val="Tiret0"/>
        <w:rPr>
          <w:noProof/>
        </w:rPr>
      </w:pPr>
      <w:r>
        <w:rPr>
          <w:noProof/>
        </w:rPr>
        <w:t>le projet de budget rectificatif nº 5/2015</w:t>
      </w:r>
      <w:r>
        <w:rPr>
          <w:rStyle w:val="FootnoteReference"/>
          <w:noProof/>
        </w:rPr>
        <w:footnoteReference w:id="8"/>
      </w:r>
      <w:r>
        <w:rPr>
          <w:noProof/>
        </w:rPr>
        <w:t>, adopté le 13 mai 2015,</w:t>
      </w:r>
    </w:p>
    <w:p>
      <w:pPr>
        <w:spacing w:after="600"/>
        <w:jc w:val="both"/>
        <w:rPr>
          <w:noProof/>
        </w:rPr>
      </w:pPr>
      <w:r>
        <w:rPr>
          <w:noProof/>
        </w:rPr>
        <w:t>la Commission européenne présente ci-après au Parlement européen et au Conseil le projet de budget rectificatif nº 6 au budget 2015.</w:t>
      </w:r>
    </w:p>
    <w:p>
      <w:pPr>
        <w:spacing w:after="240"/>
        <w:jc w:val="both"/>
        <w:rPr>
          <w:b/>
          <w:noProof/>
          <w:u w:val="single"/>
        </w:rPr>
      </w:pPr>
      <w:r>
        <w:rPr>
          <w:b/>
          <w:noProof/>
          <w:u w:val="single"/>
        </w:rPr>
        <w:t xml:space="preserve">MODIFICATIONS DE L’ÉTAT DES RECETTES ET DES DÉPENSES PAR SECTION </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DES MATIÈRES</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 MERGEFORMAT </w:instrText>
      </w:r>
      <w:r>
        <w:rPr>
          <w:noProof/>
        </w:rPr>
        <w:fldChar w:fldCharType="separate"/>
      </w:r>
      <w:hyperlink w:anchor="_Toc423630303"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_Toc423630303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3630304"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Ressources propres</w:t>
        </w:r>
        <w:r>
          <w:rPr>
            <w:noProof/>
            <w:webHidden/>
          </w:rPr>
          <w:tab/>
        </w:r>
        <w:r>
          <w:rPr>
            <w:noProof/>
            <w:webHidden/>
          </w:rPr>
          <w:fldChar w:fldCharType="begin"/>
        </w:r>
        <w:r>
          <w:rPr>
            <w:noProof/>
            <w:webHidden/>
          </w:rPr>
          <w:instrText xml:space="preserve"> PAGEREF _Toc423630304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3630305"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Introduction</w:t>
        </w:r>
        <w:r>
          <w:rPr>
            <w:noProof/>
            <w:webHidden/>
          </w:rPr>
          <w:tab/>
        </w:r>
        <w:r>
          <w:rPr>
            <w:noProof/>
            <w:webHidden/>
          </w:rPr>
          <w:fldChar w:fldCharType="begin"/>
        </w:r>
        <w:r>
          <w:rPr>
            <w:noProof/>
            <w:webHidden/>
          </w:rPr>
          <w:instrText xml:space="preserve"> PAGEREF _Toc423630305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3630306"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Révision des prévisions relatives aux RPT et aux assiettes TVA et RNB</w:t>
        </w:r>
        <w:r>
          <w:rPr>
            <w:noProof/>
            <w:webHidden/>
          </w:rPr>
          <w:tab/>
        </w:r>
        <w:r>
          <w:rPr>
            <w:noProof/>
            <w:webHidden/>
          </w:rPr>
          <w:fldChar w:fldCharType="begin"/>
        </w:r>
        <w:r>
          <w:rPr>
            <w:noProof/>
            <w:webHidden/>
          </w:rPr>
          <w:instrText xml:space="preserve"> PAGEREF _Toc423630306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23630307"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Corrections britanniques 2011, 2012, 2013 et 2014</w:t>
        </w:r>
        <w:r>
          <w:rPr>
            <w:noProof/>
            <w:webHidden/>
          </w:rPr>
          <w:tab/>
        </w:r>
        <w:r>
          <w:rPr>
            <w:noProof/>
            <w:webHidden/>
          </w:rPr>
          <w:fldChar w:fldCharType="begin"/>
        </w:r>
        <w:r>
          <w:rPr>
            <w:noProof/>
            <w:webHidden/>
          </w:rPr>
          <w:instrText xml:space="preserve"> PAGEREF _Toc423630307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23630308" w:history="1">
        <w:r>
          <w:rPr>
            <w:rStyle w:val="Hyperlink"/>
            <w:b/>
            <w:i/>
            <w:noProof/>
          </w:rPr>
          <w:t>2.3.1</w:t>
        </w:r>
        <w:r>
          <w:rPr>
            <w:rFonts w:asciiTheme="minorHAnsi" w:eastAsiaTheme="minorEastAsia" w:hAnsiTheme="minorHAnsi" w:cstheme="minorBidi"/>
            <w:smallCaps w:val="0"/>
            <w:noProof/>
            <w:sz w:val="22"/>
            <w:szCs w:val="22"/>
            <w:lang w:val="en-GB" w:eastAsia="en-GB" w:bidi="ar-SA"/>
          </w:rPr>
          <w:tab/>
        </w:r>
        <w:r>
          <w:rPr>
            <w:rStyle w:val="Hyperlink"/>
            <w:b/>
            <w:i/>
            <w:noProof/>
          </w:rPr>
          <w:t>Introduction</w:t>
        </w:r>
        <w:r>
          <w:rPr>
            <w:noProof/>
            <w:webHidden/>
          </w:rPr>
          <w:tab/>
        </w:r>
        <w:r>
          <w:rPr>
            <w:noProof/>
            <w:webHidden/>
          </w:rPr>
          <w:fldChar w:fldCharType="begin"/>
        </w:r>
        <w:r>
          <w:rPr>
            <w:noProof/>
            <w:webHidden/>
          </w:rPr>
          <w:instrText xml:space="preserve"> PAGEREF _Toc423630308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23630309" w:history="1">
        <w:r>
          <w:rPr>
            <w:rStyle w:val="Hyperlink"/>
            <w:b/>
            <w:i/>
            <w:noProof/>
          </w:rPr>
          <w:t>2.3.2</w:t>
        </w:r>
        <w:r>
          <w:rPr>
            <w:rFonts w:asciiTheme="minorHAnsi" w:eastAsiaTheme="minorEastAsia" w:hAnsiTheme="minorHAnsi" w:cstheme="minorBidi"/>
            <w:smallCaps w:val="0"/>
            <w:noProof/>
            <w:sz w:val="22"/>
            <w:szCs w:val="22"/>
            <w:lang w:val="en-GB" w:eastAsia="en-GB" w:bidi="ar-SA"/>
          </w:rPr>
          <w:tab/>
        </w:r>
        <w:r>
          <w:rPr>
            <w:rStyle w:val="Hyperlink"/>
            <w:b/>
            <w:i/>
            <w:noProof/>
          </w:rPr>
          <w:t>Calcul des corrections</w:t>
        </w:r>
        <w:r>
          <w:rPr>
            <w:noProof/>
            <w:webHidden/>
          </w:rPr>
          <w:tab/>
        </w:r>
        <w:r>
          <w:rPr>
            <w:noProof/>
            <w:webHidden/>
          </w:rPr>
          <w:fldChar w:fldCharType="begin"/>
        </w:r>
        <w:r>
          <w:rPr>
            <w:noProof/>
            <w:webHidden/>
          </w:rPr>
          <w:instrText xml:space="preserve"> PAGEREF _Toc423630309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1"/>
        </w:tabs>
        <w:rPr>
          <w:rFonts w:asciiTheme="minorHAnsi" w:eastAsiaTheme="minorEastAsia" w:hAnsiTheme="minorHAnsi" w:cstheme="minorBidi"/>
          <w:smallCaps w:val="0"/>
          <w:noProof/>
          <w:sz w:val="22"/>
          <w:szCs w:val="22"/>
          <w:lang w:val="en-GB" w:eastAsia="en-GB" w:bidi="ar-SA"/>
        </w:rPr>
      </w:pPr>
      <w:hyperlink w:anchor="_Toc423630310" w:history="1">
        <w:r>
          <w:rPr>
            <w:rStyle w:val="Hyperlink"/>
            <w:b/>
            <w:i/>
            <w:noProof/>
          </w:rPr>
          <w:t>2.3.3</w:t>
        </w:r>
        <w:r>
          <w:rPr>
            <w:rStyle w:val="Hyperlink"/>
            <w:noProof/>
          </w:rPr>
          <w:t>    </w:t>
        </w:r>
        <w:r>
          <w:rPr>
            <w:rStyle w:val="Hyperlink"/>
            <w:b/>
            <w:i/>
            <w:noProof/>
          </w:rPr>
          <w:t xml:space="preserve"> Inscription dans le PBR n° 6/2015 de la 1</w:t>
        </w:r>
        <w:r>
          <w:rPr>
            <w:rStyle w:val="Hyperlink"/>
            <w:b/>
            <w:i/>
            <w:noProof/>
            <w:vertAlign w:val="superscript"/>
          </w:rPr>
          <w:t>re</w:t>
        </w:r>
        <w:r>
          <w:rPr>
            <w:rStyle w:val="Hyperlink"/>
            <w:b/>
            <w:i/>
            <w:noProof/>
          </w:rPr>
          <w:t xml:space="preserve"> mise à jour de la correction britannique pour 2014, de la 2</w:t>
        </w:r>
        <w:r>
          <w:rPr>
            <w:rStyle w:val="Hyperlink"/>
            <w:b/>
            <w:i/>
            <w:noProof/>
            <w:vertAlign w:val="superscript"/>
          </w:rPr>
          <w:t xml:space="preserve">e </w:t>
        </w:r>
        <w:r>
          <w:rPr>
            <w:rStyle w:val="Hyperlink"/>
            <w:b/>
            <w:i/>
            <w:noProof/>
          </w:rPr>
          <w:t>mise à jour de la correction britannique pour 2013, de la 3</w:t>
        </w:r>
        <w:r>
          <w:rPr>
            <w:rStyle w:val="Hyperlink"/>
            <w:b/>
            <w:i/>
            <w:noProof/>
            <w:vertAlign w:val="superscript"/>
          </w:rPr>
          <w:t>e</w:t>
        </w:r>
        <w:r>
          <w:rPr>
            <w:rStyle w:val="Hyperlink"/>
            <w:b/>
            <w:i/>
            <w:noProof/>
          </w:rPr>
          <w:t xml:space="preserve"> mise à jour de la correction britannique pour 2012 et du montant définitif de la correction britannique pour 2011</w:t>
        </w:r>
        <w:r>
          <w:rPr>
            <w:noProof/>
            <w:webHidden/>
          </w:rPr>
          <w:tab/>
        </w:r>
        <w:r>
          <w:rPr>
            <w:noProof/>
            <w:webHidden/>
          </w:rPr>
          <w:fldChar w:fldCharType="begin"/>
        </w:r>
        <w:r>
          <w:rPr>
            <w:noProof/>
            <w:webHidden/>
          </w:rPr>
          <w:instrText xml:space="preserve"> PAGEREF _Toc423630310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3630311"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Fonds fiduciaires pour les actions extérieures</w:t>
        </w:r>
        <w:r>
          <w:rPr>
            <w:noProof/>
            <w:webHidden/>
          </w:rPr>
          <w:tab/>
        </w:r>
        <w:r>
          <w:rPr>
            <w:noProof/>
            <w:webHidden/>
          </w:rPr>
          <w:fldChar w:fldCharType="begin"/>
        </w:r>
        <w:r>
          <w:rPr>
            <w:noProof/>
            <w:webHidden/>
          </w:rPr>
          <w:instrText xml:space="preserve"> PAGEREF _Toc423630311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23630312"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Office de l’Organe des régulateurs européens des communications électroniques (Office de l'ORECE)</w:t>
        </w:r>
        <w:r>
          <w:rPr>
            <w:noProof/>
            <w:webHidden/>
          </w:rPr>
          <w:tab/>
        </w:r>
        <w:r>
          <w:rPr>
            <w:noProof/>
            <w:webHidden/>
          </w:rPr>
          <w:fldChar w:fldCharType="begin"/>
        </w:r>
        <w:r>
          <w:rPr>
            <w:noProof/>
            <w:webHidden/>
          </w:rPr>
          <w:instrText xml:space="preserve"> PAGEREF _Toc423630312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9061"/>
        </w:tabs>
        <w:rPr>
          <w:rFonts w:ascii="Calibri" w:hAnsi="Calibri"/>
          <w:b w:val="0"/>
          <w:bCs w:val="0"/>
          <w:caps w:val="0"/>
          <w:noProof/>
          <w:sz w:val="22"/>
          <w:szCs w:val="22"/>
        </w:rPr>
      </w:pPr>
      <w:r>
        <w:rPr>
          <w:noProof/>
        </w:rPr>
        <w:fldChar w:fldCharType="end"/>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21700205"/>
      <w:bookmarkStart w:id="10" w:name="_Toc423630303"/>
      <w:bookmarkStart w:id="11" w:name="_Toc351469332"/>
      <w:bookmarkStart w:id="12" w:name="_Toc361649879"/>
      <w:r>
        <w:rPr>
          <w:noProof/>
        </w:rPr>
        <w:t>1.</w:t>
      </w:r>
      <w:r>
        <w:rPr>
          <w:noProof/>
        </w:rPr>
        <w:tab/>
        <w:t>Introduction</w:t>
      </w:r>
      <w:bookmarkEnd w:id="8"/>
      <w:bookmarkEnd w:id="9"/>
      <w:bookmarkEnd w:id="10"/>
    </w:p>
    <w:p>
      <w:pPr>
        <w:spacing w:before="120" w:after="120"/>
        <w:jc w:val="both"/>
        <w:rPr>
          <w:noProof/>
        </w:rPr>
      </w:pPr>
      <w:r>
        <w:rPr>
          <w:noProof/>
        </w:rPr>
        <w:t>Le projet de budget rectificatif (PBR) nº 6 pour l'exercice 2015 porte sur les éléments suivants:</w:t>
      </w:r>
    </w:p>
    <w:p>
      <w:pPr>
        <w:pStyle w:val="ListDash"/>
        <w:rPr>
          <w:noProof/>
        </w:rPr>
      </w:pPr>
      <w:r>
        <w:rPr>
          <w:noProof/>
        </w:rPr>
        <w:t>la révision des prévisions relatives aux ressources propres traditionnelles (RPT, c'est-à-dire les droits de douane et les cotisations dans le secteur du sucre) et aux assiettes TVA et RNB, la budgétisation des corrections britanniques correspondantes ainsi que de leur financement, qui ont pour effet de modifier la répartition entre États membres de leurs contributions au budget de l'UE au titre des ressources propres;</w:t>
      </w:r>
    </w:p>
    <w:p>
      <w:pPr>
        <w:pStyle w:val="ListDash"/>
        <w:rPr>
          <w:noProof/>
        </w:rPr>
      </w:pPr>
      <w:r>
        <w:rPr>
          <w:noProof/>
        </w:rPr>
        <w:t>la création de deux nouveaux postes budgétaires: 21 01 04 08 et 22 01 04 03 — Dépenses d’appui pour les fonds fiduciaires gérés par la Commission européenne. Ces postes sont destinés à accueillir la compensation pour les frais liés à la gestion des fonds fiduciaires de l’Union pour les actions extérieures, conformément à l’article 187, paragraphe 7, du règlement financier;</w:t>
      </w:r>
    </w:p>
    <w:p>
      <w:pPr>
        <w:pStyle w:val="ListDash"/>
        <w:rPr>
          <w:noProof/>
        </w:rPr>
      </w:pPr>
      <w:r>
        <w:rPr>
          <w:noProof/>
        </w:rPr>
        <w:t>une modification du tableau des effectifs de l’Office de l’ORECE n'entraînant pas de changement dans le budget global ou le nombre total d'emplois.</w:t>
      </w:r>
    </w:p>
    <w:p>
      <w:pPr>
        <w:spacing w:before="120" w:after="120"/>
        <w:jc w:val="both"/>
        <w:rPr>
          <w:noProof/>
        </w:rPr>
      </w:pPr>
      <w:r>
        <w:rPr>
          <w:noProof/>
        </w:rPr>
        <w:t>En résumé, le PBR nº 6/2015 n’a pas de répercussions sur les dépenses en 2015. L'incidence sur les recettes se traduit par une modification de la répartition entre États membres de leurs contributions au titre des ressources propres.</w:t>
      </w:r>
    </w:p>
    <w:p>
      <w:pPr>
        <w:keepNext/>
        <w:tabs>
          <w:tab w:val="left" w:pos="850"/>
        </w:tabs>
        <w:spacing w:before="360" w:after="120"/>
        <w:ind w:left="851" w:hanging="851"/>
        <w:jc w:val="both"/>
        <w:outlineLvl w:val="0"/>
        <w:rPr>
          <w:b/>
          <w:smallCaps/>
          <w:noProof/>
        </w:rPr>
      </w:pPr>
      <w:bookmarkStart w:id="13" w:name="_Toc385506032"/>
      <w:bookmarkStart w:id="14" w:name="_Toc367427548"/>
      <w:bookmarkStart w:id="15" w:name="_Toc309303297"/>
      <w:bookmarkStart w:id="16" w:name="_Toc421700206"/>
      <w:bookmarkStart w:id="17" w:name="_Toc423630304"/>
      <w:r>
        <w:rPr>
          <w:b/>
          <w:smallCaps/>
          <w:noProof/>
        </w:rPr>
        <w:t>2.</w:t>
      </w:r>
      <w:r>
        <w:rPr>
          <w:noProof/>
        </w:rPr>
        <w:tab/>
      </w:r>
      <w:bookmarkEnd w:id="13"/>
      <w:bookmarkEnd w:id="14"/>
      <w:bookmarkEnd w:id="15"/>
      <w:r>
        <w:rPr>
          <w:b/>
          <w:smallCaps/>
          <w:noProof/>
        </w:rPr>
        <w:t>Ressources propres</w:t>
      </w:r>
      <w:bookmarkEnd w:id="16"/>
      <w:bookmarkEnd w:id="17"/>
    </w:p>
    <w:p>
      <w:pPr>
        <w:keepNext/>
        <w:tabs>
          <w:tab w:val="left" w:pos="851"/>
        </w:tabs>
        <w:spacing w:before="120" w:after="120"/>
        <w:ind w:left="851" w:hanging="851"/>
        <w:jc w:val="both"/>
        <w:outlineLvl w:val="1"/>
        <w:rPr>
          <w:b/>
          <w:noProof/>
        </w:rPr>
      </w:pPr>
      <w:bookmarkStart w:id="18" w:name="_Toc309303298"/>
      <w:bookmarkStart w:id="19" w:name="_Toc385506033"/>
      <w:bookmarkStart w:id="20" w:name="_Toc367427549"/>
      <w:bookmarkStart w:id="21" w:name="_Toc421700207"/>
      <w:bookmarkStart w:id="22" w:name="_Toc423630305"/>
      <w:r>
        <w:rPr>
          <w:b/>
          <w:noProof/>
        </w:rPr>
        <w:t>2.1</w:t>
      </w:r>
      <w:r>
        <w:rPr>
          <w:noProof/>
        </w:rPr>
        <w:tab/>
      </w:r>
      <w:bookmarkEnd w:id="18"/>
      <w:bookmarkEnd w:id="19"/>
      <w:bookmarkEnd w:id="20"/>
      <w:r>
        <w:rPr>
          <w:b/>
          <w:noProof/>
        </w:rPr>
        <w:t>Introduction</w:t>
      </w:r>
      <w:bookmarkEnd w:id="21"/>
      <w:bookmarkEnd w:id="22"/>
    </w:p>
    <w:bookmarkEnd w:id="2"/>
    <w:bookmarkEnd w:id="11"/>
    <w:bookmarkEnd w:id="12"/>
    <w:p>
      <w:pPr>
        <w:jc w:val="both"/>
        <w:rPr>
          <w:noProof/>
        </w:rPr>
      </w:pPr>
      <w:r>
        <w:rPr>
          <w:noProof/>
        </w:rPr>
        <w:t>Le tableau récapitulatif ci-après indique la répartition, entre États membres, de l’ensemble des versements au titre des ressources propres tels qu’ils sont inscrits dans:</w:t>
      </w:r>
    </w:p>
    <w:p>
      <w:pPr>
        <w:numPr>
          <w:ilvl w:val="0"/>
          <w:numId w:val="2"/>
        </w:numPr>
        <w:spacing w:before="120" w:after="120"/>
        <w:jc w:val="both"/>
        <w:rPr>
          <w:noProof/>
        </w:rPr>
      </w:pPr>
      <w:r>
        <w:rPr>
          <w:noProof/>
        </w:rPr>
        <w:t>le budget 2015;</w:t>
      </w:r>
    </w:p>
    <w:p>
      <w:pPr>
        <w:numPr>
          <w:ilvl w:val="0"/>
          <w:numId w:val="2"/>
        </w:numPr>
        <w:spacing w:before="120" w:after="120"/>
        <w:jc w:val="both"/>
        <w:rPr>
          <w:noProof/>
        </w:rPr>
      </w:pPr>
      <w:r>
        <w:rPr>
          <w:noProof/>
        </w:rPr>
        <w:t>le projet de budget rectificatif (PBR) n° 3/2015;</w:t>
      </w:r>
    </w:p>
    <w:p>
      <w:pPr>
        <w:numPr>
          <w:ilvl w:val="0"/>
          <w:numId w:val="2"/>
        </w:numPr>
        <w:spacing w:before="120" w:after="120"/>
        <w:jc w:val="both"/>
        <w:rPr>
          <w:noProof/>
        </w:rPr>
      </w:pPr>
      <w:r>
        <w:rPr>
          <w:noProof/>
        </w:rPr>
        <w:t>le projet de budget rectificatif (PBR) n° 4/2015;</w:t>
      </w:r>
    </w:p>
    <w:p>
      <w:pPr>
        <w:numPr>
          <w:ilvl w:val="0"/>
          <w:numId w:val="2"/>
        </w:numPr>
        <w:spacing w:before="120" w:after="120"/>
        <w:jc w:val="both"/>
        <w:rPr>
          <w:noProof/>
        </w:rPr>
      </w:pPr>
      <w:r>
        <w:rPr>
          <w:noProof/>
        </w:rPr>
        <w:t>le présent projet de budget rectificatif (PBR) n° 6/2015.</w:t>
      </w:r>
    </w:p>
    <w:p>
      <w:pPr>
        <w:jc w:val="center"/>
        <w:rPr>
          <w:b/>
          <w:i/>
          <w:noProof/>
        </w:rPr>
      </w:pPr>
      <w:r>
        <w:rPr>
          <w:noProof/>
        </w:rPr>
        <w:br w:type="page"/>
      </w:r>
      <w:r>
        <w:rPr>
          <w:b/>
          <w:noProof/>
        </w:rPr>
        <w:t xml:space="preserve">Répartition de l'ensemble des versements au titre des ressources propres par État membre </w:t>
      </w:r>
      <w:r>
        <w:rPr>
          <w:b/>
          <w:i/>
          <w:noProof/>
        </w:rPr>
        <w:t>(en Mio EUR)</w:t>
      </w:r>
    </w:p>
    <w:p>
      <w:pPr>
        <w:jc w:val="center"/>
        <w:rPr>
          <w:b/>
          <w:i/>
          <w:noProof/>
        </w:rPr>
      </w:pPr>
    </w:p>
    <w:tbl>
      <w:tblPr>
        <w:tblW w:w="6948" w:type="dxa"/>
        <w:jc w:val="center"/>
        <w:tblLook w:val="04A0" w:firstRow="1" w:lastRow="0" w:firstColumn="1" w:lastColumn="0" w:noHBand="0" w:noVBand="1"/>
      </w:tblPr>
      <w:tblGrid>
        <w:gridCol w:w="960"/>
        <w:gridCol w:w="1460"/>
        <w:gridCol w:w="1520"/>
        <w:gridCol w:w="1500"/>
        <w:gridCol w:w="1508"/>
      </w:tblGrid>
      <w:tr>
        <w:trPr>
          <w:trHeight w:val="375"/>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bookmarkStart w:id="23" w:name="_Toc294673192"/>
            <w:bookmarkStart w:id="24" w:name="_Toc357005412"/>
            <w:bookmarkStart w:id="25" w:name="_Toc358885560"/>
          </w:p>
        </w:tc>
        <w:tc>
          <w:tcPr>
            <w:tcW w:w="1460" w:type="dxa"/>
            <w:tcBorders>
              <w:top w:val="single" w:sz="4" w:space="0" w:color="auto"/>
              <w:left w:val="single" w:sz="4" w:space="0" w:color="auto"/>
              <w:bottom w:val="single" w:sz="4" w:space="0" w:color="000000"/>
              <w:right w:val="single" w:sz="4" w:space="0" w:color="auto"/>
            </w:tcBorders>
            <w:shd w:val="clear" w:color="000000" w:fill="E0E0E0"/>
            <w:vAlign w:val="center"/>
            <w:hideMark/>
          </w:tcPr>
          <w:p>
            <w:pPr>
              <w:spacing w:line="276" w:lineRule="auto"/>
              <w:jc w:val="center"/>
              <w:rPr>
                <w:b/>
                <w:bCs/>
                <w:noProof/>
                <w:color w:val="000000"/>
                <w:sz w:val="20"/>
                <w:szCs w:val="20"/>
              </w:rPr>
            </w:pPr>
            <w:r>
              <w:rPr>
                <w:b/>
                <w:bCs/>
                <w:noProof/>
                <w:color w:val="000000"/>
                <w:sz w:val="20"/>
                <w:szCs w:val="20"/>
              </w:rPr>
              <w:t>Budget 2015</w:t>
            </w:r>
          </w:p>
          <w:p>
            <w:pPr>
              <w:spacing w:line="276" w:lineRule="auto"/>
              <w:jc w:val="center"/>
              <w:rPr>
                <w:b/>
                <w:bCs/>
                <w:noProof/>
                <w:color w:val="000000"/>
                <w:sz w:val="20"/>
                <w:szCs w:val="20"/>
              </w:rPr>
            </w:pPr>
          </w:p>
        </w:tc>
        <w:tc>
          <w:tcPr>
            <w:tcW w:w="1520" w:type="dxa"/>
            <w:tcBorders>
              <w:top w:val="single" w:sz="4" w:space="0" w:color="auto"/>
              <w:left w:val="single" w:sz="4" w:space="0" w:color="auto"/>
              <w:bottom w:val="single" w:sz="4" w:space="0" w:color="000000"/>
              <w:right w:val="single" w:sz="4" w:space="0" w:color="auto"/>
            </w:tcBorders>
            <w:shd w:val="clear" w:color="000000" w:fill="E0E0E0"/>
            <w:vAlign w:val="center"/>
            <w:hideMark/>
          </w:tcPr>
          <w:p>
            <w:pPr>
              <w:spacing w:line="276" w:lineRule="auto"/>
              <w:jc w:val="center"/>
              <w:rPr>
                <w:b/>
                <w:bCs/>
                <w:noProof/>
                <w:color w:val="000000"/>
                <w:sz w:val="20"/>
                <w:szCs w:val="20"/>
              </w:rPr>
            </w:pPr>
            <w:r>
              <w:rPr>
                <w:b/>
                <w:bCs/>
                <w:noProof/>
                <w:color w:val="000000"/>
                <w:sz w:val="20"/>
                <w:szCs w:val="20"/>
              </w:rPr>
              <w:t>PBR 3/2015</w:t>
            </w:r>
          </w:p>
          <w:p>
            <w:pPr>
              <w:spacing w:line="276" w:lineRule="auto"/>
              <w:jc w:val="center"/>
              <w:rPr>
                <w:b/>
                <w:bCs/>
                <w:noProof/>
                <w:color w:val="000000"/>
                <w:sz w:val="20"/>
                <w:szCs w:val="20"/>
              </w:rPr>
            </w:pPr>
          </w:p>
        </w:tc>
        <w:tc>
          <w:tcPr>
            <w:tcW w:w="1500" w:type="dxa"/>
            <w:tcBorders>
              <w:top w:val="single" w:sz="4" w:space="0" w:color="auto"/>
              <w:left w:val="single" w:sz="4" w:space="0" w:color="auto"/>
              <w:bottom w:val="single" w:sz="4" w:space="0" w:color="000000"/>
              <w:right w:val="single" w:sz="4" w:space="0" w:color="auto"/>
            </w:tcBorders>
            <w:shd w:val="clear" w:color="000000" w:fill="E0E0E0"/>
            <w:vAlign w:val="center"/>
            <w:hideMark/>
          </w:tcPr>
          <w:p>
            <w:pPr>
              <w:spacing w:line="276" w:lineRule="auto"/>
              <w:jc w:val="center"/>
              <w:rPr>
                <w:b/>
                <w:bCs/>
                <w:noProof/>
                <w:color w:val="000000"/>
                <w:sz w:val="20"/>
                <w:szCs w:val="20"/>
              </w:rPr>
            </w:pPr>
            <w:r>
              <w:rPr>
                <w:b/>
                <w:bCs/>
                <w:noProof/>
                <w:color w:val="000000"/>
                <w:sz w:val="20"/>
                <w:szCs w:val="20"/>
              </w:rPr>
              <w:t>PBR 4/2015*</w:t>
            </w:r>
          </w:p>
          <w:p>
            <w:pPr>
              <w:spacing w:line="276" w:lineRule="auto"/>
              <w:jc w:val="center"/>
              <w:rPr>
                <w:b/>
                <w:bCs/>
                <w:noProof/>
                <w:color w:val="000000"/>
                <w:sz w:val="20"/>
                <w:szCs w:val="20"/>
              </w:rPr>
            </w:pPr>
          </w:p>
        </w:tc>
        <w:tc>
          <w:tcPr>
            <w:tcW w:w="1508" w:type="dxa"/>
            <w:tcBorders>
              <w:top w:val="single" w:sz="4" w:space="0" w:color="auto"/>
              <w:left w:val="single" w:sz="4" w:space="0" w:color="auto"/>
              <w:bottom w:val="single" w:sz="4" w:space="0" w:color="000000"/>
              <w:right w:val="single" w:sz="4" w:space="0" w:color="auto"/>
            </w:tcBorders>
            <w:shd w:val="clear" w:color="000000" w:fill="E0E0E0"/>
            <w:vAlign w:val="center"/>
          </w:tcPr>
          <w:p>
            <w:pPr>
              <w:spacing w:line="276" w:lineRule="auto"/>
              <w:jc w:val="center"/>
              <w:rPr>
                <w:b/>
                <w:bCs/>
                <w:noProof/>
                <w:color w:val="000000"/>
                <w:sz w:val="20"/>
                <w:szCs w:val="20"/>
              </w:rPr>
            </w:pPr>
            <w:r>
              <w:rPr>
                <w:b/>
                <w:bCs/>
                <w:noProof/>
                <w:color w:val="000000"/>
                <w:sz w:val="20"/>
                <w:szCs w:val="20"/>
              </w:rPr>
              <w:t>PBR 6/2015</w:t>
            </w:r>
          </w:p>
          <w:p>
            <w:pPr>
              <w:spacing w:line="276" w:lineRule="auto"/>
              <w:jc w:val="center"/>
              <w:rPr>
                <w:b/>
                <w:bCs/>
                <w:noProof/>
                <w:color w:val="000000"/>
                <w:sz w:val="20"/>
                <w:szCs w:val="20"/>
              </w:rPr>
            </w:pPr>
          </w:p>
        </w:tc>
      </w:tr>
      <w:tr>
        <w:trPr>
          <w:trHeight w:val="375"/>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jc w:val="cente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(3)</w:t>
            </w:r>
          </w:p>
        </w:tc>
        <w:tc>
          <w:tcPr>
            <w:tcW w:w="1508"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5 326,7</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5 285,1</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5 287,0</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5 448,2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461,7</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457,4</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457,6</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448,8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1 509,7</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1 495,3</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1 496,0</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1 551,2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2 876,0</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2 847,8</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2 849,1</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2 777,7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30 243,2</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29 934,7</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29 949,0</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29 544,1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214,1</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212,0</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212,1</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209,0</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1 650,1</w:t>
            </w:r>
          </w:p>
        </w:tc>
        <w:tc>
          <w:tcPr>
            <w:tcW w:w="152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1 634,8</w:t>
            </w:r>
          </w:p>
        </w:tc>
        <w:tc>
          <w:tcPr>
            <w:tcW w:w="150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1 635,5</w:t>
            </w:r>
          </w:p>
        </w:tc>
        <w:tc>
          <w:tcPr>
            <w:tcW w:w="1508" w:type="dxa"/>
            <w:tcBorders>
              <w:top w:val="single" w:sz="4" w:space="0" w:color="auto"/>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1 750,6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1 831,7</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1 812,7</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1 813,6</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1 746,0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11 148,1</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11 040,0</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11 045,0</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11 111,4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22 459,7</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22 233,4</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22 243,9</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21 772,5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453,0</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448,5</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448,7</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435,6</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16 499,4</w:t>
            </w:r>
          </w:p>
        </w:tc>
        <w:tc>
          <w:tcPr>
            <w:tcW w:w="152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16 333,5</w:t>
            </w:r>
          </w:p>
        </w:tc>
        <w:tc>
          <w:tcPr>
            <w:tcW w:w="150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16 341,2</w:t>
            </w:r>
          </w:p>
        </w:tc>
        <w:tc>
          <w:tcPr>
            <w:tcW w:w="1508" w:type="dxa"/>
            <w:tcBorders>
              <w:top w:val="nil"/>
              <w:left w:val="nil"/>
              <w:bottom w:val="single" w:sz="4" w:space="0" w:color="auto"/>
              <w:right w:val="single" w:sz="4" w:space="0" w:color="auto"/>
            </w:tcBorders>
            <w:shd w:val="clear" w:color="auto" w:fill="auto"/>
            <w:noWrap/>
            <w:vAlign w:val="center"/>
            <w:hideMark/>
          </w:tcPr>
          <w:p>
            <w:pPr>
              <w:jc w:val="right"/>
              <w:rPr>
                <w:b/>
                <w:noProof/>
                <w:sz w:val="20"/>
                <w:szCs w:val="20"/>
                <w:highlight w:val="yellow"/>
              </w:rPr>
            </w:pPr>
            <w:r>
              <w:rPr>
                <w:noProof/>
                <w:sz w:val="20"/>
                <w:szCs w:val="20"/>
              </w:rPr>
              <w:t>15 887,2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167,8</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166,2</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166,3</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174,6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266,1</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263,4</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263,5</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249,1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405,5</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401,7</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401,9</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399,8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333,8</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330,4</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330,5</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296,9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1 022,1</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1 011,9</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1 012,3</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1 062,5</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80,5</w:t>
            </w:r>
          </w:p>
        </w:tc>
        <w:tc>
          <w:tcPr>
            <w:tcW w:w="152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79,7</w:t>
            </w:r>
          </w:p>
        </w:tc>
        <w:tc>
          <w:tcPr>
            <w:tcW w:w="1500" w:type="dxa"/>
            <w:tcBorders>
              <w:top w:val="single" w:sz="4" w:space="0" w:color="auto"/>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79,8</w:t>
            </w:r>
          </w:p>
        </w:tc>
        <w:tc>
          <w:tcPr>
            <w:tcW w:w="1508" w:type="dxa"/>
            <w:tcBorders>
              <w:top w:val="single" w:sz="4" w:space="0" w:color="auto"/>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87,6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7 764,5</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7 698,7</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7 701,8</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7 823,8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3 179,3</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3 145,1</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3 146,7</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3 022,6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4 294,2</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4 252,2</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4 254,1</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4 162,5</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1 741,8</w:t>
            </w:r>
          </w:p>
        </w:tc>
        <w:tc>
          <w:tcPr>
            <w:tcW w:w="152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1 724,5</w:t>
            </w:r>
          </w:p>
        </w:tc>
        <w:tc>
          <w:tcPr>
            <w:tcW w:w="1500" w:type="dxa"/>
            <w:tcBorders>
              <w:top w:val="nil"/>
              <w:left w:val="nil"/>
              <w:bottom w:val="single" w:sz="4" w:space="0" w:color="auto"/>
              <w:right w:val="single" w:sz="4" w:space="0" w:color="auto"/>
            </w:tcBorders>
            <w:shd w:val="clear" w:color="auto" w:fill="auto"/>
            <w:noWrap/>
            <w:vAlign w:val="center"/>
            <w:hideMark/>
          </w:tcPr>
          <w:p>
            <w:pPr>
              <w:jc w:val="right"/>
              <w:rPr>
                <w:noProof/>
                <w:sz w:val="20"/>
                <w:szCs w:val="20"/>
              </w:rPr>
            </w:pPr>
            <w:r>
              <w:rPr>
                <w:noProof/>
                <w:sz w:val="20"/>
                <w:szCs w:val="20"/>
              </w:rPr>
              <w:t>1 725,3</w:t>
            </w:r>
          </w:p>
        </w:tc>
        <w:tc>
          <w:tcPr>
            <w:tcW w:w="1508" w:type="dxa"/>
            <w:tcBorders>
              <w:top w:val="nil"/>
              <w:left w:val="nil"/>
              <w:bottom w:val="single" w:sz="4" w:space="0" w:color="auto"/>
              <w:right w:val="single" w:sz="4" w:space="0" w:color="auto"/>
            </w:tcBorders>
            <w:shd w:val="clear" w:color="auto" w:fill="auto"/>
            <w:noWrap/>
            <w:vAlign w:val="center"/>
            <w:hideMark/>
          </w:tcPr>
          <w:p>
            <w:pPr>
              <w:jc w:val="right"/>
              <w:rPr>
                <w:b/>
                <w:noProof/>
                <w:sz w:val="20"/>
                <w:szCs w:val="20"/>
                <w:highlight w:val="yellow"/>
              </w:rPr>
            </w:pPr>
            <w:r>
              <w:rPr>
                <w:noProof/>
                <w:sz w:val="20"/>
                <w:szCs w:val="20"/>
              </w:rPr>
              <w:t>1 726,6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1 533,8</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1 518,0</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1 518,8</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1 495,2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407,2</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403,5</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403,7</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411,1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786,2</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778,4</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778,8</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761,8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2 068,6</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2 047,7</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2 048,6</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1 972,8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4 487,8</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4 441,5</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4 443,6</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4 246,9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16 426,1</w:t>
            </w:r>
          </w:p>
        </w:tc>
        <w:tc>
          <w:tcPr>
            <w:tcW w:w="152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16 205,8</w:t>
            </w:r>
          </w:p>
        </w:tc>
        <w:tc>
          <w:tcPr>
            <w:tcW w:w="1500" w:type="dxa"/>
            <w:tcBorders>
              <w:top w:val="nil"/>
              <w:left w:val="nil"/>
              <w:bottom w:val="nil"/>
              <w:right w:val="single" w:sz="4" w:space="0" w:color="auto"/>
            </w:tcBorders>
            <w:shd w:val="clear" w:color="auto" w:fill="auto"/>
            <w:noWrap/>
            <w:vAlign w:val="center"/>
            <w:hideMark/>
          </w:tcPr>
          <w:p>
            <w:pPr>
              <w:jc w:val="right"/>
              <w:rPr>
                <w:noProof/>
                <w:sz w:val="20"/>
                <w:szCs w:val="20"/>
              </w:rPr>
            </w:pPr>
            <w:r>
              <w:rPr>
                <w:noProof/>
                <w:sz w:val="20"/>
                <w:szCs w:val="20"/>
              </w:rPr>
              <w:t>16 216,0</w:t>
            </w:r>
          </w:p>
        </w:tc>
        <w:tc>
          <w:tcPr>
            <w:tcW w:w="1508" w:type="dxa"/>
            <w:tcBorders>
              <w:top w:val="nil"/>
              <w:left w:val="nil"/>
              <w:bottom w:val="nil"/>
              <w:right w:val="single" w:sz="4" w:space="0" w:color="auto"/>
            </w:tcBorders>
            <w:shd w:val="clear" w:color="auto" w:fill="auto"/>
            <w:noWrap/>
            <w:vAlign w:val="center"/>
            <w:hideMark/>
          </w:tcPr>
          <w:p>
            <w:pPr>
              <w:jc w:val="right"/>
              <w:rPr>
                <w:b/>
                <w:noProof/>
                <w:sz w:val="20"/>
                <w:szCs w:val="20"/>
                <w:highlight w:val="yellow"/>
              </w:rPr>
            </w:pPr>
            <w:r>
              <w:rPr>
                <w:noProof/>
                <w:sz w:val="20"/>
                <w:szCs w:val="20"/>
              </w:rPr>
              <w:t>17 694,4</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UE</w:t>
            </w:r>
          </w:p>
        </w:tc>
        <w:tc>
          <w:tcPr>
            <w:tcW w:w="146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bCs/>
                <w:noProof/>
                <w:sz w:val="20"/>
                <w:szCs w:val="20"/>
              </w:rPr>
              <w:t>139 638,5</w:t>
            </w:r>
          </w:p>
        </w:tc>
        <w:tc>
          <w:tcPr>
            <w:tcW w:w="152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bCs/>
                <w:noProof/>
                <w:sz w:val="20"/>
                <w:szCs w:val="20"/>
              </w:rPr>
              <w:t>138 204,0</w:t>
            </w:r>
          </w:p>
        </w:tc>
        <w:tc>
          <w:tcPr>
            <w:tcW w:w="1500"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bCs/>
                <w:noProof/>
                <w:sz w:val="20"/>
                <w:szCs w:val="20"/>
              </w:rPr>
              <w:t>138 270,5</w:t>
            </w:r>
          </w:p>
        </w:tc>
        <w:tc>
          <w:tcPr>
            <w:tcW w:w="1508" w:type="dxa"/>
            <w:tcBorders>
              <w:top w:val="single" w:sz="4" w:space="0" w:color="auto"/>
              <w:left w:val="nil"/>
              <w:bottom w:val="single" w:sz="8" w:space="0" w:color="auto"/>
              <w:right w:val="single" w:sz="4" w:space="0" w:color="auto"/>
            </w:tcBorders>
            <w:shd w:val="clear" w:color="auto" w:fill="auto"/>
            <w:vAlign w:val="center"/>
            <w:hideMark/>
          </w:tcPr>
          <w:p>
            <w:pPr>
              <w:jc w:val="right"/>
              <w:rPr>
                <w:b/>
                <w:bCs/>
                <w:noProof/>
                <w:sz w:val="20"/>
                <w:szCs w:val="20"/>
              </w:rPr>
            </w:pPr>
            <w:r>
              <w:rPr>
                <w:b/>
                <w:bCs/>
                <w:noProof/>
                <w:sz w:val="20"/>
                <w:szCs w:val="20"/>
              </w:rPr>
              <w:t>138 270,5</w:t>
            </w:r>
          </w:p>
        </w:tc>
      </w:tr>
    </w:tbl>
    <w:p>
      <w:pPr>
        <w:rPr>
          <w:noProof/>
          <w:sz w:val="20"/>
          <w:szCs w:val="20"/>
        </w:rPr>
      </w:pPr>
      <w:r>
        <w:rPr>
          <w:noProof/>
          <w:sz w:val="20"/>
        </w:rPr>
        <w:t>* Ne contenant pas de demandes de crédits de paiement supplémentaires, le BR nº 1, le PBR nº 1 et le PBR nº 5/2015 ne figurent pas dans ce tableau.</w:t>
      </w:r>
    </w:p>
    <w:p>
      <w:pPr>
        <w:keepNext/>
        <w:tabs>
          <w:tab w:val="left" w:pos="851"/>
        </w:tabs>
        <w:spacing w:before="120" w:after="120"/>
        <w:ind w:left="851" w:hanging="851"/>
        <w:jc w:val="both"/>
        <w:outlineLvl w:val="1"/>
        <w:rPr>
          <w:b/>
          <w:noProof/>
        </w:rPr>
      </w:pPr>
      <w:bookmarkStart w:id="26" w:name="_Toc421700208"/>
      <w:bookmarkStart w:id="27" w:name="_Toc423630306"/>
      <w:r>
        <w:rPr>
          <w:b/>
          <w:noProof/>
        </w:rPr>
        <w:t>2.2</w:t>
      </w:r>
      <w:r>
        <w:rPr>
          <w:noProof/>
        </w:rPr>
        <w:tab/>
      </w:r>
      <w:r>
        <w:rPr>
          <w:b/>
          <w:noProof/>
        </w:rPr>
        <w:t>Révision des prévisions relatives aux RPT et aux assiettes TVA et RNB</w:t>
      </w:r>
      <w:bookmarkEnd w:id="26"/>
      <w:bookmarkEnd w:id="27"/>
    </w:p>
    <w:bookmarkEnd w:id="23"/>
    <w:bookmarkEnd w:id="24"/>
    <w:bookmarkEnd w:id="25"/>
    <w:p>
      <w:pPr>
        <w:spacing w:before="120" w:after="120"/>
        <w:jc w:val="both"/>
        <w:rPr>
          <w:noProof/>
        </w:rPr>
      </w:pPr>
      <w:r>
        <w:rPr>
          <w:noProof/>
        </w:rPr>
        <w:t>Conformément aux pratiques établies, la Commission propose de réviser le financement du budget sur la base de prévisions économiques plus récentes, adoptées au cours d’une réunion du comité consultatif des ressources propres (CCRP).</w:t>
      </w:r>
    </w:p>
    <w:p>
      <w:pPr>
        <w:spacing w:before="120" w:after="120"/>
        <w:jc w:val="both"/>
        <w:rPr>
          <w:noProof/>
        </w:rPr>
      </w:pPr>
      <w:r>
        <w:rPr>
          <w:noProof/>
        </w:rPr>
        <w:t>Cette révision porte sur les prévisions relatives aux ressources propres traditionnelles (RPT) à verser au budget en 2015, ainsi que sur les prévisions relatives aux assiettes de la taxe sur la valeur ajoutée (TVA) et du revenu national brut (RNB) de 2015. Les prévisions figurant dans le budget 2015 ont été établies lors de la 160</w:t>
      </w:r>
      <w:r>
        <w:rPr>
          <w:noProof/>
          <w:vertAlign w:val="superscript"/>
        </w:rPr>
        <w:t>e</w:t>
      </w:r>
      <w:r>
        <w:rPr>
          <w:noProof/>
        </w:rPr>
        <w:t xml:space="preserve"> réunion du CCRP, qui s'est tenue le 19 mai 2014. Les prévisions révisées prises en compte dans le présent PBR n° 6/2015 ont été adoptées lors de la 163</w:t>
      </w:r>
      <w:r>
        <w:rPr>
          <w:noProof/>
          <w:vertAlign w:val="superscript"/>
        </w:rPr>
        <w:t>e</w:t>
      </w:r>
      <w:r>
        <w:rPr>
          <w:noProof/>
        </w:rPr>
        <w:t xml:space="preserve"> réunion du CCRP, le 19 mai 2015. L'utilisation de prévisions actualisées des ressources propres rend plus précise la détermination des prévisions de recettes et, partant, des versements demandés aux États membres pendant l'exercice budgétaire.</w:t>
      </w:r>
    </w:p>
    <w:p>
      <w:pPr>
        <w:spacing w:before="120" w:after="120"/>
        <w:jc w:val="both"/>
        <w:rPr>
          <w:noProof/>
        </w:rPr>
      </w:pPr>
      <w:r>
        <w:rPr>
          <w:noProof/>
        </w:rPr>
        <w:t>Par rapport aux prévisions arrêtées en mai 2014, les prévisions adoptées en mai 2015 ont été révisées comme suit</w:t>
      </w:r>
      <w:r>
        <w:rPr>
          <w:rStyle w:val="FootnoteReference"/>
          <w:noProof/>
        </w:rPr>
        <w:footnoteReference w:id="9"/>
      </w:r>
      <w:r>
        <w:rPr>
          <w:noProof/>
        </w:rPr>
        <w:t>:</w:t>
      </w:r>
    </w:p>
    <w:p>
      <w:pPr>
        <w:numPr>
          <w:ilvl w:val="0"/>
          <w:numId w:val="2"/>
        </w:numPr>
        <w:spacing w:before="120" w:after="120"/>
        <w:jc w:val="both"/>
        <w:rPr>
          <w:noProof/>
        </w:rPr>
      </w:pPr>
      <w:r>
        <w:rPr>
          <w:noProof/>
        </w:rPr>
        <w:t>le total des droits de douane nets pour 2015 (y compris les droits sur les produits agricoles) est désormais estimé à 17 834,7 millions d'EUR (après déduction des 25 % de frais de perception), ce qui représente une augmentation de 6,79 % par rapport aux prévisions figurant dans le PBR n° 5/2015, qui étaient de 16 701,2 millions d'EUR. Cette augmentation s'explique principalement par une révision à la hausse du taux de croissance des importations hors UE et par l'exécution effective en début d'exercice, qui a été prise en considération. Ces prévisions ont été effectuées par État membre, sur la base des taux de croissance prévus pour les importations hors UE publiés le 5 mai 2015 dans les prévisions économiques du printemps 2015;</w:t>
      </w:r>
    </w:p>
    <w:p>
      <w:pPr>
        <w:numPr>
          <w:ilvl w:val="0"/>
          <w:numId w:val="2"/>
        </w:numPr>
        <w:spacing w:before="120" w:after="120"/>
        <w:jc w:val="both"/>
        <w:rPr>
          <w:noProof/>
          <w:color w:val="000000"/>
        </w:rPr>
      </w:pPr>
      <w:r>
        <w:rPr>
          <w:noProof/>
        </w:rPr>
        <w:t>l’assiette TVA totale non écrêtée de l’UE pour 2015 est désormais estimée à 6 030 898,4 millions d’EUR, ce qui représente une baisse de 1,26 % par rapport aux prévisions de mai 2014, qui s’étaient établies à 6 108 108,9 millions d’EUR. L’assiette TVA totale écrêtée de l’UE pour 2015</w:t>
      </w:r>
      <w:r>
        <w:rPr>
          <w:noProof/>
          <w:vertAlign w:val="superscript"/>
        </w:rPr>
        <w:footnoteReference w:id="10"/>
      </w:r>
      <w:r>
        <w:rPr>
          <w:noProof/>
        </w:rPr>
        <w:t xml:space="preserve"> est estimée à 6 007 784,6 millions d’EUR, ce qui représente une baisse de 1,32 % par rapport aux prévisions de mai 2014, qui s’étaient établies à 6 088 159,8 millions d’EUR;</w:t>
      </w:r>
    </w:p>
    <w:p>
      <w:pPr>
        <w:numPr>
          <w:ilvl w:val="0"/>
          <w:numId w:val="2"/>
        </w:numPr>
        <w:spacing w:before="120" w:after="120"/>
        <w:jc w:val="both"/>
        <w:rPr>
          <w:noProof/>
          <w:color w:val="000000"/>
        </w:rPr>
      </w:pPr>
      <w:r>
        <w:rPr>
          <w:noProof/>
        </w:rPr>
        <w:t>l’assiette RNB totale de l’UE pour 2015 est estimée à 14 034 093,9 millions d’EUR, ce qui constitue une légère hausse (+0,42 %) par rapport aux prévisions de mai 2014, qui étaient de 13 975 326,6 millions d’EUR.</w:t>
      </w:r>
    </w:p>
    <w:p>
      <w:pPr>
        <w:spacing w:before="120" w:after="120"/>
        <w:jc w:val="both"/>
        <w:rPr>
          <w:noProof/>
        </w:rPr>
      </w:pPr>
      <w:r>
        <w:rPr>
          <w:noProof/>
        </w:rPr>
        <w:t xml:space="preserve">Les taux de change du 31 décembre 2014 ont été utilisés pour convertir en euros les prévisions des assiettes TVA et RNB libellées en monnaie nationale (pour les neuf États membres qui ne font pas partie de la zone euro). On évite ainsi des distorsions puisque ce sont ces taux qui servent à convertir en monnaie nationale les paiements budgétisés de ressources propres exprimés en euros lorsque les montants sont prélevés (conformément aux dispositions de l’article 10, paragraphe 3, du règlement nº 1150/2000 du Conseil). </w:t>
      </w:r>
    </w:p>
    <w:p>
      <w:pPr>
        <w:spacing w:before="120" w:after="120"/>
        <w:jc w:val="both"/>
        <w:rPr>
          <w:noProof/>
        </w:rPr>
      </w:pPr>
      <w:r>
        <w:rPr>
          <w:noProof/>
        </w:rPr>
        <w:t>Les prévisions révisées des RPT, des assiettes TVA non écrêtées et des assiettes RNB pour 2015, telles qu'adoptées le 19 mai 2015 lors de la 163</w:t>
      </w:r>
      <w:r>
        <w:rPr>
          <w:noProof/>
          <w:vertAlign w:val="superscript"/>
        </w:rPr>
        <w:t>e</w:t>
      </w:r>
      <w:r>
        <w:rPr>
          <w:noProof/>
        </w:rPr>
        <w:t xml:space="preserve"> réunion du CCRP, sont exposées dans le tableau ci-après:</w:t>
      </w:r>
    </w:p>
    <w:p>
      <w:pPr>
        <w:jc w:val="center"/>
        <w:rPr>
          <w:b/>
          <w:i/>
          <w:noProof/>
        </w:rPr>
      </w:pPr>
      <w:r>
        <w:rPr>
          <w:b/>
          <w:noProof/>
        </w:rPr>
        <w:t xml:space="preserve">Prévisions révisées des RPT et des assiettes TVA et RNB pour 2015 </w:t>
      </w:r>
      <w:r>
        <w:rPr>
          <w:b/>
          <w:i/>
          <w:noProof/>
        </w:rPr>
        <w:t>(en Mio EUR)</w:t>
      </w:r>
    </w:p>
    <w:p>
      <w:pPr>
        <w:jc w:val="center"/>
        <w:rPr>
          <w:b/>
          <w:noProof/>
        </w:rPr>
      </w:pPr>
    </w:p>
    <w:tbl>
      <w:tblPr>
        <w:tblW w:w="0" w:type="auto"/>
        <w:jc w:val="center"/>
        <w:tblLayout w:type="fixed"/>
        <w:tblLook w:val="0000" w:firstRow="0" w:lastRow="0" w:firstColumn="0" w:lastColumn="0" w:noHBand="0" w:noVBand="0"/>
      </w:tblPr>
      <w:tblGrid>
        <w:gridCol w:w="662"/>
        <w:gridCol w:w="1404"/>
        <w:gridCol w:w="1404"/>
        <w:gridCol w:w="1404"/>
        <w:gridCol w:w="1404"/>
        <w:gridCol w:w="1404"/>
      </w:tblGrid>
      <w:tr>
        <w:trPr>
          <w:trHeight w:val="742"/>
          <w:tblHeader/>
          <w:jc w:val="center"/>
        </w:trPr>
        <w:tc>
          <w:tcPr>
            <w:tcW w:w="662" w:type="dxa"/>
            <w:tcBorders>
              <w:bottom w:val="single" w:sz="12" w:space="0" w:color="auto"/>
              <w:right w:val="single" w:sz="12" w:space="0" w:color="000000"/>
            </w:tcBorders>
          </w:tcPr>
          <w:p>
            <w:pPr>
              <w:autoSpaceDE w:val="0"/>
              <w:autoSpaceDN w:val="0"/>
              <w:adjustRightInd w:val="0"/>
              <w:jc w:val="right"/>
              <w:rPr>
                <w:b/>
                <w:bCs/>
                <w:noProof/>
                <w:color w:val="000000"/>
                <w:sz w:val="20"/>
                <w:szCs w:val="20"/>
              </w:rPr>
            </w:pPr>
            <w:bookmarkStart w:id="28"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 xml:space="preserve">Cotisations </w:t>
            </w:r>
            <w:r>
              <w:rPr>
                <w:b/>
                <w:bCs/>
                <w:noProof/>
                <w:color w:val="000000"/>
                <w:sz w:val="20"/>
                <w:szCs w:val="20"/>
              </w:rPr>
              <w:br/>
            </w:r>
            <w:r>
              <w:rPr>
                <w:b/>
                <w:noProof/>
                <w:color w:val="000000"/>
                <w:sz w:val="20"/>
              </w:rPr>
              <w:t>«sucre»</w:t>
            </w:r>
          </w:p>
          <w:p>
            <w:pPr>
              <w:autoSpaceDE w:val="0"/>
              <w:autoSpaceDN w:val="0"/>
              <w:adjustRightInd w:val="0"/>
              <w:jc w:val="center"/>
              <w:rPr>
                <w:b/>
                <w:bCs/>
                <w:noProof/>
                <w:color w:val="000000"/>
                <w:sz w:val="20"/>
                <w:szCs w:val="20"/>
              </w:rPr>
            </w:pPr>
            <w:r>
              <w:rPr>
                <w:b/>
                <w:i/>
                <w:noProof/>
                <w:color w:val="000000"/>
                <w:sz w:val="20"/>
              </w:rPr>
              <w:t>(75%) – correction</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Droits de douane</w:t>
            </w:r>
          </w:p>
          <w:p>
            <w:pPr>
              <w:autoSpaceDE w:val="0"/>
              <w:autoSpaceDN w:val="0"/>
              <w:adjustRightInd w:val="0"/>
              <w:jc w:val="center"/>
              <w:rPr>
                <w:b/>
                <w:bCs/>
                <w:i/>
                <w:iCs/>
                <w:noProof/>
                <w:color w:val="000000"/>
                <w:sz w:val="20"/>
                <w:szCs w:val="20"/>
              </w:rPr>
            </w:pPr>
            <w:r>
              <w:rPr>
                <w:b/>
                <w:i/>
                <w:noProof/>
                <w:color w:val="000000"/>
                <w:sz w:val="20"/>
              </w:rPr>
              <w:t>(75 %)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Assiettes TVA non écrêtées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Assiettes RNB</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autoSpaceDE w:val="0"/>
              <w:autoSpaceDN w:val="0"/>
              <w:adjustRightInd w:val="0"/>
              <w:jc w:val="center"/>
              <w:rPr>
                <w:b/>
                <w:bCs/>
                <w:i/>
                <w:iCs/>
                <w:noProof/>
                <w:color w:val="000000"/>
                <w:sz w:val="20"/>
                <w:szCs w:val="20"/>
              </w:rPr>
            </w:pPr>
            <w:r>
              <w:rPr>
                <w:b/>
                <w:i/>
                <w:noProof/>
                <w:color w:val="000000"/>
                <w:sz w:val="20"/>
              </w:rPr>
              <w:t>Assiettes TVA</w:t>
            </w:r>
          </w:p>
          <w:p>
            <w:pPr>
              <w:autoSpaceDE w:val="0"/>
              <w:autoSpaceDN w:val="0"/>
              <w:adjustRightInd w:val="0"/>
              <w:jc w:val="center"/>
              <w:rPr>
                <w:b/>
                <w:bCs/>
                <w:i/>
                <w:iCs/>
                <w:noProof/>
                <w:color w:val="000000"/>
                <w:sz w:val="20"/>
                <w:szCs w:val="20"/>
              </w:rPr>
            </w:pPr>
            <w:r>
              <w:rPr>
                <w:b/>
                <w:i/>
                <w:noProof/>
                <w:color w:val="000000"/>
                <w:sz w:val="20"/>
              </w:rPr>
              <w:t>écrêtées</w:t>
            </w:r>
            <w:r>
              <w:rPr>
                <w:b/>
                <w:i/>
                <w:noProof/>
                <w:color w:val="000000"/>
                <w:sz w:val="20"/>
                <w:vertAlign w:val="superscript"/>
              </w:rPr>
              <w:footnoteReference w:id="11"/>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6,6</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1 700,82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170 614,2 </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404 490,8 </w:t>
            </w:r>
          </w:p>
        </w:tc>
        <w:tc>
          <w:tcPr>
            <w:tcW w:w="1404" w:type="dxa"/>
            <w:tcBorders>
              <w:top w:val="single" w:sz="2" w:space="0" w:color="000000"/>
              <w:left w:val="single" w:sz="2" w:space="0" w:color="000000"/>
              <w:bottom w:val="single" w:sz="2" w:space="0" w:color="000000"/>
              <w:right w:val="single" w:sz="12" w:space="0" w:color="auto"/>
            </w:tcBorders>
            <w:vAlign w:val="center"/>
          </w:tcPr>
          <w:p>
            <w:pPr>
              <w:ind w:left="20"/>
              <w:contextualSpacing/>
              <w:jc w:val="right"/>
              <w:rPr>
                <w:noProof/>
                <w:color w:val="000000"/>
                <w:sz w:val="20"/>
                <w:szCs w:val="20"/>
              </w:rPr>
            </w:pPr>
            <w:r>
              <w:rPr>
                <w:noProof/>
                <w:color w:val="000000"/>
                <w:sz w:val="20"/>
              </w:rPr>
              <w:t xml:space="preserve">170 614,2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 xml:space="preserve">58,16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19 887,7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41 238,8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19 887,7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209,59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64 741,2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142 995,1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64 741,2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328,80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100 975,8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269 155,2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100 975,8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26,3</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3 515,70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1 258 997,2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2 999 842,7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1 258 997,2 </w:t>
            </w:r>
          </w:p>
        </w:tc>
      </w:tr>
      <w:tr>
        <w:trPr>
          <w:trHeight w:val="247"/>
          <w:jc w:val="center"/>
        </w:trPr>
        <w:tc>
          <w:tcPr>
            <w:tcW w:w="662"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23,57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9 499,3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szCs w:val="20"/>
              </w:rPr>
            </w:pPr>
            <w:r>
              <w:rPr>
                <w:noProof/>
                <w:color w:val="000000"/>
                <w:sz w:val="20"/>
              </w:rPr>
              <w:t xml:space="preserve">19 594,2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9 499,3 </w:t>
            </w:r>
          </w:p>
        </w:tc>
      </w:tr>
      <w:tr>
        <w:trPr>
          <w:trHeight w:val="247"/>
          <w:jc w:val="center"/>
        </w:trPr>
        <w:tc>
          <w:tcPr>
            <w:tcW w:w="662"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245,72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71 653,4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160 548,4 </w:t>
            </w:r>
          </w:p>
        </w:tc>
        <w:tc>
          <w:tcPr>
            <w:tcW w:w="1404" w:type="dxa"/>
            <w:tcBorders>
              <w:top w:val="single" w:sz="2" w:space="0" w:color="000000"/>
              <w:left w:val="single" w:sz="2" w:space="0" w:color="000000"/>
              <w:bottom w:val="dotted" w:sz="6" w:space="0" w:color="auto"/>
              <w:right w:val="single" w:sz="12" w:space="0" w:color="auto"/>
            </w:tcBorders>
            <w:shd w:val="clear" w:color="C0C0C0" w:fill="auto"/>
            <w:vAlign w:val="center"/>
          </w:tcPr>
          <w:p>
            <w:pPr>
              <w:contextualSpacing/>
              <w:jc w:val="right"/>
              <w:rPr>
                <w:noProof/>
                <w:color w:val="000000"/>
                <w:sz w:val="20"/>
                <w:szCs w:val="20"/>
              </w:rPr>
            </w:pPr>
            <w:r>
              <w:rPr>
                <w:noProof/>
                <w:color w:val="000000"/>
                <w:sz w:val="20"/>
              </w:rPr>
              <w:t xml:space="preserve">71 653,4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128,68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72 121,4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175 875,7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72 121,4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4,7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1 213,49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442 647,0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1 072 359,1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442 647,0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1 540,43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964 187,7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2 169 773,5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964 187,7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43,34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25 455,7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41 470,2 </w:t>
            </w:r>
          </w:p>
        </w:tc>
        <w:tc>
          <w:tcPr>
            <w:tcW w:w="1404" w:type="dxa"/>
            <w:tcBorders>
              <w:top w:val="single" w:sz="2" w:space="0" w:color="000000"/>
              <w:left w:val="single" w:sz="2" w:space="0" w:color="000000"/>
              <w:bottom w:val="single" w:sz="2" w:space="0" w:color="000000"/>
              <w:right w:val="single" w:sz="12" w:space="0" w:color="auto"/>
            </w:tcBorders>
            <w:shd w:val="clear" w:color="auto" w:fill="BFBFBF"/>
            <w:vAlign w:val="center"/>
          </w:tcPr>
          <w:p>
            <w:pPr>
              <w:contextualSpacing/>
              <w:jc w:val="right"/>
              <w:rPr>
                <w:noProof/>
                <w:color w:val="000000"/>
                <w:sz w:val="20"/>
                <w:szCs w:val="20"/>
              </w:rPr>
            </w:pPr>
            <w:r>
              <w:rPr>
                <w:noProof/>
                <w:color w:val="000000"/>
                <w:sz w:val="20"/>
              </w:rPr>
              <w:t xml:space="preserve">20 735,1 </w:t>
            </w:r>
          </w:p>
        </w:tc>
      </w:tr>
      <w:tr>
        <w:trPr>
          <w:trHeight w:val="247"/>
          <w:jc w:val="center"/>
        </w:trPr>
        <w:tc>
          <w:tcPr>
            <w:tcW w:w="662"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szCs w:val="20"/>
              </w:rPr>
            </w:pPr>
            <w:r>
              <w:rPr>
                <w:noProof/>
                <w:color w:val="000000"/>
                <w:sz w:val="20"/>
              </w:rPr>
              <w:t>4,7</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1 550,83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567 863,1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1 578 217,8 </w:t>
            </w:r>
          </w:p>
        </w:tc>
        <w:tc>
          <w:tcPr>
            <w:tcW w:w="1404" w:type="dxa"/>
            <w:tcBorders>
              <w:top w:val="single" w:sz="2" w:space="0" w:color="000000"/>
              <w:left w:val="single" w:sz="2" w:space="0" w:color="000000"/>
              <w:bottom w:val="single" w:sz="4" w:space="0" w:color="auto"/>
              <w:right w:val="single" w:sz="12" w:space="0" w:color="auto"/>
            </w:tcBorders>
            <w:vAlign w:val="center"/>
          </w:tcPr>
          <w:p>
            <w:pPr>
              <w:contextualSpacing/>
              <w:jc w:val="right"/>
              <w:rPr>
                <w:noProof/>
                <w:color w:val="000000"/>
                <w:sz w:val="20"/>
                <w:szCs w:val="20"/>
              </w:rPr>
            </w:pPr>
            <w:r>
              <w:rPr>
                <w:noProof/>
                <w:color w:val="000000"/>
                <w:sz w:val="20"/>
              </w:rPr>
              <w:t xml:space="preserve">567 863,1 </w:t>
            </w:r>
          </w:p>
        </w:tc>
      </w:tr>
      <w:tr>
        <w:trPr>
          <w:trHeight w:val="247"/>
          <w:jc w:val="center"/>
        </w:trPr>
        <w:tc>
          <w:tcPr>
            <w:tcW w:w="662"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18,32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10 419,8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16 204,8 </w:t>
            </w:r>
          </w:p>
        </w:tc>
        <w:tc>
          <w:tcPr>
            <w:tcW w:w="1404" w:type="dxa"/>
            <w:tcBorders>
              <w:top w:val="single" w:sz="4" w:space="0" w:color="auto"/>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8 102,4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27,18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8 946,8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24 593,8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8 946,8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65,78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14 176,3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36 375,7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14 176,3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15,03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29 131,7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30 276,8 </w:t>
            </w:r>
          </w:p>
        </w:tc>
        <w:tc>
          <w:tcPr>
            <w:tcW w:w="1404" w:type="dxa"/>
            <w:tcBorders>
              <w:top w:val="single" w:sz="2" w:space="0" w:color="000000"/>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15 138,4 </w:t>
            </w:r>
          </w:p>
        </w:tc>
      </w:tr>
      <w:tr>
        <w:trPr>
          <w:trHeight w:val="247"/>
          <w:jc w:val="center"/>
        </w:trPr>
        <w:tc>
          <w:tcPr>
            <w:tcW w:w="662"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szCs w:val="20"/>
              </w:rPr>
            </w:pPr>
            <w:r>
              <w:rPr>
                <w:noProof/>
                <w:color w:val="000000"/>
                <w:sz w:val="20"/>
              </w:rPr>
              <w:t>2,1</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110,46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42 445,7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szCs w:val="20"/>
              </w:rPr>
            </w:pPr>
            <w:r>
              <w:rPr>
                <w:noProof/>
                <w:color w:val="000000"/>
                <w:sz w:val="20"/>
              </w:rPr>
              <w:t xml:space="preserve">102 879,5 </w:t>
            </w:r>
          </w:p>
        </w:tc>
        <w:tc>
          <w:tcPr>
            <w:tcW w:w="1404" w:type="dxa"/>
            <w:tcBorders>
              <w:top w:val="single" w:sz="2" w:space="0" w:color="000000"/>
              <w:left w:val="single" w:sz="2" w:space="0" w:color="000000"/>
              <w:bottom w:val="single" w:sz="4" w:space="0" w:color="auto"/>
              <w:right w:val="single" w:sz="12" w:space="0" w:color="auto"/>
            </w:tcBorders>
            <w:vAlign w:val="center"/>
          </w:tcPr>
          <w:p>
            <w:pPr>
              <w:contextualSpacing/>
              <w:jc w:val="right"/>
              <w:rPr>
                <w:noProof/>
                <w:color w:val="000000"/>
                <w:sz w:val="20"/>
                <w:szCs w:val="20"/>
              </w:rPr>
            </w:pPr>
            <w:r>
              <w:rPr>
                <w:noProof/>
                <w:color w:val="000000"/>
                <w:sz w:val="20"/>
              </w:rPr>
              <w:t xml:space="preserve">42 445,7 </w:t>
            </w:r>
          </w:p>
        </w:tc>
      </w:tr>
      <w:tr>
        <w:trPr>
          <w:trHeight w:val="247"/>
          <w:jc w:val="center"/>
        </w:trPr>
        <w:tc>
          <w:tcPr>
            <w:tcW w:w="662"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11,43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5 765,6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7 947,4 </w:t>
            </w:r>
          </w:p>
        </w:tc>
        <w:tc>
          <w:tcPr>
            <w:tcW w:w="1404" w:type="dxa"/>
            <w:tcBorders>
              <w:top w:val="single" w:sz="4" w:space="0" w:color="auto"/>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3 973,7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7,2</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2 130,91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265 609,3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658 901,0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265 609,3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3,2</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199,81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149 913,4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320 170,1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149 913,4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461,59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167 326,8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399 727,5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167 326,8 </w:t>
            </w:r>
          </w:p>
        </w:tc>
      </w:tr>
      <w:tr>
        <w:trPr>
          <w:trHeight w:val="247"/>
          <w:jc w:val="center"/>
        </w:trPr>
        <w:tc>
          <w:tcPr>
            <w:tcW w:w="662"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0,1</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123,94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78 552,7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170 889,1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78 552,7 </w:t>
            </w:r>
          </w:p>
        </w:tc>
      </w:tr>
      <w:tr>
        <w:trPr>
          <w:trHeight w:val="247"/>
          <w:jc w:val="center"/>
        </w:trPr>
        <w:tc>
          <w:tcPr>
            <w:tcW w:w="662"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0,9</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117,15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54 564,4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151 750,7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54 564,4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62,59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18 636,3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36 691,6 </w:t>
            </w:r>
          </w:p>
        </w:tc>
        <w:tc>
          <w:tcPr>
            <w:tcW w:w="1404" w:type="dxa"/>
            <w:tcBorders>
              <w:top w:val="single" w:sz="2" w:space="0" w:color="000000"/>
              <w:left w:val="single" w:sz="2" w:space="0" w:color="000000"/>
              <w:bottom w:val="single" w:sz="2" w:space="0" w:color="000000"/>
              <w:right w:val="single" w:sz="12" w:space="0" w:color="auto"/>
            </w:tcBorders>
            <w:shd w:val="solid" w:color="C0C0C0" w:fill="auto"/>
            <w:vAlign w:val="center"/>
          </w:tcPr>
          <w:p>
            <w:pPr>
              <w:contextualSpacing/>
              <w:jc w:val="right"/>
              <w:rPr>
                <w:noProof/>
                <w:color w:val="000000"/>
                <w:sz w:val="20"/>
                <w:szCs w:val="20"/>
              </w:rPr>
            </w:pPr>
            <w:r>
              <w:rPr>
                <w:noProof/>
                <w:color w:val="000000"/>
                <w:sz w:val="20"/>
              </w:rPr>
              <w:t xml:space="preserve">18 345,8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1,3</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95,63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26 006,8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73 727,7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26 006,8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0,7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111,49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91 338,0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199 222,1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91 338,0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2,6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497,21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187 187,4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430 172,8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187 187,4 </w:t>
            </w:r>
          </w:p>
        </w:tc>
      </w:tr>
      <w:tr>
        <w:trPr>
          <w:trHeight w:val="247"/>
          <w:jc w:val="center"/>
        </w:trPr>
        <w:tc>
          <w:tcPr>
            <w:tcW w:w="662"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szCs w:val="20"/>
              </w:rPr>
            </w:pPr>
            <w:r>
              <w:rPr>
                <w:noProof/>
                <w:color w:val="000000"/>
                <w:sz w:val="20"/>
              </w:rPr>
              <w:t>9,5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3 227,04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1 112 233,9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szCs w:val="20"/>
              </w:rPr>
            </w:pPr>
            <w:r>
              <w:rPr>
                <w:noProof/>
                <w:color w:val="000000"/>
                <w:sz w:val="20"/>
              </w:rPr>
              <w:t xml:space="preserve">2 299 002,4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szCs w:val="20"/>
              </w:rPr>
            </w:pPr>
            <w:r>
              <w:rPr>
                <w:noProof/>
                <w:color w:val="000000"/>
                <w:sz w:val="20"/>
              </w:rPr>
              <w:t xml:space="preserve">1 112 233,9 </w:t>
            </w:r>
          </w:p>
        </w:tc>
      </w:tr>
      <w:tr>
        <w:trPr>
          <w:trHeight w:val="276"/>
          <w:jc w:val="center"/>
        </w:trPr>
        <w:tc>
          <w:tcPr>
            <w:tcW w:w="662"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szCs w:val="20"/>
              </w:rPr>
            </w:pPr>
            <w:r>
              <w:rPr>
                <w:b/>
                <w:noProof/>
                <w:color w:val="000000"/>
                <w:sz w:val="20"/>
              </w:rPr>
              <w:t>UE</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szCs w:val="20"/>
              </w:rPr>
            </w:pPr>
            <w:r>
              <w:rPr>
                <w:b/>
                <w:noProof/>
                <w:color w:val="000000"/>
                <w:sz w:val="20"/>
              </w:rPr>
              <w:t>124,7</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17 834,7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6 030 898,4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szCs w:val="20"/>
              </w:rPr>
            </w:pPr>
            <w:r>
              <w:rPr>
                <w:b/>
                <w:noProof/>
                <w:color w:val="000000"/>
                <w:sz w:val="20"/>
              </w:rPr>
              <w:t xml:space="preserve">14 034 093,9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szCs w:val="20"/>
              </w:rPr>
            </w:pPr>
            <w:r>
              <w:rPr>
                <w:b/>
                <w:noProof/>
                <w:color w:val="000000"/>
                <w:sz w:val="20"/>
              </w:rPr>
              <w:t xml:space="preserve">6 007 784,7 </w:t>
            </w:r>
          </w:p>
        </w:tc>
      </w:tr>
    </w:tbl>
    <w:p>
      <w:pPr>
        <w:keepNext/>
        <w:tabs>
          <w:tab w:val="left" w:pos="851"/>
        </w:tabs>
        <w:spacing w:before="120" w:after="120"/>
        <w:ind w:left="851" w:hanging="851"/>
        <w:jc w:val="both"/>
        <w:outlineLvl w:val="1"/>
        <w:rPr>
          <w:b/>
          <w:noProof/>
        </w:rPr>
      </w:pPr>
      <w:bookmarkStart w:id="29" w:name="_Toc421699312"/>
      <w:bookmarkStart w:id="30" w:name="_Toc421700209"/>
      <w:bookmarkStart w:id="31" w:name="_Toc423630307"/>
      <w:bookmarkStart w:id="32" w:name="_Toc390436796"/>
      <w:bookmarkStart w:id="33" w:name="_Toc420941901"/>
      <w:bookmarkStart w:id="34" w:name="_Toc294673193"/>
      <w:bookmarkStart w:id="35" w:name="_Toc357005413"/>
      <w:bookmarkStart w:id="36" w:name="_Toc358885561"/>
      <w:bookmarkEnd w:id="28"/>
      <w:r>
        <w:rPr>
          <w:b/>
          <w:noProof/>
        </w:rPr>
        <w:t>2.3</w:t>
      </w:r>
      <w:r>
        <w:rPr>
          <w:noProof/>
        </w:rPr>
        <w:tab/>
      </w:r>
      <w:r>
        <w:rPr>
          <w:b/>
          <w:noProof/>
        </w:rPr>
        <w:t>Corrections britanniques 2011, 2012, 2013 et 2014</w:t>
      </w:r>
      <w:bookmarkEnd w:id="29"/>
      <w:bookmarkEnd w:id="30"/>
      <w:bookmarkEnd w:id="31"/>
    </w:p>
    <w:p>
      <w:pPr>
        <w:keepNext/>
        <w:tabs>
          <w:tab w:val="left" w:pos="850"/>
        </w:tabs>
        <w:spacing w:before="160" w:after="160"/>
        <w:ind w:left="851" w:hanging="851"/>
        <w:jc w:val="both"/>
        <w:outlineLvl w:val="1"/>
        <w:rPr>
          <w:b/>
          <w:bCs/>
          <w:i/>
          <w:iCs/>
          <w:noProof/>
        </w:rPr>
      </w:pPr>
      <w:bookmarkStart w:id="37" w:name="_Toc294673194"/>
      <w:bookmarkStart w:id="38" w:name="_Toc357005414"/>
      <w:bookmarkStart w:id="39" w:name="_Toc390436797"/>
      <w:bookmarkStart w:id="40" w:name="_Toc420941902"/>
      <w:bookmarkStart w:id="41" w:name="_Toc421700210"/>
      <w:bookmarkStart w:id="42" w:name="_Toc423630308"/>
      <w:bookmarkEnd w:id="32"/>
      <w:bookmarkEnd w:id="33"/>
      <w:r>
        <w:rPr>
          <w:b/>
          <w:i/>
          <w:noProof/>
        </w:rPr>
        <w:t>2.3.1</w:t>
      </w:r>
      <w:r>
        <w:rPr>
          <w:noProof/>
        </w:rPr>
        <w:tab/>
      </w:r>
      <w:r>
        <w:rPr>
          <w:b/>
          <w:i/>
          <w:noProof/>
        </w:rPr>
        <w:t>Introduction</w:t>
      </w:r>
      <w:bookmarkEnd w:id="37"/>
      <w:bookmarkEnd w:id="38"/>
      <w:bookmarkEnd w:id="39"/>
      <w:bookmarkEnd w:id="40"/>
      <w:bookmarkEnd w:id="41"/>
      <w:bookmarkEnd w:id="42"/>
    </w:p>
    <w:p>
      <w:pPr>
        <w:spacing w:before="120" w:after="120"/>
        <w:jc w:val="both"/>
        <w:rPr>
          <w:noProof/>
        </w:rPr>
      </w:pPr>
      <w:r>
        <w:rPr>
          <w:noProof/>
        </w:rPr>
        <w:t>La correction des déséquilibres budgétaires en faveur du Royaume-Uni (correction britannique) qu'il convient de budgétiser dans le présent PBR concerne quatre exercices: 2011, 2012, 2013 et 2014.</w:t>
      </w:r>
    </w:p>
    <w:p>
      <w:pPr>
        <w:widowControl w:val="0"/>
        <w:spacing w:before="120" w:after="120"/>
        <w:jc w:val="both"/>
        <w:rPr>
          <w:noProof/>
        </w:rPr>
      </w:pPr>
      <w:r>
        <w:rPr>
          <w:noProof/>
        </w:rPr>
        <w:t>Les corrections britanniques pour 2011, 2012, 2013 et 2014 relèvent des dispositions de la décision 2007/436/CE, Euratom du Conseil relative au système des ressources propres des Communautés européennes</w:t>
      </w:r>
      <w:r>
        <w:rPr>
          <w:rStyle w:val="FootnoteReference"/>
          <w:noProof/>
        </w:rPr>
        <w:footnoteReference w:id="12"/>
      </w:r>
      <w:r>
        <w:rPr>
          <w:noProof/>
        </w:rPr>
        <w:t xml:space="preserve"> et du document de travail qui l'accompagne, le </w:t>
      </w:r>
      <w:r>
        <w:rPr>
          <w:i/>
          <w:noProof/>
        </w:rPr>
        <w:t>Mode de calcul de 2007</w:t>
      </w:r>
      <w:r>
        <w:rPr>
          <w:noProof/>
          <w:vertAlign w:val="superscript"/>
        </w:rPr>
        <w:footnoteReference w:id="13"/>
      </w:r>
      <w:r>
        <w:rPr>
          <w:noProof/>
        </w:rPr>
        <w:t>. Conformément aux dispositions de cette décision, les «gains exceptionnels» nets du Royaume-Uni résultant de l’augmentation, à partir de 2001, du pourcentage de RPT retenu par les États membres à titre de compensation pour leurs frais de perception sont neutralisés, et les dépenses réparties sont ajustées:</w:t>
      </w:r>
    </w:p>
    <w:p>
      <w:pPr>
        <w:numPr>
          <w:ilvl w:val="0"/>
          <w:numId w:val="2"/>
        </w:numPr>
        <w:spacing w:before="120" w:after="120"/>
        <w:jc w:val="both"/>
        <w:rPr>
          <w:noProof/>
        </w:rPr>
      </w:pPr>
      <w:r>
        <w:rPr>
          <w:noProof/>
        </w:rPr>
        <w:t>des dépenses de préadhésion effectuées en crédits pour paiements concernant l’année qui a précédé l’élargissement. L’ajustement pour les dépenses de préadhésion a cessé de s'appliquer à partir de la correction 2013 budgétisée pour la première fois en 2014;</w:t>
      </w:r>
    </w:p>
    <w:p>
      <w:pPr>
        <w:numPr>
          <w:ilvl w:val="0"/>
          <w:numId w:val="2"/>
        </w:numPr>
        <w:spacing w:before="120" w:after="120"/>
        <w:jc w:val="both"/>
        <w:rPr>
          <w:noProof/>
        </w:rPr>
      </w:pPr>
      <w:r>
        <w:rPr>
          <w:noProof/>
        </w:rPr>
        <w:t xml:space="preserve">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spacing w:before="120" w:after="120"/>
        <w:jc w:val="both"/>
        <w:rPr>
          <w:noProof/>
        </w:rPr>
      </w:pPr>
      <w:r>
        <w:rPr>
          <w:noProof/>
        </w:rPr>
        <w:t>En outre, la part de l'Autriche, de l'Allemagne, des Pays-Bas et de la Suède dans le financement de la correction britannique est ramenée à un quart par rapport à leur part normale. Cette réduction est financée par les autres États membres, à l’exclusion du Royaume-Uni.</w:t>
      </w:r>
    </w:p>
    <w:p>
      <w:pPr>
        <w:spacing w:before="120" w:after="120"/>
        <w:jc w:val="both"/>
        <w:rPr>
          <w:noProof/>
        </w:rPr>
      </w:pPr>
      <w:r>
        <w:rPr>
          <w:noProof/>
        </w:rPr>
        <w:t xml:space="preserve">La différence entre le </w:t>
      </w:r>
      <w:r>
        <w:rPr>
          <w:i/>
          <w:noProof/>
        </w:rPr>
        <w:t>montant définitif</w:t>
      </w:r>
      <w:r>
        <w:rPr>
          <w:noProof/>
        </w:rPr>
        <w:t xml:space="preserve"> </w:t>
      </w:r>
      <w:r>
        <w:rPr>
          <w:i/>
          <w:noProof/>
        </w:rPr>
        <w:t>de la correction britannique pour 2011</w:t>
      </w:r>
      <w:r>
        <w:rPr>
          <w:noProof/>
        </w:rPr>
        <w:t xml:space="preserve"> et le montant budgétisé précédemment (</w:t>
      </w:r>
      <w:r>
        <w:rPr>
          <w:i/>
          <w:noProof/>
        </w:rPr>
        <w:t>3</w:t>
      </w:r>
      <w:r>
        <w:rPr>
          <w:i/>
          <w:noProof/>
          <w:vertAlign w:val="superscript"/>
        </w:rPr>
        <w:t>e</w:t>
      </w:r>
      <w:r>
        <w:rPr>
          <w:noProof/>
        </w:rPr>
        <w:t xml:space="preserve"> </w:t>
      </w:r>
      <w:r>
        <w:rPr>
          <w:i/>
          <w:noProof/>
        </w:rPr>
        <w:t>mise à jour</w:t>
      </w:r>
      <w:r>
        <w:rPr>
          <w:noProof/>
        </w:rPr>
        <w:t xml:space="preserve"> dans le BR n° 3/2014) est inscrite au chapitre 35 du PBR n° 6/2015. La différence entre la </w:t>
      </w:r>
      <w:r>
        <w:rPr>
          <w:i/>
          <w:noProof/>
        </w:rPr>
        <w:t>3</w:t>
      </w:r>
      <w:r>
        <w:rPr>
          <w:i/>
          <w:noProof/>
          <w:vertAlign w:val="superscript"/>
        </w:rPr>
        <w:t>e</w:t>
      </w:r>
      <w:r>
        <w:rPr>
          <w:i/>
          <w:noProof/>
        </w:rPr>
        <w:t xml:space="preserve"> mise à jour de la correction britannique pour 2012</w:t>
      </w:r>
      <w:r>
        <w:rPr>
          <w:noProof/>
        </w:rPr>
        <w:t xml:space="preserve"> et le montant budgétisé précédemment (</w:t>
      </w:r>
      <w:r>
        <w:rPr>
          <w:i/>
          <w:noProof/>
        </w:rPr>
        <w:t>1</w:t>
      </w:r>
      <w:r>
        <w:rPr>
          <w:i/>
          <w:noProof/>
          <w:vertAlign w:val="superscript"/>
        </w:rPr>
        <w:t>re</w:t>
      </w:r>
      <w:r>
        <w:rPr>
          <w:i/>
          <w:noProof/>
        </w:rPr>
        <w:t xml:space="preserve"> mise à jour</w:t>
      </w:r>
      <w:r>
        <w:rPr>
          <w:noProof/>
        </w:rPr>
        <w:t xml:space="preserve"> dans le BR n° 6/2013) est inscrite au chapitre 36 du PBR n° 6/2015. La différence entre la </w:t>
      </w:r>
      <w:r>
        <w:rPr>
          <w:i/>
          <w:noProof/>
        </w:rPr>
        <w:t>2</w:t>
      </w:r>
      <w:r>
        <w:rPr>
          <w:i/>
          <w:noProof/>
          <w:vertAlign w:val="superscript"/>
        </w:rPr>
        <w:t>e</w:t>
      </w:r>
      <w:r>
        <w:rPr>
          <w:i/>
          <w:noProof/>
        </w:rPr>
        <w:t xml:space="preserve"> mise à jour de la correction britannique pour 2013</w:t>
      </w:r>
      <w:r>
        <w:rPr>
          <w:noProof/>
        </w:rPr>
        <w:t xml:space="preserve"> et le montant budgétisé précédemment (</w:t>
      </w:r>
      <w:r>
        <w:rPr>
          <w:i/>
          <w:noProof/>
        </w:rPr>
        <w:t>1</w:t>
      </w:r>
      <w:r>
        <w:rPr>
          <w:i/>
          <w:noProof/>
          <w:vertAlign w:val="superscript"/>
        </w:rPr>
        <w:t>re</w:t>
      </w:r>
      <w:r>
        <w:rPr>
          <w:i/>
          <w:noProof/>
        </w:rPr>
        <w:t xml:space="preserve"> mise à jour</w:t>
      </w:r>
      <w:r>
        <w:rPr>
          <w:noProof/>
        </w:rPr>
        <w:t xml:space="preserve"> dans le BR nº 3/2014) est inscrite au chapitre 36 du PBR n° 6/2015.</w:t>
      </w:r>
    </w:p>
    <w:p>
      <w:pPr>
        <w:spacing w:before="120" w:after="120"/>
        <w:jc w:val="both"/>
        <w:rPr>
          <w:noProof/>
        </w:rPr>
      </w:pPr>
      <w:r>
        <w:rPr>
          <w:noProof/>
        </w:rPr>
        <w:t xml:space="preserve">Le montant de la </w:t>
      </w:r>
      <w:r>
        <w:rPr>
          <w:i/>
          <w:noProof/>
        </w:rPr>
        <w:t>1</w:t>
      </w:r>
      <w:r>
        <w:rPr>
          <w:i/>
          <w:noProof/>
          <w:vertAlign w:val="superscript"/>
        </w:rPr>
        <w:t>re</w:t>
      </w:r>
      <w:r>
        <w:rPr>
          <w:i/>
          <w:noProof/>
        </w:rPr>
        <w:t xml:space="preserve"> mise à jour</w:t>
      </w:r>
      <w:r>
        <w:rPr>
          <w:noProof/>
        </w:rPr>
        <w:t xml:space="preserve"> de la correction britannique pour 2014 est inscrit au chapitre 15 du PBR n° 6/2015, à la place du </w:t>
      </w:r>
      <w:r>
        <w:rPr>
          <w:i/>
          <w:noProof/>
        </w:rPr>
        <w:t>montant provisoire</w:t>
      </w:r>
      <w:r>
        <w:rPr>
          <w:noProof/>
        </w:rPr>
        <w:t xml:space="preserve"> de la correction britannique pour 2014 inscrit au chapitre 15 du budget 2015.</w:t>
      </w:r>
    </w:p>
    <w:p>
      <w:pPr>
        <w:keepNext/>
        <w:tabs>
          <w:tab w:val="left" w:pos="850"/>
        </w:tabs>
        <w:spacing w:before="160" w:after="160"/>
        <w:ind w:left="851" w:hanging="851"/>
        <w:jc w:val="both"/>
        <w:outlineLvl w:val="1"/>
        <w:rPr>
          <w:b/>
          <w:bCs/>
          <w:i/>
          <w:iCs/>
          <w:noProof/>
        </w:rPr>
      </w:pPr>
      <w:bookmarkStart w:id="43" w:name="_Toc423630309"/>
      <w:bookmarkStart w:id="44" w:name="_Toc231879704"/>
      <w:bookmarkStart w:id="45" w:name="_Toc293417236"/>
      <w:bookmarkStart w:id="46" w:name="_Toc294673195"/>
      <w:bookmarkStart w:id="47" w:name="_Toc357005415"/>
      <w:bookmarkStart w:id="48" w:name="_Toc390436798"/>
      <w:bookmarkStart w:id="49" w:name="_Toc420941903"/>
      <w:bookmarkStart w:id="50" w:name="_Toc421700211"/>
      <w:r>
        <w:rPr>
          <w:b/>
          <w:i/>
          <w:noProof/>
        </w:rPr>
        <w:t>2.3.2</w:t>
      </w:r>
      <w:r>
        <w:rPr>
          <w:noProof/>
        </w:rPr>
        <w:tab/>
      </w:r>
      <w:r>
        <w:rPr>
          <w:b/>
          <w:i/>
          <w:noProof/>
        </w:rPr>
        <w:t>Calcul des corrections</w:t>
      </w:r>
      <w:bookmarkEnd w:id="43"/>
      <w:r>
        <w:rPr>
          <w:b/>
          <w:i/>
          <w:noProof/>
        </w:rPr>
        <w:t xml:space="preserve"> </w:t>
      </w:r>
      <w:bookmarkEnd w:id="44"/>
      <w:bookmarkEnd w:id="45"/>
      <w:bookmarkEnd w:id="46"/>
      <w:bookmarkEnd w:id="47"/>
      <w:bookmarkEnd w:id="48"/>
      <w:bookmarkEnd w:id="49"/>
      <w:bookmarkEnd w:id="50"/>
    </w:p>
    <w:p>
      <w:pPr>
        <w:spacing w:before="120" w:after="120"/>
        <w:jc w:val="both"/>
        <w:rPr>
          <w:noProof/>
        </w:rPr>
      </w:pPr>
      <w:r>
        <w:rPr>
          <w:noProof/>
        </w:rPr>
        <w:t xml:space="preserve">Dans le présent PBR sont introduits le calcul et le financement de la </w:t>
      </w:r>
      <w:r>
        <w:rPr>
          <w:i/>
          <w:noProof/>
        </w:rPr>
        <w:t>1</w:t>
      </w:r>
      <w:r>
        <w:rPr>
          <w:i/>
          <w:noProof/>
          <w:vertAlign w:val="superscript"/>
        </w:rPr>
        <w:t>re</w:t>
      </w:r>
      <w:r>
        <w:rPr>
          <w:i/>
          <w:noProof/>
        </w:rPr>
        <w:t xml:space="preserve"> mise à jour</w:t>
      </w:r>
      <w:r>
        <w:rPr>
          <w:noProof/>
        </w:rPr>
        <w:t xml:space="preserve"> de la correction britannique </w:t>
      </w:r>
      <w:r>
        <w:rPr>
          <w:i/>
          <w:noProof/>
        </w:rPr>
        <w:t>pour 2014</w:t>
      </w:r>
      <w:r>
        <w:rPr>
          <w:noProof/>
        </w:rPr>
        <w:t xml:space="preserve">, de la </w:t>
      </w:r>
      <w:r>
        <w:rPr>
          <w:i/>
          <w:noProof/>
        </w:rPr>
        <w:t>2</w:t>
      </w:r>
      <w:r>
        <w:rPr>
          <w:i/>
          <w:noProof/>
          <w:vertAlign w:val="superscript"/>
        </w:rPr>
        <w:t>e</w:t>
      </w:r>
      <w:r>
        <w:rPr>
          <w:i/>
          <w:noProof/>
        </w:rPr>
        <w:t xml:space="preserve"> mise à jour de la correction britannique pour 2013,</w:t>
      </w:r>
      <w:r>
        <w:rPr>
          <w:noProof/>
        </w:rPr>
        <w:t xml:space="preserve"> de la </w:t>
      </w:r>
      <w:r>
        <w:rPr>
          <w:i/>
          <w:noProof/>
        </w:rPr>
        <w:t>3</w:t>
      </w:r>
      <w:r>
        <w:rPr>
          <w:i/>
          <w:noProof/>
          <w:vertAlign w:val="superscript"/>
        </w:rPr>
        <w:t>e</w:t>
      </w:r>
      <w:r>
        <w:rPr>
          <w:i/>
          <w:noProof/>
        </w:rPr>
        <w:t xml:space="preserve"> mise à jour</w:t>
      </w:r>
      <w:r>
        <w:rPr>
          <w:noProof/>
        </w:rPr>
        <w:t xml:space="preserve"> de la correction britannique </w:t>
      </w:r>
      <w:r>
        <w:rPr>
          <w:i/>
          <w:noProof/>
        </w:rPr>
        <w:t>pour 2012</w:t>
      </w:r>
      <w:r>
        <w:rPr>
          <w:noProof/>
        </w:rPr>
        <w:t xml:space="preserve"> et du </w:t>
      </w:r>
      <w:r>
        <w:rPr>
          <w:i/>
          <w:noProof/>
        </w:rPr>
        <w:t>montant définitif</w:t>
      </w:r>
      <w:r>
        <w:rPr>
          <w:noProof/>
        </w:rPr>
        <w:t xml:space="preserve"> de la correction britannique </w:t>
      </w:r>
      <w:r>
        <w:rPr>
          <w:i/>
          <w:noProof/>
        </w:rPr>
        <w:t>pour 2011</w:t>
      </w:r>
      <w:r>
        <w:rPr>
          <w:noProof/>
        </w:rPr>
        <w:t xml:space="preserve">. </w:t>
      </w:r>
    </w:p>
    <w:p>
      <w:pPr>
        <w:spacing w:before="120" w:after="120"/>
        <w:jc w:val="both"/>
        <w:rPr>
          <w:noProof/>
        </w:rPr>
      </w:pPr>
      <w:r>
        <w:rPr>
          <w:noProof/>
        </w:rPr>
        <w:t xml:space="preserve">La mise à jour des corrections pour 2011, 2012 et 2013 résulte essentiellement de la mise à jour des assiettes TVA et RNB communiquées par les États membres à l’automne 2014 (calcul des soldes TVA/RNB). L’augmentation des versements «RNB» du Royaume-Uni pour les exercices 2011-2013 est en partie compensée par les corrections en faveur du Royaume-Uni (l’«avantage du Royaume-Uni»). </w:t>
      </w:r>
    </w:p>
    <w:p>
      <w:pPr>
        <w:spacing w:before="120" w:after="120"/>
        <w:jc w:val="both"/>
        <w:rPr>
          <w:noProof/>
        </w:rPr>
      </w:pPr>
      <w:r>
        <w:rPr>
          <w:noProof/>
        </w:rPr>
        <w:t xml:space="preserve">Le tableau ci-après résume les mises à jour des corrections de la période 2011-2014 incluses dans le présent projet de budget rectificatif. </w:t>
      </w:r>
    </w:p>
    <w:p>
      <w:pPr>
        <w:spacing w:before="120" w:after="120"/>
        <w:jc w:val="both"/>
        <w:rPr>
          <w:noProof/>
        </w:rPr>
      </w:pPr>
      <w:r>
        <w:rPr>
          <w:noProof/>
        </w:rPr>
        <w:pict>
          <v:shape id="_x0000_i1026" type="#_x0000_t75" style="width:493.5pt;height:382.5pt">
            <v:imagedata r:id="rId29" o:title=""/>
          </v:shape>
        </w:pict>
      </w:r>
    </w:p>
    <w:p>
      <w:pPr>
        <w:spacing w:before="120" w:after="120"/>
        <w:jc w:val="both"/>
        <w:rPr>
          <w:noProof/>
        </w:rPr>
      </w:pPr>
    </w:p>
    <w:p>
      <w:pPr>
        <w:spacing w:before="120" w:after="120"/>
        <w:jc w:val="both"/>
        <w:rPr>
          <w:b/>
          <w:bCs/>
          <w:noProof/>
          <w:szCs w:val="28"/>
        </w:rPr>
      </w:pPr>
      <w:r>
        <w:rPr>
          <w:noProof/>
        </w:rPr>
        <w:br w:type="page"/>
      </w:r>
      <w:bookmarkStart w:id="51" w:name="_Toc231879705"/>
      <w:r>
        <w:rPr>
          <w:b/>
          <w:noProof/>
        </w:rPr>
        <w:t>2.3.2.1</w:t>
      </w:r>
      <w:r>
        <w:rPr>
          <w:noProof/>
        </w:rPr>
        <w:tab/>
      </w:r>
      <w:r>
        <w:rPr>
          <w:b/>
          <w:noProof/>
        </w:rPr>
        <w:t>Correction britannique 2014</w:t>
      </w:r>
    </w:p>
    <w:bookmarkEnd w:id="51"/>
    <w:p>
      <w:pPr>
        <w:spacing w:before="120" w:after="120"/>
        <w:jc w:val="both"/>
        <w:rPr>
          <w:noProof/>
        </w:rPr>
      </w:pPr>
      <w:r>
        <w:rPr>
          <w:noProof/>
        </w:rPr>
        <w:t xml:space="preserve">Le tableau ci-après résume les différences entre le </w:t>
      </w:r>
      <w:r>
        <w:rPr>
          <w:i/>
          <w:noProof/>
        </w:rPr>
        <w:t>montant provisoire</w:t>
      </w:r>
      <w:r>
        <w:rPr>
          <w:noProof/>
        </w:rPr>
        <w:t xml:space="preserve"> de la correction britannique pour 2014 figurant dans le budget 2015 et la </w:t>
      </w:r>
      <w:r>
        <w:rPr>
          <w:i/>
          <w:noProof/>
        </w:rPr>
        <w:t>1</w:t>
      </w:r>
      <w:r>
        <w:rPr>
          <w:i/>
          <w:noProof/>
          <w:vertAlign w:val="superscript"/>
        </w:rPr>
        <w:t>re</w:t>
      </w:r>
      <w:r>
        <w:rPr>
          <w:i/>
          <w:noProof/>
        </w:rPr>
        <w:t xml:space="preserve"> mise à jour</w:t>
      </w:r>
      <w:r>
        <w:rPr>
          <w:noProof/>
        </w:rPr>
        <w:t xml:space="preserve"> de la correction britannique pour 2014 à inscrire dans le PBR n° 6/2015.</w:t>
      </w:r>
    </w:p>
    <w:tbl>
      <w:tblPr>
        <w:tblW w:w="9135" w:type="dxa"/>
        <w:tblInd w:w="93" w:type="dxa"/>
        <w:tblLayout w:type="fixed"/>
        <w:tblLook w:val="0000" w:firstRow="0" w:lastRow="0" w:firstColumn="0" w:lastColumn="0" w:noHBand="0" w:noVBand="0"/>
      </w:tblPr>
      <w:tblGrid>
        <w:gridCol w:w="550"/>
        <w:gridCol w:w="3185"/>
        <w:gridCol w:w="1800"/>
        <w:gridCol w:w="1800"/>
        <w:gridCol w:w="1800"/>
      </w:tblGrid>
      <w:tr>
        <w:trPr>
          <w:trHeight w:val="727"/>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2014</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Correction britannique 2014</w:t>
            </w:r>
          </w:p>
          <w:p>
            <w:pPr>
              <w:autoSpaceDE w:val="0"/>
              <w:autoSpaceDN w:val="0"/>
              <w:adjustRightInd w:val="0"/>
              <w:jc w:val="center"/>
              <w:rPr>
                <w:noProof/>
                <w:color w:val="000000"/>
                <w:sz w:val="20"/>
                <w:szCs w:val="20"/>
              </w:rPr>
            </w:pPr>
            <w:r>
              <w:rPr>
                <w:b/>
                <w:noProof/>
                <w:color w:val="000000"/>
                <w:sz w:val="20"/>
              </w:rPr>
              <w:t>MONTANT PROVISOIRE</w:t>
            </w:r>
          </w:p>
          <w:p>
            <w:pPr>
              <w:autoSpaceDE w:val="0"/>
              <w:autoSpaceDN w:val="0"/>
              <w:adjustRightInd w:val="0"/>
              <w:jc w:val="center"/>
              <w:rPr>
                <w:noProof/>
                <w:color w:val="000000"/>
                <w:sz w:val="20"/>
                <w:szCs w:val="20"/>
              </w:rPr>
            </w:pPr>
            <w:r>
              <w:rPr>
                <w:noProof/>
                <w:color w:val="000000"/>
                <w:sz w:val="20"/>
              </w:rPr>
              <w:t>Budget 2015</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szCs w:val="20"/>
              </w:rPr>
            </w:pPr>
            <w:r>
              <w:rPr>
                <w:b/>
                <w:noProof/>
                <w:color w:val="000000"/>
                <w:sz w:val="20"/>
              </w:rPr>
              <w:t>Correction britannique 2014</w:t>
            </w:r>
          </w:p>
          <w:p>
            <w:pPr>
              <w:autoSpaceDE w:val="0"/>
              <w:autoSpaceDN w:val="0"/>
              <w:adjustRightInd w:val="0"/>
              <w:jc w:val="center"/>
              <w:rPr>
                <w:b/>
                <w:bCs/>
                <w:noProof/>
                <w:color w:val="000000"/>
                <w:sz w:val="20"/>
                <w:szCs w:val="20"/>
              </w:rPr>
            </w:pPr>
            <w:r>
              <w:rPr>
                <w:b/>
                <w:noProof/>
                <w:color w:val="000000"/>
                <w:sz w:val="20"/>
              </w:rPr>
              <w:t>1</w:t>
            </w:r>
            <w:r>
              <w:rPr>
                <w:b/>
                <w:noProof/>
                <w:color w:val="000000"/>
                <w:sz w:val="20"/>
                <w:vertAlign w:val="superscript"/>
              </w:rPr>
              <w:t>re</w:t>
            </w:r>
            <w:r>
              <w:rPr>
                <w:b/>
                <w:noProof/>
                <w:color w:val="000000"/>
                <w:sz w:val="20"/>
              </w:rPr>
              <w:t xml:space="preserve"> MISE À JOUR</w:t>
            </w:r>
          </w:p>
          <w:p>
            <w:pPr>
              <w:autoSpaceDE w:val="0"/>
              <w:autoSpaceDN w:val="0"/>
              <w:adjustRightInd w:val="0"/>
              <w:jc w:val="center"/>
              <w:rPr>
                <w:noProof/>
                <w:color w:val="000000"/>
                <w:sz w:val="20"/>
                <w:szCs w:val="20"/>
              </w:rPr>
            </w:pPr>
            <w:r>
              <w:rPr>
                <w:noProof/>
                <w:color w:val="000000"/>
                <w:sz w:val="20"/>
              </w:rPr>
              <w:t>PBR 6/2015</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szCs w:val="20"/>
              </w:rPr>
            </w:pPr>
            <w:r>
              <w:rPr>
                <w:b/>
                <w:i/>
                <w:noProof/>
                <w:color w:val="000000"/>
                <w:sz w:val="20"/>
              </w:rPr>
              <w:t>Différence</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l’assiette TVA non écrêtée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16,2167 %</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17,7333%</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+1,5167%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5,9238 %</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7,3956%</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+1,4719%</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10,2929 %</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10,3377%</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+0,0448%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126 118 882 798</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128 742 225 549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+ 2 623 342 751</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l'élargissement</w:t>
            </w:r>
            <w:r>
              <w:rPr>
                <w:noProof/>
              </w:rPr>
              <w:t xml:space="preserve">                                                                                                            </w:t>
            </w:r>
            <w:r>
              <w:rPr>
                <w:noProof/>
                <w:sz w:val="20"/>
              </w:rPr>
              <w:t>= (5a) + (5b)</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29 283 982 122</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33 471 514 270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+ 4 187 532 148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29 283 982 122</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33 471 514 270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+ 4 496 305 620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96 834 900 676</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95 270 711 279</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-1 564 189 397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6 578 286 401</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6 500 187 311</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-78 099 090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1 119 838 248</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1 992 582 801</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+872 744 553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5 458 448 153</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4 507 604 510</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-950 843 643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25 084 566</w:t>
            </w:r>
          </w:p>
        </w:tc>
        <w:tc>
          <w:tcPr>
            <w:tcW w:w="180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-36 554 387</w:t>
            </w:r>
          </w:p>
        </w:tc>
        <w:tc>
          <w:tcPr>
            <w:tcW w:w="180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-61 638 953</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5 433 363 587</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szCs w:val="20"/>
              </w:rPr>
              <w:t>4 544 158 897</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szCs w:val="20"/>
              </w:rPr>
              <w:t>-889 204 690</w:t>
            </w:r>
          </w:p>
        </w:tc>
      </w:tr>
    </w:tbl>
    <w:p>
      <w:pPr>
        <w:tabs>
          <w:tab w:val="num" w:pos="851"/>
        </w:tabs>
        <w:spacing w:before="120" w:after="120"/>
        <w:jc w:val="both"/>
        <w:rPr>
          <w:noProof/>
        </w:rPr>
      </w:pPr>
      <w:r>
        <w:rPr>
          <w:noProof/>
        </w:rPr>
        <w:t xml:space="preserve">La </w:t>
      </w:r>
      <w:r>
        <w:rPr>
          <w:i/>
          <w:noProof/>
        </w:rPr>
        <w:t>1</w:t>
      </w:r>
      <w:r>
        <w:rPr>
          <w:i/>
          <w:noProof/>
          <w:vertAlign w:val="superscript"/>
        </w:rPr>
        <w:t>re</w:t>
      </w:r>
      <w:r>
        <w:rPr>
          <w:i/>
          <w:noProof/>
        </w:rPr>
        <w:t xml:space="preserve"> mise à jour</w:t>
      </w:r>
      <w:r>
        <w:rPr>
          <w:noProof/>
        </w:rPr>
        <w:t xml:space="preserve"> de la correction britannique pour 2014 est inférieure de 889 millions d'EUR au </w:t>
      </w:r>
      <w:r>
        <w:rPr>
          <w:i/>
          <w:noProof/>
        </w:rPr>
        <w:t>montant provisoire</w:t>
      </w:r>
      <w:r>
        <w:rPr>
          <w:noProof/>
        </w:rPr>
        <w:t xml:space="preserve"> de la correction pour 2014 figurant dans le budget 2015.</w:t>
      </w:r>
    </w:p>
    <w:p>
      <w:pPr>
        <w:tabs>
          <w:tab w:val="num" w:pos="851"/>
        </w:tabs>
        <w:spacing w:before="120" w:after="120"/>
        <w:jc w:val="both"/>
        <w:rPr>
          <w:b/>
          <w:bCs/>
          <w:noProof/>
          <w:szCs w:val="28"/>
        </w:rPr>
      </w:pPr>
      <w:r>
        <w:rPr>
          <w:b/>
          <w:noProof/>
        </w:rPr>
        <w:t>2.3.2.2</w:t>
      </w:r>
      <w:r>
        <w:rPr>
          <w:noProof/>
        </w:rPr>
        <w:tab/>
      </w:r>
      <w:r>
        <w:rPr>
          <w:b/>
          <w:noProof/>
        </w:rPr>
        <w:t>Correction britannique 2013</w:t>
      </w:r>
    </w:p>
    <w:p>
      <w:pPr>
        <w:spacing w:before="120" w:after="360"/>
        <w:jc w:val="both"/>
        <w:rPr>
          <w:noProof/>
        </w:rPr>
      </w:pPr>
      <w:r>
        <w:rPr>
          <w:noProof/>
        </w:rPr>
        <w:t xml:space="preserve">Le tableau ci-après résume les différences entre la </w:t>
      </w:r>
      <w:r>
        <w:rPr>
          <w:i/>
          <w:noProof/>
        </w:rPr>
        <w:t>1</w:t>
      </w:r>
      <w:r>
        <w:rPr>
          <w:i/>
          <w:noProof/>
          <w:vertAlign w:val="superscript"/>
        </w:rPr>
        <w:t>re</w:t>
      </w:r>
      <w:r>
        <w:rPr>
          <w:noProof/>
        </w:rPr>
        <w:t xml:space="preserve"> </w:t>
      </w:r>
      <w:r>
        <w:rPr>
          <w:i/>
          <w:noProof/>
        </w:rPr>
        <w:t>mise à jour</w:t>
      </w:r>
      <w:r>
        <w:rPr>
          <w:noProof/>
        </w:rPr>
        <w:t xml:space="preserve"> de la correction britannique pour 2013 figurant dans le BR nº 3/2014 et la </w:t>
      </w:r>
      <w:r>
        <w:rPr>
          <w:i/>
          <w:noProof/>
        </w:rPr>
        <w:t>2</w:t>
      </w:r>
      <w:r>
        <w:rPr>
          <w:i/>
          <w:noProof/>
          <w:vertAlign w:val="superscript"/>
        </w:rPr>
        <w:t>e</w:t>
      </w:r>
      <w:r>
        <w:rPr>
          <w:i/>
          <w:noProof/>
        </w:rPr>
        <w:t xml:space="preserve"> mise à jour</w:t>
      </w:r>
      <w:r>
        <w:rPr>
          <w:noProof/>
        </w:rPr>
        <w:t xml:space="preserve"> de la correction pour 2013 à inscrire dans le PBR nº 6/2015.</w:t>
      </w:r>
    </w:p>
    <w:tbl>
      <w:tblPr>
        <w:tblW w:w="9135" w:type="dxa"/>
        <w:tblInd w:w="93" w:type="dxa"/>
        <w:tblLayout w:type="fixed"/>
        <w:tblLook w:val="0000" w:firstRow="0" w:lastRow="0" w:firstColumn="0" w:lastColumn="0" w:noHBand="0" w:noVBand="0"/>
      </w:tblPr>
      <w:tblGrid>
        <w:gridCol w:w="550"/>
        <w:gridCol w:w="3185"/>
        <w:gridCol w:w="1800"/>
        <w:gridCol w:w="1680"/>
        <w:gridCol w:w="1920"/>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2013</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szCs w:val="20"/>
              </w:rPr>
            </w:pPr>
            <w:r>
              <w:rPr>
                <w:b/>
                <w:noProof/>
                <w:sz w:val="20"/>
              </w:rPr>
              <w:t>Correction britannique 2013</w:t>
            </w:r>
            <w:r>
              <w:rPr>
                <w:noProof/>
              </w:rPr>
              <w:t xml:space="preserve"> </w:t>
            </w:r>
            <w:r>
              <w:rPr>
                <w:b/>
                <w:noProof/>
                <w:sz w:val="20"/>
              </w:rPr>
              <w:t>1</w:t>
            </w:r>
            <w:r>
              <w:rPr>
                <w:b/>
                <w:noProof/>
                <w:sz w:val="20"/>
                <w:vertAlign w:val="superscript"/>
              </w:rPr>
              <w:t>re</w:t>
            </w:r>
            <w:r>
              <w:rPr>
                <w:b/>
                <w:noProof/>
                <w:sz w:val="20"/>
              </w:rPr>
              <w:t xml:space="preserve"> MISE À JOUR BR 3/2014</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szCs w:val="20"/>
              </w:rPr>
            </w:pPr>
            <w:r>
              <w:rPr>
                <w:b/>
                <w:noProof/>
                <w:sz w:val="20"/>
              </w:rPr>
              <w:t>Correction britannique 2013</w:t>
            </w:r>
            <w:r>
              <w:rPr>
                <w:noProof/>
              </w:rPr>
              <w:t xml:space="preserve"> </w:t>
            </w:r>
            <w:r>
              <w:rPr>
                <w:b/>
                <w:noProof/>
                <w:sz w:val="20"/>
              </w:rPr>
              <w:t>2</w:t>
            </w:r>
            <w:r>
              <w:rPr>
                <w:b/>
                <w:noProof/>
                <w:sz w:val="20"/>
                <w:vertAlign w:val="superscript"/>
              </w:rPr>
              <w:t>e</w:t>
            </w:r>
            <w:r>
              <w:rPr>
                <w:b/>
                <w:noProof/>
                <w:sz w:val="20"/>
              </w:rPr>
              <w:t xml:space="preserve"> MISE À JOUR</w:t>
            </w:r>
            <w:r>
              <w:rPr>
                <w:noProof/>
              </w:rPr>
              <w:t xml:space="preserve"> </w:t>
            </w:r>
            <w:r>
              <w:rPr>
                <w:b/>
                <w:noProof/>
                <w:sz w:val="20"/>
              </w:rPr>
              <w:t>PBR 6/2015</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rPr>
              <w:t>Différence</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l’assiette TVA non écrêtée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15,5861 %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16,0378%</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+0,4517%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6,1166 %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6,0959%</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-0,0208%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9,4694 %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9,9418%</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+0,4724%</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134 675 970 767</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134 745 129 775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+69 159 007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l'élargissement</w:t>
            </w:r>
            <w:r>
              <w:rPr>
                <w:noProof/>
              </w:rPr>
              <w:t xml:space="preserve">                                                                                                           </w:t>
            </w:r>
            <w:r>
              <w:rPr>
                <w:noProof/>
                <w:sz w:val="20"/>
              </w:rPr>
              <w:t>= (5a) + (5b)</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31 337 201 043</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-48 605 228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31 337 201 043</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-48 605 228</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103 338 769 725</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103 456 533 960</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+117 764 235</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6 458 490 768</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6 788 418 578</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+329 927 810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883 513 735</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846 456 483</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-37 057 252</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5 574 977 032</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5 941 962 095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+366 985 063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32 794 702</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szCs w:val="20"/>
              </w:rPr>
              <w:t>18 914 477</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szCs w:val="20"/>
              </w:rPr>
              <w:t>-13 880 225</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5 542 182 331</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szCs w:val="20"/>
              </w:rPr>
              <w:t>5 923 047 619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szCs w:val="20"/>
              </w:rPr>
              <w:t>+380 865 288</w:t>
            </w:r>
          </w:p>
        </w:tc>
      </w:tr>
    </w:tbl>
    <w:p>
      <w:pPr>
        <w:spacing w:before="360" w:after="120"/>
        <w:jc w:val="both"/>
        <w:rPr>
          <w:noProof/>
        </w:rPr>
      </w:pPr>
      <w:r>
        <w:rPr>
          <w:noProof/>
        </w:rPr>
        <w:t xml:space="preserve">La </w:t>
      </w:r>
      <w:r>
        <w:rPr>
          <w:i/>
          <w:noProof/>
        </w:rPr>
        <w:t>2</w:t>
      </w:r>
      <w:r>
        <w:rPr>
          <w:i/>
          <w:noProof/>
          <w:vertAlign w:val="superscript"/>
        </w:rPr>
        <w:t xml:space="preserve">e </w:t>
      </w:r>
      <w:r>
        <w:rPr>
          <w:i/>
          <w:noProof/>
        </w:rPr>
        <w:t>mise à jour</w:t>
      </w:r>
      <w:r>
        <w:rPr>
          <w:noProof/>
        </w:rPr>
        <w:t xml:space="preserve"> de la correction britannique pour 2013 est supérieure de 381 millions d’EUR à la 1</w:t>
      </w:r>
      <w:r>
        <w:rPr>
          <w:noProof/>
          <w:vertAlign w:val="superscript"/>
        </w:rPr>
        <w:t>e</w:t>
      </w:r>
      <w:r>
        <w:rPr>
          <w:noProof/>
        </w:rPr>
        <w:t> </w:t>
      </w:r>
      <w:r>
        <w:rPr>
          <w:i/>
          <w:noProof/>
        </w:rPr>
        <w:t>mise à jour</w:t>
      </w:r>
      <w:r>
        <w:rPr>
          <w:noProof/>
        </w:rPr>
        <w:t xml:space="preserve"> de la correction pour 2013 figurant dans le BR nº 3/2014 en raison des mises à jour des assiettes TVA et RNB communiquées par les États membres à l’automne 2014 (calcul des soldes TVA/RNB).</w:t>
      </w:r>
    </w:p>
    <w:p>
      <w:pPr>
        <w:keepNext/>
        <w:numPr>
          <w:ilvl w:val="3"/>
          <w:numId w:val="0"/>
        </w:numPr>
        <w:tabs>
          <w:tab w:val="num" w:pos="851"/>
        </w:tabs>
        <w:spacing w:before="120" w:after="120"/>
        <w:ind w:left="851" w:hanging="851"/>
        <w:jc w:val="both"/>
        <w:outlineLvl w:val="3"/>
        <w:rPr>
          <w:b/>
          <w:bCs/>
          <w:noProof/>
          <w:szCs w:val="28"/>
        </w:rPr>
      </w:pPr>
      <w:bookmarkStart w:id="52" w:name="_Toc231879707"/>
      <w:r>
        <w:rPr>
          <w:b/>
          <w:noProof/>
        </w:rPr>
        <w:t>2.3.2.3</w:t>
      </w:r>
      <w:r>
        <w:rPr>
          <w:noProof/>
        </w:rPr>
        <w:tab/>
      </w:r>
      <w:r>
        <w:rPr>
          <w:b/>
          <w:noProof/>
        </w:rPr>
        <w:t>Correction britannique 2012</w:t>
      </w:r>
      <w:bookmarkEnd w:id="52"/>
    </w:p>
    <w:p>
      <w:pPr>
        <w:spacing w:before="120" w:after="120"/>
        <w:jc w:val="both"/>
        <w:rPr>
          <w:noProof/>
        </w:rPr>
      </w:pPr>
      <w:r>
        <w:rPr>
          <w:noProof/>
        </w:rPr>
        <w:t xml:space="preserve">Le tableau ci-après résume les différences entre la </w:t>
      </w:r>
      <w:r>
        <w:rPr>
          <w:i/>
          <w:noProof/>
        </w:rPr>
        <w:t>1</w:t>
      </w:r>
      <w:r>
        <w:rPr>
          <w:i/>
          <w:noProof/>
          <w:vertAlign w:val="superscript"/>
        </w:rPr>
        <w:t>re</w:t>
      </w:r>
      <w:r>
        <w:rPr>
          <w:i/>
          <w:noProof/>
        </w:rPr>
        <w:t xml:space="preserve"> mise à jour</w:t>
      </w:r>
      <w:r>
        <w:rPr>
          <w:noProof/>
        </w:rPr>
        <w:t xml:space="preserve"> de la correction britannique pour 2012 figurant dans le BR nº 6/2013 et la </w:t>
      </w:r>
      <w:r>
        <w:rPr>
          <w:i/>
          <w:noProof/>
        </w:rPr>
        <w:t>3</w:t>
      </w:r>
      <w:r>
        <w:rPr>
          <w:i/>
          <w:noProof/>
          <w:vertAlign w:val="superscript"/>
        </w:rPr>
        <w:t>e</w:t>
      </w:r>
      <w:r>
        <w:rPr>
          <w:i/>
          <w:noProof/>
        </w:rPr>
        <w:t xml:space="preserve"> mise à jour</w:t>
      </w:r>
      <w:r>
        <w:rPr>
          <w:noProof/>
        </w:rPr>
        <w:t xml:space="preserve"> de la correction pour 2012 à inscrire dans le PBR nº 6/2015.</w:t>
      </w:r>
    </w:p>
    <w:tbl>
      <w:tblPr>
        <w:tblW w:w="9135" w:type="dxa"/>
        <w:tblInd w:w="93" w:type="dxa"/>
        <w:tblLayout w:type="fixed"/>
        <w:tblLook w:val="0000" w:firstRow="0" w:lastRow="0" w:firstColumn="0" w:lastColumn="0" w:noHBand="0" w:noVBand="0"/>
      </w:tblPr>
      <w:tblGrid>
        <w:gridCol w:w="550"/>
        <w:gridCol w:w="3185"/>
        <w:gridCol w:w="1800"/>
        <w:gridCol w:w="1680"/>
        <w:gridCol w:w="1920"/>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2012</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szCs w:val="20"/>
              </w:rPr>
            </w:pPr>
            <w:r>
              <w:rPr>
                <w:b/>
                <w:noProof/>
                <w:sz w:val="20"/>
              </w:rPr>
              <w:t>Correction britannique 2012</w:t>
            </w:r>
            <w:r>
              <w:rPr>
                <w:noProof/>
              </w:rPr>
              <w:t xml:space="preserve"> </w:t>
            </w:r>
            <w:r>
              <w:rPr>
                <w:b/>
                <w:noProof/>
                <w:sz w:val="20"/>
              </w:rPr>
              <w:t>1</w:t>
            </w:r>
            <w:r>
              <w:rPr>
                <w:b/>
                <w:noProof/>
                <w:sz w:val="20"/>
                <w:vertAlign w:val="superscript"/>
              </w:rPr>
              <w:t>re</w:t>
            </w:r>
            <w:r>
              <w:rPr>
                <w:b/>
                <w:noProof/>
                <w:sz w:val="20"/>
              </w:rPr>
              <w:t xml:space="preserve"> MISE À JOUR BR 6/2013</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szCs w:val="20"/>
              </w:rPr>
            </w:pPr>
            <w:r>
              <w:rPr>
                <w:b/>
                <w:noProof/>
                <w:sz w:val="20"/>
              </w:rPr>
              <w:t>Correction britannique 2012</w:t>
            </w:r>
            <w:r>
              <w:rPr>
                <w:noProof/>
              </w:rPr>
              <w:t xml:space="preserve"> </w:t>
            </w:r>
            <w:r>
              <w:rPr>
                <w:b/>
                <w:noProof/>
                <w:sz w:val="20"/>
              </w:rPr>
              <w:t>3</w:t>
            </w:r>
            <w:r>
              <w:rPr>
                <w:b/>
                <w:noProof/>
                <w:sz w:val="20"/>
                <w:vertAlign w:val="superscript"/>
              </w:rPr>
              <w:t>e</w:t>
            </w:r>
            <w:r>
              <w:rPr>
                <w:b/>
                <w:noProof/>
                <w:sz w:val="20"/>
              </w:rPr>
              <w:t xml:space="preserve"> MISE À JOUR</w:t>
            </w:r>
            <w:r>
              <w:rPr>
                <w:noProof/>
              </w:rPr>
              <w:t xml:space="preserve"> </w:t>
            </w:r>
            <w:r>
              <w:rPr>
                <w:b/>
                <w:noProof/>
                <w:sz w:val="20"/>
              </w:rPr>
              <w:t>PBR 6/2015</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rPr>
              <w:t>Différence</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l’assiette TVA non écrêtée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16,2252 %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16,1345 %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-0,0907 %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7,2419 %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7,2358 %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-0,0060 %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8,9834 %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8,8987 %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-0,0847 %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125 988 772 407</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126 017 496 941</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+28 724 533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l'élargissement</w:t>
            </w:r>
            <w:r>
              <w:rPr>
                <w:noProof/>
              </w:rPr>
              <w:t xml:space="preserve">                                                                                                           </w:t>
            </w:r>
            <w:r>
              <w:rPr>
                <w:noProof/>
                <w:sz w:val="20"/>
              </w:rPr>
              <w:t>= (5a) + (5b)</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30 204 999 085</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30 151 705 809</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-53 293 276</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3 079 384 770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3 084 631 771</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+5 247 001</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27 125 614 315</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27 067 074 038</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-58 540 277</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95 783 773 323</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95 865 791 132</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+82 017 809</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+5 679 045 800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5 630 330 443</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-48 715 357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1 038 296 680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474 388 884</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-563 907 796</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4 640 749 120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5 155 941 559</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+515 192 438</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9 347 792</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 xml:space="preserve"> 12 333 175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+2 985 383</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4 631 401 328</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5 143 608 383</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+512 207 055</w:t>
            </w:r>
          </w:p>
        </w:tc>
      </w:tr>
    </w:tbl>
    <w:p>
      <w:pPr>
        <w:spacing w:before="120" w:after="120"/>
        <w:jc w:val="both"/>
        <w:rPr>
          <w:noProof/>
        </w:rPr>
      </w:pPr>
      <w:r>
        <w:rPr>
          <w:noProof/>
        </w:rPr>
        <w:t xml:space="preserve">La </w:t>
      </w:r>
      <w:r>
        <w:rPr>
          <w:i/>
          <w:noProof/>
        </w:rPr>
        <w:t>3</w:t>
      </w:r>
      <w:r>
        <w:rPr>
          <w:i/>
          <w:noProof/>
          <w:vertAlign w:val="superscript"/>
        </w:rPr>
        <w:t xml:space="preserve">e </w:t>
      </w:r>
      <w:r>
        <w:rPr>
          <w:i/>
          <w:noProof/>
        </w:rPr>
        <w:t>mise à jour</w:t>
      </w:r>
      <w:r>
        <w:rPr>
          <w:noProof/>
        </w:rPr>
        <w:t xml:space="preserve"> de la correction britannique pour 2012 est supérieure de 512 millions d’EUR à la </w:t>
      </w:r>
      <w:r>
        <w:rPr>
          <w:i/>
          <w:noProof/>
        </w:rPr>
        <w:t>1</w:t>
      </w:r>
      <w:r>
        <w:rPr>
          <w:i/>
          <w:noProof/>
          <w:vertAlign w:val="superscript"/>
        </w:rPr>
        <w:t>e</w:t>
      </w:r>
      <w:r>
        <w:rPr>
          <w:i/>
          <w:noProof/>
        </w:rPr>
        <w:t> mise à jour</w:t>
      </w:r>
      <w:r>
        <w:rPr>
          <w:noProof/>
        </w:rPr>
        <w:t xml:space="preserve"> de la correction pour 2012 figurant dans le BR nº 6/2013 en raison des mises à jour des assiettes TVA et RNB communiquées par les États membres à l’automne 2014 (calcul des soldes TVA/RNB). </w:t>
      </w:r>
    </w:p>
    <w:p>
      <w:pPr>
        <w:spacing w:before="120" w:after="120"/>
        <w:jc w:val="both"/>
        <w:rPr>
          <w:noProof/>
        </w:rPr>
      </w:pPr>
      <w:r>
        <w:rPr>
          <w:noProof/>
        </w:rPr>
        <w:t>En ce qui concerne la correction britannique pour 2012, la différence entre le montant initial prévu dans la décision relative aux ressources propres (RP) de 2000 et celui prévu dans la décision RP de 2007 s'élève à 2 561,5 millions d’EUR aux prix de 2004 et à 2 882,3 millions d’EUR aux prix courants.</w:t>
      </w:r>
    </w:p>
    <w:p>
      <w:pPr>
        <w:keepNext/>
        <w:numPr>
          <w:ilvl w:val="3"/>
          <w:numId w:val="0"/>
        </w:numPr>
        <w:tabs>
          <w:tab w:val="num" w:pos="851"/>
        </w:tabs>
        <w:spacing w:before="120" w:after="120"/>
        <w:ind w:left="851" w:hanging="851"/>
        <w:jc w:val="both"/>
        <w:outlineLvl w:val="3"/>
        <w:rPr>
          <w:b/>
          <w:bCs/>
          <w:noProof/>
          <w:szCs w:val="28"/>
        </w:rPr>
      </w:pPr>
      <w:r>
        <w:rPr>
          <w:b/>
          <w:noProof/>
        </w:rPr>
        <w:t>2.3.2.4</w:t>
      </w:r>
      <w:r>
        <w:rPr>
          <w:noProof/>
        </w:rPr>
        <w:tab/>
      </w:r>
      <w:r>
        <w:rPr>
          <w:b/>
          <w:noProof/>
        </w:rPr>
        <w:t>Correction britannique 2011</w:t>
      </w:r>
    </w:p>
    <w:p>
      <w:pPr>
        <w:spacing w:before="120" w:after="120"/>
        <w:jc w:val="both"/>
        <w:rPr>
          <w:noProof/>
        </w:rPr>
      </w:pPr>
      <w:r>
        <w:rPr>
          <w:noProof/>
        </w:rPr>
        <w:t xml:space="preserve">Le tableau ci-après résume les différences entre la </w:t>
      </w:r>
      <w:r>
        <w:rPr>
          <w:i/>
          <w:noProof/>
        </w:rPr>
        <w:t>3</w:t>
      </w:r>
      <w:r>
        <w:rPr>
          <w:i/>
          <w:noProof/>
          <w:vertAlign w:val="superscript"/>
        </w:rPr>
        <w:t xml:space="preserve">e </w:t>
      </w:r>
      <w:r>
        <w:rPr>
          <w:i/>
          <w:noProof/>
        </w:rPr>
        <w:t xml:space="preserve">mise à jour </w:t>
      </w:r>
      <w:r>
        <w:rPr>
          <w:noProof/>
        </w:rPr>
        <w:t xml:space="preserve">de la correction britannique pour 2011 figurant dans le BR n° 3/2014 et le </w:t>
      </w:r>
      <w:r>
        <w:rPr>
          <w:i/>
          <w:noProof/>
        </w:rPr>
        <w:t>montant définitif</w:t>
      </w:r>
      <w:r>
        <w:rPr>
          <w:noProof/>
        </w:rPr>
        <w:t xml:space="preserve"> de la correction pour 2011 à inscrire dans le PBR n° 6/2015.</w:t>
      </w:r>
    </w:p>
    <w:tbl>
      <w:tblPr>
        <w:tblW w:w="9135" w:type="dxa"/>
        <w:tblInd w:w="93" w:type="dxa"/>
        <w:tblLayout w:type="fixed"/>
        <w:tblLook w:val="0000" w:firstRow="0" w:lastRow="0" w:firstColumn="0" w:lastColumn="0" w:noHBand="0" w:noVBand="0"/>
      </w:tblPr>
      <w:tblGrid>
        <w:gridCol w:w="550"/>
        <w:gridCol w:w="3185"/>
        <w:gridCol w:w="1800"/>
        <w:gridCol w:w="1680"/>
        <w:gridCol w:w="1920"/>
      </w:tblGrid>
      <w:tr>
        <w:trPr>
          <w:trHeight w:val="831"/>
          <w:tblHeader/>
        </w:trPr>
        <w:tc>
          <w:tcPr>
            <w:tcW w:w="550" w:type="dxa"/>
            <w:tcBorders>
              <w:top w:val="nil"/>
              <w:left w:val="nil"/>
              <w:bottom w:val="nil"/>
              <w:right w:val="nil"/>
            </w:tcBorders>
            <w:shd w:val="clear" w:color="auto" w:fill="auto"/>
            <w:noWrap/>
            <w:vAlign w:val="bottom"/>
          </w:tcPr>
          <w:p>
            <w:pPr>
              <w:rPr>
                <w:noProof/>
                <w:sz w:val="20"/>
                <w:szCs w:val="20"/>
                <w:highlight w:val="yellow"/>
              </w:rPr>
            </w:pPr>
          </w:p>
        </w:tc>
        <w:tc>
          <w:tcPr>
            <w:tcW w:w="3185" w:type="dxa"/>
            <w:tcBorders>
              <w:top w:val="nil"/>
              <w:left w:val="nil"/>
              <w:bottom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2011</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szCs w:val="20"/>
              </w:rPr>
            </w:pPr>
            <w:r>
              <w:rPr>
                <w:b/>
                <w:noProof/>
                <w:sz w:val="20"/>
              </w:rPr>
              <w:t>Correction britannique 2011</w:t>
            </w:r>
            <w:r>
              <w:rPr>
                <w:noProof/>
              </w:rPr>
              <w:t xml:space="preserve"> </w:t>
            </w:r>
            <w:r>
              <w:rPr>
                <w:b/>
                <w:noProof/>
                <w:sz w:val="20"/>
              </w:rPr>
              <w:t>3</w:t>
            </w:r>
            <w:r>
              <w:rPr>
                <w:b/>
                <w:noProof/>
                <w:sz w:val="20"/>
                <w:vertAlign w:val="superscript"/>
              </w:rPr>
              <w:t>e</w:t>
            </w:r>
            <w:r>
              <w:rPr>
                <w:b/>
                <w:noProof/>
                <w:sz w:val="20"/>
              </w:rPr>
              <w:t xml:space="preserve"> MISE À JOUR BR 3/2014</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szCs w:val="20"/>
              </w:rPr>
            </w:pPr>
            <w:r>
              <w:rPr>
                <w:b/>
                <w:noProof/>
                <w:sz w:val="20"/>
              </w:rPr>
              <w:t>Correction britannique 2011</w:t>
            </w:r>
            <w:r>
              <w:rPr>
                <w:noProof/>
              </w:rPr>
              <w:t xml:space="preserve"> </w:t>
            </w:r>
            <w:r>
              <w:rPr>
                <w:b/>
                <w:noProof/>
                <w:sz w:val="20"/>
              </w:rPr>
              <w:t>MONTANT DÉFINITIF</w:t>
            </w:r>
            <w:r>
              <w:rPr>
                <w:noProof/>
              </w:rPr>
              <w:t xml:space="preserve"> </w:t>
            </w:r>
            <w:r>
              <w:rPr>
                <w:b/>
                <w:noProof/>
                <w:sz w:val="20"/>
              </w:rPr>
              <w:t>PBR 6/2015</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szCs w:val="20"/>
              </w:rPr>
            </w:pPr>
            <w:r>
              <w:rPr>
                <w:b/>
                <w:i/>
                <w:noProof/>
                <w:sz w:val="20"/>
              </w:rPr>
              <w:t>Différence</w:t>
            </w:r>
          </w:p>
        </w:tc>
      </w:tr>
      <w:t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szCs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l’assiette TVA non écrêtée</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14,9811 %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14,9523 %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-0,0288 %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7,3021 %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7,3026 %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+0,0005 %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7,6790 %</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7,6497 %</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-0,0292 %</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116 702 674 481</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116 702 674 481</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l'élargissement</w:t>
            </w:r>
            <w:r>
              <w:rPr>
                <w:noProof/>
              </w:rPr>
              <w:t xml:space="preserve">                                                                                                           </w:t>
            </w:r>
            <w:r>
              <w:rPr>
                <w:noProof/>
                <w:sz w:val="20"/>
              </w:rPr>
              <w:t>= (5a) + (5b)</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26 831 341 733</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26 837 206 246</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3 040 714 610</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3 046 579 123</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23 790 627 123</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23 790 627 123</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0</w:t>
            </w:r>
          </w:p>
        </w:tc>
      </w:tr>
      <w:t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szCs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89 871 332 749</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89 865 468 236</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-5 864 513</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4 554 788 119</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4 537 145 502</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-17 642 617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358 708 861</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142 138 675</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-216 570 187</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4 196 079 257</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4 395 006 827</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+198 927 570</w:t>
            </w:r>
          </w:p>
        </w:tc>
      </w:tr>
      <w:tr>
        <w:tc>
          <w:tcPr>
            <w:tcW w:w="550" w:type="dxa"/>
            <w:tcBorders>
              <w:top w:val="nil"/>
              <w:left w:val="double" w:sz="6" w:space="0" w:color="auto"/>
              <w:bottom w:val="nil"/>
              <w:right w:val="nil"/>
            </w:tcBorders>
            <w:shd w:val="clear" w:color="auto" w:fill="auto"/>
            <w:noWrap/>
            <w:vAlign w:val="center"/>
          </w:tcPr>
          <w:p>
            <w:pPr>
              <w:jc w:val="center"/>
              <w:rPr>
                <w:noProof/>
                <w:sz w:val="20"/>
                <w:szCs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szCs w:val="20"/>
              </w:rPr>
            </w:pPr>
            <w:r>
              <w:rPr>
                <w:noProof/>
                <w:sz w:val="20"/>
              </w:rPr>
              <w:t>7 667 508</w:t>
            </w:r>
          </w:p>
        </w:tc>
        <w:tc>
          <w:tcPr>
            <w:tcW w:w="1680" w:type="dxa"/>
            <w:tcBorders>
              <w:top w:val="nil"/>
              <w:left w:val="nil"/>
              <w:bottom w:val="nil"/>
              <w:right w:val="double" w:sz="6" w:space="0" w:color="auto"/>
            </w:tcBorders>
            <w:shd w:val="clear" w:color="auto" w:fill="auto"/>
            <w:noWrap/>
            <w:vAlign w:val="center"/>
          </w:tcPr>
          <w:p>
            <w:pPr>
              <w:jc w:val="right"/>
              <w:rPr>
                <w:noProof/>
                <w:sz w:val="20"/>
                <w:szCs w:val="20"/>
              </w:rPr>
            </w:pPr>
            <w:r>
              <w:rPr>
                <w:noProof/>
                <w:sz w:val="20"/>
              </w:rPr>
              <w:t xml:space="preserve"> 8 632 837</w:t>
            </w:r>
          </w:p>
        </w:tc>
        <w:tc>
          <w:tcPr>
            <w:tcW w:w="1920" w:type="dxa"/>
            <w:tcBorders>
              <w:top w:val="nil"/>
              <w:left w:val="nil"/>
              <w:bottom w:val="nil"/>
              <w:right w:val="double" w:sz="6" w:space="0" w:color="auto"/>
            </w:tcBorders>
            <w:shd w:val="clear" w:color="auto" w:fill="auto"/>
            <w:noWrap/>
            <w:vAlign w:val="center"/>
          </w:tcPr>
          <w:p>
            <w:pPr>
              <w:jc w:val="right"/>
              <w:rPr>
                <w:i/>
                <w:noProof/>
                <w:sz w:val="20"/>
                <w:szCs w:val="20"/>
              </w:rPr>
            </w:pPr>
            <w:r>
              <w:rPr>
                <w:i/>
                <w:noProof/>
                <w:sz w:val="20"/>
              </w:rPr>
              <w:t>+956 329</w:t>
            </w:r>
          </w:p>
        </w:tc>
      </w:tr>
      <w:t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szCs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szCs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szCs w:val="20"/>
              </w:rPr>
            </w:pPr>
            <w:r>
              <w:rPr>
                <w:noProof/>
                <w:sz w:val="20"/>
              </w:rPr>
              <w:t>4 188 411 749</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szCs w:val="20"/>
              </w:rPr>
            </w:pPr>
            <w:r>
              <w:rPr>
                <w:noProof/>
                <w:sz w:val="20"/>
              </w:rPr>
              <w:t>4 386 373 990</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szCs w:val="20"/>
              </w:rPr>
            </w:pPr>
            <w:r>
              <w:rPr>
                <w:i/>
                <w:noProof/>
                <w:sz w:val="20"/>
              </w:rPr>
              <w:t>+197 962 241</w:t>
            </w:r>
          </w:p>
        </w:tc>
      </w:tr>
    </w:tbl>
    <w:p>
      <w:pPr>
        <w:spacing w:before="120" w:after="120"/>
        <w:jc w:val="both"/>
        <w:rPr>
          <w:noProof/>
        </w:rPr>
      </w:pPr>
      <w:r>
        <w:rPr>
          <w:noProof/>
        </w:rPr>
        <w:t xml:space="preserve">Le </w:t>
      </w:r>
      <w:r>
        <w:rPr>
          <w:i/>
          <w:noProof/>
        </w:rPr>
        <w:t>montant définitif</w:t>
      </w:r>
      <w:r>
        <w:rPr>
          <w:noProof/>
        </w:rPr>
        <w:t xml:space="preserve"> de la correction britannique pour 2011 est supérieur de 198 millions d’EUR à la </w:t>
      </w:r>
      <w:r>
        <w:rPr>
          <w:i/>
          <w:noProof/>
        </w:rPr>
        <w:t>3</w:t>
      </w:r>
      <w:r>
        <w:rPr>
          <w:i/>
          <w:noProof/>
          <w:vertAlign w:val="superscript"/>
        </w:rPr>
        <w:t>e</w:t>
      </w:r>
      <w:r>
        <w:rPr>
          <w:i/>
          <w:noProof/>
        </w:rPr>
        <w:t xml:space="preserve"> mise à jour</w:t>
      </w:r>
      <w:r>
        <w:rPr>
          <w:noProof/>
        </w:rPr>
        <w:t xml:space="preserve"> de la correction britannique pour 2011 figurant dans le BR nº 3/2014 en raison des mises à jour des assiettes TVA et RNB communiquées par les États membres à l’automne 2014 (calcul des soldes TVA/RNB).</w:t>
      </w:r>
    </w:p>
    <w:p>
      <w:pPr>
        <w:spacing w:before="120" w:after="120"/>
        <w:jc w:val="both"/>
        <w:rPr>
          <w:noProof/>
        </w:rPr>
      </w:pPr>
      <w:r>
        <w:rPr>
          <w:noProof/>
        </w:rPr>
        <w:t>En ce qui concerne la correction britannique pour 2011, la différence entre le montant initial prévu dans la décision relative aux ressources propres (RP) de 2000 et celui prévu dans la décision RP de 2007 s'élève à 2 137,0 millions d’EUR aux prix de 2004 et à 2 347,8 millions d’EUR aux prix courants.</w:t>
      </w:r>
    </w:p>
    <w:p>
      <w:pPr>
        <w:keepNext/>
        <w:numPr>
          <w:ilvl w:val="3"/>
          <w:numId w:val="0"/>
        </w:numPr>
        <w:tabs>
          <w:tab w:val="num" w:pos="851"/>
        </w:tabs>
        <w:spacing w:before="120" w:after="120"/>
        <w:ind w:left="851" w:hanging="851"/>
        <w:jc w:val="both"/>
        <w:outlineLvl w:val="3"/>
        <w:rPr>
          <w:b/>
          <w:bCs/>
          <w:noProof/>
          <w:szCs w:val="28"/>
        </w:rPr>
      </w:pPr>
      <w:r>
        <w:rPr>
          <w:b/>
          <w:noProof/>
        </w:rPr>
        <w:t>2.3.2.5</w:t>
      </w:r>
      <w:r>
        <w:rPr>
          <w:b/>
          <w:noProof/>
        </w:rPr>
        <w:tab/>
        <w:t>Plafond de 10,5 milliards d'EUR</w:t>
      </w:r>
    </w:p>
    <w:p>
      <w:pPr>
        <w:spacing w:before="120" w:after="360"/>
        <w:jc w:val="both"/>
        <w:rPr>
          <w:noProof/>
        </w:rPr>
      </w:pPr>
      <w:r>
        <w:rPr>
          <w:noProof/>
        </w:rPr>
        <w:t>En vertu de l'article 4, paragraphe 2, de la décision 2007/436/CE, Euratom, au cours de la période 2007-2013, la contribution supplémentaire du Royaume-Uni résultant de la réduction des dépenses réparties du montant des dépenses liées à l'élargissement, visée au paragraphe 1, point g), de la décision RP de 2007 ne dépasse pas 10,5 milliards d'EUR, aux prix de 2004. L’effet cumulé des corrections de 2007 à 2012 s’élève à 8 220,3 millions d’EUR aux prix de 2004 et à 9 009,5 millions d’EUR aux prix courants.</w:t>
      </w:r>
    </w:p>
    <w:tbl>
      <w:tblPr>
        <w:tblW w:w="9000" w:type="dxa"/>
        <w:tblInd w:w="228" w:type="dxa"/>
        <w:tblLayout w:type="fixed"/>
        <w:tblLook w:val="0000" w:firstRow="0" w:lastRow="0" w:firstColumn="0" w:lastColumn="0" w:noHBand="0" w:noVBand="0"/>
      </w:tblPr>
      <w:tblGrid>
        <w:gridCol w:w="730"/>
        <w:gridCol w:w="4670"/>
        <w:gridCol w:w="1800"/>
        <w:gridCol w:w="1800"/>
      </w:tblGrid>
      <w:tr>
        <w:trPr>
          <w:trHeight w:val="324"/>
        </w:trPr>
        <w:tc>
          <w:tcPr>
            <w:tcW w:w="5400" w:type="dxa"/>
            <w:gridSpan w:val="2"/>
            <w:tcBorders>
              <w:top w:val="double" w:sz="6" w:space="0" w:color="auto"/>
              <w:left w:val="double" w:sz="6" w:space="0" w:color="auto"/>
              <w:bottom w:val="single" w:sz="2" w:space="0" w:color="000000"/>
              <w:right w:val="nil"/>
            </w:tcBorders>
            <w:shd w:val="clear" w:color="auto" w:fill="E0E0E0"/>
            <w:vAlign w:val="center"/>
          </w:tcPr>
          <w:p>
            <w:pPr>
              <w:keepNext/>
              <w:keepLines/>
              <w:adjustRightInd w:val="0"/>
              <w:jc w:val="center"/>
              <w:rPr>
                <w:b/>
                <w:bCs/>
                <w:noProof/>
                <w:color w:val="000000"/>
                <w:sz w:val="28"/>
                <w:szCs w:val="28"/>
              </w:rPr>
            </w:pPr>
            <w:r>
              <w:rPr>
                <w:b/>
                <w:noProof/>
                <w:color w:val="000000"/>
                <w:sz w:val="28"/>
              </w:rPr>
              <w:t>Corrections britanniques 2007-2012</w:t>
            </w:r>
          </w:p>
          <w:p>
            <w:pPr>
              <w:keepNext/>
              <w:keepLines/>
              <w:adjustRightInd w:val="0"/>
              <w:jc w:val="center"/>
              <w:rPr>
                <w:noProof/>
                <w:color w:val="000000"/>
                <w:sz w:val="20"/>
              </w:rPr>
            </w:pPr>
            <w:r>
              <w:rPr>
                <w:noProof/>
                <w:color w:val="000000"/>
                <w:sz w:val="20"/>
              </w:rPr>
              <w:t>Différence dans le montant initial eu égard au seuil des 10,5 milliards d'EUR</w:t>
            </w:r>
          </w:p>
          <w:p>
            <w:pPr>
              <w:adjustRightInd w:val="0"/>
              <w:jc w:val="center"/>
              <w:rPr>
                <w:b/>
                <w:bCs/>
                <w:noProof/>
                <w:color w:val="000000"/>
                <w:sz w:val="28"/>
                <w:szCs w:val="28"/>
              </w:rPr>
            </w:pPr>
            <w:r>
              <w:rPr>
                <w:noProof/>
                <w:color w:val="000000"/>
                <w:sz w:val="20"/>
              </w:rPr>
              <w:t>(Décision RP de 2007 par rapport à décision RP de 2000), en EUR</w:t>
            </w:r>
          </w:p>
        </w:tc>
        <w:tc>
          <w:tcPr>
            <w:tcW w:w="1800" w:type="dxa"/>
            <w:tcBorders>
              <w:top w:val="double" w:sz="6" w:space="0" w:color="auto"/>
              <w:left w:val="double" w:sz="6" w:space="0" w:color="auto"/>
              <w:bottom w:val="single" w:sz="2" w:space="0" w:color="000000"/>
              <w:right w:val="single" w:sz="6" w:space="0" w:color="auto"/>
            </w:tcBorders>
            <w:shd w:val="clear" w:color="auto" w:fill="E0E0E0"/>
            <w:vAlign w:val="center"/>
          </w:tcPr>
          <w:p>
            <w:pPr>
              <w:adjustRightInd w:val="0"/>
              <w:jc w:val="center"/>
              <w:rPr>
                <w:b/>
                <w:bCs/>
                <w:noProof/>
                <w:color w:val="000000"/>
                <w:sz w:val="20"/>
              </w:rPr>
            </w:pPr>
            <w:r>
              <w:rPr>
                <w:b/>
                <w:noProof/>
                <w:color w:val="000000"/>
                <w:sz w:val="20"/>
              </w:rPr>
              <w:t>Différence à prix courants</w:t>
            </w:r>
          </w:p>
        </w:tc>
        <w:tc>
          <w:tcPr>
            <w:tcW w:w="1800" w:type="dxa"/>
            <w:tcBorders>
              <w:top w:val="double" w:sz="6" w:space="0" w:color="auto"/>
              <w:left w:val="single" w:sz="6" w:space="0" w:color="auto"/>
              <w:bottom w:val="single" w:sz="2" w:space="0" w:color="000000"/>
              <w:right w:val="double" w:sz="6" w:space="0" w:color="auto"/>
            </w:tcBorders>
            <w:shd w:val="clear" w:color="auto" w:fill="E0E0E0"/>
            <w:vAlign w:val="center"/>
          </w:tcPr>
          <w:p>
            <w:pPr>
              <w:adjustRightInd w:val="0"/>
              <w:jc w:val="center"/>
              <w:rPr>
                <w:b/>
                <w:bCs/>
                <w:noProof/>
                <w:color w:val="000000"/>
                <w:sz w:val="20"/>
              </w:rPr>
            </w:pPr>
            <w:r>
              <w:rPr>
                <w:b/>
                <w:noProof/>
                <w:color w:val="000000"/>
                <w:sz w:val="20"/>
              </w:rPr>
              <w:t>Différence à prix constants de 2004</w:t>
            </w:r>
          </w:p>
        </w:tc>
      </w:tr>
      <w:tr>
        <w:trPr>
          <w:trHeight w:val="264"/>
        </w:trPr>
        <w:tc>
          <w:tcPr>
            <w:tcW w:w="730" w:type="dxa"/>
            <w:tcBorders>
              <w:top w:val="double" w:sz="6" w:space="0" w:color="auto"/>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(A)</w:t>
            </w:r>
          </w:p>
        </w:tc>
        <w:tc>
          <w:tcPr>
            <w:tcW w:w="4670" w:type="dxa"/>
            <w:tcBorders>
              <w:top w:val="double" w:sz="6" w:space="0" w:color="auto"/>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Correction britannique 2007</w:t>
            </w:r>
          </w:p>
        </w:tc>
        <w:tc>
          <w:tcPr>
            <w:tcW w:w="1800" w:type="dxa"/>
            <w:tcBorders>
              <w:top w:val="double" w:sz="6" w:space="0" w:color="auto"/>
              <w:left w:val="double" w:sz="6" w:space="0" w:color="auto"/>
              <w:bottom w:val="single" w:sz="2" w:space="0" w:color="000000"/>
              <w:right w:val="single" w:sz="6" w:space="0" w:color="auto"/>
            </w:tcBorders>
          </w:tcPr>
          <w:p>
            <w:pPr>
              <w:jc w:val="right"/>
              <w:rPr>
                <w:noProof/>
                <w:sz w:val="20"/>
                <w:szCs w:val="20"/>
              </w:rPr>
            </w:pPr>
            <w:r>
              <w:rPr>
                <w:noProof/>
                <w:sz w:val="20"/>
              </w:rPr>
              <w:t>0</w:t>
            </w:r>
          </w:p>
        </w:tc>
        <w:tc>
          <w:tcPr>
            <w:tcW w:w="1800" w:type="dxa"/>
            <w:tcBorders>
              <w:top w:val="double" w:sz="6" w:space="0" w:color="auto"/>
              <w:left w:val="single" w:sz="6" w:space="0" w:color="auto"/>
              <w:bottom w:val="single" w:sz="2" w:space="0" w:color="000000"/>
              <w:right w:val="double" w:sz="6" w:space="0" w:color="auto"/>
            </w:tcBorders>
          </w:tcPr>
          <w:p>
            <w:pPr>
              <w:jc w:val="right"/>
              <w:rPr>
                <w:noProof/>
                <w:sz w:val="20"/>
                <w:szCs w:val="20"/>
              </w:rPr>
            </w:pPr>
            <w:r>
              <w:rPr>
                <w:noProof/>
                <w:sz w:val="20"/>
              </w:rPr>
              <w:t>0</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(B)</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 xml:space="preserve">Correction britannique 2008 </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-301 679 647</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-280 649 108</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(C)</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 xml:space="preserve">Correction britannique 2009 </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-1 349 749 997</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-1 276 489 414</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(D)</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Correction britannique 2010</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-2 127 945 515</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-1 964 546 518</w:t>
            </w:r>
          </w:p>
        </w:tc>
      </w:tr>
      <w:tr>
        <w:trPr>
          <w:trHeight w:val="252"/>
        </w:trPr>
        <w:tc>
          <w:tcPr>
            <w:tcW w:w="730" w:type="dxa"/>
            <w:tcBorders>
              <w:top w:val="single" w:sz="2" w:space="0" w:color="000000"/>
              <w:left w:val="double" w:sz="6" w:space="0" w:color="auto"/>
              <w:bottom w:val="single" w:sz="2" w:space="0" w:color="000000"/>
              <w:right w:val="single" w:sz="2" w:space="0" w:color="000000"/>
            </w:tcBorders>
          </w:tcPr>
          <w:p>
            <w:pPr>
              <w:adjustRightInd w:val="0"/>
              <w:jc w:val="center"/>
              <w:rPr>
                <w:noProof/>
                <w:color w:val="000000"/>
                <w:sz w:val="20"/>
              </w:rPr>
            </w:pPr>
            <w:r>
              <w:rPr>
                <w:noProof/>
                <w:color w:val="000000"/>
                <w:sz w:val="20"/>
              </w:rPr>
              <w:t>(E)</w:t>
            </w:r>
          </w:p>
        </w:tc>
        <w:tc>
          <w:tcPr>
            <w:tcW w:w="4670" w:type="dxa"/>
            <w:tcBorders>
              <w:top w:val="single" w:sz="2" w:space="0" w:color="000000"/>
              <w:left w:val="single" w:sz="2" w:space="0" w:color="000000"/>
              <w:bottom w:val="single" w:sz="2" w:space="0" w:color="000000"/>
              <w:right w:val="single" w:sz="2" w:space="0" w:color="000000"/>
            </w:tcBorders>
          </w:tcPr>
          <w:p>
            <w:pPr>
              <w:adjustRightInd w:val="0"/>
              <w:rPr>
                <w:noProof/>
                <w:color w:val="000000"/>
                <w:sz w:val="20"/>
              </w:rPr>
            </w:pPr>
            <w:r>
              <w:rPr>
                <w:noProof/>
                <w:color w:val="000000"/>
                <w:sz w:val="20"/>
              </w:rPr>
              <w:t>Correction britannique 2011</w:t>
            </w:r>
          </w:p>
        </w:tc>
        <w:tc>
          <w:tcPr>
            <w:tcW w:w="1800" w:type="dxa"/>
            <w:tcBorders>
              <w:top w:val="single" w:sz="2" w:space="0" w:color="000000"/>
              <w:left w:val="double" w:sz="6" w:space="0" w:color="auto"/>
              <w:bottom w:val="single" w:sz="2" w:space="0" w:color="000000"/>
              <w:right w:val="single" w:sz="6" w:space="0" w:color="auto"/>
            </w:tcBorders>
            <w:vAlign w:val="center"/>
          </w:tcPr>
          <w:p>
            <w:pPr>
              <w:jc w:val="right"/>
              <w:rPr>
                <w:noProof/>
                <w:sz w:val="20"/>
                <w:szCs w:val="20"/>
              </w:rPr>
            </w:pPr>
            <w:r>
              <w:rPr>
                <w:noProof/>
                <w:sz w:val="20"/>
              </w:rPr>
              <w:t>-2 347 786 720</w:t>
            </w:r>
          </w:p>
        </w:tc>
        <w:tc>
          <w:tcPr>
            <w:tcW w:w="1800" w:type="dxa"/>
            <w:tcBorders>
              <w:top w:val="single" w:sz="2" w:space="0" w:color="000000"/>
              <w:left w:val="single" w:sz="6" w:space="0" w:color="auto"/>
              <w:bottom w:val="single" w:sz="2" w:space="0" w:color="000000"/>
              <w:right w:val="double" w:sz="6" w:space="0" w:color="auto"/>
            </w:tcBorders>
            <w:vAlign w:val="center"/>
          </w:tcPr>
          <w:p>
            <w:pPr>
              <w:jc w:val="right"/>
              <w:rPr>
                <w:noProof/>
                <w:sz w:val="20"/>
                <w:szCs w:val="20"/>
              </w:rPr>
            </w:pPr>
            <w:r>
              <w:rPr>
                <w:noProof/>
                <w:sz w:val="20"/>
              </w:rPr>
              <w:t>-2 137 047 656</w:t>
            </w:r>
          </w:p>
        </w:tc>
      </w:tr>
      <w:tr>
        <w:trPr>
          <w:trHeight w:val="252"/>
        </w:trPr>
        <w:tc>
          <w:tcPr>
            <w:tcW w:w="730" w:type="dxa"/>
            <w:tcBorders>
              <w:top w:val="single" w:sz="2" w:space="0" w:color="000000"/>
              <w:left w:val="double" w:sz="6" w:space="0" w:color="auto"/>
              <w:bottom w:val="single" w:sz="6" w:space="0" w:color="auto"/>
              <w:right w:val="single" w:sz="2" w:space="0" w:color="000000"/>
            </w:tcBorders>
          </w:tcPr>
          <w:p>
            <w:pPr>
              <w:adjustRightInd w:val="0"/>
              <w:jc w:val="center"/>
              <w:rPr>
                <w:noProof/>
                <w:color w:val="000000"/>
                <w:sz w:val="20"/>
              </w:rPr>
            </w:pPr>
            <w:r>
              <w:rPr>
                <w:noProof/>
                <w:color w:val="000000"/>
                <w:sz w:val="20"/>
              </w:rPr>
              <w:t>(F)</w:t>
            </w:r>
          </w:p>
        </w:tc>
        <w:tc>
          <w:tcPr>
            <w:tcW w:w="4670" w:type="dxa"/>
            <w:tcBorders>
              <w:top w:val="single" w:sz="2" w:space="0" w:color="000000"/>
              <w:left w:val="single" w:sz="2" w:space="0" w:color="000000"/>
              <w:bottom w:val="single" w:sz="6" w:space="0" w:color="auto"/>
              <w:right w:val="single" w:sz="2" w:space="0" w:color="000000"/>
            </w:tcBorders>
          </w:tcPr>
          <w:p>
            <w:pPr>
              <w:adjustRightInd w:val="0"/>
              <w:rPr>
                <w:noProof/>
                <w:color w:val="000000"/>
                <w:sz w:val="20"/>
              </w:rPr>
            </w:pPr>
            <w:r>
              <w:rPr>
                <w:noProof/>
                <w:color w:val="000000"/>
                <w:sz w:val="20"/>
              </w:rPr>
              <w:t>Correction britannique 2012</w:t>
            </w:r>
          </w:p>
        </w:tc>
        <w:tc>
          <w:tcPr>
            <w:tcW w:w="1800" w:type="dxa"/>
            <w:tcBorders>
              <w:top w:val="single" w:sz="2" w:space="0" w:color="000000"/>
              <w:left w:val="double" w:sz="6" w:space="0" w:color="auto"/>
              <w:bottom w:val="single" w:sz="6" w:space="0" w:color="auto"/>
              <w:right w:val="single" w:sz="6" w:space="0" w:color="auto"/>
            </w:tcBorders>
            <w:vAlign w:val="center"/>
          </w:tcPr>
          <w:p>
            <w:pPr>
              <w:jc w:val="right"/>
              <w:rPr>
                <w:noProof/>
                <w:sz w:val="20"/>
                <w:szCs w:val="20"/>
              </w:rPr>
            </w:pPr>
            <w:r>
              <w:rPr>
                <w:noProof/>
                <w:sz w:val="20"/>
              </w:rPr>
              <w:t>-2 882 312 294</w:t>
            </w:r>
          </w:p>
        </w:tc>
        <w:tc>
          <w:tcPr>
            <w:tcW w:w="1800" w:type="dxa"/>
            <w:tcBorders>
              <w:top w:val="single" w:sz="2" w:space="0" w:color="000000"/>
              <w:left w:val="single" w:sz="6" w:space="0" w:color="auto"/>
              <w:bottom w:val="single" w:sz="6" w:space="0" w:color="auto"/>
              <w:right w:val="double" w:sz="6" w:space="0" w:color="auto"/>
            </w:tcBorders>
            <w:vAlign w:val="center"/>
          </w:tcPr>
          <w:p>
            <w:pPr>
              <w:jc w:val="right"/>
              <w:rPr>
                <w:noProof/>
                <w:sz w:val="20"/>
                <w:szCs w:val="20"/>
              </w:rPr>
            </w:pPr>
            <w:r>
              <w:rPr>
                <w:noProof/>
                <w:sz w:val="20"/>
              </w:rPr>
              <w:t>-2 561 528 172</w:t>
            </w:r>
          </w:p>
        </w:tc>
      </w:tr>
      <w:tr>
        <w:trPr>
          <w:trHeight w:val="308"/>
        </w:trPr>
        <w:tc>
          <w:tcPr>
            <w:tcW w:w="730" w:type="dxa"/>
            <w:tcBorders>
              <w:top w:val="single" w:sz="6" w:space="0" w:color="auto"/>
              <w:left w:val="double" w:sz="6" w:space="0" w:color="auto"/>
              <w:bottom w:val="double" w:sz="6" w:space="0" w:color="auto"/>
              <w:right w:val="single" w:sz="2" w:space="0" w:color="000000"/>
            </w:tcBorders>
          </w:tcPr>
          <w:p>
            <w:pPr>
              <w:adjustRightInd w:val="0"/>
              <w:jc w:val="center"/>
              <w:rPr>
                <w:noProof/>
                <w:color w:val="000000"/>
                <w:sz w:val="20"/>
              </w:rPr>
            </w:pPr>
            <w:r>
              <w:rPr>
                <w:noProof/>
                <w:color w:val="000000"/>
                <w:sz w:val="20"/>
              </w:rPr>
              <w:t>(G)</w:t>
            </w:r>
          </w:p>
        </w:tc>
        <w:tc>
          <w:tcPr>
            <w:tcW w:w="4670" w:type="dxa"/>
            <w:tcBorders>
              <w:top w:val="single" w:sz="6" w:space="0" w:color="auto"/>
              <w:left w:val="single" w:sz="2" w:space="0" w:color="000000"/>
              <w:bottom w:val="double" w:sz="6" w:space="0" w:color="auto"/>
              <w:right w:val="single" w:sz="2" w:space="0" w:color="000000"/>
            </w:tcBorders>
          </w:tcPr>
          <w:p>
            <w:pPr>
              <w:adjustRightInd w:val="0"/>
              <w:rPr>
                <w:noProof/>
                <w:color w:val="000000"/>
                <w:sz w:val="20"/>
              </w:rPr>
            </w:pPr>
            <w:r>
              <w:rPr>
                <w:noProof/>
                <w:color w:val="000000"/>
                <w:sz w:val="20"/>
              </w:rPr>
              <w:t>Somme des différences = (A) + (B) + (C) + (D) + (E) + (F)</w:t>
            </w:r>
          </w:p>
        </w:tc>
        <w:tc>
          <w:tcPr>
            <w:tcW w:w="1800" w:type="dxa"/>
            <w:tcBorders>
              <w:top w:val="single" w:sz="6" w:space="0" w:color="auto"/>
              <w:left w:val="double" w:sz="6" w:space="0" w:color="auto"/>
              <w:bottom w:val="double" w:sz="6" w:space="0" w:color="auto"/>
              <w:right w:val="single" w:sz="6" w:space="0" w:color="auto"/>
            </w:tcBorders>
            <w:vAlign w:val="center"/>
          </w:tcPr>
          <w:p>
            <w:pPr>
              <w:jc w:val="right"/>
              <w:rPr>
                <w:noProof/>
                <w:sz w:val="20"/>
                <w:szCs w:val="20"/>
              </w:rPr>
            </w:pPr>
            <w:r>
              <w:rPr>
                <w:noProof/>
                <w:sz w:val="20"/>
              </w:rPr>
              <w:t>-9 009 474 174</w:t>
            </w:r>
          </w:p>
        </w:tc>
        <w:tc>
          <w:tcPr>
            <w:tcW w:w="1800" w:type="dxa"/>
            <w:tcBorders>
              <w:top w:val="single" w:sz="6" w:space="0" w:color="auto"/>
              <w:left w:val="single" w:sz="6" w:space="0" w:color="auto"/>
              <w:bottom w:val="double" w:sz="6" w:space="0" w:color="auto"/>
              <w:right w:val="double" w:sz="6" w:space="0" w:color="auto"/>
            </w:tcBorders>
            <w:vAlign w:val="center"/>
          </w:tcPr>
          <w:p>
            <w:pPr>
              <w:jc w:val="right"/>
              <w:rPr>
                <w:noProof/>
                <w:sz w:val="20"/>
                <w:szCs w:val="20"/>
              </w:rPr>
            </w:pPr>
            <w:r>
              <w:rPr>
                <w:noProof/>
                <w:sz w:val="20"/>
              </w:rPr>
              <w:t>-8 220 260 868</w:t>
            </w:r>
          </w:p>
        </w:tc>
      </w:tr>
    </w:tbl>
    <w:p>
      <w:pPr>
        <w:rPr>
          <w:noProof/>
        </w:rPr>
      </w:pPr>
      <w:bookmarkStart w:id="53" w:name="_Toc231879708"/>
    </w:p>
    <w:p>
      <w:pPr>
        <w:keepNext/>
        <w:tabs>
          <w:tab w:val="left" w:pos="850"/>
        </w:tabs>
        <w:spacing w:before="160" w:after="160"/>
        <w:ind w:left="851" w:hanging="851"/>
        <w:jc w:val="both"/>
        <w:outlineLvl w:val="1"/>
        <w:rPr>
          <w:b/>
          <w:bCs/>
          <w:i/>
          <w:iCs/>
          <w:noProof/>
        </w:rPr>
      </w:pPr>
      <w:bookmarkStart w:id="54" w:name="_Toc293417237"/>
      <w:bookmarkStart w:id="55" w:name="_Toc294673196"/>
      <w:bookmarkStart w:id="56" w:name="_Toc357005416"/>
      <w:bookmarkStart w:id="57" w:name="_Toc390436799"/>
      <w:bookmarkStart w:id="58" w:name="_Toc420941904"/>
      <w:bookmarkStart w:id="59" w:name="_Toc421700212"/>
      <w:bookmarkStart w:id="60" w:name="_Toc423630310"/>
      <w:r>
        <w:rPr>
          <w:b/>
          <w:i/>
          <w:noProof/>
        </w:rPr>
        <w:t>2.3.3</w:t>
      </w:r>
      <w:r>
        <w:rPr>
          <w:b/>
          <w:i/>
          <w:noProof/>
        </w:rPr>
        <w:tab/>
        <w:t>Inscription dans le PBR n° 6/2015 de la 1</w:t>
      </w:r>
      <w:r>
        <w:rPr>
          <w:b/>
          <w:i/>
          <w:noProof/>
          <w:vertAlign w:val="superscript"/>
        </w:rPr>
        <w:t>re</w:t>
      </w:r>
      <w:r>
        <w:rPr>
          <w:b/>
          <w:i/>
          <w:noProof/>
        </w:rPr>
        <w:t xml:space="preserve"> mise à jour de la correction britannique pour 2014, de la 2</w:t>
      </w:r>
      <w:r>
        <w:rPr>
          <w:b/>
          <w:i/>
          <w:noProof/>
          <w:vertAlign w:val="superscript"/>
        </w:rPr>
        <w:t xml:space="preserve">e </w:t>
      </w:r>
      <w:r>
        <w:rPr>
          <w:b/>
          <w:i/>
          <w:noProof/>
        </w:rPr>
        <w:t>mise à jour de la correction britannique pour 2013, de la 3</w:t>
      </w:r>
      <w:r>
        <w:rPr>
          <w:b/>
          <w:i/>
          <w:noProof/>
          <w:vertAlign w:val="superscript"/>
        </w:rPr>
        <w:t>e</w:t>
      </w:r>
      <w:r>
        <w:rPr>
          <w:b/>
          <w:i/>
          <w:noProof/>
        </w:rPr>
        <w:t xml:space="preserve"> mise à jour de la correction britannique pour 2012 et du montant définitif de la correction britannique pour 2011</w:t>
      </w:r>
      <w:bookmarkEnd w:id="53"/>
      <w:bookmarkEnd w:id="54"/>
      <w:bookmarkEnd w:id="55"/>
      <w:bookmarkEnd w:id="56"/>
      <w:bookmarkEnd w:id="57"/>
      <w:bookmarkEnd w:id="58"/>
      <w:bookmarkEnd w:id="59"/>
      <w:bookmarkEnd w:id="60"/>
    </w:p>
    <w:p>
      <w:pPr>
        <w:keepNext/>
        <w:numPr>
          <w:ilvl w:val="3"/>
          <w:numId w:val="0"/>
        </w:numPr>
        <w:tabs>
          <w:tab w:val="num" w:pos="851"/>
        </w:tabs>
        <w:spacing w:before="120" w:after="120"/>
        <w:ind w:left="851" w:hanging="851"/>
        <w:jc w:val="both"/>
        <w:outlineLvl w:val="3"/>
        <w:rPr>
          <w:b/>
          <w:bCs/>
          <w:noProof/>
          <w:szCs w:val="28"/>
        </w:rPr>
      </w:pPr>
      <w:bookmarkStart w:id="61" w:name="_Toc231879709"/>
      <w:r>
        <w:rPr>
          <w:b/>
          <w:noProof/>
        </w:rPr>
        <w:t>2.3.3.1</w:t>
      </w:r>
      <w:r>
        <w:rPr>
          <w:b/>
          <w:noProof/>
        </w:rPr>
        <w:tab/>
        <w:t>Correction britannique pour 2014 (chapitre 15)</w:t>
      </w:r>
    </w:p>
    <w:bookmarkEnd w:id="61"/>
    <w:p>
      <w:pPr>
        <w:spacing w:before="120" w:after="120"/>
        <w:jc w:val="both"/>
        <w:rPr>
          <w:noProof/>
        </w:rPr>
      </w:pPr>
      <w:r>
        <w:rPr>
          <w:noProof/>
        </w:rPr>
        <w:t xml:space="preserve">Le montant de la correction britannique à budgétiser au chapitre 15 du présent PBR n° 6/2015 est le montant de la </w:t>
      </w:r>
      <w:r>
        <w:rPr>
          <w:i/>
          <w:noProof/>
        </w:rPr>
        <w:t>1</w:t>
      </w:r>
      <w:r>
        <w:rPr>
          <w:i/>
          <w:noProof/>
          <w:vertAlign w:val="superscript"/>
        </w:rPr>
        <w:t>re</w:t>
      </w:r>
      <w:r>
        <w:rPr>
          <w:i/>
          <w:noProof/>
        </w:rPr>
        <w:t> mise à jour</w:t>
      </w:r>
      <w:r>
        <w:rPr>
          <w:noProof/>
        </w:rPr>
        <w:t xml:space="preserve"> de la correction britannique pour 2014 (soit une somme de 4 544 158 897 EUR, qui remplace le montant de 5 433 363 587 EUR inscrit dans le budget 2015).</w:t>
      </w:r>
    </w:p>
    <w:p>
      <w:pPr>
        <w:spacing w:before="120" w:after="240"/>
        <w:jc w:val="both"/>
        <w:rPr>
          <w:noProof/>
        </w:rPr>
      </w:pPr>
      <w:r>
        <w:rPr>
          <w:noProof/>
        </w:rPr>
        <w:t>Ce montant doit être financé en fonction des assiettes RNB 2015 révisées du présent PBR n° 6/2015. La budgétisation de ce montant au chapitre 15 est récapitulée ci-dessous:</w:t>
      </w:r>
    </w:p>
    <w:tbl>
      <w:tblPr>
        <w:tblW w:w="4540" w:type="dxa"/>
        <w:jc w:val="center"/>
        <w:tblLook w:val="0000" w:firstRow="0" w:lastRow="0" w:firstColumn="0" w:lastColumn="0" w:noHBand="0" w:noVBand="0"/>
      </w:tblPr>
      <w:tblGrid>
        <w:gridCol w:w="549"/>
        <w:gridCol w:w="1666"/>
        <w:gridCol w:w="809"/>
        <w:gridCol w:w="1516"/>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szCs w:val="20"/>
              </w:rPr>
            </w:pPr>
            <w:r>
              <w:rPr>
                <w:b/>
                <w:noProof/>
                <w:sz w:val="20"/>
              </w:rPr>
              <w:t>Correction britannique pour 2014 – chapitre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227 330 088</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LU</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17 016 030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23 176 845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HU</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57 819 847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80 365 439</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MT</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4 466 547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151 269 379</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NL</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63 786 269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290 405 953</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AT</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30 994 726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11 012 215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PL</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224 653 059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90 230 685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PT</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96 042 290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98 844 865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RO</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85 286 224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602 682 406</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SI</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20 621 247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1 219 446 279</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SK</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41 436 080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szCs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23 306 875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FI</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111 965 875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886 982 795</w:t>
            </w:r>
          </w:p>
        </w:tc>
        <w:tc>
          <w:tcPr>
            <w:tcW w:w="809" w:type="dxa"/>
            <w:tcBorders>
              <w:top w:val="nil"/>
              <w:left w:val="nil"/>
              <w:bottom w:val="nil"/>
              <w:right w:val="nil"/>
            </w:tcBorders>
            <w:shd w:val="clear" w:color="auto" w:fill="auto"/>
            <w:noWrap/>
            <w:vAlign w:val="center"/>
          </w:tcPr>
          <w:p>
            <w:pPr>
              <w:jc w:val="center"/>
              <w:rPr>
                <w:b/>
                <w:bCs/>
                <w:noProof/>
                <w:sz w:val="20"/>
                <w:szCs w:val="20"/>
              </w:rPr>
            </w:pPr>
            <w:r>
              <w:rPr>
                <w:b/>
                <w:noProof/>
                <w:sz w:val="20"/>
              </w:rPr>
              <w:t>SE</w:t>
            </w:r>
          </w:p>
        </w:tc>
        <w:tc>
          <w:tcPr>
            <w:tcW w:w="151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41 643 760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9 107 348</w:t>
            </w:r>
          </w:p>
        </w:tc>
        <w:tc>
          <w:tcPr>
            <w:tcW w:w="809" w:type="dxa"/>
            <w:vMerge w:val="restart"/>
            <w:tcBorders>
              <w:top w:val="nil"/>
              <w:left w:val="nil"/>
              <w:right w:val="nil"/>
            </w:tcBorders>
            <w:shd w:val="clear" w:color="auto" w:fill="auto"/>
            <w:noWrap/>
            <w:vAlign w:val="center"/>
          </w:tcPr>
          <w:p>
            <w:pPr>
              <w:jc w:val="center"/>
              <w:rPr>
                <w:b/>
                <w:bCs/>
                <w:noProof/>
                <w:sz w:val="20"/>
                <w:szCs w:val="20"/>
              </w:rPr>
            </w:pPr>
            <w:r>
              <w:rPr>
                <w:b/>
                <w:noProof/>
                <w:sz w:val="20"/>
              </w:rPr>
              <w:t>UK</w:t>
            </w:r>
          </w:p>
        </w:tc>
        <w:tc>
          <w:tcPr>
            <w:tcW w:w="1516" w:type="dxa"/>
            <w:vMerge w:val="restart"/>
            <w:tcBorders>
              <w:top w:val="nil"/>
              <w:left w:val="nil"/>
              <w:right w:val="single" w:sz="8" w:space="0" w:color="auto"/>
            </w:tcBorders>
            <w:shd w:val="clear" w:color="auto" w:fill="auto"/>
            <w:noWrap/>
            <w:vAlign w:val="center"/>
          </w:tcPr>
          <w:p>
            <w:pPr>
              <w:jc w:val="center"/>
              <w:rPr>
                <w:noProof/>
                <w:sz w:val="20"/>
                <w:szCs w:val="20"/>
                <w:highlight w:val="yellow"/>
              </w:rPr>
            </w:pPr>
            <w:r>
              <w:rPr>
                <w:noProof/>
                <w:sz w:val="20"/>
                <w:szCs w:val="20"/>
              </w:rPr>
              <w:t>-4 544 158 897</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13 822 068</w:t>
            </w:r>
          </w:p>
        </w:tc>
        <w:tc>
          <w:tcPr>
            <w:tcW w:w="809" w:type="dxa"/>
            <w:vMerge/>
            <w:tcBorders>
              <w:left w:val="nil"/>
              <w:bottom w:val="nil"/>
              <w:right w:val="nil"/>
            </w:tcBorders>
            <w:shd w:val="clear" w:color="auto" w:fill="auto"/>
            <w:noWrap/>
            <w:vAlign w:val="center"/>
          </w:tcPr>
          <w:p>
            <w:pPr>
              <w:jc w:val="center"/>
              <w:rPr>
                <w:b/>
                <w:bCs/>
                <w:noProof/>
                <w:sz w:val="20"/>
                <w:szCs w:val="20"/>
              </w:rPr>
            </w:pPr>
          </w:p>
        </w:tc>
        <w:tc>
          <w:tcPr>
            <w:tcW w:w="1516" w:type="dxa"/>
            <w:vMerge/>
            <w:tcBorders>
              <w:left w:val="nil"/>
              <w:bottom w:val="nil"/>
              <w:right w:val="single" w:sz="8" w:space="0" w:color="auto"/>
            </w:tcBorders>
            <w:shd w:val="clear" w:color="auto" w:fill="auto"/>
            <w:noWrap/>
            <w:vAlign w:val="bottom"/>
          </w:tcPr>
          <w:p>
            <w:pPr>
              <w:jc w:val="right"/>
              <w:rPr>
                <w:noProof/>
                <w:sz w:val="20"/>
                <w:szCs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szCs w:val="20"/>
                <w:highlight w:val="yellow"/>
              </w:rPr>
            </w:pPr>
            <w:r>
              <w:rPr>
                <w:noProof/>
                <w:sz w:val="20"/>
                <w:szCs w:val="20"/>
              </w:rPr>
              <w:t>20 443 703</w:t>
            </w:r>
          </w:p>
        </w:tc>
        <w:tc>
          <w:tcPr>
            <w:tcW w:w="809"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szCs w:val="20"/>
              </w:rPr>
            </w:pPr>
            <w:r>
              <w:rPr>
                <w:b/>
                <w:noProof/>
                <w:sz w:val="20"/>
              </w:rPr>
              <w:t xml:space="preserve">Total </w:t>
            </w:r>
          </w:p>
        </w:tc>
        <w:tc>
          <w:tcPr>
            <w:tcW w:w="1516"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szCs w:val="20"/>
              </w:rPr>
            </w:pPr>
            <w:r>
              <w:rPr>
                <w:b/>
                <w:noProof/>
                <w:sz w:val="20"/>
              </w:rPr>
              <w:t>0</w:t>
            </w:r>
          </w:p>
        </w:tc>
      </w:tr>
    </w:tbl>
    <w:p>
      <w:pPr>
        <w:keepNext/>
        <w:numPr>
          <w:ilvl w:val="3"/>
          <w:numId w:val="0"/>
        </w:numPr>
        <w:tabs>
          <w:tab w:val="num" w:pos="851"/>
        </w:tabs>
        <w:spacing w:before="120" w:after="120"/>
        <w:ind w:left="851" w:hanging="851"/>
        <w:jc w:val="both"/>
        <w:outlineLvl w:val="3"/>
        <w:rPr>
          <w:b/>
          <w:bCs/>
          <w:noProof/>
          <w:szCs w:val="28"/>
        </w:rPr>
      </w:pPr>
      <w:bookmarkStart w:id="62" w:name="_Toc231879710"/>
      <w:r>
        <w:rPr>
          <w:b/>
          <w:noProof/>
        </w:rPr>
        <w:t>2.3.3.2</w:t>
      </w:r>
      <w:r>
        <w:rPr>
          <w:b/>
          <w:noProof/>
        </w:rPr>
        <w:tab/>
        <w:t>Correction britannique pour 2011 (chapitre 35)</w:t>
      </w:r>
    </w:p>
    <w:p>
      <w:pPr>
        <w:spacing w:before="120" w:after="120"/>
        <w:jc w:val="both"/>
        <w:rPr>
          <w:noProof/>
        </w:rPr>
      </w:pPr>
      <w:r>
        <w:rPr>
          <w:noProof/>
        </w:rPr>
        <w:t xml:space="preserve">Le montant de la correction britannique à budgétiser au chapitre 35 du présent PBR n° 6/2015 est la différence entre le </w:t>
      </w:r>
      <w:r>
        <w:rPr>
          <w:i/>
          <w:noProof/>
        </w:rPr>
        <w:t>montant définitif</w:t>
      </w:r>
      <w:r>
        <w:rPr>
          <w:noProof/>
        </w:rPr>
        <w:t xml:space="preserve"> de la correction britannique pour 2011 (soit une somme de 4 386 373 990 EUR) et la </w:t>
      </w:r>
      <w:r>
        <w:rPr>
          <w:i/>
          <w:noProof/>
        </w:rPr>
        <w:t>3</w:t>
      </w:r>
      <w:r>
        <w:rPr>
          <w:i/>
          <w:noProof/>
          <w:vertAlign w:val="superscript"/>
        </w:rPr>
        <w:t>e</w:t>
      </w:r>
      <w:r>
        <w:rPr>
          <w:i/>
          <w:noProof/>
        </w:rPr>
        <w:t xml:space="preserve"> mise à jour </w:t>
      </w:r>
      <w:r>
        <w:rPr>
          <w:noProof/>
        </w:rPr>
        <w:t>de la correction britannique pour 2011 (soit une somme de 4 188 411 749 EUR inscrite dans le BR n° 3/2014), qui s'élève à 197 962 241 EUR.</w:t>
      </w:r>
    </w:p>
    <w:p>
      <w:pPr>
        <w:spacing w:before="120" w:after="240"/>
        <w:jc w:val="both"/>
        <w:rPr>
          <w:noProof/>
        </w:rPr>
      </w:pPr>
      <w:r>
        <w:rPr>
          <w:noProof/>
        </w:rPr>
        <w:t>Ce montant doit être financé en fonction des assiettes RNB 2012 révisées telles qu'elles étaient connues à la fin de 2014. La budgétisation de ce montant au chapitre 35 est récapitulée ci-dessous:</w:t>
      </w:r>
    </w:p>
    <w:tbl>
      <w:tblPr>
        <w:tblW w:w="4488" w:type="dxa"/>
        <w:jc w:val="center"/>
        <w:tblInd w:w="-110" w:type="dxa"/>
        <w:tblLook w:val="0000" w:firstRow="0" w:lastRow="0" w:firstColumn="0" w:lastColumn="0" w:noHBand="0" w:noVBand="0"/>
      </w:tblPr>
      <w:tblGrid>
        <w:gridCol w:w="659"/>
        <w:gridCol w:w="1383"/>
        <w:gridCol w:w="809"/>
        <w:gridCol w:w="1637"/>
      </w:tblGrid>
      <w:tr>
        <w:trPr>
          <w:jc w:val="center"/>
        </w:trPr>
        <w:tc>
          <w:tcPr>
            <w:tcW w:w="4488"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Correction britannique pour 2011 – chapitre 35</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11 815 757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37 104</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1 392 513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2 508 198</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4 784 685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344 459</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3 487 953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5 167 025</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10 915 347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1 172 371</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364 152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9 539 521</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3 453 266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2 909 281</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2 741 329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2 915 322</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27 503 186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702 416</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43 503 201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1 459 572</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53 237 596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4 044 692</w:t>
            </w:r>
          </w:p>
        </w:tc>
      </w:tr>
      <w:tr>
        <w:trPr>
          <w:trHeight w:val="255"/>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1 207 563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637"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1 743 115</w:t>
            </w:r>
          </w:p>
        </w:tc>
      </w:tr>
      <w:tr>
        <w:trPr>
          <w:trHeight w:val="270"/>
          <w:jc w:val="center"/>
        </w:trPr>
        <w:tc>
          <w:tcPr>
            <w:tcW w:w="659"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244 042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637"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rPr>
              <w:t>-197 962 241</w:t>
            </w:r>
          </w:p>
        </w:tc>
      </w:tr>
      <w:tr>
        <w:trPr>
          <w:trHeight w:val="270"/>
          <w:jc w:val="center"/>
        </w:trPr>
        <w:tc>
          <w:tcPr>
            <w:tcW w:w="659"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szCs w:val="20"/>
              </w:rPr>
            </w:pPr>
            <w:r>
              <w:rPr>
                <w:noProof/>
                <w:sz w:val="20"/>
              </w:rPr>
              <w:t>768 575</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Total</w:t>
            </w:r>
          </w:p>
        </w:tc>
        <w:tc>
          <w:tcPr>
            <w:tcW w:w="1637"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rPr>
          <w:noProof/>
        </w:rPr>
      </w:pPr>
    </w:p>
    <w:p>
      <w:pPr>
        <w:keepNext/>
        <w:numPr>
          <w:ilvl w:val="3"/>
          <w:numId w:val="0"/>
        </w:numPr>
        <w:tabs>
          <w:tab w:val="num" w:pos="851"/>
        </w:tabs>
        <w:spacing w:before="120" w:after="120"/>
        <w:ind w:left="851" w:hanging="851"/>
        <w:jc w:val="both"/>
        <w:outlineLvl w:val="3"/>
        <w:rPr>
          <w:b/>
          <w:bCs/>
          <w:noProof/>
          <w:szCs w:val="28"/>
        </w:rPr>
      </w:pPr>
      <w:r>
        <w:rPr>
          <w:b/>
          <w:noProof/>
        </w:rPr>
        <w:t>2.3.3.3</w:t>
      </w:r>
      <w:r>
        <w:rPr>
          <w:noProof/>
        </w:rPr>
        <w:tab/>
        <w:t>C</w:t>
      </w:r>
      <w:r>
        <w:rPr>
          <w:b/>
          <w:noProof/>
        </w:rPr>
        <w:t>orrection britannique pour 2012 (chapitre 36)</w:t>
      </w:r>
    </w:p>
    <w:bookmarkEnd w:id="62"/>
    <w:p>
      <w:pPr>
        <w:spacing w:before="120" w:after="120"/>
        <w:jc w:val="both"/>
        <w:rPr>
          <w:noProof/>
        </w:rPr>
      </w:pPr>
      <w:r>
        <w:rPr>
          <w:noProof/>
        </w:rPr>
        <w:t xml:space="preserve">Le montant de la correction britannique à budgétiser au chapitre 36 du présent PBR n° 6/2015 est la différence entre la </w:t>
      </w:r>
      <w:r>
        <w:rPr>
          <w:i/>
          <w:noProof/>
        </w:rPr>
        <w:t>3</w:t>
      </w:r>
      <w:r>
        <w:rPr>
          <w:i/>
          <w:noProof/>
          <w:vertAlign w:val="superscript"/>
        </w:rPr>
        <w:t xml:space="preserve">e </w:t>
      </w:r>
      <w:r>
        <w:rPr>
          <w:i/>
          <w:noProof/>
        </w:rPr>
        <w:t>mise à jour</w:t>
      </w:r>
      <w:r>
        <w:rPr>
          <w:noProof/>
        </w:rPr>
        <w:t xml:space="preserve"> de la correction britannique pour 2012 (soit une somme de 5 143 608 383 EUR) et la </w:t>
      </w:r>
      <w:r>
        <w:rPr>
          <w:i/>
          <w:noProof/>
        </w:rPr>
        <w:t>1</w:t>
      </w:r>
      <w:r>
        <w:rPr>
          <w:i/>
          <w:noProof/>
          <w:vertAlign w:val="superscript"/>
        </w:rPr>
        <w:t>re</w:t>
      </w:r>
      <w:r>
        <w:rPr>
          <w:i/>
          <w:noProof/>
        </w:rPr>
        <w:t xml:space="preserve"> mise à jour </w:t>
      </w:r>
      <w:r>
        <w:rPr>
          <w:noProof/>
        </w:rPr>
        <w:t>de la correction britannique pour 2012 (soit une somme de 4 631 401 328 EUR inscrite dans le BR n° 6/2013), qui s'élève à 512 207 055 EUR.</w:t>
      </w:r>
    </w:p>
    <w:p>
      <w:pPr>
        <w:spacing w:before="120" w:after="240"/>
        <w:jc w:val="both"/>
        <w:rPr>
          <w:noProof/>
        </w:rPr>
      </w:pPr>
      <w:r>
        <w:rPr>
          <w:noProof/>
        </w:rPr>
        <w:t>Ce montant doit être financé en fonction des assiettes RNB 2013 révisées telles qu'elles étaient connues à la fin de 2014. La budgétisation de ce montant au chapitre 36 est récapitulée ci-dessous:</w:t>
      </w:r>
    </w:p>
    <w:tbl>
      <w:tblPr>
        <w:tblW w:w="4409" w:type="dxa"/>
        <w:jc w:val="center"/>
        <w:tblInd w:w="-189" w:type="dxa"/>
        <w:tblLook w:val="0000" w:firstRow="0" w:lastRow="0" w:firstColumn="0" w:lastColumn="0" w:noHBand="0" w:noVBand="0"/>
      </w:tblPr>
      <w:tblGrid>
        <w:gridCol w:w="738"/>
        <w:gridCol w:w="1383"/>
        <w:gridCol w:w="809"/>
        <w:gridCol w:w="1479"/>
      </w:tblGrid>
      <w:tr>
        <w:trPr>
          <w:jc w:val="center"/>
        </w:trPr>
        <w:tc>
          <w:tcPr>
            <w:tcW w:w="4409"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Correction britannique pour 2012 – chapitre 36</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20 609 337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-626 437</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2 761 140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6 799 870</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8 144 978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800 752</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15 569 429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8 934 474</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35 721 878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2 296 477</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1 607 973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18 950 469</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13 192 753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12 984 470</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10 134 814</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10 427 052</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61 882 563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2 497 710</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134 788 539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3 685 428</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1 255 475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9 962 881</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119 606 240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4 499 743</w:t>
            </w:r>
          </w:p>
        </w:tc>
      </w:tr>
      <w:tr>
        <w:trPr>
          <w:trHeight w:val="255"/>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1 962 450</w:t>
            </w:r>
          </w:p>
        </w:tc>
        <w:tc>
          <w:tcPr>
            <w:tcW w:w="809" w:type="dxa"/>
            <w:tcBorders>
              <w:top w:val="nil"/>
              <w:left w:val="nil"/>
              <w:bottom w:val="nil"/>
              <w:right w:val="nil"/>
            </w:tcBorders>
            <w:shd w:val="clear" w:color="auto" w:fill="auto"/>
            <w:noWrap/>
          </w:tcPr>
          <w:p>
            <w:pPr>
              <w:jc w:val="center"/>
              <w:rPr>
                <w:b/>
                <w:noProof/>
                <w:sz w:val="20"/>
                <w:szCs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738"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szCs w:val="20"/>
              </w:rPr>
            </w:pPr>
            <w:r>
              <w:rPr>
                <w:noProof/>
                <w:sz w:val="20"/>
              </w:rPr>
              <w:t>1 174 712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rPr>
              <w:t>-512 207 055</w:t>
            </w:r>
          </w:p>
        </w:tc>
      </w:tr>
      <w:tr>
        <w:trPr>
          <w:trHeight w:val="270"/>
          <w:jc w:val="center"/>
        </w:trPr>
        <w:tc>
          <w:tcPr>
            <w:tcW w:w="738"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szCs w:val="20"/>
              </w:rPr>
            </w:pPr>
            <w:r>
              <w:rPr>
                <w:noProof/>
                <w:sz w:val="20"/>
              </w:rPr>
              <w:t>2 581 885</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bookmarkEnd w:id="34"/>
    <w:bookmarkEnd w:id="35"/>
    <w:bookmarkEnd w:id="36"/>
    <w:p>
      <w:pPr>
        <w:keepNext/>
        <w:numPr>
          <w:ilvl w:val="3"/>
          <w:numId w:val="0"/>
        </w:numPr>
        <w:tabs>
          <w:tab w:val="num" w:pos="851"/>
        </w:tabs>
        <w:spacing w:before="120" w:after="120"/>
        <w:ind w:left="851" w:hanging="851"/>
        <w:jc w:val="both"/>
        <w:outlineLvl w:val="3"/>
        <w:rPr>
          <w:b/>
          <w:bCs/>
          <w:noProof/>
          <w:szCs w:val="28"/>
        </w:rPr>
      </w:pPr>
      <w:r>
        <w:rPr>
          <w:b/>
          <w:noProof/>
        </w:rPr>
        <w:t>2.3.3.4</w:t>
      </w:r>
      <w:r>
        <w:rPr>
          <w:b/>
          <w:noProof/>
        </w:rPr>
        <w:tab/>
        <w:t>Correction britannique pour 2013 (chapitre 36)</w:t>
      </w:r>
    </w:p>
    <w:p>
      <w:pPr>
        <w:spacing w:before="120" w:after="120"/>
        <w:jc w:val="both"/>
        <w:rPr>
          <w:noProof/>
        </w:rPr>
      </w:pPr>
      <w:r>
        <w:rPr>
          <w:noProof/>
        </w:rPr>
        <w:t xml:space="preserve">Le montant de la correction britannique à budgétiser au chapitre 36 du présent PBR n° 6/2015 est la différence entre la </w:t>
      </w:r>
      <w:r>
        <w:rPr>
          <w:i/>
          <w:noProof/>
        </w:rPr>
        <w:t>2</w:t>
      </w:r>
      <w:r>
        <w:rPr>
          <w:i/>
          <w:noProof/>
          <w:vertAlign w:val="superscript"/>
        </w:rPr>
        <w:t>e </w:t>
      </w:r>
      <w:r>
        <w:rPr>
          <w:i/>
          <w:noProof/>
        </w:rPr>
        <w:t>mise à jour</w:t>
      </w:r>
      <w:r>
        <w:rPr>
          <w:noProof/>
        </w:rPr>
        <w:t xml:space="preserve"> de la correction britannique pour 2013 (soit une somme de 5 923 047 619 EUR) et la </w:t>
      </w:r>
      <w:r>
        <w:rPr>
          <w:i/>
          <w:noProof/>
        </w:rPr>
        <w:t>1</w:t>
      </w:r>
      <w:r>
        <w:rPr>
          <w:i/>
          <w:noProof/>
          <w:vertAlign w:val="superscript"/>
        </w:rPr>
        <w:t>re</w:t>
      </w:r>
      <w:r>
        <w:rPr>
          <w:i/>
          <w:noProof/>
        </w:rPr>
        <w:t xml:space="preserve"> mise à jour </w:t>
      </w:r>
      <w:r>
        <w:rPr>
          <w:noProof/>
        </w:rPr>
        <w:t>de la correction britannique pour 2013 (soit une somme de 5 542 182 331 EUR inscrite dans le BR n° 3/2014), qui s'élève à 380 865 288 EUR.</w:t>
      </w:r>
    </w:p>
    <w:p>
      <w:pPr>
        <w:spacing w:before="120" w:after="240"/>
        <w:jc w:val="both"/>
        <w:rPr>
          <w:noProof/>
        </w:rPr>
      </w:pPr>
      <w:r>
        <w:rPr>
          <w:noProof/>
        </w:rPr>
        <w:t>Ce montant doit être financé en fonction des assiettes RNB 2014 révisées telles qu'elles étaient connues à la fin de 2014. La budgétisation de ce montant au chapitre 36 est récapitulée ci-dessous:</w:t>
      </w:r>
    </w:p>
    <w:p>
      <w:pPr>
        <w:rPr>
          <w:noProof/>
        </w:rPr>
      </w:pPr>
    </w:p>
    <w:tbl>
      <w:tblPr>
        <w:tblW w:w="4409" w:type="dxa"/>
        <w:jc w:val="center"/>
        <w:tblInd w:w="-62" w:type="dxa"/>
        <w:tblLook w:val="0000" w:firstRow="0" w:lastRow="0" w:firstColumn="0" w:lastColumn="0" w:noHBand="0" w:noVBand="0"/>
      </w:tblPr>
      <w:tblGrid>
        <w:gridCol w:w="611"/>
        <w:gridCol w:w="1383"/>
        <w:gridCol w:w="809"/>
        <w:gridCol w:w="1606"/>
      </w:tblGrid>
      <w:tr>
        <w:trPr>
          <w:jc w:val="center"/>
        </w:trPr>
        <w:tc>
          <w:tcPr>
            <w:tcW w:w="4409"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Correction britannique pour 2013 – chapitre 36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21 086 719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- 688 281</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2 638 709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5 678 759</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keepNext/>
              <w:jc w:val="center"/>
              <w:rPr>
                <w:b/>
                <w:noProof/>
                <w:sz w:val="20"/>
                <w:szCs w:val="20"/>
              </w:rPr>
            </w:pPr>
            <w:r>
              <w:rPr>
                <w:b/>
                <w:noProof/>
                <w:sz w:val="20"/>
              </w:rPr>
              <w:t>CZ</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8 452 106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754 325</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10 531 440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8 532 126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23 687 365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1 859 547</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1 123 952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19 604 131</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12 880 201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9 472 101</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5 940 696</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8 755 802</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57 278 112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2 200 336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96 456 818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606" w:type="dxa"/>
            <w:tcBorders>
              <w:top w:val="nil"/>
              <w:left w:val="nil"/>
              <w:bottom w:val="nil"/>
              <w:right w:val="single" w:sz="8" w:space="0" w:color="auto"/>
            </w:tcBorders>
            <w:shd w:val="clear" w:color="auto" w:fill="auto"/>
            <w:noWrap/>
          </w:tcPr>
          <w:p>
            <w:pPr>
              <w:jc w:val="right"/>
              <w:rPr>
                <w:noProof/>
                <w:sz w:val="20"/>
                <w:szCs w:val="20"/>
                <w:highlight w:val="yellow"/>
              </w:rPr>
            </w:pPr>
            <w:r>
              <w:rPr>
                <w:noProof/>
                <w:sz w:val="20"/>
                <w:szCs w:val="20"/>
              </w:rPr>
              <w:t xml:space="preserve"> 2 943 154</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1 527 600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606" w:type="dxa"/>
            <w:tcBorders>
              <w:top w:val="nil"/>
              <w:left w:val="nil"/>
              <w:bottom w:val="nil"/>
              <w:right w:val="single" w:sz="8" w:space="0" w:color="auto"/>
            </w:tcBorders>
            <w:shd w:val="clear" w:color="auto" w:fill="auto"/>
            <w:noWrap/>
          </w:tcPr>
          <w:p>
            <w:pPr>
              <w:jc w:val="right"/>
              <w:rPr>
                <w:noProof/>
                <w:sz w:val="20"/>
                <w:szCs w:val="20"/>
              </w:rPr>
            </w:pPr>
            <w:r>
              <w:rPr>
                <w:noProof/>
                <w:sz w:val="20"/>
                <w:szCs w:val="20"/>
              </w:rPr>
              <w:t xml:space="preserve"> 8 548 776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65 379 144</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606" w:type="dxa"/>
            <w:tcBorders>
              <w:top w:val="nil"/>
              <w:left w:val="nil"/>
              <w:bottom w:val="nil"/>
              <w:right w:val="single" w:sz="8" w:space="0" w:color="auto"/>
            </w:tcBorders>
            <w:shd w:val="clear" w:color="auto" w:fill="auto"/>
            <w:noWrap/>
          </w:tcPr>
          <w:p>
            <w:pPr>
              <w:jc w:val="right"/>
              <w:rPr>
                <w:noProof/>
                <w:sz w:val="20"/>
                <w:szCs w:val="20"/>
              </w:rPr>
            </w:pPr>
            <w:r>
              <w:rPr>
                <w:noProof/>
                <w:sz w:val="20"/>
                <w:szCs w:val="20"/>
              </w:rPr>
              <w:t xml:space="preserve"> 2 286 070</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1 558 619</w:t>
            </w:r>
          </w:p>
        </w:tc>
        <w:tc>
          <w:tcPr>
            <w:tcW w:w="809" w:type="dxa"/>
            <w:tcBorders>
              <w:top w:val="nil"/>
              <w:left w:val="nil"/>
              <w:bottom w:val="nil"/>
              <w:right w:val="nil"/>
            </w:tcBorders>
            <w:shd w:val="clear" w:color="auto" w:fill="auto"/>
            <w:noWrap/>
          </w:tcPr>
          <w:p>
            <w:pPr>
              <w:jc w:val="center"/>
              <w:rPr>
                <w:b/>
                <w:noProof/>
                <w:sz w:val="20"/>
                <w:szCs w:val="20"/>
              </w:rPr>
            </w:pPr>
          </w:p>
        </w:tc>
        <w:tc>
          <w:tcPr>
            <w:tcW w:w="1606"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tcPr>
          <w:p>
            <w:pPr>
              <w:jc w:val="right"/>
              <w:rPr>
                <w:noProof/>
                <w:sz w:val="20"/>
                <w:szCs w:val="20"/>
                <w:highlight w:val="yellow"/>
              </w:rPr>
            </w:pPr>
            <w:r>
              <w:rPr>
                <w:noProof/>
                <w:sz w:val="20"/>
                <w:szCs w:val="20"/>
              </w:rPr>
              <w:t xml:space="preserve">  572 289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606"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szCs w:val="20"/>
              </w:rPr>
              <w:t>-380 865 288</w:t>
            </w:r>
          </w:p>
        </w:tc>
      </w:tr>
      <w:tr>
        <w:trPr>
          <w:trHeight w:val="270"/>
          <w:jc w:val="center"/>
        </w:trPr>
        <w:tc>
          <w:tcPr>
            <w:tcW w:w="611"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tcPr>
          <w:p>
            <w:pPr>
              <w:jc w:val="right"/>
              <w:rPr>
                <w:noProof/>
                <w:sz w:val="20"/>
                <w:szCs w:val="20"/>
                <w:highlight w:val="yellow"/>
              </w:rPr>
            </w:pPr>
            <w:r>
              <w:rPr>
                <w:noProof/>
                <w:sz w:val="20"/>
                <w:szCs w:val="20"/>
              </w:rPr>
              <w:t xml:space="preserve"> 1 804 672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Total</w:t>
            </w:r>
          </w:p>
        </w:tc>
        <w:tc>
          <w:tcPr>
            <w:tcW w:w="1606"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keepNext/>
        <w:numPr>
          <w:ilvl w:val="3"/>
          <w:numId w:val="0"/>
        </w:numPr>
        <w:tabs>
          <w:tab w:val="num" w:pos="851"/>
        </w:tabs>
        <w:spacing w:before="120" w:after="120"/>
        <w:ind w:left="851" w:hanging="851"/>
        <w:jc w:val="both"/>
        <w:outlineLvl w:val="3"/>
        <w:rPr>
          <w:b/>
          <w:bCs/>
          <w:noProof/>
          <w:szCs w:val="28"/>
        </w:rPr>
      </w:pPr>
      <w:r>
        <w:rPr>
          <w:b/>
          <w:noProof/>
        </w:rPr>
        <w:t>2.3.3.5</w:t>
      </w:r>
      <w:r>
        <w:rPr>
          <w:noProof/>
        </w:rPr>
        <w:tab/>
      </w:r>
      <w:r>
        <w:rPr>
          <w:b/>
          <w:noProof/>
        </w:rPr>
        <w:t>Incidence des mises à jour des assiettes TVA et RNB (calcul des soldes 2014) sur la correction britannique pour la période 2011-2013</w:t>
      </w:r>
    </w:p>
    <w:p>
      <w:pPr>
        <w:spacing w:before="120" w:after="240"/>
        <w:jc w:val="both"/>
        <w:rPr>
          <w:noProof/>
        </w:rPr>
      </w:pPr>
      <w:r>
        <w:rPr>
          <w:noProof/>
        </w:rPr>
        <w:t xml:space="preserve">L’incidence totale des mises à jour des assiettes TVA et RNB de 2011 à 2013 sur la correction britannique pour la période 2011-2013 s’élève à 1 091 millions d’EUR, dont 198 millions d’EUR pour la correction de 2011, 512 millions d’EUR pour la correction de 2012 et 381 millions d’EUR pour la correction de 2013. </w:t>
      </w:r>
    </w:p>
    <w:p>
      <w:pPr>
        <w:spacing w:before="120" w:after="240"/>
        <w:jc w:val="both"/>
        <w:rPr>
          <w:noProof/>
        </w:rPr>
      </w:pPr>
      <w:r>
        <w:rPr>
          <w:noProof/>
        </w:rPr>
        <w:t>L’incidence globale de la mise à jour des corrections de la période 2011-2013 sur les contributions des États membres pour le financement de la correction en faveur du Royaume-Uni est récapitulée dans le tableau ci-dessous:</w:t>
      </w:r>
    </w:p>
    <w:tbl>
      <w:tblPr>
        <w:tblW w:w="4409" w:type="dxa"/>
        <w:jc w:val="center"/>
        <w:tblInd w:w="-62" w:type="dxa"/>
        <w:tblLook w:val="0000" w:firstRow="0" w:lastRow="0" w:firstColumn="0" w:lastColumn="0" w:noHBand="0" w:noVBand="0"/>
      </w:tblPr>
      <w:tblGrid>
        <w:gridCol w:w="611"/>
        <w:gridCol w:w="1383"/>
        <w:gridCol w:w="809"/>
        <w:gridCol w:w="1606"/>
      </w:tblGrid>
      <w:tr>
        <w:trPr>
          <w:jc w:val="center"/>
        </w:trPr>
        <w:tc>
          <w:tcPr>
            <w:tcW w:w="4409"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szCs w:val="20"/>
              </w:rPr>
            </w:pPr>
            <w:r>
              <w:rPr>
                <w:b/>
                <w:noProof/>
                <w:sz w:val="20"/>
              </w:rPr>
              <w:t>Corrections britanniques 2011-2013</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53 511 813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LU</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- 1 277 614</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keepNext/>
              <w:keepLines/>
              <w:jc w:val="center"/>
              <w:rPr>
                <w:b/>
                <w:noProof/>
                <w:sz w:val="20"/>
                <w:szCs w:val="20"/>
              </w:rPr>
            </w:pPr>
            <w:r>
              <w:rPr>
                <w:b/>
                <w:noProof/>
                <w:sz w:val="20"/>
              </w:rPr>
              <w:t>BG</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6 792 362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HU</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14 986 827</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CZ</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21 381 769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MT</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1 899 536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DK</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29 588 822</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NL</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22 633 625</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DE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70 324 590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AT</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5 328 395</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EE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3 096 077</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PL</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48 094 121</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IE</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29 526 220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PT</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25 365 852</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EL</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18 816 839</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RO</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22 098 176</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ES</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146 663 861</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SI</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5 400 462</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FR</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274 748 558</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SK</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highlight w:val="yellow"/>
              </w:rPr>
            </w:pPr>
            <w:r>
              <w:rPr>
                <w:noProof/>
                <w:sz w:val="20"/>
                <w:szCs w:val="20"/>
              </w:rPr>
              <w:t xml:space="preserve"> 8 088 154</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color w:val="000000"/>
                <w:sz w:val="20"/>
                <w:szCs w:val="20"/>
              </w:rPr>
            </w:pPr>
            <w:r>
              <w:rPr>
                <w:b/>
                <w:noProof/>
                <w:color w:val="000000"/>
                <w:sz w:val="20"/>
              </w:rPr>
              <w:t>HR</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2 783 075</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FI</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szCs w:val="20"/>
              </w:rPr>
              <w:t xml:space="preserve"> 22 556 349</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IT</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238 222 980</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SE</w:t>
            </w:r>
          </w:p>
        </w:tc>
        <w:tc>
          <w:tcPr>
            <w:tcW w:w="1606" w:type="dxa"/>
            <w:tcBorders>
              <w:top w:val="nil"/>
              <w:left w:val="nil"/>
              <w:bottom w:val="nil"/>
              <w:right w:val="single" w:sz="8" w:space="0" w:color="auto"/>
            </w:tcBorders>
            <w:shd w:val="clear" w:color="auto" w:fill="auto"/>
            <w:noWrap/>
            <w:vAlign w:val="bottom"/>
          </w:tcPr>
          <w:p>
            <w:pPr>
              <w:jc w:val="right"/>
              <w:rPr>
                <w:noProof/>
                <w:sz w:val="20"/>
                <w:szCs w:val="20"/>
              </w:rPr>
            </w:pPr>
            <w:r>
              <w:rPr>
                <w:noProof/>
                <w:sz w:val="20"/>
                <w:szCs w:val="20"/>
              </w:rPr>
              <w:t xml:space="preserve"> 8 528 928</w:t>
            </w:r>
          </w:p>
        </w:tc>
      </w:tr>
      <w:tr>
        <w:trPr>
          <w:trHeight w:val="255"/>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CY</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4 728 632</w:t>
            </w:r>
          </w:p>
        </w:tc>
        <w:tc>
          <w:tcPr>
            <w:tcW w:w="809" w:type="dxa"/>
            <w:tcBorders>
              <w:top w:val="nil"/>
              <w:left w:val="nil"/>
              <w:bottom w:val="nil"/>
              <w:right w:val="nil"/>
            </w:tcBorders>
            <w:shd w:val="clear" w:color="auto" w:fill="auto"/>
            <w:noWrap/>
          </w:tcPr>
          <w:p>
            <w:pPr>
              <w:jc w:val="center"/>
              <w:rPr>
                <w:b/>
                <w:noProof/>
                <w:sz w:val="20"/>
                <w:szCs w:val="20"/>
              </w:rPr>
            </w:pPr>
          </w:p>
        </w:tc>
        <w:tc>
          <w:tcPr>
            <w:tcW w:w="1606" w:type="dxa"/>
            <w:tcBorders>
              <w:top w:val="nil"/>
              <w:left w:val="nil"/>
              <w:bottom w:val="nil"/>
              <w:right w:val="single" w:sz="8" w:space="0" w:color="auto"/>
            </w:tcBorders>
            <w:shd w:val="clear" w:color="auto" w:fill="auto"/>
            <w:noWrap/>
            <w:vAlign w:val="center"/>
          </w:tcPr>
          <w:p>
            <w:pPr>
              <w:jc w:val="right"/>
              <w:rPr>
                <w:noProof/>
                <w:sz w:val="20"/>
                <w:szCs w:val="20"/>
              </w:rPr>
            </w:pPr>
          </w:p>
        </w:tc>
      </w:tr>
      <w:tr>
        <w:trPr>
          <w:trHeight w:val="270"/>
          <w:jc w:val="center"/>
        </w:trPr>
        <w:tc>
          <w:tcPr>
            <w:tcW w:w="611" w:type="dxa"/>
            <w:tcBorders>
              <w:top w:val="nil"/>
              <w:left w:val="single" w:sz="8" w:space="0" w:color="auto"/>
              <w:bottom w:val="nil"/>
              <w:right w:val="nil"/>
            </w:tcBorders>
            <w:shd w:val="clear" w:color="auto" w:fill="auto"/>
            <w:noWrap/>
            <w:vAlign w:val="center"/>
          </w:tcPr>
          <w:p>
            <w:pPr>
              <w:jc w:val="center"/>
              <w:rPr>
                <w:b/>
                <w:noProof/>
                <w:sz w:val="20"/>
                <w:szCs w:val="20"/>
              </w:rPr>
            </w:pPr>
            <w:r>
              <w:rPr>
                <w:b/>
                <w:noProof/>
                <w:sz w:val="20"/>
              </w:rPr>
              <w:t>LV</w:t>
            </w:r>
          </w:p>
        </w:tc>
        <w:tc>
          <w:tcPr>
            <w:tcW w:w="1383" w:type="dxa"/>
            <w:tcBorders>
              <w:top w:val="nil"/>
              <w:left w:val="nil"/>
              <w:bottom w:val="nil"/>
              <w:right w:val="nil"/>
            </w:tcBorders>
            <w:shd w:val="clear" w:color="auto" w:fill="auto"/>
            <w:noWrap/>
            <w:vAlign w:val="bottom"/>
          </w:tcPr>
          <w:p>
            <w:pPr>
              <w:jc w:val="right"/>
              <w:rPr>
                <w:noProof/>
                <w:sz w:val="20"/>
                <w:szCs w:val="20"/>
                <w:highlight w:val="yellow"/>
              </w:rPr>
            </w:pPr>
            <w:r>
              <w:rPr>
                <w:noProof/>
                <w:sz w:val="20"/>
                <w:szCs w:val="20"/>
              </w:rPr>
              <w:t xml:space="preserve"> 1 991 043</w:t>
            </w:r>
          </w:p>
        </w:tc>
        <w:tc>
          <w:tcPr>
            <w:tcW w:w="809" w:type="dxa"/>
            <w:tcBorders>
              <w:top w:val="nil"/>
              <w:left w:val="nil"/>
              <w:bottom w:val="nil"/>
              <w:right w:val="nil"/>
            </w:tcBorders>
            <w:shd w:val="clear" w:color="auto" w:fill="auto"/>
            <w:noWrap/>
          </w:tcPr>
          <w:p>
            <w:pPr>
              <w:jc w:val="center"/>
              <w:rPr>
                <w:b/>
                <w:noProof/>
                <w:sz w:val="20"/>
                <w:szCs w:val="20"/>
              </w:rPr>
            </w:pPr>
            <w:r>
              <w:rPr>
                <w:b/>
                <w:noProof/>
                <w:sz w:val="20"/>
              </w:rPr>
              <w:t>UK</w:t>
            </w:r>
          </w:p>
        </w:tc>
        <w:tc>
          <w:tcPr>
            <w:tcW w:w="1606" w:type="dxa"/>
            <w:tcBorders>
              <w:top w:val="nil"/>
              <w:left w:val="nil"/>
              <w:bottom w:val="nil"/>
              <w:right w:val="single" w:sz="8" w:space="0" w:color="auto"/>
            </w:tcBorders>
            <w:shd w:val="clear" w:color="auto" w:fill="auto"/>
            <w:noWrap/>
            <w:vAlign w:val="center"/>
          </w:tcPr>
          <w:p>
            <w:pPr>
              <w:jc w:val="right"/>
              <w:rPr>
                <w:noProof/>
                <w:sz w:val="20"/>
                <w:szCs w:val="20"/>
              </w:rPr>
            </w:pPr>
            <w:r>
              <w:rPr>
                <w:noProof/>
                <w:sz w:val="20"/>
                <w:szCs w:val="20"/>
              </w:rPr>
              <w:t>-1 091 034 584</w:t>
            </w:r>
          </w:p>
        </w:tc>
      </w:tr>
      <w:tr>
        <w:trPr>
          <w:trHeight w:val="270"/>
          <w:jc w:val="center"/>
        </w:trPr>
        <w:tc>
          <w:tcPr>
            <w:tcW w:w="611" w:type="dxa"/>
            <w:tcBorders>
              <w:top w:val="nil"/>
              <w:left w:val="single" w:sz="8" w:space="0" w:color="auto"/>
              <w:bottom w:val="single" w:sz="8" w:space="0" w:color="auto"/>
              <w:right w:val="nil"/>
            </w:tcBorders>
            <w:shd w:val="clear" w:color="auto" w:fill="auto"/>
            <w:noWrap/>
            <w:vAlign w:val="center"/>
          </w:tcPr>
          <w:p>
            <w:pPr>
              <w:jc w:val="center"/>
              <w:rPr>
                <w:b/>
                <w:noProof/>
                <w:sz w:val="20"/>
                <w:szCs w:val="20"/>
              </w:rPr>
            </w:pPr>
            <w:r>
              <w:rPr>
                <w:b/>
                <w:noProof/>
                <w:sz w:val="20"/>
              </w:rPr>
              <w:t>LT</w:t>
            </w:r>
          </w:p>
        </w:tc>
        <w:tc>
          <w:tcPr>
            <w:tcW w:w="1383" w:type="dxa"/>
            <w:tcBorders>
              <w:top w:val="nil"/>
              <w:left w:val="nil"/>
              <w:bottom w:val="single" w:sz="8" w:space="0" w:color="auto"/>
              <w:right w:val="nil"/>
            </w:tcBorders>
            <w:shd w:val="clear" w:color="auto" w:fill="auto"/>
            <w:noWrap/>
            <w:vAlign w:val="bottom"/>
          </w:tcPr>
          <w:p>
            <w:pPr>
              <w:jc w:val="right"/>
              <w:rPr>
                <w:noProof/>
                <w:sz w:val="20"/>
                <w:szCs w:val="20"/>
                <w:highlight w:val="yellow"/>
              </w:rPr>
            </w:pPr>
            <w:r>
              <w:rPr>
                <w:noProof/>
                <w:sz w:val="20"/>
                <w:szCs w:val="20"/>
              </w:rPr>
              <w:t xml:space="preserve"> 5 155 132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szCs w:val="20"/>
              </w:rPr>
            </w:pPr>
            <w:r>
              <w:rPr>
                <w:b/>
                <w:noProof/>
                <w:sz w:val="20"/>
              </w:rPr>
              <w:t>Total</w:t>
            </w:r>
          </w:p>
        </w:tc>
        <w:tc>
          <w:tcPr>
            <w:tcW w:w="1606" w:type="dxa"/>
            <w:tcBorders>
              <w:top w:val="single" w:sz="8" w:space="0" w:color="auto"/>
              <w:left w:val="nil"/>
              <w:bottom w:val="single" w:sz="8" w:space="0" w:color="auto"/>
              <w:right w:val="single" w:sz="8" w:space="0" w:color="auto"/>
            </w:tcBorders>
            <w:shd w:val="clear" w:color="auto" w:fill="auto"/>
            <w:noWrap/>
          </w:tcPr>
          <w:p>
            <w:pPr>
              <w:jc w:val="right"/>
              <w:rPr>
                <w:b/>
                <w:noProof/>
                <w:sz w:val="20"/>
                <w:szCs w:val="20"/>
              </w:rPr>
            </w:pPr>
            <w:r>
              <w:rPr>
                <w:b/>
                <w:noProof/>
                <w:sz w:val="20"/>
              </w:rPr>
              <w:t>0</w:t>
            </w:r>
          </w:p>
        </w:tc>
      </w:tr>
    </w:tbl>
    <w:p>
      <w:pPr>
        <w:keepNext/>
        <w:tabs>
          <w:tab w:val="left" w:pos="850"/>
        </w:tabs>
        <w:spacing w:before="360" w:after="120"/>
        <w:ind w:left="851" w:hanging="851"/>
        <w:jc w:val="both"/>
        <w:outlineLvl w:val="0"/>
        <w:rPr>
          <w:b/>
          <w:smallCaps/>
          <w:noProof/>
        </w:rPr>
      </w:pPr>
      <w:bookmarkStart w:id="63" w:name="_Toc421700213"/>
      <w:bookmarkStart w:id="64" w:name="_Toc423630311"/>
      <w:r>
        <w:rPr>
          <w:b/>
          <w:smallCaps/>
          <w:noProof/>
        </w:rPr>
        <w:t>3.</w:t>
      </w:r>
      <w:r>
        <w:rPr>
          <w:noProof/>
        </w:rPr>
        <w:tab/>
      </w:r>
      <w:r>
        <w:rPr>
          <w:b/>
          <w:smallCaps/>
          <w:noProof/>
        </w:rPr>
        <w:t>Fonds fiduciaires pour les actions extérieures</w:t>
      </w:r>
      <w:bookmarkEnd w:id="63"/>
      <w:bookmarkEnd w:id="64"/>
    </w:p>
    <w:p>
      <w:pPr>
        <w:spacing w:before="120" w:after="120"/>
        <w:jc w:val="both"/>
        <w:rPr>
          <w:noProof/>
        </w:rPr>
      </w:pPr>
      <w:r>
        <w:rPr>
          <w:noProof/>
        </w:rPr>
        <w:t>Conformément à l’article 187, paragraphe 7, du règlement financier, la Commission est autorisée à prélever au maximum 5 % des montants placés dans un fonds fiduciaire pour couvrir ses frais de gestion. Ces frais de gestion sont assimilés à des recettes affectées.</w:t>
      </w:r>
    </w:p>
    <w:p>
      <w:pPr>
        <w:spacing w:before="120" w:after="120"/>
        <w:jc w:val="both"/>
        <w:rPr>
          <w:noProof/>
        </w:rPr>
      </w:pPr>
      <w:r>
        <w:rPr>
          <w:noProof/>
        </w:rPr>
        <w:t xml:space="preserve">Pour pouvoir percevoir ces montants, la Commission propose la création de deux nouveaux postes budgétaires, dotés d'une mention «pour mémoire» (p.m.): 21 01 04 08 et 22 01 04 03 — </w:t>
      </w:r>
      <w:r>
        <w:rPr>
          <w:i/>
          <w:noProof/>
        </w:rPr>
        <w:t>Dépenses d’appui pour les fonds fiduciaires gérés par la Commission européenne</w:t>
      </w:r>
      <w:r>
        <w:rPr>
          <w:noProof/>
        </w:rPr>
        <w:t>, respectivement dans les domaines politiques «Développement et coopération» et «Élargissement».</w:t>
      </w:r>
    </w:p>
    <w:p>
      <w:pPr>
        <w:keepNext/>
        <w:tabs>
          <w:tab w:val="left" w:pos="850"/>
        </w:tabs>
        <w:spacing w:before="360" w:after="120"/>
        <w:ind w:left="851" w:hanging="851"/>
        <w:jc w:val="both"/>
        <w:outlineLvl w:val="0"/>
        <w:rPr>
          <w:b/>
          <w:smallCaps/>
          <w:noProof/>
        </w:rPr>
      </w:pPr>
      <w:bookmarkStart w:id="65" w:name="_Toc421700214"/>
      <w:bookmarkStart w:id="66" w:name="_Toc423630312"/>
      <w:r>
        <w:rPr>
          <w:b/>
          <w:smallCaps/>
          <w:noProof/>
        </w:rPr>
        <w:t>4.</w:t>
      </w:r>
      <w:r>
        <w:rPr>
          <w:noProof/>
        </w:rPr>
        <w:tab/>
      </w:r>
      <w:r>
        <w:rPr>
          <w:b/>
          <w:smallCaps/>
          <w:noProof/>
        </w:rPr>
        <w:t>Office de l’Organe des régulateurs européens des communications électroniques (Office de l'ORECE)</w:t>
      </w:r>
      <w:bookmarkEnd w:id="65"/>
      <w:bookmarkEnd w:id="66"/>
    </w:p>
    <w:p>
      <w:pPr>
        <w:spacing w:before="120" w:after="120"/>
        <w:jc w:val="both"/>
        <w:rPr>
          <w:noProof/>
        </w:rPr>
      </w:pPr>
      <w:r>
        <w:rPr>
          <w:noProof/>
        </w:rPr>
        <w:t>L’Office de l’ORECE est l’agence de l’UE qui assiste l’Organe des régulateurs européens des communications électroniques. Créé en 2009</w:t>
      </w:r>
      <w:r>
        <w:rPr>
          <w:rStyle w:val="FootnoteReference"/>
          <w:noProof/>
        </w:rPr>
        <w:footnoteReference w:id="14"/>
      </w:r>
      <w:r>
        <w:rPr>
          <w:noProof/>
        </w:rPr>
        <w:t xml:space="preserve">, il est situé à Riga (Lettonie) et dispose actuellement d’un effectif de 15 agents temporaires. La proposition de modification du tableau des effectifs de l’Office de l’ORECE de 2015 est nécessaire afin de permettre le reclassement (la promotion) de deux administrateurs (AD 5) et de deux assistants (AST 3) occupant des emplois temporaires en 2015. Le tableau des effectifs de l’ORECE dans le budget 2015 n’a pas dûment pris en considération l’évolution de carrière du personnel. Le budget global et le nombre total d'emplois resteront inchangés. </w:t>
      </w:r>
      <w:bookmarkEnd w:id="3"/>
      <w:bookmarkEnd w:id="4"/>
      <w:bookmarkEnd w:id="5"/>
      <w:bookmarkEnd w:id="6"/>
      <w:bookmarkEnd w:id="7"/>
    </w:p>
    <w:sectPr>
      <w:headerReference w:type="even" r:id="rId30"/>
      <w:headerReference w:type="default" r:id="rId31"/>
      <w:footerReference w:type="even" r:id="rId32"/>
      <w:footerReference w:type="default" r:id="rId33"/>
      <w:headerReference w:type="first" r:id="rId34"/>
      <w:footerReference w:type="first" r:id="rId35"/>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nb-NO"/>
        </w:rPr>
      </w:pPr>
      <w:r>
        <w:rPr>
          <w:rStyle w:val="FootnoteReference"/>
        </w:rPr>
        <w:footnoteRef/>
      </w:r>
      <w:r>
        <w:rPr>
          <w:lang w:val="nb-NO"/>
        </w:rPr>
        <w:tab/>
      </w:r>
      <w:r>
        <w:rPr>
          <w:sz w:val="18"/>
          <w:lang w:val="nb-NO"/>
        </w:rPr>
        <w:t>JO L 298 du 26.10.2012, p. 1.</w:t>
      </w:r>
    </w:p>
  </w:footnote>
  <w:footnote w:id="3">
    <w:p>
      <w:pPr>
        <w:pStyle w:val="FootnoteText"/>
        <w:rPr>
          <w:lang w:val="nb-NO"/>
        </w:rPr>
      </w:pPr>
      <w:r>
        <w:rPr>
          <w:rStyle w:val="FootnoteReference"/>
        </w:rPr>
        <w:footnoteRef/>
      </w:r>
      <w:r>
        <w:rPr>
          <w:lang w:val="nb-NO"/>
        </w:rPr>
        <w:tab/>
      </w:r>
      <w:r>
        <w:rPr>
          <w:sz w:val="18"/>
          <w:lang w:val="nb-NO"/>
        </w:rPr>
        <w:t>JO L 69 du 13.3.2015, p. 1.</w:t>
      </w:r>
    </w:p>
  </w:footnote>
  <w:footnote w:id="4">
    <w:p>
      <w:pPr>
        <w:pStyle w:val="FootnoteText"/>
        <w:rPr>
          <w:lang w:val="nb-NO"/>
        </w:rPr>
      </w:pPr>
      <w:r>
        <w:rPr>
          <w:rStyle w:val="FootnoteReference"/>
        </w:rPr>
        <w:footnoteRef/>
      </w:r>
      <w:r>
        <w:rPr>
          <w:lang w:val="nb-NO"/>
        </w:rPr>
        <w:t xml:space="preserve"> </w:t>
      </w:r>
      <w:r>
        <w:rPr>
          <w:lang w:val="nb-NO"/>
        </w:rPr>
        <w:tab/>
      </w:r>
      <w:r>
        <w:rPr>
          <w:sz w:val="18"/>
          <w:lang w:val="nb-NO"/>
        </w:rPr>
        <w:t>JO L XX du XX.XX.2015</w:t>
      </w:r>
      <w:r>
        <w:rPr>
          <w:lang w:val="nb-NO"/>
        </w:rPr>
        <w:t>.</w:t>
      </w:r>
    </w:p>
  </w:footnote>
  <w:footnote w:id="5">
    <w:p>
      <w:pPr>
        <w:pStyle w:val="FootnoteText"/>
        <w:rPr>
          <w:lang w:val="nb-NO"/>
        </w:rPr>
      </w:pPr>
      <w:r>
        <w:rPr>
          <w:rStyle w:val="FootnoteReference"/>
        </w:rPr>
        <w:footnoteRef/>
      </w:r>
      <w:r>
        <w:rPr>
          <w:lang w:val="nb-NO"/>
        </w:rPr>
        <w:t xml:space="preserve"> </w:t>
      </w:r>
      <w:r>
        <w:rPr>
          <w:lang w:val="nb-NO"/>
        </w:rPr>
        <w:tab/>
        <w:t>COM(2015) 11 final du 13.1.2015.</w:t>
      </w:r>
    </w:p>
  </w:footnote>
  <w:footnote w:id="6">
    <w:p>
      <w:pPr>
        <w:pStyle w:val="FootnoteText"/>
        <w:rPr>
          <w:lang w:val="pt-PT"/>
        </w:rPr>
      </w:pPr>
      <w:r>
        <w:rPr>
          <w:rStyle w:val="FootnoteReference"/>
        </w:rPr>
        <w:footnoteRef/>
      </w:r>
      <w:r>
        <w:rPr>
          <w:lang w:val="pt-PT"/>
        </w:rPr>
        <w:t xml:space="preserve"> </w:t>
      </w:r>
      <w:r>
        <w:rPr>
          <w:lang w:val="pt-PT"/>
        </w:rPr>
        <w:tab/>
        <w:t>COM(2015) 160 final du 15.4.2015.</w:t>
      </w:r>
    </w:p>
  </w:footnote>
  <w:footnote w:id="7">
    <w:p>
      <w:pPr>
        <w:pStyle w:val="FootnoteText"/>
        <w:rPr>
          <w:lang w:val="pt-PT"/>
        </w:rPr>
      </w:pPr>
      <w:r>
        <w:rPr>
          <w:rStyle w:val="FootnoteReference"/>
        </w:rPr>
        <w:footnoteRef/>
      </w:r>
      <w:r>
        <w:rPr>
          <w:lang w:val="pt-PT"/>
        </w:rPr>
        <w:t xml:space="preserve"> </w:t>
      </w:r>
      <w:r>
        <w:rPr>
          <w:lang w:val="pt-PT"/>
        </w:rPr>
        <w:tab/>
        <w:t>COM(2015) 161 final du 15.4.2015.</w:t>
      </w:r>
    </w:p>
  </w:footnote>
  <w:footnote w:id="8">
    <w:p>
      <w:pPr>
        <w:pStyle w:val="FootnoteText"/>
        <w:rPr>
          <w:lang w:val="fr-BE"/>
        </w:rPr>
      </w:pPr>
      <w:r>
        <w:rPr>
          <w:rStyle w:val="FootnoteReference"/>
        </w:rPr>
        <w:footnoteRef/>
      </w:r>
      <w:r>
        <w:t xml:space="preserve"> </w:t>
      </w:r>
      <w:r>
        <w:tab/>
        <w:t>COM(2015) 241 final du 13.5.2015.</w:t>
      </w:r>
    </w:p>
  </w:footnote>
  <w:footnote w:id="9">
    <w:p>
      <w:pPr>
        <w:pStyle w:val="FootnoteText"/>
      </w:pPr>
      <w:r>
        <w:rPr>
          <w:rStyle w:val="FootnoteReference"/>
          <w:sz w:val="24"/>
          <w:szCs w:val="24"/>
        </w:rPr>
        <w:footnoteRef/>
      </w:r>
      <w:r>
        <w:tab/>
      </w:r>
      <w:r>
        <w:rPr>
          <w:sz w:val="18"/>
        </w:rPr>
        <w:t>Les prévisions globales relatives aux cotisations nettes dans le secteur du sucre pour 2015 sont inchangées (à 124,7 millions d’EUR après déduction des 25 % de frais de perception).</w:t>
      </w:r>
    </w:p>
  </w:footnote>
  <w:footnote w:id="10">
    <w:p>
      <w:pPr>
        <w:pStyle w:val="FootnoteText"/>
        <w:rPr>
          <w:rStyle w:val="FootnoteReference"/>
          <w:sz w:val="18"/>
          <w:szCs w:val="18"/>
          <w:vertAlign w:val="baseline"/>
        </w:rPr>
      </w:pPr>
      <w:r>
        <w:rPr>
          <w:rStyle w:val="FootnoteReference"/>
          <w:sz w:val="18"/>
          <w:szCs w:val="18"/>
          <w:vertAlign w:val="baseline"/>
        </w:rPr>
        <w:footnoteRef/>
      </w:r>
      <w:r>
        <w:tab/>
      </w:r>
      <w:r>
        <w:rPr>
          <w:rStyle w:val="FootnoteReference"/>
          <w:sz w:val="18"/>
          <w:vertAlign w:val="baseline"/>
        </w:rPr>
        <w:t>Conformément à la décision 2007/436/CE, Euratom du Conseil, si l’assiette TVA d’un État membre dépasse 50 % de son RNB, elle est écrêtée à hauteur de ces 50 %. Pour le PBR n°</w:t>
      </w:r>
      <w:r>
        <w:rPr>
          <w:sz w:val="18"/>
        </w:rPr>
        <w:t> </w:t>
      </w:r>
      <w:r>
        <w:rPr>
          <w:rStyle w:val="FootnoteReference"/>
          <w:sz w:val="18"/>
          <w:vertAlign w:val="baseline"/>
        </w:rPr>
        <w:t>6/2015, cinq États membres verront leur assiette TVA écrêtée à 50</w:t>
      </w:r>
      <w:r>
        <w:rPr>
          <w:sz w:val="18"/>
        </w:rPr>
        <w:t> </w:t>
      </w:r>
      <w:r>
        <w:rPr>
          <w:rStyle w:val="FootnoteReference"/>
          <w:sz w:val="18"/>
          <w:vertAlign w:val="baseline"/>
        </w:rPr>
        <w:t>% du RNB, à savoir la Croatie, Chypre, le Luxembourg, Malte et la Slovénie.</w:t>
      </w:r>
    </w:p>
  </w:footnote>
  <w:footnote w:id="11">
    <w:p>
      <w:pPr>
        <w:pStyle w:val="FootnoteText"/>
        <w:rPr>
          <w:rStyle w:val="FootnoteReference"/>
          <w:sz w:val="18"/>
          <w:szCs w:val="18"/>
          <w:vertAlign w:val="baseline"/>
        </w:rPr>
      </w:pPr>
      <w:r>
        <w:rPr>
          <w:rStyle w:val="FootnoteReference"/>
          <w:sz w:val="18"/>
          <w:vertAlign w:val="baseline"/>
        </w:rPr>
        <w:footnoteRef/>
      </w:r>
      <w:r>
        <w:tab/>
      </w:r>
      <w:r>
        <w:rPr>
          <w:rStyle w:val="FootnoteReference"/>
          <w:sz w:val="18"/>
          <w:vertAlign w:val="baseline"/>
        </w:rPr>
        <w:t>Les montants indiqués en grisé découlent de l’assiette TVA écrêtée, comme expliqué à la note de bas de page 9 ci-dessus.</w:t>
      </w:r>
    </w:p>
  </w:footnote>
  <w:footnote w:id="12">
    <w:p>
      <w:pPr>
        <w:pStyle w:val="FootnoteText"/>
        <w:rPr>
          <w:lang w:val="fr-BE"/>
        </w:rPr>
      </w:pPr>
      <w:r>
        <w:rPr>
          <w:rStyle w:val="FootnoteReference"/>
          <w:sz w:val="18"/>
          <w:szCs w:val="18"/>
        </w:rPr>
        <w:footnoteRef/>
      </w:r>
      <w:r>
        <w:rPr>
          <w:sz w:val="18"/>
          <w:szCs w:val="18"/>
        </w:rPr>
        <w:t xml:space="preserve"> </w:t>
      </w:r>
      <w:r>
        <w:rPr>
          <w:lang w:val="fr-BE"/>
        </w:rPr>
        <w:tab/>
      </w:r>
      <w:r>
        <w:rPr>
          <w:sz w:val="18"/>
          <w:szCs w:val="18"/>
        </w:rPr>
        <w:t>JO L 163 du 23.6.2007, p. 17.</w:t>
      </w:r>
    </w:p>
  </w:footnote>
  <w:footnote w:id="13">
    <w:p>
      <w:pPr>
        <w:pStyle w:val="FootnoteText"/>
        <w:rPr>
          <w:sz w:val="18"/>
          <w:szCs w:val="18"/>
        </w:rPr>
      </w:pPr>
      <w:r>
        <w:rPr>
          <w:rStyle w:val="FootnoteReference"/>
          <w:sz w:val="18"/>
          <w:szCs w:val="18"/>
        </w:rPr>
        <w:footnoteRef/>
      </w:r>
      <w:r>
        <w:tab/>
      </w:r>
      <w:r>
        <w:rPr>
          <w:sz w:val="18"/>
        </w:rPr>
        <w:t xml:space="preserve">Document de travail de la Commission du 23 mai 2007 concernant le mode de calcul, le financement, le versement et la budgétisation de la correction des déséquilibres budgétaires en faveur du Royaume-Uni conformément aux articles 4 et 5 de la décision [2007/436/CE, Euratom] du Conseil relative au système des ressources propres des Communautés européennes, disponible à l'adresse suivante: </w:t>
      </w:r>
    </w:p>
    <w:p>
      <w:pPr>
        <w:pStyle w:val="FootnoteText"/>
        <w:spacing w:after="60"/>
        <w:ind w:firstLine="0"/>
        <w:rPr>
          <w:sz w:val="18"/>
          <w:szCs w:val="18"/>
        </w:rPr>
      </w:pPr>
      <w:hyperlink r:id="rId1">
        <w:r>
          <w:rPr>
            <w:rStyle w:val="Hyperlink"/>
            <w:sz w:val="18"/>
          </w:rPr>
          <w:t>http://ec.europa.eu/budget/library/biblio/documents/financing/calc_own_res_2007_fr.pdf</w:t>
        </w:r>
      </w:hyperlink>
      <w:r>
        <w:rPr>
          <w:sz w:val="18"/>
        </w:rPr>
        <w:t>.</w:t>
      </w:r>
    </w:p>
  </w:footnote>
  <w:footnote w:id="14">
    <w:p>
      <w:pPr>
        <w:pStyle w:val="FootnoteText"/>
      </w:pPr>
      <w:r>
        <w:rPr>
          <w:rStyle w:val="FootnoteReference"/>
        </w:rPr>
        <w:footnoteRef/>
      </w:r>
      <w:r>
        <w:t xml:space="preserve"> </w:t>
      </w:r>
      <w:r>
        <w:tab/>
        <w:t>Règlement (CE) nº 1211/2009 du Parlement européen et du Conseil du 25 novembre 2009 instituant l'Organe des régulateurs européens des communications électroniques (ORECE) ainsi que l'Office (JO L 337 du 18.12.2009,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A725C"/>
    <w:multiLevelType w:val="hybridMultilevel"/>
    <w:tmpl w:val="1C9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0">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
  </w:num>
  <w:num w:numId="4">
    <w:abstractNumId w:val="20"/>
  </w:num>
  <w:num w:numId="5">
    <w:abstractNumId w:val="31"/>
  </w:num>
  <w:num w:numId="6">
    <w:abstractNumId w:val="20"/>
  </w:num>
  <w:num w:numId="7">
    <w:abstractNumId w:val="29"/>
  </w:num>
  <w:num w:numId="8">
    <w:abstractNumId w:val="19"/>
  </w:num>
  <w:num w:numId="9">
    <w:abstractNumId w:val="10"/>
  </w:num>
  <w:num w:numId="10">
    <w:abstractNumId w:val="17"/>
  </w:num>
  <w:num w:numId="11">
    <w:abstractNumId w:val="18"/>
  </w:num>
  <w:num w:numId="12">
    <w:abstractNumId w:val="5"/>
  </w:num>
  <w:num w:numId="13">
    <w:abstractNumId w:val="8"/>
  </w:num>
  <w:num w:numId="14">
    <w:abstractNumId w:val="12"/>
  </w:num>
  <w:num w:numId="15">
    <w:abstractNumId w:val="15"/>
  </w:num>
  <w:num w:numId="16">
    <w:abstractNumId w:val="21"/>
  </w:num>
  <w:num w:numId="17">
    <w:abstractNumId w:val="20"/>
  </w:num>
  <w:num w:numId="18">
    <w:abstractNumId w:val="27"/>
  </w:num>
  <w:num w:numId="19">
    <w:abstractNumId w:val="4"/>
  </w:num>
  <w:num w:numId="20">
    <w:abstractNumId w:val="14"/>
  </w:num>
  <w:num w:numId="21">
    <w:abstractNumId w:val="20"/>
  </w:num>
  <w:num w:numId="22">
    <w:abstractNumId w:val="20"/>
  </w:num>
  <w:num w:numId="23">
    <w:abstractNumId w:val="3"/>
  </w:num>
  <w:num w:numId="24">
    <w:abstractNumId w:val="30"/>
  </w:num>
  <w:num w:numId="25">
    <w:abstractNumId w:val="26"/>
  </w:num>
  <w:num w:numId="26">
    <w:abstractNumId w:val="0"/>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3"/>
  </w:num>
  <w:num w:numId="45">
    <w:abstractNumId w:val="22"/>
  </w:num>
  <w:num w:numId="46">
    <w:abstractNumId w:val="6"/>
  </w:num>
  <w:num w:numId="47">
    <w:abstractNumId w:val="25"/>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3DC5567F85D41F699A9FD7AA2ABDE9F"/>
    <w:docVar w:name="LW_CROSSREFERENCE" w:val="&lt;UNUSED&gt;"/>
    <w:docVar w:name="LW_DocType" w:val="NORMAL"/>
    <w:docVar w:name="LW_EMISSION" w:val="15.7.2015"/>
    <w:docVar w:name="LW_EMISSION_ISODATE" w:val="2015-07-15"/>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51"/>
    <w:docVar w:name="LW_REF.INTERNE" w:val="&lt;UNUSED&gt;"/>
    <w:docVar w:name="LW_SOUS.TITRE.OBJ.CP" w:val="&lt;UNUSED&gt;"/>
    <w:docVar w:name="LW_SUPERTITRE" w:val="&lt;UNUSED&gt;"/>
    <w:docVar w:name="LW_TITRE.OBJ.CP" w:val="RESSOURCES PROPRES_x000b_FONDS FIDUCIAIRES DE L'UNION POUR LES ACTIONS EXTÉRIEURES_x000b_OFFICE DE L'ORGANE DES RÉGULATEURS EUROPÉENS DES COMMUNICATIONS ÉLECTRONIQUES"/>
    <w:docVar w:name="LW_TITRE.OBJ.CP_PREVIOUS" w:val="&lt;UNUSED&gt;"/>
    <w:docVar w:name="LW_TYPE.DOC.CP" w:val="PROJET DE BUDGET RECTIFICATIF Nº 6_x000b_AU BUDGET GÉNÉRAL 2015"/>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library/biblio/documents/financing/calc_own_res_2007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FDF6-6BBD-406A-B00F-E006630E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16</Pages>
  <Words>5697</Words>
  <Characters>25070</Characters>
  <Application>Microsoft Office Word</Application>
  <DocSecurity>0</DocSecurity>
  <Lines>1392</Lines>
  <Paragraphs>1337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29430</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41</cp:revision>
  <cp:lastPrinted>2015-07-02T17:45:00Z</cp:lastPrinted>
  <dcterms:created xsi:type="dcterms:W3CDTF">2015-06-30T12:25:00Z</dcterms:created>
  <dcterms:modified xsi:type="dcterms:W3CDTF">2015-07-14T08:38:00Z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