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824D2427E797408082CB73125DF8160D"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41 от него,</w:t>
      </w:r>
    </w:p>
    <w:p>
      <w:pPr>
        <w:pStyle w:val="Tiret0"/>
        <w:rPr>
          <w:noProof/>
        </w:rPr>
      </w:pPr>
      <w:r>
        <w:rPr>
          <w:noProof/>
        </w:rPr>
        <w:t>общия бюджет на Европейския съюз за 2015 финансова година, приет на 17 декември 2014 г.</w:t>
      </w:r>
      <w:r>
        <w:rPr>
          <w:rStyle w:val="FootnoteReference"/>
          <w:noProof/>
        </w:rPr>
        <w:footnoteReference w:id="3"/>
      </w:r>
      <w:r>
        <w:rPr>
          <w:noProof/>
        </w:rPr>
        <w:t>,</w:t>
      </w:r>
    </w:p>
    <w:p>
      <w:pPr>
        <w:pStyle w:val="Tiret0"/>
        <w:rPr>
          <w:noProof/>
        </w:rPr>
      </w:pPr>
      <w:r>
        <w:rPr>
          <w:noProof/>
        </w:rPr>
        <w:t>коригиращ бюджет № 1/2015</w:t>
      </w:r>
      <w:r>
        <w:rPr>
          <w:rStyle w:val="FootnoteReference"/>
          <w:noProof/>
        </w:rPr>
        <w:footnoteReference w:id="4"/>
      </w:r>
      <w:r>
        <w:rPr>
          <w:noProof/>
        </w:rPr>
        <w:t>, приет на 28 април 2015 г.,</w:t>
      </w:r>
    </w:p>
    <w:p>
      <w:pPr>
        <w:pStyle w:val="Tiret0"/>
        <w:rPr>
          <w:noProof/>
        </w:rPr>
      </w:pPr>
      <w:r>
        <w:rPr>
          <w:noProof/>
        </w:rPr>
        <w:t>проект на коригиращ бюджет № 1/2015</w:t>
      </w:r>
      <w:r>
        <w:rPr>
          <w:rStyle w:val="FootnoteReference"/>
          <w:noProof/>
        </w:rPr>
        <w:footnoteReference w:id="5"/>
      </w:r>
      <w:r>
        <w:rPr>
          <w:noProof/>
        </w:rPr>
        <w:t>, приет на 13 януари 2015 г.,</w:t>
      </w:r>
    </w:p>
    <w:p>
      <w:pPr>
        <w:pStyle w:val="Tiret0"/>
        <w:rPr>
          <w:noProof/>
        </w:rPr>
      </w:pPr>
      <w:r>
        <w:rPr>
          <w:noProof/>
        </w:rPr>
        <w:t>проект на коригиращ бюджет № 3/2015</w:t>
      </w:r>
      <w:r>
        <w:rPr>
          <w:rStyle w:val="FootnoteReference"/>
          <w:noProof/>
        </w:rPr>
        <w:footnoteReference w:id="6"/>
      </w:r>
      <w:r>
        <w:rPr>
          <w:noProof/>
        </w:rPr>
        <w:t>, приет на 15 април 2015 г.,</w:t>
      </w:r>
    </w:p>
    <w:p>
      <w:pPr>
        <w:pStyle w:val="Tiret0"/>
        <w:rPr>
          <w:noProof/>
        </w:rPr>
      </w:pPr>
      <w:r>
        <w:rPr>
          <w:noProof/>
        </w:rPr>
        <w:t>проект на коригиращ бюджет № 4/2015</w:t>
      </w:r>
      <w:r>
        <w:rPr>
          <w:rStyle w:val="FootnoteReference"/>
          <w:noProof/>
        </w:rPr>
        <w:footnoteReference w:id="7"/>
      </w:r>
      <w:r>
        <w:rPr>
          <w:noProof/>
        </w:rPr>
        <w:t>, приет на 15 април 2015 г.,</w:t>
      </w:r>
    </w:p>
    <w:p>
      <w:pPr>
        <w:pStyle w:val="Tiret0"/>
        <w:rPr>
          <w:noProof/>
        </w:rPr>
      </w:pPr>
      <w:r>
        <w:rPr>
          <w:noProof/>
        </w:rPr>
        <w:t>проект на коригиращ бюджет № 5/2015</w:t>
      </w:r>
      <w:r>
        <w:rPr>
          <w:rStyle w:val="FootnoteReference"/>
          <w:noProof/>
        </w:rPr>
        <w:footnoteReference w:id="8"/>
      </w:r>
      <w:r>
        <w:rPr>
          <w:noProof/>
        </w:rPr>
        <w:t>, приет на 13 май 2015 г.,</w:t>
      </w:r>
    </w:p>
    <w:p>
      <w:pPr>
        <w:spacing w:after="600"/>
        <w:jc w:val="both"/>
        <w:rPr>
          <w:noProof/>
        </w:rPr>
      </w:pPr>
      <w:r>
        <w:rPr>
          <w:noProof/>
        </w:rPr>
        <w:t>С настоящото Европейската комисия представя на Европейския парламент и на Съвета проект на коригиращ бюджет № 6 към бюджета за 2015 г.</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СЪДЪРЖАНИЕ</w:t>
      </w:r>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24207679"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_Toc424207679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24207680"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Собствени ресурси</w:t>
        </w:r>
        <w:r>
          <w:rPr>
            <w:noProof/>
            <w:webHidden/>
          </w:rPr>
          <w:tab/>
        </w:r>
        <w:r>
          <w:rPr>
            <w:noProof/>
            <w:webHidden/>
          </w:rPr>
          <w:fldChar w:fldCharType="begin"/>
        </w:r>
        <w:r>
          <w:rPr>
            <w:noProof/>
            <w:webHidden/>
          </w:rPr>
          <w:instrText xml:space="preserve"> PAGEREF _Toc424207680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24207681"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Въведение</w:t>
        </w:r>
        <w:r>
          <w:rPr>
            <w:noProof/>
            <w:webHidden/>
          </w:rPr>
          <w:tab/>
        </w:r>
        <w:r>
          <w:rPr>
            <w:noProof/>
            <w:webHidden/>
          </w:rPr>
          <w:fldChar w:fldCharType="begin"/>
        </w:r>
        <w:r>
          <w:rPr>
            <w:noProof/>
            <w:webHidden/>
          </w:rPr>
          <w:instrText xml:space="preserve"> PAGEREF _Toc424207681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24207682"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Преразглеждане на прогнозата за ТСР и за базите за ДДС и БНД</w:t>
        </w:r>
        <w:r>
          <w:rPr>
            <w:noProof/>
            <w:webHidden/>
          </w:rPr>
          <w:tab/>
        </w:r>
        <w:r>
          <w:rPr>
            <w:noProof/>
            <w:webHidden/>
          </w:rPr>
          <w:fldChar w:fldCharType="begin"/>
        </w:r>
        <w:r>
          <w:rPr>
            <w:noProof/>
            <w:webHidden/>
          </w:rPr>
          <w:instrText xml:space="preserve"> PAGEREF _Toc424207682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24207683" w:history="1">
        <w:r>
          <w:rPr>
            <w:rStyle w:val="Hyperlink"/>
            <w:b/>
            <w:noProof/>
          </w:rPr>
          <w:t>2.3</w:t>
        </w:r>
        <w:r>
          <w:rPr>
            <w:rFonts w:asciiTheme="minorHAnsi" w:eastAsiaTheme="minorEastAsia" w:hAnsiTheme="minorHAnsi" w:cstheme="minorBidi"/>
            <w:smallCaps w:val="0"/>
            <w:noProof/>
            <w:sz w:val="22"/>
            <w:szCs w:val="22"/>
            <w:lang w:val="en-GB" w:eastAsia="en-GB" w:bidi="ar-SA"/>
          </w:rPr>
          <w:tab/>
        </w:r>
        <w:r>
          <w:rPr>
            <w:rStyle w:val="Hyperlink"/>
            <w:b/>
            <w:noProof/>
          </w:rPr>
          <w:t>Корекция за Обединеното кралство за 2014, 2013, 2012 и 2011 г.</w:t>
        </w:r>
        <w:r>
          <w:rPr>
            <w:noProof/>
            <w:webHidden/>
          </w:rPr>
          <w:tab/>
        </w:r>
        <w:r>
          <w:rPr>
            <w:noProof/>
            <w:webHidden/>
          </w:rPr>
          <w:fldChar w:fldCharType="begin"/>
        </w:r>
        <w:r>
          <w:rPr>
            <w:noProof/>
            <w:webHidden/>
          </w:rPr>
          <w:instrText xml:space="preserve"> PAGEREF _Toc424207683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val="en-GB" w:eastAsia="en-GB" w:bidi="ar-SA"/>
        </w:rPr>
      </w:pPr>
      <w:hyperlink w:anchor="_Toc424207684" w:history="1">
        <w:r>
          <w:rPr>
            <w:rStyle w:val="Hyperlink"/>
            <w:b/>
            <w:i/>
            <w:noProof/>
          </w:rPr>
          <w:t>2.3.1</w:t>
        </w:r>
        <w:r>
          <w:rPr>
            <w:rFonts w:asciiTheme="minorHAnsi" w:eastAsiaTheme="minorEastAsia" w:hAnsiTheme="minorHAnsi" w:cstheme="minorBidi"/>
            <w:smallCaps w:val="0"/>
            <w:noProof/>
            <w:sz w:val="22"/>
            <w:szCs w:val="22"/>
            <w:lang w:val="en-GB" w:eastAsia="en-GB" w:bidi="ar-SA"/>
          </w:rPr>
          <w:tab/>
        </w:r>
        <w:r>
          <w:rPr>
            <w:rStyle w:val="Hyperlink"/>
            <w:b/>
            <w:i/>
            <w:noProof/>
          </w:rPr>
          <w:t>Въведение</w:t>
        </w:r>
        <w:r>
          <w:rPr>
            <w:noProof/>
            <w:webHidden/>
          </w:rPr>
          <w:tab/>
        </w:r>
        <w:r>
          <w:rPr>
            <w:noProof/>
            <w:webHidden/>
          </w:rPr>
          <w:fldChar w:fldCharType="begin"/>
        </w:r>
        <w:r>
          <w:rPr>
            <w:noProof/>
            <w:webHidden/>
          </w:rPr>
          <w:instrText xml:space="preserve"> PAGEREF _Toc424207684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val="en-GB" w:eastAsia="en-GB" w:bidi="ar-SA"/>
        </w:rPr>
      </w:pPr>
      <w:hyperlink w:anchor="_Toc424207685" w:history="1">
        <w:r>
          <w:rPr>
            <w:rStyle w:val="Hyperlink"/>
            <w:b/>
            <w:i/>
            <w:noProof/>
          </w:rPr>
          <w:t>2.3.2</w:t>
        </w:r>
        <w:r>
          <w:rPr>
            <w:rFonts w:asciiTheme="minorHAnsi" w:eastAsiaTheme="minorEastAsia" w:hAnsiTheme="minorHAnsi" w:cstheme="minorBidi"/>
            <w:smallCaps w:val="0"/>
            <w:noProof/>
            <w:sz w:val="22"/>
            <w:szCs w:val="22"/>
            <w:lang w:val="en-GB" w:eastAsia="en-GB" w:bidi="ar-SA"/>
          </w:rPr>
          <w:tab/>
        </w:r>
        <w:r>
          <w:rPr>
            <w:rStyle w:val="Hyperlink"/>
            <w:b/>
            <w:i/>
            <w:noProof/>
          </w:rPr>
          <w:t>Изчисляване на корекциите</w:t>
        </w:r>
        <w:r>
          <w:rPr>
            <w:noProof/>
            <w:webHidden/>
          </w:rPr>
          <w:tab/>
        </w:r>
        <w:r>
          <w:rPr>
            <w:noProof/>
            <w:webHidden/>
          </w:rPr>
          <w:fldChar w:fldCharType="begin"/>
        </w:r>
        <w:r>
          <w:rPr>
            <w:noProof/>
            <w:webHidden/>
          </w:rPr>
          <w:instrText xml:space="preserve"> PAGEREF _Toc424207685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val="en-GB" w:eastAsia="en-GB" w:bidi="ar-SA"/>
        </w:rPr>
      </w:pPr>
      <w:hyperlink w:anchor="_Toc424207686" w:history="1">
        <w:r>
          <w:rPr>
            <w:rStyle w:val="Hyperlink"/>
            <w:b/>
            <w:i/>
            <w:noProof/>
          </w:rPr>
          <w:t>2.3.3</w:t>
        </w:r>
        <w:r>
          <w:rPr>
            <w:rFonts w:asciiTheme="minorHAnsi" w:eastAsiaTheme="minorEastAsia" w:hAnsiTheme="minorHAnsi" w:cstheme="minorBidi"/>
            <w:smallCaps w:val="0"/>
            <w:noProof/>
            <w:sz w:val="22"/>
            <w:szCs w:val="22"/>
            <w:lang w:val="en-GB" w:eastAsia="en-GB" w:bidi="ar-SA"/>
          </w:rPr>
          <w:tab/>
        </w:r>
        <w:r>
          <w:rPr>
            <w:rStyle w:val="Hyperlink"/>
            <w:b/>
            <w:i/>
            <w:noProof/>
          </w:rPr>
          <w:t>Записване в ПКБ 6/2015 на първата актуализация на корекцията за Обединеното кралство за 2014 г., на втората актуализация на корекцията за Обединеното кралство за 2013 г., на третата актуализация на корекцията за Обединеното кралство за 2012 г. и на окончателния размер на корекцията за Обединеното кралство за 2011 г.</w:t>
        </w:r>
        <w:r>
          <w:rPr>
            <w:noProof/>
            <w:webHidden/>
          </w:rPr>
          <w:tab/>
        </w:r>
        <w:r>
          <w:rPr>
            <w:noProof/>
            <w:webHidden/>
          </w:rPr>
          <w:fldChar w:fldCharType="begin"/>
        </w:r>
        <w:r>
          <w:rPr>
            <w:noProof/>
            <w:webHidden/>
          </w:rPr>
          <w:instrText xml:space="preserve"> PAGEREF _Toc424207686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24207687"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Доверителни фондове за външна дейност</w:t>
        </w:r>
        <w:r>
          <w:rPr>
            <w:noProof/>
            <w:webHidden/>
          </w:rPr>
          <w:tab/>
        </w:r>
        <w:r>
          <w:rPr>
            <w:noProof/>
            <w:webHidden/>
          </w:rPr>
          <w:fldChar w:fldCharType="begin"/>
        </w:r>
        <w:r>
          <w:rPr>
            <w:noProof/>
            <w:webHidden/>
          </w:rPr>
          <w:instrText xml:space="preserve"> PAGEREF _Toc424207687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24207688" w:history="1">
        <w:r>
          <w:rPr>
            <w:rStyle w:val="Hyperlink"/>
            <w:smallCaps/>
            <w:noProof/>
          </w:rPr>
          <w:t>4.</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Служба на Органа на европейските регулатори в областта на електронните съобщения (Служба на ОЕРЕС)</w:t>
        </w:r>
        <w:r>
          <w:rPr>
            <w:noProof/>
            <w:webHidden/>
          </w:rPr>
          <w:tab/>
        </w:r>
        <w:r>
          <w:rPr>
            <w:noProof/>
            <w:webHidden/>
          </w:rPr>
          <w:fldChar w:fldCharType="begin"/>
        </w:r>
        <w:r>
          <w:rPr>
            <w:noProof/>
            <w:webHidden/>
          </w:rPr>
          <w:instrText xml:space="preserve"> PAGEREF _Toc424207688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9061"/>
        </w:tabs>
        <w:rPr>
          <w:rFonts w:ascii="Calibri" w:hAnsi="Calibri"/>
          <w:b w:val="0"/>
          <w:bCs w:val="0"/>
          <w:caps w:val="0"/>
          <w:noProof/>
          <w:sz w:val="22"/>
          <w:szCs w:val="22"/>
        </w:rPr>
      </w:pPr>
      <w:r>
        <w:rPr>
          <w:noProof/>
        </w:rPr>
        <w:fldChar w:fldCharType="end"/>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21700205"/>
      <w:bookmarkStart w:id="10" w:name="_Toc424207679"/>
      <w:bookmarkStart w:id="11" w:name="_Toc351469332"/>
      <w:bookmarkStart w:id="12" w:name="_Toc361649879"/>
      <w:r>
        <w:rPr>
          <w:noProof/>
        </w:rPr>
        <w:t>1.</w:t>
      </w:r>
      <w:r>
        <w:rPr>
          <w:noProof/>
        </w:rPr>
        <w:tab/>
        <w:t>Въведение</w:t>
      </w:r>
      <w:bookmarkEnd w:id="8"/>
      <w:bookmarkEnd w:id="9"/>
      <w:bookmarkEnd w:id="10"/>
    </w:p>
    <w:p>
      <w:pPr>
        <w:spacing w:before="120" w:after="120"/>
        <w:jc w:val="both"/>
        <w:rPr>
          <w:noProof/>
        </w:rPr>
      </w:pPr>
      <w:r>
        <w:rPr>
          <w:noProof/>
        </w:rPr>
        <w:t>Проект на коригиращ бюджет (ПКБ) № 6 за 2015 г. включва следното:</w:t>
      </w:r>
    </w:p>
    <w:p>
      <w:pPr>
        <w:pStyle w:val="ListDash"/>
        <w:rPr>
          <w:noProof/>
        </w:rPr>
      </w:pPr>
      <w:r>
        <w:rPr>
          <w:noProof/>
        </w:rPr>
        <w:t>преразглеждане на прогнозата за традиционните собствени ресурси (ТСР, т.е. мита и налози върху захарта), базите за ДДС и БНД, включването в бюджета на съответните корекции за Обединеното кралство, както и тяхното финансиране, което води до промяна в разпределението на вноските собствени ресурси на държавите членки в бюджета на ЕС.</w:t>
      </w:r>
    </w:p>
    <w:p>
      <w:pPr>
        <w:pStyle w:val="ListDash"/>
        <w:rPr>
          <w:noProof/>
        </w:rPr>
      </w:pPr>
      <w:r>
        <w:rPr>
          <w:noProof/>
        </w:rPr>
        <w:t>Създаването на две нови бюджетни позиции — 21 01 04 08 и 22 01 04 03 — Разходи за подкрепа за доверителните фондове, управлявани от Европейската комисия. Тези позиции са предназначени за получаване на компенсация за разходите за управление, свързани с доверителните фондове на Европейския съюз за външна дейност, в съответствие с член 187, параграф 7 от Финансовия регламент.</w:t>
      </w:r>
    </w:p>
    <w:p>
      <w:pPr>
        <w:pStyle w:val="ListDash"/>
        <w:rPr>
          <w:noProof/>
        </w:rPr>
      </w:pPr>
      <w:r>
        <w:rPr>
          <w:noProof/>
        </w:rPr>
        <w:t>Промяна на щатното разписание на Службата на ОЕРЕС без промени на общия бюджет или на общия брой длъжности.</w:t>
      </w:r>
    </w:p>
    <w:p>
      <w:pPr>
        <w:spacing w:before="120" w:after="120"/>
        <w:jc w:val="both"/>
        <w:rPr>
          <w:noProof/>
        </w:rPr>
      </w:pPr>
      <w:r>
        <w:rPr>
          <w:noProof/>
        </w:rPr>
        <w:t>В обобщение ПКБ 6/2015 не води до промяна на разходите за 2015 г. Последиците за приходите представляват промяна на разпределението между държавите членки на техните вноски собствени ресурси.</w:t>
      </w:r>
    </w:p>
    <w:p>
      <w:pPr>
        <w:keepNext/>
        <w:tabs>
          <w:tab w:val="left" w:pos="850"/>
        </w:tabs>
        <w:spacing w:before="360" w:after="120"/>
        <w:ind w:left="851" w:hanging="851"/>
        <w:jc w:val="both"/>
        <w:outlineLvl w:val="0"/>
        <w:rPr>
          <w:b/>
          <w:smallCaps/>
          <w:noProof/>
        </w:rPr>
      </w:pPr>
      <w:bookmarkStart w:id="13" w:name="_Toc385506032"/>
      <w:bookmarkStart w:id="14" w:name="_Toc367427548"/>
      <w:bookmarkStart w:id="15" w:name="_Toc309303297"/>
      <w:bookmarkStart w:id="16" w:name="_Toc421700206"/>
      <w:bookmarkStart w:id="17" w:name="_Toc424207680"/>
      <w:r>
        <w:rPr>
          <w:b/>
          <w:smallCaps/>
          <w:noProof/>
        </w:rPr>
        <w:t>2.</w:t>
      </w:r>
      <w:r>
        <w:rPr>
          <w:noProof/>
        </w:rPr>
        <w:tab/>
      </w:r>
      <w:bookmarkEnd w:id="13"/>
      <w:bookmarkEnd w:id="14"/>
      <w:bookmarkEnd w:id="15"/>
      <w:r>
        <w:rPr>
          <w:b/>
          <w:smallCaps/>
          <w:noProof/>
        </w:rPr>
        <w:t>Собствени ресурси</w:t>
      </w:r>
      <w:bookmarkEnd w:id="16"/>
      <w:bookmarkEnd w:id="17"/>
    </w:p>
    <w:p>
      <w:pPr>
        <w:keepNext/>
        <w:tabs>
          <w:tab w:val="left" w:pos="851"/>
        </w:tabs>
        <w:spacing w:before="120" w:after="120"/>
        <w:ind w:left="851" w:hanging="851"/>
        <w:jc w:val="both"/>
        <w:outlineLvl w:val="1"/>
        <w:rPr>
          <w:b/>
          <w:noProof/>
        </w:rPr>
      </w:pPr>
      <w:bookmarkStart w:id="18" w:name="_Toc309303298"/>
      <w:bookmarkStart w:id="19" w:name="_Toc385506033"/>
      <w:bookmarkStart w:id="20" w:name="_Toc367427549"/>
      <w:bookmarkStart w:id="21" w:name="_Toc421700207"/>
      <w:bookmarkStart w:id="22" w:name="_Toc424207681"/>
      <w:r>
        <w:rPr>
          <w:b/>
          <w:noProof/>
        </w:rPr>
        <w:t>2.1</w:t>
      </w:r>
      <w:r>
        <w:rPr>
          <w:noProof/>
        </w:rPr>
        <w:tab/>
      </w:r>
      <w:bookmarkEnd w:id="18"/>
      <w:bookmarkEnd w:id="19"/>
      <w:bookmarkEnd w:id="20"/>
      <w:r>
        <w:rPr>
          <w:b/>
          <w:noProof/>
        </w:rPr>
        <w:t>Въведение</w:t>
      </w:r>
      <w:bookmarkEnd w:id="21"/>
      <w:bookmarkEnd w:id="22"/>
    </w:p>
    <w:bookmarkEnd w:id="2"/>
    <w:bookmarkEnd w:id="11"/>
    <w:bookmarkEnd w:id="12"/>
    <w:p>
      <w:pPr>
        <w:jc w:val="both"/>
        <w:rPr>
          <w:noProof/>
        </w:rPr>
      </w:pPr>
      <w:r>
        <w:rPr>
          <w:noProof/>
        </w:rPr>
        <w:t>Следната обобщаваща таблица показва разпределението на общите плащания по собствените ресурси между държавите членки, както са вписани в:</w:t>
      </w:r>
    </w:p>
    <w:p>
      <w:pPr>
        <w:numPr>
          <w:ilvl w:val="0"/>
          <w:numId w:val="2"/>
        </w:numPr>
        <w:spacing w:before="120" w:after="120"/>
        <w:jc w:val="both"/>
        <w:rPr>
          <w:noProof/>
        </w:rPr>
      </w:pPr>
      <w:r>
        <w:rPr>
          <w:noProof/>
        </w:rPr>
        <w:t>бюджета за 2015 г.,</w:t>
      </w:r>
    </w:p>
    <w:p>
      <w:pPr>
        <w:numPr>
          <w:ilvl w:val="0"/>
          <w:numId w:val="2"/>
        </w:numPr>
        <w:spacing w:before="120" w:after="120"/>
        <w:jc w:val="both"/>
        <w:rPr>
          <w:noProof/>
        </w:rPr>
      </w:pPr>
      <w:r>
        <w:rPr>
          <w:noProof/>
        </w:rPr>
        <w:t>проект на коригиращ бюджет (ПКБ) 3/2015,</w:t>
      </w:r>
    </w:p>
    <w:p>
      <w:pPr>
        <w:numPr>
          <w:ilvl w:val="0"/>
          <w:numId w:val="2"/>
        </w:numPr>
        <w:spacing w:before="120" w:after="120"/>
        <w:jc w:val="both"/>
        <w:rPr>
          <w:noProof/>
        </w:rPr>
      </w:pPr>
      <w:r>
        <w:rPr>
          <w:noProof/>
        </w:rPr>
        <w:t>проект на коригиращ бюджет (ПКБ) 4/2015,</w:t>
      </w:r>
    </w:p>
    <w:p>
      <w:pPr>
        <w:numPr>
          <w:ilvl w:val="0"/>
          <w:numId w:val="2"/>
        </w:numPr>
        <w:spacing w:before="120" w:after="120"/>
        <w:jc w:val="both"/>
        <w:rPr>
          <w:noProof/>
        </w:rPr>
      </w:pPr>
      <w:r>
        <w:rPr>
          <w:noProof/>
        </w:rPr>
        <w:t>настоящия проект на коригиращ бюджет (ПКБ) 6/2015.</w:t>
      </w:r>
    </w:p>
    <w:p>
      <w:pPr>
        <w:jc w:val="center"/>
        <w:rPr>
          <w:b/>
          <w:i/>
          <w:noProof/>
          <w:spacing w:val="-4"/>
        </w:rPr>
      </w:pPr>
      <w:r>
        <w:rPr>
          <w:noProof/>
        </w:rPr>
        <w:br w:type="page"/>
      </w:r>
      <w:r>
        <w:rPr>
          <w:b/>
          <w:noProof/>
          <w:spacing w:val="-4"/>
        </w:rPr>
        <w:t>Разпределение на общите плащания по собствените ресурси по държави членки (</w:t>
      </w:r>
      <w:r>
        <w:rPr>
          <w:b/>
          <w:i/>
          <w:noProof/>
          <w:spacing w:val="-4"/>
        </w:rPr>
        <w:t>в млн. EUR</w:t>
      </w:r>
      <w:r>
        <w:rPr>
          <w:b/>
          <w:noProof/>
          <w:spacing w:val="-4"/>
        </w:rPr>
        <w:t>)</w:t>
      </w:r>
    </w:p>
    <w:p>
      <w:pPr>
        <w:jc w:val="center"/>
        <w:rPr>
          <w:b/>
          <w:i/>
          <w:noProof/>
        </w:rPr>
      </w:pPr>
    </w:p>
    <w:tbl>
      <w:tblPr>
        <w:tblW w:w="7080" w:type="dxa"/>
        <w:jc w:val="center"/>
        <w:tblInd w:w="93" w:type="dxa"/>
        <w:tblLook w:val="04A0" w:firstRow="1" w:lastRow="0" w:firstColumn="1" w:lastColumn="0" w:noHBand="0" w:noVBand="1"/>
      </w:tblPr>
      <w:tblGrid>
        <w:gridCol w:w="960"/>
        <w:gridCol w:w="1460"/>
        <w:gridCol w:w="1520"/>
        <w:gridCol w:w="1500"/>
        <w:gridCol w:w="1640"/>
      </w:tblGrid>
      <w:tr>
        <w:trPr>
          <w:trHeight w:val="375"/>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szCs w:val="20"/>
              </w:rPr>
            </w:pPr>
            <w:bookmarkStart w:id="23" w:name="_Toc294673192"/>
            <w:bookmarkStart w:id="24" w:name="_Toc357005412"/>
            <w:bookmarkStart w:id="25" w:name="_Toc358885560"/>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Бюджет за 2015 г.</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ПКБ 3/2015</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ПКБ 4/2015*</w:t>
            </w:r>
          </w:p>
        </w:tc>
        <w:tc>
          <w:tcPr>
            <w:tcW w:w="1640" w:type="dxa"/>
            <w:vMerge w:val="restart"/>
            <w:tcBorders>
              <w:top w:val="single" w:sz="8" w:space="0" w:color="auto"/>
              <w:left w:val="single" w:sz="4" w:space="0" w:color="auto"/>
              <w:bottom w:val="single" w:sz="4" w:space="0" w:color="000000"/>
              <w:right w:val="single" w:sz="8" w:space="0" w:color="auto"/>
            </w:tcBorders>
            <w:shd w:val="clear" w:color="000000" w:fill="E0E0E0"/>
            <w:vAlign w:val="center"/>
            <w:hideMark/>
          </w:tcPr>
          <w:p>
            <w:pPr>
              <w:jc w:val="center"/>
              <w:rPr>
                <w:b/>
                <w:bCs/>
                <w:noProof/>
                <w:color w:val="000000"/>
                <w:sz w:val="20"/>
                <w:szCs w:val="20"/>
              </w:rPr>
            </w:pPr>
            <w:r>
              <w:rPr>
                <w:b/>
                <w:noProof/>
                <w:color w:val="000000"/>
                <w:sz w:val="20"/>
              </w:rPr>
              <w:t xml:space="preserve">ПКБ 6/2015 </w:t>
            </w:r>
          </w:p>
        </w:tc>
      </w:tr>
      <w:tr>
        <w:trPr>
          <w:trHeight w:val="375"/>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640" w:type="dxa"/>
            <w:vMerge/>
            <w:tcBorders>
              <w:top w:val="single" w:sz="8" w:space="0" w:color="auto"/>
              <w:left w:val="single" w:sz="4" w:space="0" w:color="auto"/>
              <w:bottom w:val="single" w:sz="4" w:space="0" w:color="000000"/>
              <w:right w:val="single" w:sz="8" w:space="0" w:color="auto"/>
            </w:tcBorders>
            <w:vAlign w:val="center"/>
            <w:hideMark/>
          </w:tcPr>
          <w:p>
            <w:pPr>
              <w:rPr>
                <w:b/>
                <w:bCs/>
                <w:noProof/>
                <w:color w:val="000000"/>
                <w:sz w:val="20"/>
                <w:szCs w:val="20"/>
              </w:rPr>
            </w:pPr>
          </w:p>
        </w:tc>
      </w:tr>
      <w:tr>
        <w:trPr>
          <w:trHeight w:val="375"/>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(3)</w:t>
            </w:r>
          </w:p>
        </w:tc>
        <w:tc>
          <w:tcPr>
            <w:tcW w:w="1640" w:type="dxa"/>
            <w:tcBorders>
              <w:top w:val="nil"/>
              <w:left w:val="nil"/>
              <w:bottom w:val="single" w:sz="4" w:space="0" w:color="auto"/>
              <w:right w:val="single" w:sz="8" w:space="0" w:color="auto"/>
            </w:tcBorders>
            <w:shd w:val="clear" w:color="000000" w:fill="E0E0E0"/>
            <w:vAlign w:val="center"/>
            <w:hideMark/>
          </w:tcPr>
          <w:p>
            <w:pPr>
              <w:jc w:val="center"/>
              <w:rPr>
                <w:noProof/>
                <w:color w:val="000000"/>
                <w:sz w:val="20"/>
                <w:szCs w:val="20"/>
              </w:rPr>
            </w:pPr>
            <w:r>
              <w:rPr>
                <w:noProof/>
                <w:color w:val="000000"/>
                <w:sz w:val="20"/>
              </w:rPr>
              <w:t>(4)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BE</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5 326,7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5 285,1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5 287,0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5 448,2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BG</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461,7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457,4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457,6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448,8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CZ</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1 509,7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1 495,3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1 496,0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1 551,2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DK</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2 876,0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2 847,8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2 849,1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2 777,7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DE</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30 243,2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29 934,7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29 949,0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29 544,1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EE</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214,1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212,0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212,1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209,0  </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1 650,1  </w:t>
            </w:r>
          </w:p>
        </w:tc>
        <w:tc>
          <w:tcPr>
            <w:tcW w:w="152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1 634,8  </w:t>
            </w:r>
          </w:p>
        </w:tc>
        <w:tc>
          <w:tcPr>
            <w:tcW w:w="150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1 635,5  </w:t>
            </w:r>
          </w:p>
        </w:tc>
        <w:tc>
          <w:tcPr>
            <w:tcW w:w="1640" w:type="dxa"/>
            <w:tcBorders>
              <w:top w:val="single" w:sz="4" w:space="0" w:color="auto"/>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1 750,6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EL</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1 831,7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1 812,7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1 813,6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1 746,0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ES</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11 148,1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11 040,0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11 045,0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11 111,4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FR</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22 459,7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22 233,4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22 243,9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21 772,5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HR</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453,0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448,5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448,7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435,6  </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rPr>
              <w:t xml:space="preserve"> 16 499,4  </w:t>
            </w:r>
          </w:p>
        </w:tc>
        <w:tc>
          <w:tcPr>
            <w:tcW w:w="152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rPr>
              <w:t xml:space="preserve"> 16 333,5  </w:t>
            </w:r>
          </w:p>
        </w:tc>
        <w:tc>
          <w:tcPr>
            <w:tcW w:w="150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rPr>
              <w:t xml:space="preserve"> 16 341,2  </w:t>
            </w:r>
          </w:p>
        </w:tc>
        <w:tc>
          <w:tcPr>
            <w:tcW w:w="1640" w:type="dxa"/>
            <w:tcBorders>
              <w:top w:val="nil"/>
              <w:left w:val="nil"/>
              <w:bottom w:val="single" w:sz="4" w:space="0" w:color="auto"/>
              <w:right w:val="single" w:sz="8" w:space="0" w:color="auto"/>
            </w:tcBorders>
            <w:shd w:val="clear" w:color="auto" w:fill="auto"/>
            <w:noWrap/>
            <w:vAlign w:val="center"/>
          </w:tcPr>
          <w:p>
            <w:pPr>
              <w:jc w:val="right"/>
              <w:rPr>
                <w:b/>
                <w:noProof/>
                <w:sz w:val="20"/>
                <w:szCs w:val="20"/>
                <w:highlight w:val="yellow"/>
              </w:rPr>
            </w:pPr>
            <w:r>
              <w:rPr>
                <w:noProof/>
                <w:sz w:val="20"/>
              </w:rPr>
              <w:t xml:space="preserve"> 15 887,2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CY</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167,8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166,2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166,3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174,6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LV</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266,1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263,4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263,5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249,1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LT</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405,5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401,7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401,9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399,8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LU</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333,8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330,4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330,5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296,9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HU</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1 022,1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1 011,9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1 012,3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1 062,5  </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80,5  </w:t>
            </w:r>
          </w:p>
        </w:tc>
        <w:tc>
          <w:tcPr>
            <w:tcW w:w="152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79,7  </w:t>
            </w:r>
          </w:p>
        </w:tc>
        <w:tc>
          <w:tcPr>
            <w:tcW w:w="150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79,8  </w:t>
            </w:r>
          </w:p>
        </w:tc>
        <w:tc>
          <w:tcPr>
            <w:tcW w:w="1640" w:type="dxa"/>
            <w:tcBorders>
              <w:top w:val="single" w:sz="4" w:space="0" w:color="auto"/>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87,6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NL</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7 764,5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7 698,7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7 701,8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7 823,8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AT</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3 179,3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3 145,1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3 146,7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3 022,6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PL</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4 294,2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4 252,2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4 254,1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4 162,5  </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rPr>
              <w:t xml:space="preserve"> 1 741,8  </w:t>
            </w:r>
          </w:p>
        </w:tc>
        <w:tc>
          <w:tcPr>
            <w:tcW w:w="152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rPr>
              <w:t xml:space="preserve"> 1 724,5  </w:t>
            </w:r>
          </w:p>
        </w:tc>
        <w:tc>
          <w:tcPr>
            <w:tcW w:w="150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rPr>
              <w:t xml:space="preserve"> 1 725,3  </w:t>
            </w:r>
          </w:p>
        </w:tc>
        <w:tc>
          <w:tcPr>
            <w:tcW w:w="1640" w:type="dxa"/>
            <w:tcBorders>
              <w:top w:val="nil"/>
              <w:left w:val="nil"/>
              <w:bottom w:val="single" w:sz="4" w:space="0" w:color="auto"/>
              <w:right w:val="single" w:sz="8" w:space="0" w:color="auto"/>
            </w:tcBorders>
            <w:shd w:val="clear" w:color="auto" w:fill="auto"/>
            <w:noWrap/>
            <w:vAlign w:val="center"/>
          </w:tcPr>
          <w:p>
            <w:pPr>
              <w:jc w:val="right"/>
              <w:rPr>
                <w:b/>
                <w:noProof/>
                <w:sz w:val="20"/>
                <w:szCs w:val="20"/>
                <w:highlight w:val="yellow"/>
              </w:rPr>
            </w:pPr>
            <w:r>
              <w:rPr>
                <w:noProof/>
                <w:sz w:val="20"/>
              </w:rPr>
              <w:t xml:space="preserve"> 1 726,6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RO</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1 533,8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1 518,0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1 518,8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1 495,2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SI</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407,2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403,5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403,7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411,1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SK</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786,2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778,4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778,8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761,8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FI</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2 068,6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2 047,7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2 048,6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1 972,8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SE</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4 487,8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4 441,5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4 443,6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4 246,9  </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UK</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16 426,1  </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16 205,8  </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rPr>
              <w:t xml:space="preserve"> 16 216,0  </w:t>
            </w:r>
          </w:p>
        </w:tc>
        <w:tc>
          <w:tcPr>
            <w:tcW w:w="1640" w:type="dxa"/>
            <w:tcBorders>
              <w:top w:val="nil"/>
              <w:left w:val="nil"/>
              <w:bottom w:val="nil"/>
              <w:right w:val="single" w:sz="8" w:space="0" w:color="auto"/>
            </w:tcBorders>
            <w:shd w:val="clear" w:color="auto" w:fill="auto"/>
            <w:noWrap/>
            <w:vAlign w:val="center"/>
          </w:tcPr>
          <w:p>
            <w:pPr>
              <w:jc w:val="right"/>
              <w:rPr>
                <w:b/>
                <w:noProof/>
                <w:sz w:val="20"/>
                <w:szCs w:val="20"/>
                <w:highlight w:val="yellow"/>
              </w:rPr>
            </w:pPr>
            <w:r>
              <w:rPr>
                <w:noProof/>
                <w:sz w:val="20"/>
              </w:rPr>
              <w:t xml:space="preserve"> 17 694,4  </w:t>
            </w:r>
          </w:p>
        </w:tc>
      </w:tr>
      <w:tr>
        <w:trPr>
          <w:trHeight w:val="315"/>
          <w:jc w:val="center"/>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ЕС</w:t>
            </w:r>
          </w:p>
        </w:tc>
        <w:tc>
          <w:tcPr>
            <w:tcW w:w="1460" w:type="dxa"/>
            <w:tcBorders>
              <w:top w:val="single" w:sz="4" w:space="0" w:color="auto"/>
              <w:left w:val="nil"/>
              <w:bottom w:val="single" w:sz="8" w:space="0" w:color="auto"/>
              <w:right w:val="single" w:sz="4" w:space="0" w:color="auto"/>
            </w:tcBorders>
            <w:shd w:val="clear" w:color="auto" w:fill="auto"/>
            <w:vAlign w:val="center"/>
            <w:hideMark/>
          </w:tcPr>
          <w:p>
            <w:pPr>
              <w:jc w:val="right"/>
              <w:rPr>
                <w:b/>
                <w:bCs/>
                <w:noProof/>
                <w:sz w:val="20"/>
                <w:szCs w:val="20"/>
              </w:rPr>
            </w:pPr>
            <w:r>
              <w:rPr>
                <w:b/>
                <w:noProof/>
                <w:sz w:val="20"/>
              </w:rPr>
              <w:t xml:space="preserve"> 139 638,5  </w:t>
            </w:r>
          </w:p>
        </w:tc>
        <w:tc>
          <w:tcPr>
            <w:tcW w:w="1520" w:type="dxa"/>
            <w:tcBorders>
              <w:top w:val="single" w:sz="4" w:space="0" w:color="auto"/>
              <w:left w:val="nil"/>
              <w:bottom w:val="single" w:sz="8" w:space="0" w:color="auto"/>
              <w:right w:val="single" w:sz="4" w:space="0" w:color="auto"/>
            </w:tcBorders>
            <w:shd w:val="clear" w:color="auto" w:fill="auto"/>
            <w:vAlign w:val="center"/>
            <w:hideMark/>
          </w:tcPr>
          <w:p>
            <w:pPr>
              <w:jc w:val="right"/>
              <w:rPr>
                <w:b/>
                <w:bCs/>
                <w:noProof/>
                <w:sz w:val="20"/>
                <w:szCs w:val="20"/>
              </w:rPr>
            </w:pPr>
            <w:r>
              <w:rPr>
                <w:b/>
                <w:noProof/>
                <w:sz w:val="20"/>
              </w:rPr>
              <w:t xml:space="preserve"> 138 204,0  </w:t>
            </w:r>
          </w:p>
        </w:tc>
        <w:tc>
          <w:tcPr>
            <w:tcW w:w="1500" w:type="dxa"/>
            <w:tcBorders>
              <w:top w:val="single" w:sz="4" w:space="0" w:color="auto"/>
              <w:left w:val="nil"/>
              <w:bottom w:val="single" w:sz="8" w:space="0" w:color="auto"/>
              <w:right w:val="single" w:sz="4" w:space="0" w:color="auto"/>
            </w:tcBorders>
            <w:shd w:val="clear" w:color="auto" w:fill="auto"/>
            <w:vAlign w:val="center"/>
            <w:hideMark/>
          </w:tcPr>
          <w:p>
            <w:pPr>
              <w:jc w:val="right"/>
              <w:rPr>
                <w:b/>
                <w:bCs/>
                <w:noProof/>
                <w:sz w:val="20"/>
                <w:szCs w:val="20"/>
              </w:rPr>
            </w:pPr>
            <w:r>
              <w:rPr>
                <w:b/>
                <w:noProof/>
                <w:sz w:val="20"/>
              </w:rPr>
              <w:t xml:space="preserve"> 138 270,5  </w:t>
            </w:r>
          </w:p>
        </w:tc>
        <w:tc>
          <w:tcPr>
            <w:tcW w:w="1640" w:type="dxa"/>
            <w:tcBorders>
              <w:top w:val="single" w:sz="4" w:space="0" w:color="auto"/>
              <w:left w:val="nil"/>
              <w:bottom w:val="single" w:sz="8" w:space="0" w:color="auto"/>
              <w:right w:val="single" w:sz="8" w:space="0" w:color="auto"/>
            </w:tcBorders>
            <w:shd w:val="clear" w:color="auto" w:fill="auto"/>
            <w:vAlign w:val="center"/>
          </w:tcPr>
          <w:p>
            <w:pPr>
              <w:jc w:val="right"/>
              <w:rPr>
                <w:b/>
                <w:bCs/>
                <w:noProof/>
                <w:sz w:val="20"/>
                <w:szCs w:val="20"/>
              </w:rPr>
            </w:pPr>
            <w:r>
              <w:rPr>
                <w:b/>
                <w:noProof/>
                <w:sz w:val="20"/>
              </w:rPr>
              <w:t xml:space="preserve"> 138 270,5  </w:t>
            </w:r>
          </w:p>
        </w:tc>
      </w:tr>
    </w:tbl>
    <w:p>
      <w:pPr>
        <w:rPr>
          <w:noProof/>
          <w:sz w:val="20"/>
          <w:szCs w:val="20"/>
        </w:rPr>
      </w:pPr>
      <w:r>
        <w:rPr>
          <w:noProof/>
          <w:sz w:val="20"/>
        </w:rPr>
        <w:t>*В КБ 1, ПКБ 1 и ПКБ 5/2015 не бяха поискани допълнителни бюджетни кредити за плащания, поради което те не са включени в тази таблица.</w:t>
      </w:r>
    </w:p>
    <w:p>
      <w:pPr>
        <w:rPr>
          <w:noProof/>
          <w:sz w:val="20"/>
          <w:szCs w:val="20"/>
        </w:rPr>
      </w:pPr>
    </w:p>
    <w:p>
      <w:pPr>
        <w:keepNext/>
        <w:tabs>
          <w:tab w:val="left" w:pos="851"/>
        </w:tabs>
        <w:spacing w:before="120" w:after="120"/>
        <w:ind w:left="851" w:hanging="851"/>
        <w:jc w:val="both"/>
        <w:outlineLvl w:val="1"/>
        <w:rPr>
          <w:b/>
          <w:noProof/>
        </w:rPr>
      </w:pPr>
      <w:bookmarkStart w:id="26" w:name="_Toc421700208"/>
      <w:bookmarkStart w:id="27" w:name="_Toc424207682"/>
      <w:r>
        <w:rPr>
          <w:b/>
          <w:noProof/>
        </w:rPr>
        <w:t>2.2</w:t>
      </w:r>
      <w:r>
        <w:rPr>
          <w:noProof/>
        </w:rPr>
        <w:tab/>
      </w:r>
      <w:r>
        <w:rPr>
          <w:b/>
          <w:noProof/>
        </w:rPr>
        <w:t>Преразглеждане на прогнозата за ТСР и за базите за ДДС и БНД</w:t>
      </w:r>
      <w:bookmarkEnd w:id="26"/>
      <w:bookmarkEnd w:id="27"/>
    </w:p>
    <w:bookmarkEnd w:id="23"/>
    <w:bookmarkEnd w:id="24"/>
    <w:bookmarkEnd w:id="25"/>
    <w:p>
      <w:pPr>
        <w:spacing w:before="120" w:after="120"/>
        <w:jc w:val="both"/>
        <w:rPr>
          <w:noProof/>
        </w:rPr>
      </w:pPr>
      <w:r>
        <w:rPr>
          <w:noProof/>
        </w:rPr>
        <w:t>Съгласно установената практика Комисията предлага да преразгледа финансирането на бюджета въз основа на по-актуални икономически прогнози, одобрени на заседание на Консултативния комитет по собствените ресурси (ККСР).</w:t>
      </w:r>
    </w:p>
    <w:p>
      <w:pPr>
        <w:spacing w:before="120" w:after="120"/>
        <w:jc w:val="both"/>
        <w:rPr>
          <w:noProof/>
        </w:rPr>
      </w:pPr>
      <w:r>
        <w:rPr>
          <w:noProof/>
        </w:rPr>
        <w:t>Преразглеждането се отнася до прогнозата за традиционните собствени ресурси (ТСР), които трябва да бъдат изплатени в бюджета за 2015 г., както и до прогнозата за базите за данъка върху добавената стойност (ДДС) и брутния национален доход (БНД) за 2015 г. Прогнозата в бюджета за 2015 г. бе определена на 160-то заседание на ККСР, проведено на 19 май 2014 г. Преразгледаната прогноза, взета под внимание в настоящия ПКБ 6/2015, бе договорена на 163-то заседание на ККСР, проведено на 19 май 2015 г. Използването на актуализирана прогноза за собствените ресурси подобрява точността на прогнозите за приходите, а оттам и на плащанията, които се изисква от държавите членки да извършват в хода на бюджетната година.</w:t>
      </w:r>
    </w:p>
    <w:p>
      <w:pPr>
        <w:spacing w:before="120" w:after="120"/>
        <w:jc w:val="both"/>
        <w:rPr>
          <w:noProof/>
        </w:rPr>
      </w:pPr>
      <w:r>
        <w:rPr>
          <w:noProof/>
        </w:rPr>
        <w:t>В сравнение с прогнозите, приети през май 2014 г., тези от май 2015 г. се променят по следния начин</w:t>
      </w:r>
      <w:r>
        <w:rPr>
          <w:rStyle w:val="FootnoteReference"/>
          <w:noProof/>
        </w:rPr>
        <w:footnoteReference w:id="9"/>
      </w:r>
      <w:r>
        <w:rPr>
          <w:noProof/>
        </w:rPr>
        <w:t>:</w:t>
      </w:r>
    </w:p>
    <w:p>
      <w:pPr>
        <w:numPr>
          <w:ilvl w:val="0"/>
          <w:numId w:val="2"/>
        </w:numPr>
        <w:spacing w:before="120" w:after="120"/>
        <w:jc w:val="both"/>
        <w:rPr>
          <w:noProof/>
        </w:rPr>
      </w:pPr>
      <w:r>
        <w:rPr>
          <w:noProof/>
        </w:rPr>
        <w:t>Прогнозата за общите нетни мита за 2015 г. (включващи и митата върху селскостопански продукти) е на стойност 17 834,7 млн. EUR (след приспадане на 25 % за разходи по събирането), което представлява увеличение с 6,79 % спрямо прогнозата от 16 701,2 млн. EUR, включена в ПВК 5/2015. Основната причина за това увеличение са по-високият прогнозиран темп на растеж на вноса от държави извън ЕС и реалното изпълнение в началото на годината, която е взета предвид. Прогнозата е направена по държави членки, като са използвани прогнозните темпове на растеж на вноса от държави извън ЕС, публикувани в икономическите прогнози от пролетта на 2015 г. от 5 май 2015 г.</w:t>
      </w:r>
    </w:p>
    <w:p>
      <w:pPr>
        <w:numPr>
          <w:ilvl w:val="0"/>
          <w:numId w:val="2"/>
        </w:numPr>
        <w:spacing w:before="120" w:after="120"/>
        <w:jc w:val="both"/>
        <w:rPr>
          <w:noProof/>
          <w:color w:val="000000"/>
        </w:rPr>
      </w:pPr>
      <w:r>
        <w:rPr>
          <w:noProof/>
        </w:rPr>
        <w:t>Прогнозата за общата база за ДДС без таван за 2015 г. за ЕС е на стойност 6 030 898,4 млн. EUR, което представлява намаление с 1,26 % в сравнение с прогнозата от май 2014 г. на стойност 6 108 108,9 млн. EUR. Прогнозата за общата база за ДДС с таван за 2015 г. за ЕС</w:t>
      </w:r>
      <w:r>
        <w:rPr>
          <w:noProof/>
          <w:vertAlign w:val="superscript"/>
        </w:rPr>
        <w:footnoteReference w:id="10"/>
      </w:r>
      <w:r>
        <w:rPr>
          <w:noProof/>
        </w:rPr>
        <w:t xml:space="preserve"> е на стойност 6 007 784,6 млн. EUR, което представлява намаление с 1,32 % в сравнение с прогнозата от май 2014 г. на стойност 6 088 159,8 млн. EUR.</w:t>
      </w:r>
    </w:p>
    <w:p>
      <w:pPr>
        <w:numPr>
          <w:ilvl w:val="0"/>
          <w:numId w:val="2"/>
        </w:numPr>
        <w:spacing w:before="120" w:after="120"/>
        <w:jc w:val="both"/>
        <w:rPr>
          <w:noProof/>
          <w:color w:val="000000"/>
        </w:rPr>
      </w:pPr>
      <w:r>
        <w:rPr>
          <w:noProof/>
        </w:rPr>
        <w:t>Прогнозата за общата база за БНД за 2015 г. за ЕС е на стойност 14 034 093,9 млн. EUR, което представлява леко увеличение (+0,42 %) в сравнение с прогнозата от май 2014 г. на стойност 13 975 326,6 млн. EUR.</w:t>
      </w:r>
    </w:p>
    <w:p>
      <w:pPr>
        <w:spacing w:before="120" w:after="120"/>
        <w:jc w:val="both"/>
        <w:rPr>
          <w:noProof/>
        </w:rPr>
      </w:pPr>
      <w:r>
        <w:rPr>
          <w:noProof/>
        </w:rPr>
        <w:t>За конвертиране на прогнозите за базите за ДДС и БНД от национални валути в евро (за деветте държави членки, които не са членки на еврозоната) бяха използвани обменните курсове от 31 декември 2014 г. По този начин се избягва изкривяване, тъй като това е курсът, който се използва за конвертиране на вписаните в бюджета плащания по собствените ресурси от евро в национална валута, когато се изискват сумите (съгласно член 10, параграф 3 от Регламент № 1150/2000 на Съвета).</w:t>
      </w:r>
    </w:p>
    <w:p>
      <w:pPr>
        <w:spacing w:before="120" w:after="120"/>
        <w:jc w:val="both"/>
        <w:rPr>
          <w:noProof/>
        </w:rPr>
      </w:pPr>
      <w:r>
        <w:rPr>
          <w:noProof/>
        </w:rPr>
        <w:t>Преразгледаните прогнози за ТСР, за базите за ДДС без таван и за базите за БНД за 2015 г., приети на 163-то заседание на ККСР от 19 май 2015 г., са посочени в следната таблица:</w:t>
      </w:r>
    </w:p>
    <w:p>
      <w:pPr>
        <w:jc w:val="center"/>
        <w:rPr>
          <w:b/>
          <w:i/>
          <w:noProof/>
        </w:rPr>
      </w:pPr>
      <w:r>
        <w:rPr>
          <w:b/>
          <w:noProof/>
        </w:rPr>
        <w:t>Преразгледани прогнози за ТСР и за базите за ДДС и БНД за 2015 г. (</w:t>
      </w:r>
      <w:r>
        <w:rPr>
          <w:b/>
          <w:i/>
          <w:noProof/>
        </w:rPr>
        <w:t>в млн. EUR</w:t>
      </w:r>
      <w:r>
        <w:rPr>
          <w:b/>
          <w:noProof/>
        </w:rPr>
        <w:t>)</w:t>
      </w:r>
    </w:p>
    <w:p>
      <w:pPr>
        <w:jc w:val="center"/>
        <w:rPr>
          <w:b/>
          <w:noProof/>
        </w:rPr>
      </w:pPr>
    </w:p>
    <w:tbl>
      <w:tblPr>
        <w:tblW w:w="0" w:type="auto"/>
        <w:jc w:val="center"/>
        <w:tblLayout w:type="fixed"/>
        <w:tblLook w:val="0000" w:firstRow="0" w:lastRow="0" w:firstColumn="0" w:lastColumn="0" w:noHBand="0" w:noVBand="0"/>
      </w:tblPr>
      <w:tblGrid>
        <w:gridCol w:w="662"/>
        <w:gridCol w:w="1404"/>
        <w:gridCol w:w="1404"/>
        <w:gridCol w:w="1404"/>
        <w:gridCol w:w="1404"/>
        <w:gridCol w:w="1404"/>
      </w:tblGrid>
      <w:tr>
        <w:trPr>
          <w:trHeight w:val="742"/>
          <w:tblHeader/>
          <w:jc w:val="center"/>
        </w:trPr>
        <w:tc>
          <w:tcPr>
            <w:tcW w:w="662" w:type="dxa"/>
            <w:tcBorders>
              <w:bottom w:val="single" w:sz="12" w:space="0" w:color="auto"/>
              <w:right w:val="single" w:sz="12" w:space="0" w:color="000000"/>
            </w:tcBorders>
          </w:tcPr>
          <w:p>
            <w:pPr>
              <w:autoSpaceDE w:val="0"/>
              <w:autoSpaceDN w:val="0"/>
              <w:adjustRightInd w:val="0"/>
              <w:jc w:val="right"/>
              <w:rPr>
                <w:b/>
                <w:bCs/>
                <w:noProof/>
                <w:color w:val="000000"/>
                <w:sz w:val="20"/>
                <w:szCs w:val="20"/>
              </w:rPr>
            </w:pPr>
            <w:bookmarkStart w:id="28" w:name="OLE_LINK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autoSpaceDE w:val="0"/>
              <w:autoSpaceDN w:val="0"/>
              <w:adjustRightInd w:val="0"/>
              <w:jc w:val="center"/>
              <w:rPr>
                <w:b/>
                <w:bCs/>
                <w:noProof/>
                <w:color w:val="000000"/>
                <w:spacing w:val="-6"/>
                <w:sz w:val="20"/>
                <w:szCs w:val="20"/>
              </w:rPr>
            </w:pPr>
            <w:r>
              <w:rPr>
                <w:b/>
                <w:noProof/>
                <w:color w:val="000000"/>
                <w:spacing w:val="-6"/>
                <w:sz w:val="20"/>
              </w:rPr>
              <w:t>Налози върху</w:t>
            </w:r>
          </w:p>
          <w:p>
            <w:pPr>
              <w:autoSpaceDE w:val="0"/>
              <w:autoSpaceDN w:val="0"/>
              <w:adjustRightInd w:val="0"/>
              <w:jc w:val="center"/>
              <w:rPr>
                <w:b/>
                <w:bCs/>
                <w:noProof/>
                <w:color w:val="000000"/>
                <w:spacing w:val="-6"/>
                <w:sz w:val="20"/>
                <w:szCs w:val="20"/>
              </w:rPr>
            </w:pPr>
            <w:r>
              <w:rPr>
                <w:b/>
                <w:noProof/>
                <w:color w:val="000000"/>
                <w:spacing w:val="-6"/>
                <w:sz w:val="20"/>
              </w:rPr>
              <w:t>захарта</w:t>
            </w:r>
          </w:p>
          <w:p>
            <w:pPr>
              <w:autoSpaceDE w:val="0"/>
              <w:autoSpaceDN w:val="0"/>
              <w:adjustRightInd w:val="0"/>
              <w:jc w:val="center"/>
              <w:rPr>
                <w:b/>
                <w:bCs/>
                <w:noProof/>
                <w:color w:val="000000"/>
                <w:sz w:val="20"/>
                <w:szCs w:val="20"/>
              </w:rPr>
            </w:pPr>
            <w:r>
              <w:rPr>
                <w:b/>
                <w:i/>
                <w:noProof/>
                <w:color w:val="000000"/>
                <w:spacing w:val="-6"/>
                <w:sz w:val="20"/>
              </w:rPr>
              <w:t>(75 %) — кор</w:t>
            </w:r>
            <w:r>
              <w:rPr>
                <w:b/>
                <w:i/>
                <w:noProof/>
                <w:color w:val="000000"/>
                <w:sz w:val="20"/>
              </w:rPr>
              <w:t>.</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Мита</w:t>
            </w:r>
          </w:p>
          <w:p>
            <w:pPr>
              <w:autoSpaceDE w:val="0"/>
              <w:autoSpaceDN w:val="0"/>
              <w:adjustRightInd w:val="0"/>
              <w:jc w:val="center"/>
              <w:rPr>
                <w:b/>
                <w:bCs/>
                <w:i/>
                <w:iCs/>
                <w:noProof/>
                <w:color w:val="000000"/>
                <w:sz w:val="20"/>
                <w:szCs w:val="20"/>
              </w:rPr>
            </w:pPr>
            <w:r>
              <w:rPr>
                <w:b/>
                <w:i/>
                <w:noProof/>
                <w:color w:val="000000"/>
                <w:sz w:val="20"/>
              </w:rPr>
              <w:t>(75 %)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Бази за ДДС без таван</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Бази за БНД</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autoSpaceDE w:val="0"/>
              <w:autoSpaceDN w:val="0"/>
              <w:adjustRightInd w:val="0"/>
              <w:jc w:val="center"/>
              <w:rPr>
                <w:b/>
                <w:bCs/>
                <w:i/>
                <w:iCs/>
                <w:noProof/>
                <w:color w:val="000000"/>
                <w:sz w:val="20"/>
                <w:szCs w:val="20"/>
              </w:rPr>
            </w:pPr>
            <w:r>
              <w:rPr>
                <w:b/>
                <w:i/>
                <w:noProof/>
                <w:color w:val="000000"/>
                <w:sz w:val="20"/>
              </w:rPr>
              <w:t>Бази за ДДС</w:t>
            </w:r>
          </w:p>
          <w:p>
            <w:pPr>
              <w:autoSpaceDE w:val="0"/>
              <w:autoSpaceDN w:val="0"/>
              <w:adjustRightInd w:val="0"/>
              <w:jc w:val="center"/>
              <w:rPr>
                <w:b/>
                <w:bCs/>
                <w:i/>
                <w:iCs/>
                <w:noProof/>
                <w:color w:val="000000"/>
                <w:sz w:val="20"/>
                <w:szCs w:val="20"/>
              </w:rPr>
            </w:pPr>
            <w:r>
              <w:rPr>
                <w:b/>
                <w:i/>
                <w:noProof/>
                <w:color w:val="000000"/>
                <w:sz w:val="20"/>
              </w:rPr>
              <w:t>с таван</w:t>
            </w:r>
            <w:r>
              <w:rPr>
                <w:b/>
                <w:i/>
                <w:noProof/>
                <w:color w:val="000000"/>
                <w:sz w:val="20"/>
                <w:vertAlign w:val="superscript"/>
              </w:rPr>
              <w:footnoteReference w:id="11"/>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6,6</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 xml:space="preserve">1 700,82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170 614,2 </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 xml:space="preserve">404 490,8 </w:t>
            </w:r>
          </w:p>
        </w:tc>
        <w:tc>
          <w:tcPr>
            <w:tcW w:w="1404" w:type="dxa"/>
            <w:tcBorders>
              <w:top w:val="single" w:sz="2" w:space="0" w:color="000000"/>
              <w:left w:val="single" w:sz="2" w:space="0" w:color="000000"/>
              <w:bottom w:val="single" w:sz="2" w:space="0" w:color="000000"/>
              <w:right w:val="single" w:sz="12" w:space="0" w:color="auto"/>
            </w:tcBorders>
            <w:vAlign w:val="center"/>
          </w:tcPr>
          <w:p>
            <w:pPr>
              <w:ind w:left="20"/>
              <w:contextualSpacing/>
              <w:jc w:val="right"/>
              <w:rPr>
                <w:noProof/>
                <w:color w:val="000000"/>
                <w:sz w:val="20"/>
                <w:szCs w:val="20"/>
              </w:rPr>
            </w:pPr>
            <w:r>
              <w:rPr>
                <w:noProof/>
                <w:color w:val="000000"/>
                <w:sz w:val="20"/>
              </w:rPr>
              <w:t xml:space="preserve">170 614,2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0,4</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 xml:space="preserve">58,16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19 887,7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41 238,8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19 887,7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3,4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209,59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64 741,2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142 995,1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64 741,2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3,4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328,80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100 975,8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269 155,2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100 975,8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26,3</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3 515,70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1 258 997,2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2 999 842,7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1 258 997,2 </w:t>
            </w:r>
          </w:p>
        </w:tc>
      </w:tr>
      <w:tr>
        <w:trPr>
          <w:trHeight w:val="247"/>
          <w:jc w:val="center"/>
        </w:trPr>
        <w:tc>
          <w:tcPr>
            <w:tcW w:w="662"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szCs w:val="20"/>
              </w:rPr>
            </w:pPr>
            <w:r>
              <w:rPr>
                <w:noProof/>
                <w:color w:val="000000"/>
                <w:sz w:val="20"/>
              </w:rPr>
              <w:t xml:space="preserve">23,57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szCs w:val="20"/>
              </w:rPr>
            </w:pPr>
            <w:r>
              <w:rPr>
                <w:noProof/>
                <w:color w:val="000000"/>
                <w:sz w:val="20"/>
              </w:rPr>
              <w:t xml:space="preserve">9 499,3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szCs w:val="20"/>
              </w:rPr>
            </w:pPr>
            <w:r>
              <w:rPr>
                <w:noProof/>
                <w:color w:val="000000"/>
                <w:sz w:val="20"/>
              </w:rPr>
              <w:t xml:space="preserve">19 594,2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9 499,3 </w:t>
            </w:r>
          </w:p>
        </w:tc>
      </w:tr>
      <w:tr>
        <w:trPr>
          <w:trHeight w:val="247"/>
          <w:jc w:val="center"/>
        </w:trPr>
        <w:tc>
          <w:tcPr>
            <w:tcW w:w="662"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245,72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71 653,4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160 548,4 </w:t>
            </w:r>
          </w:p>
        </w:tc>
        <w:tc>
          <w:tcPr>
            <w:tcW w:w="1404" w:type="dxa"/>
            <w:tcBorders>
              <w:top w:val="single" w:sz="2" w:space="0" w:color="000000"/>
              <w:left w:val="single" w:sz="2" w:space="0" w:color="000000"/>
              <w:bottom w:val="dotted" w:sz="6" w:space="0" w:color="auto"/>
              <w:right w:val="single" w:sz="12" w:space="0" w:color="auto"/>
            </w:tcBorders>
            <w:shd w:val="clear" w:color="C0C0C0" w:fill="auto"/>
            <w:vAlign w:val="center"/>
          </w:tcPr>
          <w:p>
            <w:pPr>
              <w:contextualSpacing/>
              <w:jc w:val="right"/>
              <w:rPr>
                <w:noProof/>
                <w:color w:val="000000"/>
                <w:sz w:val="20"/>
                <w:szCs w:val="20"/>
              </w:rPr>
            </w:pPr>
            <w:r>
              <w:rPr>
                <w:noProof/>
                <w:color w:val="000000"/>
                <w:sz w:val="20"/>
              </w:rPr>
              <w:t xml:space="preserve">71 653,4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1,4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128,68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72 121,4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175 875,7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72 121,4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4,7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1 213,49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442 647,0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1 072 359,1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442 647,0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30,9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1 540,43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964 187,7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2 169 773,5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964 187,7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1,7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43,34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25 455,7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41 470,2 </w:t>
            </w:r>
          </w:p>
        </w:tc>
        <w:tc>
          <w:tcPr>
            <w:tcW w:w="1404" w:type="dxa"/>
            <w:tcBorders>
              <w:top w:val="single" w:sz="2" w:space="0" w:color="000000"/>
              <w:left w:val="single" w:sz="2" w:space="0" w:color="000000"/>
              <w:bottom w:val="single" w:sz="2" w:space="0" w:color="000000"/>
              <w:right w:val="single" w:sz="12" w:space="0" w:color="auto"/>
            </w:tcBorders>
            <w:shd w:val="clear" w:color="auto" w:fill="BFBFBF"/>
            <w:vAlign w:val="center"/>
          </w:tcPr>
          <w:p>
            <w:pPr>
              <w:contextualSpacing/>
              <w:jc w:val="right"/>
              <w:rPr>
                <w:noProof/>
                <w:color w:val="000000"/>
                <w:sz w:val="20"/>
                <w:szCs w:val="20"/>
              </w:rPr>
            </w:pPr>
            <w:r>
              <w:rPr>
                <w:noProof/>
                <w:color w:val="000000"/>
                <w:sz w:val="20"/>
              </w:rPr>
              <w:t xml:space="preserve">20 735,1 </w:t>
            </w:r>
          </w:p>
        </w:tc>
      </w:tr>
      <w:tr>
        <w:trPr>
          <w:trHeight w:val="247"/>
          <w:jc w:val="center"/>
        </w:trPr>
        <w:tc>
          <w:tcPr>
            <w:tcW w:w="662"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szCs w:val="20"/>
              </w:rPr>
            </w:pPr>
            <w:r>
              <w:rPr>
                <w:noProof/>
                <w:color w:val="000000"/>
                <w:sz w:val="20"/>
              </w:rPr>
              <w:t>4,7</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1 550,83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567 863,1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1 578 217,8 </w:t>
            </w:r>
          </w:p>
        </w:tc>
        <w:tc>
          <w:tcPr>
            <w:tcW w:w="1404" w:type="dxa"/>
            <w:tcBorders>
              <w:top w:val="single" w:sz="2" w:space="0" w:color="000000"/>
              <w:left w:val="single" w:sz="2" w:space="0" w:color="000000"/>
              <w:bottom w:val="single" w:sz="4" w:space="0" w:color="auto"/>
              <w:right w:val="single" w:sz="12" w:space="0" w:color="auto"/>
            </w:tcBorders>
            <w:vAlign w:val="center"/>
          </w:tcPr>
          <w:p>
            <w:pPr>
              <w:contextualSpacing/>
              <w:jc w:val="right"/>
              <w:rPr>
                <w:noProof/>
                <w:color w:val="000000"/>
                <w:sz w:val="20"/>
                <w:szCs w:val="20"/>
              </w:rPr>
            </w:pPr>
            <w:r>
              <w:rPr>
                <w:noProof/>
                <w:color w:val="000000"/>
                <w:sz w:val="20"/>
              </w:rPr>
              <w:t xml:space="preserve">567 863,1 </w:t>
            </w:r>
          </w:p>
        </w:tc>
      </w:tr>
      <w:tr>
        <w:trPr>
          <w:trHeight w:val="247"/>
          <w:jc w:val="center"/>
        </w:trPr>
        <w:tc>
          <w:tcPr>
            <w:tcW w:w="662"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18,32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10 419,8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16 204,8 </w:t>
            </w:r>
          </w:p>
        </w:tc>
        <w:tc>
          <w:tcPr>
            <w:tcW w:w="1404" w:type="dxa"/>
            <w:tcBorders>
              <w:top w:val="single" w:sz="4" w:space="0" w:color="auto"/>
              <w:left w:val="single" w:sz="2" w:space="0" w:color="000000"/>
              <w:bottom w:val="single" w:sz="2" w:space="0" w:color="000000"/>
              <w:right w:val="single" w:sz="12" w:space="0" w:color="auto"/>
            </w:tcBorders>
            <w:shd w:val="solid" w:color="C0C0C0" w:fill="auto"/>
            <w:vAlign w:val="center"/>
          </w:tcPr>
          <w:p>
            <w:pPr>
              <w:contextualSpacing/>
              <w:jc w:val="right"/>
              <w:rPr>
                <w:noProof/>
                <w:color w:val="000000"/>
                <w:sz w:val="20"/>
                <w:szCs w:val="20"/>
              </w:rPr>
            </w:pPr>
            <w:r>
              <w:rPr>
                <w:noProof/>
                <w:color w:val="000000"/>
                <w:sz w:val="20"/>
              </w:rPr>
              <w:t xml:space="preserve">8 102,4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27,18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8 946,8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24 593,8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8 946,8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65,78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14 176,3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36 375,7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14 176,3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15,03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29 131,7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30 276,8 </w:t>
            </w:r>
          </w:p>
        </w:tc>
        <w:tc>
          <w:tcPr>
            <w:tcW w:w="1404" w:type="dxa"/>
            <w:tcBorders>
              <w:top w:val="single" w:sz="2" w:space="0" w:color="000000"/>
              <w:left w:val="single" w:sz="2" w:space="0" w:color="000000"/>
              <w:bottom w:val="single" w:sz="2" w:space="0" w:color="000000"/>
              <w:right w:val="single" w:sz="12" w:space="0" w:color="auto"/>
            </w:tcBorders>
            <w:shd w:val="solid" w:color="C0C0C0" w:fill="auto"/>
            <w:vAlign w:val="center"/>
          </w:tcPr>
          <w:p>
            <w:pPr>
              <w:contextualSpacing/>
              <w:jc w:val="right"/>
              <w:rPr>
                <w:noProof/>
                <w:color w:val="000000"/>
                <w:sz w:val="20"/>
                <w:szCs w:val="20"/>
              </w:rPr>
            </w:pPr>
            <w:r>
              <w:rPr>
                <w:noProof/>
                <w:color w:val="000000"/>
                <w:sz w:val="20"/>
              </w:rPr>
              <w:t xml:space="preserve">15 138,4 </w:t>
            </w:r>
          </w:p>
        </w:tc>
      </w:tr>
      <w:tr>
        <w:trPr>
          <w:trHeight w:val="247"/>
          <w:jc w:val="center"/>
        </w:trPr>
        <w:tc>
          <w:tcPr>
            <w:tcW w:w="662"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szCs w:val="20"/>
              </w:rPr>
            </w:pPr>
            <w:r>
              <w:rPr>
                <w:noProof/>
                <w:color w:val="000000"/>
                <w:sz w:val="20"/>
              </w:rPr>
              <w:t>2,1</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110,46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42 445,7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102 879,5 </w:t>
            </w:r>
          </w:p>
        </w:tc>
        <w:tc>
          <w:tcPr>
            <w:tcW w:w="1404" w:type="dxa"/>
            <w:tcBorders>
              <w:top w:val="single" w:sz="2" w:space="0" w:color="000000"/>
              <w:left w:val="single" w:sz="2" w:space="0" w:color="000000"/>
              <w:bottom w:val="single" w:sz="4" w:space="0" w:color="auto"/>
              <w:right w:val="single" w:sz="12" w:space="0" w:color="auto"/>
            </w:tcBorders>
            <w:vAlign w:val="center"/>
          </w:tcPr>
          <w:p>
            <w:pPr>
              <w:contextualSpacing/>
              <w:jc w:val="right"/>
              <w:rPr>
                <w:noProof/>
                <w:color w:val="000000"/>
                <w:sz w:val="20"/>
                <w:szCs w:val="20"/>
              </w:rPr>
            </w:pPr>
            <w:r>
              <w:rPr>
                <w:noProof/>
                <w:color w:val="000000"/>
                <w:sz w:val="20"/>
              </w:rPr>
              <w:t xml:space="preserve">42 445,7 </w:t>
            </w:r>
          </w:p>
        </w:tc>
      </w:tr>
      <w:tr>
        <w:trPr>
          <w:trHeight w:val="247"/>
          <w:jc w:val="center"/>
        </w:trPr>
        <w:tc>
          <w:tcPr>
            <w:tcW w:w="662"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11,43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5 765,6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7 947,4 </w:t>
            </w:r>
          </w:p>
        </w:tc>
        <w:tc>
          <w:tcPr>
            <w:tcW w:w="1404" w:type="dxa"/>
            <w:tcBorders>
              <w:top w:val="single" w:sz="4" w:space="0" w:color="auto"/>
              <w:left w:val="single" w:sz="2" w:space="0" w:color="000000"/>
              <w:bottom w:val="single" w:sz="2" w:space="0" w:color="000000"/>
              <w:right w:val="single" w:sz="12" w:space="0" w:color="auto"/>
            </w:tcBorders>
            <w:shd w:val="solid" w:color="C0C0C0" w:fill="auto"/>
            <w:vAlign w:val="center"/>
          </w:tcPr>
          <w:p>
            <w:pPr>
              <w:contextualSpacing/>
              <w:jc w:val="right"/>
              <w:rPr>
                <w:noProof/>
                <w:color w:val="000000"/>
                <w:sz w:val="20"/>
                <w:szCs w:val="20"/>
              </w:rPr>
            </w:pPr>
            <w:r>
              <w:rPr>
                <w:noProof/>
                <w:color w:val="000000"/>
                <w:sz w:val="20"/>
              </w:rPr>
              <w:t xml:space="preserve">3 973,7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7,2</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2 130,91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265 609,3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658 901,0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265 609,3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3,2</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199,81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149 913,4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320 170,1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149 913,4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12,8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461,59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167 326,8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399 727,5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167 326,8 </w:t>
            </w:r>
          </w:p>
        </w:tc>
      </w:tr>
      <w:tr>
        <w:trPr>
          <w:trHeight w:val="247"/>
          <w:jc w:val="center"/>
        </w:trPr>
        <w:tc>
          <w:tcPr>
            <w:tcW w:w="662"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0,1</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123,94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78 552,7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170 889,1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78 552,7 </w:t>
            </w:r>
          </w:p>
        </w:tc>
      </w:tr>
      <w:tr>
        <w:trPr>
          <w:trHeight w:val="247"/>
          <w:jc w:val="center"/>
        </w:trPr>
        <w:tc>
          <w:tcPr>
            <w:tcW w:w="662"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0,9</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117,15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54 564,4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151 750,7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54 564,4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62,59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18 636,3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36 691,6 </w:t>
            </w:r>
          </w:p>
        </w:tc>
        <w:tc>
          <w:tcPr>
            <w:tcW w:w="1404" w:type="dxa"/>
            <w:tcBorders>
              <w:top w:val="single" w:sz="2" w:space="0" w:color="000000"/>
              <w:left w:val="single" w:sz="2" w:space="0" w:color="000000"/>
              <w:bottom w:val="single" w:sz="2" w:space="0" w:color="000000"/>
              <w:right w:val="single" w:sz="12" w:space="0" w:color="auto"/>
            </w:tcBorders>
            <w:shd w:val="solid" w:color="C0C0C0" w:fill="auto"/>
            <w:vAlign w:val="center"/>
          </w:tcPr>
          <w:p>
            <w:pPr>
              <w:contextualSpacing/>
              <w:jc w:val="right"/>
              <w:rPr>
                <w:noProof/>
                <w:color w:val="000000"/>
                <w:sz w:val="20"/>
                <w:szCs w:val="20"/>
              </w:rPr>
            </w:pPr>
            <w:r>
              <w:rPr>
                <w:noProof/>
                <w:color w:val="000000"/>
                <w:sz w:val="20"/>
              </w:rPr>
              <w:t xml:space="preserve">18 345,8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1,3</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95,63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26 006,8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73 727,7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26 006,8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111,49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91 338,0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199 222,1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91 338,0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2,6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497,21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187 187,4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430 172,8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187 187,4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9,5</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3 227,04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1 112 233,9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2 299 002,4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1 112 233,9 </w:t>
            </w:r>
          </w:p>
        </w:tc>
      </w:tr>
      <w:tr>
        <w:trPr>
          <w:trHeight w:val="276"/>
          <w:jc w:val="center"/>
        </w:trPr>
        <w:tc>
          <w:tcPr>
            <w:tcW w:w="662"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ЕС</w:t>
            </w:r>
          </w:p>
        </w:tc>
        <w:tc>
          <w:tcPr>
            <w:tcW w:w="1404" w:type="dxa"/>
            <w:tcBorders>
              <w:top w:val="single" w:sz="12" w:space="0" w:color="auto"/>
              <w:left w:val="single" w:sz="2" w:space="0" w:color="000000"/>
              <w:bottom w:val="single" w:sz="12" w:space="0" w:color="auto"/>
              <w:right w:val="single" w:sz="2" w:space="0" w:color="000000"/>
            </w:tcBorders>
            <w:vAlign w:val="center"/>
          </w:tcPr>
          <w:p>
            <w:pPr>
              <w:ind w:left="20"/>
              <w:contextualSpacing/>
              <w:jc w:val="right"/>
              <w:rPr>
                <w:b/>
                <w:bCs/>
                <w:noProof/>
                <w:color w:val="000000"/>
                <w:sz w:val="20"/>
                <w:szCs w:val="20"/>
              </w:rPr>
            </w:pPr>
            <w:r>
              <w:rPr>
                <w:b/>
                <w:noProof/>
                <w:color w:val="000000"/>
                <w:sz w:val="20"/>
              </w:rPr>
              <w:t>124,7</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szCs w:val="20"/>
              </w:rPr>
            </w:pPr>
            <w:r>
              <w:rPr>
                <w:b/>
                <w:noProof/>
                <w:color w:val="000000"/>
                <w:sz w:val="20"/>
              </w:rPr>
              <w:t xml:space="preserve">17 834,7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szCs w:val="20"/>
              </w:rPr>
            </w:pPr>
            <w:r>
              <w:rPr>
                <w:b/>
                <w:noProof/>
                <w:color w:val="000000"/>
                <w:sz w:val="20"/>
              </w:rPr>
              <w:t xml:space="preserve">6 030 898,4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szCs w:val="20"/>
              </w:rPr>
            </w:pPr>
            <w:r>
              <w:rPr>
                <w:b/>
                <w:noProof/>
                <w:color w:val="000000"/>
                <w:sz w:val="20"/>
              </w:rPr>
              <w:t xml:space="preserve">14 034 093,9 </w:t>
            </w:r>
          </w:p>
        </w:tc>
        <w:tc>
          <w:tcPr>
            <w:tcW w:w="1404" w:type="dxa"/>
            <w:tcBorders>
              <w:top w:val="single" w:sz="12" w:space="0" w:color="auto"/>
              <w:left w:val="single" w:sz="2" w:space="0" w:color="000000"/>
              <w:bottom w:val="single" w:sz="12" w:space="0" w:color="auto"/>
              <w:right w:val="single" w:sz="12" w:space="0" w:color="auto"/>
            </w:tcBorders>
            <w:vAlign w:val="center"/>
          </w:tcPr>
          <w:p>
            <w:pPr>
              <w:contextualSpacing/>
              <w:jc w:val="right"/>
              <w:rPr>
                <w:b/>
                <w:bCs/>
                <w:noProof/>
                <w:color w:val="000000"/>
                <w:sz w:val="20"/>
                <w:szCs w:val="20"/>
              </w:rPr>
            </w:pPr>
            <w:r>
              <w:rPr>
                <w:b/>
                <w:noProof/>
                <w:color w:val="000000"/>
                <w:sz w:val="20"/>
              </w:rPr>
              <w:t xml:space="preserve">6 007 784,7 </w:t>
            </w:r>
          </w:p>
        </w:tc>
      </w:tr>
    </w:tbl>
    <w:p>
      <w:pPr>
        <w:keepNext/>
        <w:tabs>
          <w:tab w:val="left" w:pos="851"/>
        </w:tabs>
        <w:spacing w:before="120" w:after="120"/>
        <w:ind w:left="851" w:hanging="851"/>
        <w:jc w:val="both"/>
        <w:outlineLvl w:val="1"/>
        <w:rPr>
          <w:b/>
          <w:noProof/>
        </w:rPr>
      </w:pPr>
      <w:bookmarkStart w:id="29" w:name="_Toc421699312"/>
      <w:bookmarkStart w:id="30" w:name="_Toc421700209"/>
      <w:bookmarkStart w:id="31" w:name="_Toc424207683"/>
      <w:bookmarkStart w:id="32" w:name="_Toc390436796"/>
      <w:bookmarkStart w:id="33" w:name="_Toc420941901"/>
      <w:bookmarkStart w:id="34" w:name="_Toc294673193"/>
      <w:bookmarkStart w:id="35" w:name="_Toc357005413"/>
      <w:bookmarkStart w:id="36" w:name="_Toc358885561"/>
      <w:bookmarkEnd w:id="28"/>
      <w:r>
        <w:rPr>
          <w:b/>
          <w:noProof/>
        </w:rPr>
        <w:t>2.3</w:t>
      </w:r>
      <w:r>
        <w:rPr>
          <w:noProof/>
        </w:rPr>
        <w:tab/>
      </w:r>
      <w:r>
        <w:rPr>
          <w:b/>
          <w:noProof/>
        </w:rPr>
        <w:t>Корекция за Обединеното кралство за 2014, 2013, 2012 и 2011 г.</w:t>
      </w:r>
      <w:bookmarkEnd w:id="29"/>
      <w:bookmarkEnd w:id="30"/>
      <w:bookmarkEnd w:id="31"/>
    </w:p>
    <w:p>
      <w:pPr>
        <w:keepNext/>
        <w:tabs>
          <w:tab w:val="left" w:pos="850"/>
        </w:tabs>
        <w:spacing w:before="160" w:after="160"/>
        <w:ind w:left="851" w:hanging="851"/>
        <w:jc w:val="both"/>
        <w:outlineLvl w:val="1"/>
        <w:rPr>
          <w:b/>
          <w:bCs/>
          <w:i/>
          <w:iCs/>
          <w:noProof/>
        </w:rPr>
      </w:pPr>
      <w:bookmarkStart w:id="37" w:name="_Toc294673194"/>
      <w:bookmarkStart w:id="38" w:name="_Toc357005414"/>
      <w:bookmarkStart w:id="39" w:name="_Toc390436797"/>
      <w:bookmarkStart w:id="40" w:name="_Toc420941902"/>
      <w:bookmarkStart w:id="41" w:name="_Toc421700210"/>
      <w:bookmarkStart w:id="42" w:name="_Toc424207684"/>
      <w:bookmarkEnd w:id="32"/>
      <w:bookmarkEnd w:id="33"/>
      <w:r>
        <w:rPr>
          <w:b/>
          <w:i/>
          <w:noProof/>
        </w:rPr>
        <w:t>2.3.1</w:t>
      </w:r>
      <w:r>
        <w:rPr>
          <w:noProof/>
        </w:rPr>
        <w:tab/>
      </w:r>
      <w:r>
        <w:rPr>
          <w:b/>
          <w:i/>
          <w:noProof/>
        </w:rPr>
        <w:t>Въведение</w:t>
      </w:r>
      <w:bookmarkEnd w:id="37"/>
      <w:bookmarkEnd w:id="38"/>
      <w:bookmarkEnd w:id="39"/>
      <w:bookmarkEnd w:id="40"/>
      <w:bookmarkEnd w:id="41"/>
      <w:bookmarkEnd w:id="42"/>
    </w:p>
    <w:p>
      <w:pPr>
        <w:spacing w:before="120" w:after="120"/>
        <w:jc w:val="both"/>
        <w:rPr>
          <w:noProof/>
        </w:rPr>
      </w:pPr>
      <w:r>
        <w:rPr>
          <w:noProof/>
        </w:rPr>
        <w:t>Корекцията на бюджетните дисбаланси в полза на Обединеното кралство (корекция за Обединеното кралство), която следва да бъде предвидена в настоящия ПКБ, се отнася за четири години: 2011, 2012, 2013 и 2014 г.</w:t>
      </w:r>
    </w:p>
    <w:p>
      <w:pPr>
        <w:widowControl w:val="0"/>
        <w:spacing w:before="120" w:after="120"/>
        <w:jc w:val="both"/>
        <w:rPr>
          <w:noProof/>
        </w:rPr>
      </w:pPr>
      <w:r>
        <w:rPr>
          <w:noProof/>
        </w:rPr>
        <w:t>Корекциите за Обединеното кралство за 2011, 2012, 2013 и 2014 г. се подчиняват на разпоредбите на Решение 2007/436/ЕО, Евратом на Съвета относно системата на собствените ресурси на Европейските общности</w:t>
      </w:r>
      <w:r>
        <w:rPr>
          <w:noProof/>
          <w:vertAlign w:val="superscript"/>
        </w:rPr>
        <w:footnoteReference w:id="12"/>
      </w:r>
      <w:r>
        <w:rPr>
          <w:noProof/>
        </w:rPr>
        <w:t xml:space="preserve"> и на придружаващия го работен документ (</w:t>
      </w:r>
      <w:r>
        <w:rPr>
          <w:i/>
          <w:noProof/>
        </w:rPr>
        <w:t>Метод за изчисляване от 2007 г.</w:t>
      </w:r>
      <w:r>
        <w:rPr>
          <w:noProof/>
          <w:vertAlign w:val="superscript"/>
        </w:rPr>
        <w:footnoteReference w:id="13"/>
      </w:r>
      <w:r>
        <w:rPr>
          <w:noProof/>
        </w:rPr>
        <w:t>)</w:t>
      </w:r>
      <w:r>
        <w:rPr>
          <w:i/>
          <w:noProof/>
        </w:rPr>
        <w:t>.</w:t>
      </w:r>
      <w:r>
        <w:rPr>
          <w:noProof/>
        </w:rPr>
        <w:t xml:space="preserve"> Според разпоредбите на това решение нетните „извънредни приходи“ от ТСР на Обединеното кралство, произтичащи от увеличаването от 2001 г. на процента от ТСР, задържан от държавите членки като компенсация за техните разходи по събирането, се неутрализират и разпределените разходи се коригират с:</w:t>
      </w:r>
    </w:p>
    <w:p>
      <w:pPr>
        <w:numPr>
          <w:ilvl w:val="0"/>
          <w:numId w:val="2"/>
        </w:numPr>
        <w:spacing w:before="120" w:after="120"/>
        <w:jc w:val="both"/>
        <w:rPr>
          <w:noProof/>
        </w:rPr>
      </w:pPr>
      <w:r>
        <w:rPr>
          <w:noProof/>
        </w:rPr>
        <w:t>предприсъединителните разходи (ППР), изплатени в рамките на бюджетните кредити за плащания, свързани с годината, предшестваща разширяването. Корекцията на ППР престана да се прилага, считано от корекцията за 2013 г., включена в бюджета за първи път през 2014 г.;</w:t>
      </w:r>
    </w:p>
    <w:p>
      <w:pPr>
        <w:numPr>
          <w:ilvl w:val="0"/>
          <w:numId w:val="2"/>
        </w:numPr>
        <w:spacing w:before="120" w:after="120"/>
        <w:jc w:val="both"/>
        <w:rPr>
          <w:noProof/>
        </w:rPr>
      </w:pPr>
      <w:r>
        <w:rPr>
          <w:noProof/>
        </w:rPr>
        <w:t xml:space="preserve">общите разпределени разходи в държавите членки, които са се присъединили към ЕС след 30 април 2004 г., с изключение на преките селскостопански плащания и разходите, свързани с пазара, както и тази част от разходите за развитие на селските райони, която произтича от секция „Гарантиране“ на ФЕОГА. </w:t>
      </w:r>
    </w:p>
    <w:p>
      <w:pPr>
        <w:spacing w:before="120" w:after="120"/>
        <w:jc w:val="both"/>
        <w:rPr>
          <w:noProof/>
        </w:rPr>
      </w:pPr>
      <w:r>
        <w:rPr>
          <w:noProof/>
        </w:rPr>
        <w:t>Освен това делът на Австрия, Германия, Нидерландия и Швеция от финансирането на корекцията за Обединеното кралство е намален на една четвърт от обичайния му размер. Това намаление се финансира от другите държави членки, с изключение на Обединеното кралство.</w:t>
      </w:r>
    </w:p>
    <w:p>
      <w:pPr>
        <w:spacing w:before="120" w:after="120"/>
        <w:jc w:val="both"/>
        <w:rPr>
          <w:noProof/>
          <w:spacing w:val="-6"/>
        </w:rPr>
      </w:pPr>
      <w:r>
        <w:rPr>
          <w:noProof/>
          <w:spacing w:val="-6"/>
        </w:rPr>
        <w:t xml:space="preserve">Разликата между </w:t>
      </w:r>
      <w:r>
        <w:rPr>
          <w:i/>
          <w:noProof/>
          <w:spacing w:val="-6"/>
        </w:rPr>
        <w:t>окончателния размер на корекцията за Обединеното кралство за 2011 г.</w:t>
      </w:r>
      <w:r>
        <w:rPr>
          <w:noProof/>
          <w:spacing w:val="-6"/>
        </w:rPr>
        <w:t xml:space="preserve"> и размера, включен преди това в бюджета (</w:t>
      </w:r>
      <w:r>
        <w:rPr>
          <w:i/>
          <w:noProof/>
          <w:spacing w:val="-6"/>
        </w:rPr>
        <w:t>третата актуализация</w:t>
      </w:r>
      <w:r>
        <w:rPr>
          <w:noProof/>
          <w:spacing w:val="-6"/>
        </w:rPr>
        <w:t xml:space="preserve">, записана в КБ 3/2014), е записана в глава 35 от ПКБ 6/2015. Разликата между </w:t>
      </w:r>
      <w:r>
        <w:rPr>
          <w:i/>
          <w:noProof/>
          <w:spacing w:val="-6"/>
        </w:rPr>
        <w:t>третата актуализация на корекцията за Обединеното кралство за 2012 г.</w:t>
      </w:r>
      <w:r>
        <w:rPr>
          <w:noProof/>
          <w:spacing w:val="-6"/>
        </w:rPr>
        <w:t xml:space="preserve"> и сумата, включена преди това в бюджета (</w:t>
      </w:r>
      <w:r>
        <w:rPr>
          <w:i/>
          <w:noProof/>
          <w:spacing w:val="-6"/>
        </w:rPr>
        <w:t>първата актуализация</w:t>
      </w:r>
      <w:r>
        <w:rPr>
          <w:noProof/>
          <w:spacing w:val="-6"/>
        </w:rPr>
        <w:t xml:space="preserve">, записана в КБ 6/2013), е записана в глава 36 от ПКБ 6/2015. Разликата между </w:t>
      </w:r>
      <w:r>
        <w:rPr>
          <w:i/>
          <w:noProof/>
          <w:spacing w:val="-6"/>
        </w:rPr>
        <w:t>втората актуализация на корекцията за Обединеното кралство за 2013 г.</w:t>
      </w:r>
      <w:r>
        <w:rPr>
          <w:noProof/>
          <w:spacing w:val="-6"/>
        </w:rPr>
        <w:t xml:space="preserve"> и сумата, включена преди това в бюджета (</w:t>
      </w:r>
      <w:r>
        <w:rPr>
          <w:i/>
          <w:noProof/>
          <w:spacing w:val="-6"/>
        </w:rPr>
        <w:t>първата актуализация</w:t>
      </w:r>
      <w:r>
        <w:rPr>
          <w:noProof/>
          <w:spacing w:val="-6"/>
        </w:rPr>
        <w:t>, записана в КБ 3/2014), е записана в глава 36 от ПКБ 6/2015.</w:t>
      </w:r>
    </w:p>
    <w:p>
      <w:pPr>
        <w:spacing w:before="120" w:after="120"/>
        <w:jc w:val="both"/>
        <w:rPr>
          <w:noProof/>
        </w:rPr>
      </w:pPr>
      <w:r>
        <w:rPr>
          <w:noProof/>
        </w:rPr>
        <w:t xml:space="preserve">Размерът на </w:t>
      </w:r>
      <w:r>
        <w:rPr>
          <w:i/>
          <w:noProof/>
        </w:rPr>
        <w:t xml:space="preserve">първата актуализация </w:t>
      </w:r>
      <w:r>
        <w:rPr>
          <w:noProof/>
        </w:rPr>
        <w:t xml:space="preserve">на корекцията за Обединеното кралство за 2014 г. е записан в глава 15 от ПКБ 6/2015 като заместител на </w:t>
      </w:r>
      <w:r>
        <w:rPr>
          <w:i/>
          <w:noProof/>
        </w:rPr>
        <w:t>временния размер</w:t>
      </w:r>
      <w:r>
        <w:rPr>
          <w:noProof/>
        </w:rPr>
        <w:t xml:space="preserve"> на корекцията за Обединеното кралство за 2014 г., записан в глава 15 от бюджета за 2015 г.</w:t>
      </w:r>
    </w:p>
    <w:p>
      <w:pPr>
        <w:keepNext/>
        <w:tabs>
          <w:tab w:val="left" w:pos="850"/>
        </w:tabs>
        <w:spacing w:before="160" w:after="160"/>
        <w:ind w:left="851" w:hanging="851"/>
        <w:jc w:val="both"/>
        <w:outlineLvl w:val="1"/>
        <w:rPr>
          <w:b/>
          <w:bCs/>
          <w:i/>
          <w:iCs/>
          <w:noProof/>
        </w:rPr>
      </w:pPr>
      <w:bookmarkStart w:id="43" w:name="_Toc231879704"/>
      <w:bookmarkStart w:id="44" w:name="_Toc293417236"/>
      <w:bookmarkStart w:id="45" w:name="_Toc294673195"/>
      <w:bookmarkStart w:id="46" w:name="_Toc357005415"/>
      <w:bookmarkStart w:id="47" w:name="_Toc390436798"/>
      <w:bookmarkStart w:id="48" w:name="_Toc420941903"/>
      <w:bookmarkStart w:id="49" w:name="_Toc421700211"/>
      <w:bookmarkStart w:id="50" w:name="_Toc424207685"/>
      <w:r>
        <w:rPr>
          <w:b/>
          <w:i/>
          <w:noProof/>
        </w:rPr>
        <w:t>2.3.2</w:t>
      </w:r>
      <w:r>
        <w:rPr>
          <w:noProof/>
        </w:rPr>
        <w:tab/>
      </w:r>
      <w:r>
        <w:rPr>
          <w:b/>
          <w:i/>
          <w:noProof/>
        </w:rPr>
        <w:t>Изчисляване на корекциите</w:t>
      </w:r>
      <w:bookmarkEnd w:id="43"/>
      <w:bookmarkEnd w:id="44"/>
      <w:bookmarkEnd w:id="45"/>
      <w:bookmarkEnd w:id="46"/>
      <w:bookmarkEnd w:id="47"/>
      <w:bookmarkEnd w:id="48"/>
      <w:bookmarkEnd w:id="49"/>
      <w:bookmarkEnd w:id="50"/>
    </w:p>
    <w:p>
      <w:pPr>
        <w:spacing w:before="120" w:after="120"/>
        <w:jc w:val="both"/>
        <w:rPr>
          <w:noProof/>
        </w:rPr>
      </w:pPr>
      <w:r>
        <w:rPr>
          <w:noProof/>
        </w:rPr>
        <w:t xml:space="preserve">В настоящия ПКБ са вписани изчисляването и финансирането на </w:t>
      </w:r>
      <w:r>
        <w:rPr>
          <w:i/>
          <w:noProof/>
        </w:rPr>
        <w:t>първата актуализация</w:t>
      </w:r>
      <w:r>
        <w:rPr>
          <w:noProof/>
        </w:rPr>
        <w:t xml:space="preserve"> на корекцията за Обединеното кралство </w:t>
      </w:r>
      <w:r>
        <w:rPr>
          <w:i/>
          <w:noProof/>
        </w:rPr>
        <w:t>за 2014 г.</w:t>
      </w:r>
      <w:r>
        <w:rPr>
          <w:noProof/>
        </w:rPr>
        <w:t xml:space="preserve">, </w:t>
      </w:r>
      <w:r>
        <w:rPr>
          <w:i/>
          <w:noProof/>
        </w:rPr>
        <w:t>втората актуализация</w:t>
      </w:r>
      <w:r>
        <w:rPr>
          <w:noProof/>
        </w:rPr>
        <w:t xml:space="preserve"> на корекцията за Обединеното кралство </w:t>
      </w:r>
      <w:r>
        <w:rPr>
          <w:i/>
          <w:noProof/>
        </w:rPr>
        <w:t>за 2013 г.</w:t>
      </w:r>
      <w:r>
        <w:rPr>
          <w:noProof/>
        </w:rPr>
        <w:t xml:space="preserve">, </w:t>
      </w:r>
      <w:r>
        <w:rPr>
          <w:i/>
          <w:noProof/>
        </w:rPr>
        <w:t>третата актуализация</w:t>
      </w:r>
      <w:r>
        <w:rPr>
          <w:noProof/>
        </w:rPr>
        <w:t xml:space="preserve"> на корекцията за Обединеното кралство </w:t>
      </w:r>
      <w:r>
        <w:rPr>
          <w:i/>
          <w:noProof/>
        </w:rPr>
        <w:t>за 2012 г.</w:t>
      </w:r>
      <w:r>
        <w:rPr>
          <w:noProof/>
        </w:rPr>
        <w:t xml:space="preserve"> и </w:t>
      </w:r>
      <w:r>
        <w:rPr>
          <w:i/>
          <w:noProof/>
        </w:rPr>
        <w:t>окончателният размер</w:t>
      </w:r>
      <w:r>
        <w:rPr>
          <w:noProof/>
        </w:rPr>
        <w:t xml:space="preserve"> на корекцията за Обединеното кралство за </w:t>
      </w:r>
      <w:r>
        <w:rPr>
          <w:i/>
          <w:noProof/>
        </w:rPr>
        <w:t>2011 г.</w:t>
      </w:r>
    </w:p>
    <w:p>
      <w:pPr>
        <w:spacing w:before="120" w:after="120"/>
        <w:jc w:val="both"/>
        <w:rPr>
          <w:noProof/>
        </w:rPr>
      </w:pPr>
      <w:r>
        <w:rPr>
          <w:noProof/>
        </w:rPr>
        <w:t xml:space="preserve">Актуализацията на корекциите за 2011, 2012 и 2013 г. се дължи предимно на актуализацията на базите за ДДС и за БНД, изпратени от държавите членки през есента на 2014 г. (действие във връзка със салдата на ДДС/БНД). Увеличението на плащанията по БНД на Обединеното кралство за годините 2011—2013 се компенсира частично чрез отстъпките за Обединеното кралство (предимството за Обединеното кралство). </w:t>
      </w:r>
    </w:p>
    <w:p>
      <w:pPr>
        <w:spacing w:before="120" w:after="120"/>
        <w:jc w:val="both"/>
        <w:rPr>
          <w:noProof/>
        </w:rPr>
      </w:pPr>
      <w:r>
        <w:rPr>
          <w:noProof/>
        </w:rPr>
        <w:t xml:space="preserve">Следната таблица съдържа обобщение на актуализациите на корекциите за годините 2011—2014, включени в настоящия проект на коригиращ бюджет. </w:t>
      </w:r>
    </w:p>
    <w:p>
      <w:pPr>
        <w:spacing w:before="120" w:after="120"/>
        <w:jc w:val="center"/>
        <w:rPr>
          <w:noProof/>
        </w:rPr>
      </w:pPr>
      <w:r>
        <w:rPr>
          <w:noProof/>
          <w:lang w:val="en-GB" w:eastAsia="en-GB" w:bidi="ar-SA"/>
        </w:rPr>
        <w:pict>
          <v:shape id="_x0000_i1026" type="#_x0000_t75" style="width:421.5pt;height:315pt;visibility:visible;mso-wrap-style:square">
            <v:imagedata r:id="rId29" o:title=""/>
          </v:shape>
        </w:pict>
      </w:r>
    </w:p>
    <w:p>
      <w:pPr>
        <w:rPr>
          <w:b/>
          <w:bCs/>
          <w:noProof/>
          <w:szCs w:val="28"/>
        </w:rPr>
      </w:pPr>
      <w:r>
        <w:rPr>
          <w:noProof/>
        </w:rPr>
        <w:br w:type="page"/>
      </w:r>
      <w:bookmarkStart w:id="51" w:name="_Toc231879705"/>
      <w:r>
        <w:rPr>
          <w:b/>
          <w:noProof/>
        </w:rPr>
        <w:t>2.3.2.1</w:t>
      </w:r>
      <w:r>
        <w:rPr>
          <w:noProof/>
        </w:rPr>
        <w:tab/>
      </w:r>
      <w:r>
        <w:rPr>
          <w:b/>
          <w:noProof/>
        </w:rPr>
        <w:t>Корекция за Обединеното кралство за 2014 г.</w:t>
      </w:r>
    </w:p>
    <w:bookmarkEnd w:id="51"/>
    <w:p>
      <w:pPr>
        <w:spacing w:before="120" w:after="120"/>
        <w:jc w:val="both"/>
        <w:rPr>
          <w:noProof/>
        </w:rPr>
      </w:pPr>
      <w:r>
        <w:rPr>
          <w:noProof/>
        </w:rPr>
        <w:t xml:space="preserve">В следната таблица се обобщават промените между </w:t>
      </w:r>
      <w:r>
        <w:rPr>
          <w:i/>
          <w:noProof/>
        </w:rPr>
        <w:t>временния размер</w:t>
      </w:r>
      <w:r>
        <w:rPr>
          <w:noProof/>
        </w:rPr>
        <w:t xml:space="preserve"> на корекцията за Обединеното кралство за 2014 г., записан в бюджета за 2015 г., и </w:t>
      </w:r>
      <w:r>
        <w:rPr>
          <w:i/>
          <w:noProof/>
        </w:rPr>
        <w:t>първата актуализация</w:t>
      </w:r>
      <w:r>
        <w:rPr>
          <w:noProof/>
        </w:rPr>
        <w:t xml:space="preserve"> на корекцията за Обединеното кралство за 2014 г., която ще бъде записана в ПКБ 6/2015.</w:t>
      </w:r>
    </w:p>
    <w:tbl>
      <w:tblPr>
        <w:tblW w:w="9135" w:type="dxa"/>
        <w:tblInd w:w="93" w:type="dxa"/>
        <w:tblLayout w:type="fixed"/>
        <w:tblLook w:val="0000" w:firstRow="0" w:lastRow="0" w:firstColumn="0" w:lastColumn="0" w:noHBand="0" w:noVBand="0"/>
      </w:tblPr>
      <w:tblGrid>
        <w:gridCol w:w="550"/>
        <w:gridCol w:w="3185"/>
        <w:gridCol w:w="1800"/>
        <w:gridCol w:w="1993"/>
        <w:gridCol w:w="1607"/>
      </w:tblGrid>
      <w:tr>
        <w:trPr>
          <w:trHeight w:val="727"/>
        </w:trPr>
        <w:tc>
          <w:tcPr>
            <w:tcW w:w="550" w:type="dxa"/>
            <w:tcBorders>
              <w:top w:val="nil"/>
              <w:left w:val="nil"/>
              <w:bottom w:val="nil"/>
              <w:right w:val="nil"/>
            </w:tcBorders>
            <w:shd w:val="clear" w:color="auto" w:fill="auto"/>
            <w:noWrap/>
            <w:vAlign w:val="bottom"/>
          </w:tcPr>
          <w:p>
            <w:pPr>
              <w:rPr>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2014 г.</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Корекция за Обединеното кралство за 2014 г.</w:t>
            </w:r>
          </w:p>
          <w:p>
            <w:pPr>
              <w:autoSpaceDE w:val="0"/>
              <w:autoSpaceDN w:val="0"/>
              <w:adjustRightInd w:val="0"/>
              <w:jc w:val="center"/>
              <w:rPr>
                <w:noProof/>
                <w:color w:val="000000"/>
                <w:sz w:val="20"/>
                <w:szCs w:val="20"/>
              </w:rPr>
            </w:pPr>
            <w:r>
              <w:rPr>
                <w:b/>
                <w:noProof/>
                <w:color w:val="000000"/>
                <w:sz w:val="20"/>
              </w:rPr>
              <w:t>ВРЕМЕНЕН РАЗМЕР</w:t>
            </w:r>
          </w:p>
          <w:p>
            <w:pPr>
              <w:autoSpaceDE w:val="0"/>
              <w:autoSpaceDN w:val="0"/>
              <w:adjustRightInd w:val="0"/>
              <w:jc w:val="center"/>
              <w:rPr>
                <w:noProof/>
                <w:color w:val="000000"/>
                <w:sz w:val="20"/>
                <w:szCs w:val="20"/>
              </w:rPr>
            </w:pPr>
            <w:r>
              <w:rPr>
                <w:noProof/>
                <w:color w:val="000000"/>
                <w:sz w:val="20"/>
              </w:rPr>
              <w:t>Бюджет за 2015 г.</w:t>
            </w:r>
          </w:p>
        </w:tc>
        <w:tc>
          <w:tcPr>
            <w:tcW w:w="1993"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Корекция за Обединеното кралство за 2014 г.</w:t>
            </w:r>
          </w:p>
          <w:p>
            <w:pPr>
              <w:autoSpaceDE w:val="0"/>
              <w:autoSpaceDN w:val="0"/>
              <w:adjustRightInd w:val="0"/>
              <w:jc w:val="center"/>
              <w:rPr>
                <w:b/>
                <w:bCs/>
                <w:noProof/>
                <w:color w:val="000000"/>
                <w:sz w:val="20"/>
                <w:szCs w:val="20"/>
              </w:rPr>
            </w:pPr>
            <w:r>
              <w:rPr>
                <w:b/>
                <w:noProof/>
                <w:color w:val="000000"/>
                <w:sz w:val="20"/>
              </w:rPr>
              <w:t>1-ва АКТУАЛИЗАЦИЯ</w:t>
            </w:r>
          </w:p>
          <w:p>
            <w:pPr>
              <w:autoSpaceDE w:val="0"/>
              <w:autoSpaceDN w:val="0"/>
              <w:adjustRightInd w:val="0"/>
              <w:jc w:val="center"/>
              <w:rPr>
                <w:noProof/>
                <w:color w:val="000000"/>
                <w:sz w:val="20"/>
                <w:szCs w:val="20"/>
              </w:rPr>
            </w:pPr>
            <w:r>
              <w:rPr>
                <w:noProof/>
                <w:color w:val="000000"/>
                <w:sz w:val="20"/>
              </w:rPr>
              <w:t>ПКБ 6/2015</w:t>
            </w:r>
          </w:p>
        </w:tc>
        <w:tc>
          <w:tcPr>
            <w:tcW w:w="1607"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szCs w:val="20"/>
              </w:rPr>
            </w:pPr>
            <w:r>
              <w:rPr>
                <w:b/>
                <w:i/>
                <w:noProof/>
                <w:color w:val="000000"/>
                <w:sz w:val="20"/>
              </w:rPr>
              <w:t>Разлика</w:t>
            </w:r>
          </w:p>
        </w:tc>
      </w:tr>
      <w:t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Дял на Обединеното кралство от базата за ДДС без таван</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16,2167%</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17,7333%</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+1,5167%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Дял на Обединеното кралство от общите разпределени разходи, коригирани с разходите за разширяването</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5,9238%</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7,3956%</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+1,4719%</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10,2929%</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10,3377%</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+0,0448%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Общ размер на разпределените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126 118 882 798</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128 742 225 549</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+ 2 623 342 751</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Разходи, свързани с разширяването</w:t>
            </w:r>
            <w:r>
              <w:rPr>
                <w:noProof/>
                <w:color w:val="000000"/>
                <w:sz w:val="20"/>
              </w:rPr>
              <w:br/>
              <w:t>= (5a) + (5б)</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29 283 982 122</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33 471 514 270</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+ 4 187 532 148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Предприсъединителни разходи</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0</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0</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w:t>
            </w:r>
          </w:p>
        </w:tc>
      </w:tr>
      <w:tr>
        <w:tc>
          <w:tcPr>
            <w:tcW w:w="550" w:type="dxa"/>
            <w:tcBorders>
              <w:top w:val="nil"/>
              <w:left w:val="double" w:sz="6" w:space="0" w:color="auto"/>
              <w:bottom w:val="nil"/>
              <w:right w:val="nil"/>
            </w:tcBorders>
            <w:shd w:val="clear" w:color="auto" w:fill="auto"/>
            <w:noWrap/>
            <w:vAlign w:val="center"/>
          </w:tcPr>
          <w:p>
            <w:pPr>
              <w:jc w:val="center"/>
              <w:rPr>
                <w:noProof/>
                <w:spacing w:val="-2"/>
                <w:sz w:val="20"/>
                <w:szCs w:val="20"/>
              </w:rPr>
            </w:pPr>
            <w:r>
              <w:rPr>
                <w:noProof/>
                <w:spacing w:val="-2"/>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Разходи, свързани с член 4, параграф 1, буква ж)</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29 283 982 122</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33 471 514 270</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+ 4 496 305 620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Общ размер на разпределените разходи, коригиран с разходите за разширяването = (4) - (5)</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96 834 900 676</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95 270 711 279</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-1 564 189 397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Първоначален размер на корекцията за Обединеното кралство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6 578 286 401</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6 500 187 311</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-78 099 090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Предимство за Обединеното кралство</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1 119 838 248</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1 992 582 801</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+872 744 553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Основна корекция за Обединеното кралство = (7) - (8)</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5 458 448 153</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4 507 604 510</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-950 843 643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Извънредни приходи от ТРС</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25 084 566</w:t>
            </w:r>
          </w:p>
        </w:tc>
        <w:tc>
          <w:tcPr>
            <w:tcW w:w="199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-36 554 387</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-61 638 953</w:t>
            </w:r>
          </w:p>
        </w:tc>
      </w:tr>
      <w:t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Корекция за Обединеното кралство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noProof/>
                <w:sz w:val="20"/>
              </w:rPr>
              <w:t>5 433 363 587</w:t>
            </w:r>
          </w:p>
        </w:tc>
        <w:tc>
          <w:tcPr>
            <w:tcW w:w="1993"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noProof/>
                <w:sz w:val="20"/>
              </w:rPr>
              <w:t>4 544 158 897</w:t>
            </w:r>
          </w:p>
        </w:tc>
        <w:tc>
          <w:tcPr>
            <w:tcW w:w="1607"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i/>
                <w:noProof/>
                <w:sz w:val="20"/>
              </w:rPr>
              <w:t>-889 204 690</w:t>
            </w:r>
          </w:p>
        </w:tc>
      </w:tr>
    </w:tbl>
    <w:p>
      <w:pPr>
        <w:tabs>
          <w:tab w:val="num" w:pos="851"/>
        </w:tabs>
        <w:spacing w:before="120" w:after="120"/>
        <w:jc w:val="both"/>
        <w:rPr>
          <w:noProof/>
        </w:rPr>
      </w:pPr>
      <w:r>
        <w:rPr>
          <w:noProof/>
        </w:rPr>
        <w:t xml:space="preserve">Размерът на </w:t>
      </w:r>
      <w:r>
        <w:rPr>
          <w:i/>
          <w:noProof/>
        </w:rPr>
        <w:t>първата актуализация</w:t>
      </w:r>
      <w:r>
        <w:rPr>
          <w:noProof/>
        </w:rPr>
        <w:t xml:space="preserve"> на корекцията за Обединеното кралство за 2014 г. е с 889 млн. EUR по-нисък в сравнение с </w:t>
      </w:r>
      <w:r>
        <w:rPr>
          <w:i/>
          <w:noProof/>
        </w:rPr>
        <w:t>временния размер</w:t>
      </w:r>
      <w:r>
        <w:rPr>
          <w:noProof/>
        </w:rPr>
        <w:t xml:space="preserve"> на корекцията за Обединеното кралство за 2014 г., записан в бюджета за 2015 г.</w:t>
      </w:r>
      <w:r>
        <w:rPr>
          <w:noProof/>
        </w:rPr>
        <w:tab/>
      </w:r>
    </w:p>
    <w:p>
      <w:pPr>
        <w:tabs>
          <w:tab w:val="num" w:pos="851"/>
        </w:tabs>
        <w:spacing w:before="120" w:after="120"/>
        <w:jc w:val="both"/>
        <w:rPr>
          <w:b/>
          <w:bCs/>
          <w:noProof/>
          <w:szCs w:val="28"/>
        </w:rPr>
      </w:pPr>
      <w:r>
        <w:rPr>
          <w:b/>
          <w:noProof/>
        </w:rPr>
        <w:t>2.3.2.2</w:t>
      </w:r>
      <w:r>
        <w:rPr>
          <w:noProof/>
        </w:rPr>
        <w:tab/>
      </w:r>
      <w:r>
        <w:rPr>
          <w:b/>
          <w:noProof/>
        </w:rPr>
        <w:t>Корекция за Обединеното кралство за 2013 г.</w:t>
      </w:r>
    </w:p>
    <w:p>
      <w:pPr>
        <w:spacing w:before="120" w:after="120"/>
        <w:jc w:val="both"/>
        <w:rPr>
          <w:noProof/>
        </w:rPr>
      </w:pPr>
      <w:r>
        <w:rPr>
          <w:noProof/>
        </w:rPr>
        <w:t xml:space="preserve">В следната таблица се обобщават промените между </w:t>
      </w:r>
      <w:r>
        <w:rPr>
          <w:i/>
          <w:noProof/>
        </w:rPr>
        <w:t>първата актуализация</w:t>
      </w:r>
      <w:r>
        <w:rPr>
          <w:noProof/>
        </w:rPr>
        <w:t xml:space="preserve"> на корекцията за Обединеното кралство за 2013 г., записана в КБ 3/2014, и </w:t>
      </w:r>
      <w:r>
        <w:rPr>
          <w:i/>
          <w:noProof/>
        </w:rPr>
        <w:t>втората актуализация</w:t>
      </w:r>
      <w:r>
        <w:rPr>
          <w:noProof/>
        </w:rPr>
        <w:t xml:space="preserve"> на корекцията за Обединеното кралство за 2013 г., която ще бъде записана в ПКБ 6/2015.</w:t>
      </w:r>
    </w:p>
    <w:tbl>
      <w:tblPr>
        <w:tblW w:w="9135" w:type="dxa"/>
        <w:tblInd w:w="93" w:type="dxa"/>
        <w:tblLayout w:type="fixed"/>
        <w:tblLook w:val="0000" w:firstRow="0" w:lastRow="0" w:firstColumn="0" w:lastColumn="0" w:noHBand="0" w:noVBand="0"/>
      </w:tblPr>
      <w:tblGrid>
        <w:gridCol w:w="550"/>
        <w:gridCol w:w="3185"/>
        <w:gridCol w:w="1950"/>
        <w:gridCol w:w="1985"/>
        <w:gridCol w:w="1465"/>
      </w:tblGrid>
      <w:tr>
        <w:trPr>
          <w:trHeight w:val="831"/>
          <w:tblHeader/>
        </w:trPr>
        <w:tc>
          <w:tcPr>
            <w:tcW w:w="550" w:type="dxa"/>
            <w:tcBorders>
              <w:top w:val="nil"/>
              <w:left w:val="nil"/>
              <w:bottom w:val="nil"/>
              <w:right w:val="nil"/>
            </w:tcBorders>
            <w:shd w:val="clear" w:color="auto" w:fill="auto"/>
            <w:noWrap/>
            <w:vAlign w:val="bottom"/>
          </w:tcPr>
          <w:p>
            <w:pPr>
              <w:rPr>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2013 г.</w:t>
            </w:r>
          </w:p>
        </w:tc>
        <w:tc>
          <w:tcPr>
            <w:tcW w:w="195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rFonts w:ascii="Times New Roman Bold" w:hAnsi="Times New Roman Bold"/>
                <w:b/>
                <w:bCs/>
                <w:noProof/>
                <w:sz w:val="20"/>
                <w:szCs w:val="20"/>
              </w:rPr>
            </w:pPr>
            <w:r>
              <w:rPr>
                <w:rFonts w:ascii="Times New Roman Bold" w:hAnsi="Times New Roman Bold"/>
                <w:b/>
                <w:noProof/>
                <w:sz w:val="20"/>
                <w:szCs w:val="20"/>
              </w:rPr>
              <w:t>Корекция за Обединеното кралство за 2013 г.</w:t>
            </w:r>
            <w:r>
              <w:rPr>
                <w:rFonts w:ascii="Times New Roman Bold" w:hAnsi="Times New Roman Bold"/>
                <w:noProof/>
                <w:sz w:val="20"/>
                <w:szCs w:val="20"/>
              </w:rPr>
              <w:br/>
            </w:r>
            <w:r>
              <w:rPr>
                <w:rFonts w:ascii="Times New Roman Bold" w:hAnsi="Times New Roman Bold"/>
                <w:b/>
                <w:noProof/>
                <w:sz w:val="20"/>
                <w:szCs w:val="20"/>
              </w:rPr>
              <w:t xml:space="preserve">1-ва </w:t>
            </w:r>
            <w:r>
              <w:rPr>
                <w:rFonts w:ascii="Times New Roman Bold" w:hAnsi="Times New Roman Bold"/>
                <w:b/>
                <w:noProof/>
                <w:spacing w:val="-6"/>
                <w:sz w:val="20"/>
                <w:szCs w:val="20"/>
              </w:rPr>
              <w:t xml:space="preserve">АКТУАЛИЗАЦИЯ </w:t>
            </w:r>
            <w:r>
              <w:rPr>
                <w:rFonts w:ascii="Times New Roman Bold" w:hAnsi="Times New Roman Bold"/>
                <w:b/>
                <w:bCs/>
                <w:noProof/>
                <w:sz w:val="20"/>
                <w:szCs w:val="20"/>
              </w:rPr>
              <w:br/>
            </w:r>
            <w:r>
              <w:rPr>
                <w:rFonts w:ascii="Times New Roman Bold" w:hAnsi="Times New Roman Bold"/>
                <w:b/>
                <w:noProof/>
                <w:sz w:val="20"/>
                <w:szCs w:val="20"/>
              </w:rPr>
              <w:t>КБ 3/2014</w:t>
            </w:r>
          </w:p>
        </w:tc>
        <w:tc>
          <w:tcPr>
            <w:tcW w:w="1985" w:type="dxa"/>
            <w:tcBorders>
              <w:top w:val="double" w:sz="6" w:space="0" w:color="auto"/>
              <w:left w:val="nil"/>
              <w:bottom w:val="double" w:sz="6" w:space="0" w:color="auto"/>
              <w:right w:val="double" w:sz="6" w:space="0" w:color="auto"/>
            </w:tcBorders>
            <w:shd w:val="clear" w:color="auto" w:fill="E0E0E0"/>
            <w:vAlign w:val="center"/>
          </w:tcPr>
          <w:p>
            <w:pPr>
              <w:jc w:val="center"/>
              <w:rPr>
                <w:rFonts w:ascii="Times New Roman Bold" w:hAnsi="Times New Roman Bold"/>
                <w:b/>
                <w:bCs/>
                <w:noProof/>
                <w:sz w:val="20"/>
                <w:szCs w:val="20"/>
              </w:rPr>
            </w:pPr>
            <w:r>
              <w:rPr>
                <w:rFonts w:ascii="Times New Roman Bold" w:hAnsi="Times New Roman Bold"/>
                <w:b/>
                <w:noProof/>
                <w:sz w:val="20"/>
                <w:szCs w:val="20"/>
              </w:rPr>
              <w:t>Корекция за Обединеното кралство за 2013 г.</w:t>
            </w:r>
            <w:r>
              <w:rPr>
                <w:rFonts w:ascii="Times New Roman Bold" w:hAnsi="Times New Roman Bold"/>
                <w:noProof/>
                <w:sz w:val="20"/>
                <w:szCs w:val="20"/>
              </w:rPr>
              <w:br/>
            </w:r>
            <w:r>
              <w:rPr>
                <w:rFonts w:ascii="Times New Roman Bold" w:hAnsi="Times New Roman Bold"/>
                <w:b/>
                <w:noProof/>
                <w:sz w:val="20"/>
                <w:szCs w:val="20"/>
              </w:rPr>
              <w:t>2-ра АКТУАЛИЗАЦИЯ</w:t>
            </w:r>
            <w:r>
              <w:rPr>
                <w:rFonts w:ascii="Times New Roman Bold" w:hAnsi="Times New Roman Bold"/>
                <w:noProof/>
                <w:sz w:val="20"/>
                <w:szCs w:val="20"/>
              </w:rPr>
              <w:br/>
            </w:r>
            <w:r>
              <w:rPr>
                <w:rFonts w:ascii="Times New Roman Bold" w:hAnsi="Times New Roman Bold"/>
                <w:b/>
                <w:noProof/>
                <w:sz w:val="20"/>
                <w:szCs w:val="20"/>
              </w:rPr>
              <w:t>ПКБ 6/2015</w:t>
            </w:r>
          </w:p>
        </w:tc>
        <w:tc>
          <w:tcPr>
            <w:tcW w:w="1465"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szCs w:val="20"/>
              </w:rPr>
            </w:pPr>
            <w:r>
              <w:rPr>
                <w:b/>
                <w:i/>
                <w:noProof/>
                <w:sz w:val="20"/>
                <w:szCs w:val="20"/>
              </w:rPr>
              <w:t>Разлика</w:t>
            </w:r>
          </w:p>
        </w:tc>
      </w:tr>
      <w:t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Дял на Обединеното кралство от базата за ДДС без таван</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15,5861%</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16,0378%</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+0,4517%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Дял на Обединеното кралство от общите разпределени разходи, коригирани с разходите за разширяването</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6,1166%</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6,0959%</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-0,0208%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9,4694%</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9,9418%</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+0,4724%</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Общ размер на разпределените разходи</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134 675 970 767</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134 745 129 775</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+69 159 007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rPr>
              <w:t>Разходи, свързани с разширяването</w:t>
            </w:r>
            <w:r>
              <w:rPr>
                <w:noProof/>
              </w:rPr>
              <w:br/>
            </w:r>
            <w:r>
              <w:rPr>
                <w:noProof/>
                <w:sz w:val="20"/>
              </w:rPr>
              <w:t>= (5a) + (5б)</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31 337 201 043</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31 288 595 815</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-48 605 228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Предприсъединителни разходи</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0</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0</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w:t>
            </w:r>
          </w:p>
        </w:tc>
      </w:tr>
      <w:tr>
        <w:tc>
          <w:tcPr>
            <w:tcW w:w="550" w:type="dxa"/>
            <w:tcBorders>
              <w:top w:val="nil"/>
              <w:left w:val="double" w:sz="6" w:space="0" w:color="auto"/>
              <w:bottom w:val="nil"/>
              <w:right w:val="nil"/>
            </w:tcBorders>
            <w:shd w:val="clear" w:color="auto" w:fill="auto"/>
            <w:noWrap/>
            <w:vAlign w:val="center"/>
          </w:tcPr>
          <w:p>
            <w:pPr>
              <w:jc w:val="center"/>
              <w:rPr>
                <w:noProof/>
                <w:spacing w:val="-2"/>
                <w:sz w:val="20"/>
                <w:szCs w:val="20"/>
              </w:rPr>
            </w:pPr>
            <w:r>
              <w:rPr>
                <w:noProof/>
                <w:spacing w:val="-2"/>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Разходи, свързани с член 4, параграф 1, буква ж)</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31 337 201 043</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31 288 595 815</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-48 605 228</w:t>
            </w:r>
          </w:p>
        </w:tc>
      </w:tr>
      <w:t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szCs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Общ размер на разпределените разходи, коригиран с разходите за разширяването = (4) - (5)</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103 338 769 725</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103 456 533 960</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+117 764 235</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Първоначален размер на корекцията за Обединеното кралство = (3) x (6) x 0,66</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6 458 490 768</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6 788 418 578</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+329 927 810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Предимство за Обединеното кралство</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883 513 735</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846 456 483</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-37 057 252</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Основна корекция за Обединеното кралство = (7) - (8)</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5 574 977 032</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5 941 962 095</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+366 985 063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Извънредни приходи от ТРС</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32 794 702</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18 914 477</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-13 880 225</w:t>
            </w:r>
          </w:p>
        </w:tc>
      </w:tr>
      <w:t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Корекция за Обединеното кралство = (9) - (10)</w:t>
            </w:r>
          </w:p>
        </w:tc>
        <w:tc>
          <w:tcPr>
            <w:tcW w:w="195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noProof/>
                <w:sz w:val="20"/>
              </w:rPr>
              <w:t>5 542 182 331</w:t>
            </w:r>
          </w:p>
        </w:tc>
        <w:tc>
          <w:tcPr>
            <w:tcW w:w="1985"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noProof/>
                <w:sz w:val="20"/>
              </w:rPr>
              <w:t>5 923 047 619</w:t>
            </w:r>
          </w:p>
        </w:tc>
        <w:tc>
          <w:tcPr>
            <w:tcW w:w="1465"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i/>
                <w:noProof/>
                <w:sz w:val="20"/>
              </w:rPr>
              <w:t>+380 865 288</w:t>
            </w:r>
          </w:p>
        </w:tc>
      </w:tr>
    </w:tbl>
    <w:p>
      <w:pPr>
        <w:spacing w:before="360" w:after="120"/>
        <w:jc w:val="both"/>
        <w:rPr>
          <w:noProof/>
        </w:rPr>
      </w:pPr>
      <w:r>
        <w:rPr>
          <w:i/>
          <w:noProof/>
        </w:rPr>
        <w:t>Втората актуализация</w:t>
      </w:r>
      <w:r>
        <w:rPr>
          <w:noProof/>
        </w:rPr>
        <w:t xml:space="preserve"> на корекцията за Обединеното кралство за 2013 г. е с 381 млн. EUR по-висока в сравнение с </w:t>
      </w:r>
      <w:r>
        <w:rPr>
          <w:i/>
          <w:noProof/>
        </w:rPr>
        <w:t>първата актуализация</w:t>
      </w:r>
      <w:r>
        <w:rPr>
          <w:noProof/>
        </w:rPr>
        <w:t xml:space="preserve"> на корекцията за Обединеното кралство за 2013 г., записана в КБ 3/2014, поради актуализациите на базите за ДДС и за БНД, изпратени от държавите членки през есента на 2014 г. (действие във връзка със салдата по ДДС/БНД).</w:t>
      </w:r>
    </w:p>
    <w:p>
      <w:pPr>
        <w:keepNext/>
        <w:numPr>
          <w:ilvl w:val="3"/>
          <w:numId w:val="0"/>
        </w:numPr>
        <w:tabs>
          <w:tab w:val="num" w:pos="851"/>
        </w:tabs>
        <w:spacing w:before="120" w:after="120"/>
        <w:ind w:left="851" w:hanging="851"/>
        <w:jc w:val="both"/>
        <w:outlineLvl w:val="3"/>
        <w:rPr>
          <w:b/>
          <w:bCs/>
          <w:noProof/>
          <w:szCs w:val="28"/>
        </w:rPr>
      </w:pPr>
      <w:bookmarkStart w:id="52" w:name="_Toc231879707"/>
      <w:r>
        <w:rPr>
          <w:b/>
          <w:noProof/>
        </w:rPr>
        <w:t>2.3.2.3</w:t>
      </w:r>
      <w:r>
        <w:rPr>
          <w:noProof/>
        </w:rPr>
        <w:tab/>
      </w:r>
      <w:r>
        <w:rPr>
          <w:b/>
          <w:noProof/>
        </w:rPr>
        <w:t>Корекция за Обединеното кралство за 2012 г.</w:t>
      </w:r>
      <w:bookmarkEnd w:id="52"/>
    </w:p>
    <w:p>
      <w:pPr>
        <w:spacing w:before="240" w:after="240"/>
        <w:jc w:val="both"/>
        <w:rPr>
          <w:noProof/>
        </w:rPr>
      </w:pPr>
      <w:r>
        <w:rPr>
          <w:noProof/>
        </w:rPr>
        <w:t xml:space="preserve">В следната таблица се обобщават промените между </w:t>
      </w:r>
      <w:r>
        <w:rPr>
          <w:i/>
          <w:noProof/>
        </w:rPr>
        <w:t>първата актуализация</w:t>
      </w:r>
      <w:r>
        <w:rPr>
          <w:noProof/>
        </w:rPr>
        <w:t xml:space="preserve"> на корекцията за Обединеното кралство за 2012 г., записана в КБ 6/2013, и </w:t>
      </w:r>
      <w:r>
        <w:rPr>
          <w:i/>
          <w:noProof/>
        </w:rPr>
        <w:t>третата актуализация</w:t>
      </w:r>
      <w:r>
        <w:rPr>
          <w:noProof/>
        </w:rPr>
        <w:t xml:space="preserve"> на корекцията за Обединеното кралство за 2012 г., която ще бъде записана в ПКБ 6/2015.</w:t>
      </w:r>
    </w:p>
    <w:tbl>
      <w:tblPr>
        <w:tblW w:w="9135" w:type="dxa"/>
        <w:tblInd w:w="93" w:type="dxa"/>
        <w:tblLayout w:type="fixed"/>
        <w:tblLook w:val="0000" w:firstRow="0" w:lastRow="0" w:firstColumn="0" w:lastColumn="0" w:noHBand="0" w:noVBand="0"/>
      </w:tblPr>
      <w:tblGrid>
        <w:gridCol w:w="550"/>
        <w:gridCol w:w="3185"/>
        <w:gridCol w:w="1950"/>
        <w:gridCol w:w="1985"/>
        <w:gridCol w:w="1465"/>
      </w:tblGrid>
      <w:tr>
        <w:trPr>
          <w:trHeight w:val="831"/>
          <w:tblHeader/>
        </w:trPr>
        <w:tc>
          <w:tcPr>
            <w:tcW w:w="550" w:type="dxa"/>
            <w:tcBorders>
              <w:top w:val="nil"/>
              <w:left w:val="nil"/>
              <w:bottom w:val="nil"/>
              <w:right w:val="nil"/>
            </w:tcBorders>
            <w:shd w:val="clear" w:color="auto" w:fill="auto"/>
            <w:noWrap/>
            <w:vAlign w:val="bottom"/>
          </w:tcPr>
          <w:p>
            <w:pPr>
              <w:rPr>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2012 г.</w:t>
            </w:r>
          </w:p>
        </w:tc>
        <w:tc>
          <w:tcPr>
            <w:tcW w:w="195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szCs w:val="20"/>
              </w:rPr>
            </w:pPr>
            <w:r>
              <w:rPr>
                <w:b/>
                <w:noProof/>
                <w:sz w:val="20"/>
                <w:szCs w:val="20"/>
              </w:rPr>
              <w:t>Корекция за Обединеното кралство за 2012 г.</w:t>
            </w:r>
            <w:r>
              <w:rPr>
                <w:noProof/>
                <w:sz w:val="20"/>
                <w:szCs w:val="20"/>
              </w:rPr>
              <w:br/>
            </w:r>
            <w:r>
              <w:rPr>
                <w:b/>
                <w:noProof/>
                <w:sz w:val="20"/>
                <w:szCs w:val="20"/>
              </w:rPr>
              <w:t xml:space="preserve">1-ва АКТУАЛИЗАЦИЯ </w:t>
            </w:r>
            <w:r>
              <w:rPr>
                <w:b/>
                <w:bCs/>
                <w:noProof/>
                <w:sz w:val="20"/>
                <w:szCs w:val="20"/>
              </w:rPr>
              <w:br/>
            </w:r>
            <w:r>
              <w:rPr>
                <w:b/>
                <w:noProof/>
                <w:sz w:val="20"/>
                <w:szCs w:val="20"/>
              </w:rPr>
              <w:t>КБ 6/2013</w:t>
            </w:r>
          </w:p>
        </w:tc>
        <w:tc>
          <w:tcPr>
            <w:tcW w:w="1985"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szCs w:val="20"/>
              </w:rPr>
            </w:pPr>
            <w:r>
              <w:rPr>
                <w:b/>
                <w:noProof/>
                <w:sz w:val="20"/>
                <w:szCs w:val="20"/>
              </w:rPr>
              <w:t>Корекция за Обединеното кралство за 2012 г.</w:t>
            </w:r>
            <w:r>
              <w:rPr>
                <w:noProof/>
                <w:sz w:val="20"/>
                <w:szCs w:val="20"/>
              </w:rPr>
              <w:br/>
            </w:r>
            <w:r>
              <w:rPr>
                <w:b/>
                <w:noProof/>
                <w:sz w:val="20"/>
                <w:szCs w:val="20"/>
              </w:rPr>
              <w:t>3-та АКТУАЛИЗАЦИЯ</w:t>
            </w:r>
            <w:r>
              <w:rPr>
                <w:noProof/>
                <w:sz w:val="20"/>
                <w:szCs w:val="20"/>
              </w:rPr>
              <w:br/>
            </w:r>
            <w:r>
              <w:rPr>
                <w:b/>
                <w:noProof/>
                <w:sz w:val="20"/>
                <w:szCs w:val="20"/>
              </w:rPr>
              <w:t>ПКБ 6/2015</w:t>
            </w:r>
          </w:p>
        </w:tc>
        <w:tc>
          <w:tcPr>
            <w:tcW w:w="1465"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szCs w:val="20"/>
              </w:rPr>
            </w:pPr>
            <w:r>
              <w:rPr>
                <w:b/>
                <w:i/>
                <w:noProof/>
                <w:sz w:val="20"/>
                <w:szCs w:val="20"/>
              </w:rPr>
              <w:t>Разлика</w:t>
            </w:r>
          </w:p>
        </w:tc>
      </w:tr>
      <w:t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Дял на Обединеното кралство от базата за ДДС без таван</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16,2252%</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16,1345%</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-0,0907%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Дял на Обединеното кралство от общите разпределени разходи, коригирани с разходите за разширяването</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7,2419%</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7,2358%</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-0,0060%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8,9834%</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8,8987%</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-0,0847%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Общ размер на разпределените разходи</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125 988 772 407</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126 017 496 941</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+28 724 533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rPr>
              <w:t>Разходи, свързани с разширяването</w:t>
            </w:r>
            <w:r>
              <w:rPr>
                <w:noProof/>
              </w:rPr>
              <w:br/>
            </w:r>
            <w:r>
              <w:rPr>
                <w:noProof/>
                <w:sz w:val="20"/>
              </w:rPr>
              <w:t>= (5a) + (5б)</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30 204 999 085</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30 151 705 809</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-53 293 276</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Предприсъединителни разходи</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3 079 384 770</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3 084 631 771</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+5 247 001</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w:t>
            </w:r>
            <w:r>
              <w:rPr>
                <w:noProof/>
                <w:spacing w:val="-2"/>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Разходи, свързани с член 4, параграф 1, буква ж)</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27 125 614 315</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27 067 074 038</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-58 540 277</w:t>
            </w:r>
          </w:p>
        </w:tc>
      </w:tr>
      <w:t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szCs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Общ размер на разпределените разходи, коригиран с разходите за разширяването = (4) - (5)</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95 783 773 323</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95 865 791 132</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+82 017 809</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Първоначален размер на корекцията за Обединеното кралство = (3) x (6) x 0,66</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5 679 045 800</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5 630 330 443</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-48 715 357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Предимство за Обединеното кралство</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1 038 296 680</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474 388 884</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-563 907 796</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Основна корекция за Обединеното кралство = (7) - (8)</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4 640 749 120</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5 155 941 559</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+515 192 438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Извънредни приходи от ТРС</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9 347 792</w:t>
            </w:r>
          </w:p>
        </w:tc>
        <w:tc>
          <w:tcPr>
            <w:tcW w:w="1985"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 xml:space="preserve"> 12 333 175</w:t>
            </w:r>
          </w:p>
        </w:tc>
        <w:tc>
          <w:tcPr>
            <w:tcW w:w="1465"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+2 985 383</w:t>
            </w:r>
          </w:p>
        </w:tc>
      </w:tr>
      <w:t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Корекция за Обединеното кралство = (9) - (10)</w:t>
            </w:r>
          </w:p>
        </w:tc>
        <w:tc>
          <w:tcPr>
            <w:tcW w:w="195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noProof/>
                <w:sz w:val="20"/>
              </w:rPr>
              <w:t>4 631 401 328</w:t>
            </w:r>
          </w:p>
        </w:tc>
        <w:tc>
          <w:tcPr>
            <w:tcW w:w="1985"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noProof/>
                <w:sz w:val="20"/>
              </w:rPr>
              <w:t>5 143 608 383</w:t>
            </w:r>
          </w:p>
        </w:tc>
        <w:tc>
          <w:tcPr>
            <w:tcW w:w="1465"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i/>
                <w:noProof/>
                <w:sz w:val="20"/>
              </w:rPr>
              <w:t>+512 207 055</w:t>
            </w:r>
          </w:p>
        </w:tc>
      </w:tr>
    </w:tbl>
    <w:p>
      <w:pPr>
        <w:spacing w:before="120" w:after="120"/>
        <w:jc w:val="both"/>
        <w:rPr>
          <w:noProof/>
        </w:rPr>
      </w:pPr>
      <w:r>
        <w:rPr>
          <w:i/>
          <w:noProof/>
        </w:rPr>
        <w:t>Третата актуализация</w:t>
      </w:r>
      <w:r>
        <w:rPr>
          <w:noProof/>
        </w:rPr>
        <w:t xml:space="preserve"> на корекцията за Обединеното кралство за 2012 г. е с 512 млн. EUR по-висока в сравнение с </w:t>
      </w:r>
      <w:r>
        <w:rPr>
          <w:i/>
          <w:noProof/>
        </w:rPr>
        <w:t>първата актуализация</w:t>
      </w:r>
      <w:r>
        <w:rPr>
          <w:noProof/>
        </w:rPr>
        <w:t xml:space="preserve"> на корекцията за Обединеното кралство за 2012 г., записана в КБ 6/2013, поради актуализациите на базите за ДДС и за БНД, изпратени от държавите членки през есента на 2014 г. (действие във връзка със салдата по ДДС/БНД). </w:t>
      </w:r>
    </w:p>
    <w:p>
      <w:pPr>
        <w:spacing w:before="120" w:after="120"/>
        <w:jc w:val="both"/>
        <w:rPr>
          <w:noProof/>
        </w:rPr>
      </w:pPr>
      <w:r>
        <w:rPr>
          <w:noProof/>
        </w:rPr>
        <w:t>Що се отнася до корекцията за Обединеното кралство за 2012 г., разликата в първоначалния размер на корекцията за Обединеното кралство между решението за собствените ресурси (РСР) от 2000 г. и РСР от 2007 г. е 2 561,5 млн. EUR по цени от 2004 г. и 2 882,3 млн. EUR по текущи цени.</w:t>
      </w:r>
    </w:p>
    <w:p>
      <w:pPr>
        <w:keepNext/>
        <w:numPr>
          <w:ilvl w:val="3"/>
          <w:numId w:val="0"/>
        </w:numPr>
        <w:tabs>
          <w:tab w:val="num" w:pos="851"/>
        </w:tabs>
        <w:spacing w:before="120" w:after="120"/>
        <w:ind w:left="851" w:hanging="851"/>
        <w:jc w:val="both"/>
        <w:outlineLvl w:val="3"/>
        <w:rPr>
          <w:b/>
          <w:bCs/>
          <w:noProof/>
          <w:szCs w:val="28"/>
        </w:rPr>
      </w:pPr>
      <w:r>
        <w:rPr>
          <w:b/>
          <w:noProof/>
        </w:rPr>
        <w:t>2.3.2.4</w:t>
      </w:r>
      <w:r>
        <w:rPr>
          <w:noProof/>
        </w:rPr>
        <w:tab/>
      </w:r>
      <w:r>
        <w:rPr>
          <w:b/>
          <w:noProof/>
        </w:rPr>
        <w:t>Корекция за Обединеното кралство за 2011 г.</w:t>
      </w:r>
    </w:p>
    <w:p>
      <w:pPr>
        <w:spacing w:before="120" w:after="120"/>
        <w:jc w:val="both"/>
        <w:rPr>
          <w:noProof/>
        </w:rPr>
      </w:pPr>
      <w:r>
        <w:rPr>
          <w:noProof/>
        </w:rPr>
        <w:t xml:space="preserve">В следната таблица се обобщават промените между </w:t>
      </w:r>
      <w:r>
        <w:rPr>
          <w:i/>
          <w:noProof/>
        </w:rPr>
        <w:t>третата актуализация</w:t>
      </w:r>
      <w:r>
        <w:rPr>
          <w:noProof/>
        </w:rPr>
        <w:t xml:space="preserve"> на корекцията за Обединеното кралство за 2011 г., записана в КБ 3/2014, и </w:t>
      </w:r>
      <w:r>
        <w:rPr>
          <w:i/>
          <w:noProof/>
        </w:rPr>
        <w:t>окончателния размер</w:t>
      </w:r>
      <w:r>
        <w:rPr>
          <w:noProof/>
        </w:rPr>
        <w:t xml:space="preserve"> на корекцията за Обединеното кралство за 2011 г., който ще бъде записан в ПКБ 6/2015.</w:t>
      </w:r>
    </w:p>
    <w:tbl>
      <w:tblPr>
        <w:tblW w:w="9135" w:type="dxa"/>
        <w:tblInd w:w="93" w:type="dxa"/>
        <w:tblLayout w:type="fixed"/>
        <w:tblLook w:val="0000" w:firstRow="0" w:lastRow="0" w:firstColumn="0" w:lastColumn="0" w:noHBand="0" w:noVBand="0"/>
      </w:tblPr>
      <w:tblGrid>
        <w:gridCol w:w="550"/>
        <w:gridCol w:w="3185"/>
        <w:gridCol w:w="1950"/>
        <w:gridCol w:w="1843"/>
        <w:gridCol w:w="1607"/>
      </w:tblGrid>
      <w:tr>
        <w:trPr>
          <w:trHeight w:val="831"/>
          <w:tblHeader/>
        </w:trPr>
        <w:tc>
          <w:tcPr>
            <w:tcW w:w="550" w:type="dxa"/>
            <w:tcBorders>
              <w:top w:val="nil"/>
              <w:left w:val="nil"/>
              <w:bottom w:val="nil"/>
              <w:right w:val="nil"/>
            </w:tcBorders>
            <w:shd w:val="clear" w:color="auto" w:fill="auto"/>
            <w:noWrap/>
            <w:vAlign w:val="bottom"/>
          </w:tcPr>
          <w:p>
            <w:pPr>
              <w:rPr>
                <w:noProof/>
                <w:sz w:val="20"/>
                <w:szCs w:val="20"/>
                <w:highlight w:val="yellow"/>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Корекция за Обединеното кралство за 2011 г.</w:t>
            </w:r>
          </w:p>
        </w:tc>
        <w:tc>
          <w:tcPr>
            <w:tcW w:w="195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szCs w:val="20"/>
              </w:rPr>
            </w:pPr>
            <w:r>
              <w:rPr>
                <w:b/>
                <w:noProof/>
                <w:sz w:val="20"/>
                <w:szCs w:val="20"/>
              </w:rPr>
              <w:t>Корекция за Обединеното кралство за 2011 г.</w:t>
            </w:r>
            <w:r>
              <w:rPr>
                <w:noProof/>
                <w:sz w:val="20"/>
                <w:szCs w:val="20"/>
              </w:rPr>
              <w:br/>
            </w:r>
            <w:r>
              <w:rPr>
                <w:b/>
                <w:noProof/>
                <w:sz w:val="20"/>
                <w:szCs w:val="20"/>
              </w:rPr>
              <w:t xml:space="preserve">3-та АКТУАЛИЗАЦИЯ </w:t>
            </w:r>
            <w:r>
              <w:rPr>
                <w:b/>
                <w:bCs/>
                <w:noProof/>
                <w:sz w:val="20"/>
                <w:szCs w:val="20"/>
              </w:rPr>
              <w:br/>
            </w:r>
            <w:r>
              <w:rPr>
                <w:b/>
                <w:noProof/>
                <w:sz w:val="20"/>
                <w:szCs w:val="20"/>
              </w:rPr>
              <w:t>КБ 3/2014</w:t>
            </w:r>
          </w:p>
        </w:tc>
        <w:tc>
          <w:tcPr>
            <w:tcW w:w="1843"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szCs w:val="20"/>
              </w:rPr>
            </w:pPr>
            <w:r>
              <w:rPr>
                <w:b/>
                <w:noProof/>
                <w:sz w:val="20"/>
                <w:szCs w:val="20"/>
              </w:rPr>
              <w:t>Корекция за Обединеното кралство за 2011 г.</w:t>
            </w:r>
            <w:r>
              <w:rPr>
                <w:noProof/>
                <w:sz w:val="20"/>
                <w:szCs w:val="20"/>
              </w:rPr>
              <w:br/>
            </w:r>
            <w:r>
              <w:rPr>
                <w:b/>
                <w:noProof/>
                <w:sz w:val="20"/>
                <w:szCs w:val="20"/>
              </w:rPr>
              <w:t>ОКОНЧАТЕЛЕН РАЗМЕР</w:t>
            </w:r>
            <w:r>
              <w:rPr>
                <w:noProof/>
                <w:sz w:val="20"/>
                <w:szCs w:val="20"/>
              </w:rPr>
              <w:br/>
            </w:r>
            <w:r>
              <w:rPr>
                <w:b/>
                <w:noProof/>
                <w:sz w:val="20"/>
                <w:szCs w:val="20"/>
              </w:rPr>
              <w:t>ПКБ 6/2015</w:t>
            </w:r>
          </w:p>
        </w:tc>
        <w:tc>
          <w:tcPr>
            <w:tcW w:w="1607"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szCs w:val="20"/>
              </w:rPr>
            </w:pPr>
            <w:r>
              <w:rPr>
                <w:b/>
                <w:i/>
                <w:noProof/>
                <w:sz w:val="20"/>
              </w:rPr>
              <w:t>Разлика</w:t>
            </w:r>
          </w:p>
        </w:tc>
      </w:tr>
      <w:t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Дял на Обединеното кралство от базата за ДДС без таван</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14,9811%</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14,9523%</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-0,0288%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Дял на Обединеното кралство от общите разпределени разходи, коригирани с разходите за разширяването</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7,3021%</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7,3026%</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+0,0005%</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7,6790%</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7,6497%</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-0,0292%</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Общ размер на разпределените разходи</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116 702 674 481</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116 702 674 481</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rPr>
              <w:t>Разходи, свързани с разширяването</w:t>
            </w:r>
            <w:r>
              <w:rPr>
                <w:noProof/>
              </w:rPr>
              <w:br/>
            </w:r>
            <w:r>
              <w:rPr>
                <w:noProof/>
                <w:sz w:val="20"/>
              </w:rPr>
              <w:t>= (5a) + (5б)</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26 831 341 733</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26 837 206 246</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+5 864 513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Предприсъединителни разходи</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3 040 714 610</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3 046 579 123</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+5 864 513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w:t>
            </w:r>
            <w:r>
              <w:rPr>
                <w:noProof/>
                <w:spacing w:val="-2"/>
                <w:sz w:val="20"/>
              </w:rPr>
              <w:t>5б)</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Разходи, свързани с член 4, параграф 1, буква ж)</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23 790 627 123</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23 790 627 123</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w:t>
            </w:r>
          </w:p>
        </w:tc>
      </w:tr>
      <w:t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szCs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Общ размер на разпределените разходи, коригиран с разходите за разширяването = (4) - (5)</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89 871 332 749</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89 865 468 236</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-5 864 513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Първоначален размер на корекцията за Обединеното кралство = (3) x (6) x 0,66</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4 554 788 119</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4 537 145 502</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-17 642 617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Предимство за Обединеното кралство</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358 708 861</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142 138 675</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-216 570 187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Основна корекция за Обединеното кралство = (7) - (8)</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4 196 079 257</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4 395 006 827</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+198 927 570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Извънредни приходи от ТРС</w:t>
            </w:r>
          </w:p>
        </w:tc>
        <w:tc>
          <w:tcPr>
            <w:tcW w:w="195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7 667 508</w:t>
            </w:r>
          </w:p>
        </w:tc>
        <w:tc>
          <w:tcPr>
            <w:tcW w:w="1843"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 xml:space="preserve"> 8 632 837</w:t>
            </w:r>
          </w:p>
        </w:tc>
        <w:tc>
          <w:tcPr>
            <w:tcW w:w="1607"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+956 329</w:t>
            </w:r>
          </w:p>
        </w:tc>
      </w:tr>
      <w:t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Корекция за Обединеното кралство = (9) - (10)</w:t>
            </w:r>
          </w:p>
        </w:tc>
        <w:tc>
          <w:tcPr>
            <w:tcW w:w="195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noProof/>
                <w:sz w:val="20"/>
              </w:rPr>
              <w:t>4 188 411 749</w:t>
            </w:r>
          </w:p>
        </w:tc>
        <w:tc>
          <w:tcPr>
            <w:tcW w:w="1843"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noProof/>
                <w:sz w:val="20"/>
              </w:rPr>
              <w:t>4 386 373 990</w:t>
            </w:r>
          </w:p>
        </w:tc>
        <w:tc>
          <w:tcPr>
            <w:tcW w:w="1607"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i/>
                <w:noProof/>
                <w:sz w:val="20"/>
              </w:rPr>
              <w:t>+197 962 241</w:t>
            </w:r>
          </w:p>
        </w:tc>
      </w:tr>
    </w:tbl>
    <w:p>
      <w:pPr>
        <w:spacing w:before="120" w:after="120"/>
        <w:jc w:val="both"/>
        <w:rPr>
          <w:noProof/>
        </w:rPr>
      </w:pPr>
      <w:r>
        <w:rPr>
          <w:i/>
          <w:noProof/>
        </w:rPr>
        <w:t>Окончателният размер</w:t>
      </w:r>
      <w:r>
        <w:rPr>
          <w:noProof/>
        </w:rPr>
        <w:t xml:space="preserve"> на корекцията за Обединеното кралство за 2011 г. е със 198 млн. EUR по-висок в сравнение с </w:t>
      </w:r>
      <w:r>
        <w:rPr>
          <w:i/>
          <w:noProof/>
        </w:rPr>
        <w:t>третата актуализация</w:t>
      </w:r>
      <w:r>
        <w:rPr>
          <w:noProof/>
        </w:rPr>
        <w:t xml:space="preserve"> на корекцията за Обединеното кралство за 2011 г., записана в КБ 3/2014, поради актуализациите на базите за ДДС и за БНД, изпратени от държавите членки през есента на 2014 г. (действие във връзка със салдата по ДДС/БНД).</w:t>
      </w:r>
    </w:p>
    <w:p>
      <w:pPr>
        <w:spacing w:before="120" w:after="120"/>
        <w:jc w:val="both"/>
        <w:rPr>
          <w:noProof/>
        </w:rPr>
      </w:pPr>
      <w:r>
        <w:rPr>
          <w:noProof/>
        </w:rPr>
        <w:t>Що се отнася до корекцията за Обединеното кралство за 2011 г., разликата в първоначалния размер на корекцията за Обединеното кралство между решението за собствените ресурси (РСР) от 2000 г. и РСР от 2007 г. е 2 137,0 млн. EUR по цени от 2004 г. и 2 347,8 млн. EUR по текущи цени.</w:t>
      </w:r>
    </w:p>
    <w:p>
      <w:pPr>
        <w:keepNext/>
        <w:numPr>
          <w:ilvl w:val="3"/>
          <w:numId w:val="0"/>
        </w:numPr>
        <w:tabs>
          <w:tab w:val="num" w:pos="851"/>
        </w:tabs>
        <w:spacing w:before="120" w:after="120"/>
        <w:ind w:left="851" w:hanging="851"/>
        <w:jc w:val="both"/>
        <w:outlineLvl w:val="3"/>
        <w:rPr>
          <w:b/>
          <w:bCs/>
          <w:noProof/>
          <w:szCs w:val="28"/>
        </w:rPr>
      </w:pPr>
      <w:r>
        <w:rPr>
          <w:b/>
          <w:noProof/>
        </w:rPr>
        <w:t>2.3.2.5</w:t>
      </w:r>
      <w:r>
        <w:rPr>
          <w:noProof/>
        </w:rPr>
        <w:tab/>
      </w:r>
      <w:r>
        <w:rPr>
          <w:b/>
          <w:noProof/>
        </w:rPr>
        <w:t>Таван от 10,5 млрд. EUR</w:t>
      </w:r>
    </w:p>
    <w:p>
      <w:pPr>
        <w:spacing w:before="120" w:after="360"/>
        <w:jc w:val="both"/>
        <w:rPr>
          <w:noProof/>
        </w:rPr>
      </w:pPr>
      <w:r>
        <w:rPr>
          <w:noProof/>
        </w:rPr>
        <w:t>Съгласно член 4, параграф 2 от Решение 2007/436 през периода 2007—2013 г. допълнителната вноска на Обединеното кралство в резултат на намалението на разпределените разходи с разходите, свързани с разширяването, посочени в параграф 1, буква ж) от РСР от 2007 г., следва да не превишава 10,5 млрд. EUR по цени от 2004 г. Кумулативният ефект на корекциите от 2007 до 2012 г. е 8 220,3 млн. EUR по цени от 2004 г. и 9 009,5 млн. EUR по текущи цени:</w:t>
      </w:r>
    </w:p>
    <w:tbl>
      <w:tblPr>
        <w:tblW w:w="9000" w:type="dxa"/>
        <w:tblInd w:w="228" w:type="dxa"/>
        <w:tblLayout w:type="fixed"/>
        <w:tblLook w:val="0000" w:firstRow="0" w:lastRow="0" w:firstColumn="0" w:lastColumn="0" w:noHBand="0" w:noVBand="0"/>
      </w:tblPr>
      <w:tblGrid>
        <w:gridCol w:w="730"/>
        <w:gridCol w:w="4670"/>
        <w:gridCol w:w="1800"/>
        <w:gridCol w:w="1800"/>
      </w:tblGrid>
      <w:tr>
        <w:trPr>
          <w:trHeight w:val="324"/>
        </w:trPr>
        <w:tc>
          <w:tcPr>
            <w:tcW w:w="5400" w:type="dxa"/>
            <w:gridSpan w:val="2"/>
            <w:tcBorders>
              <w:top w:val="double" w:sz="6" w:space="0" w:color="auto"/>
              <w:left w:val="double" w:sz="6" w:space="0" w:color="auto"/>
              <w:bottom w:val="single" w:sz="2" w:space="0" w:color="000000"/>
              <w:right w:val="nil"/>
            </w:tcBorders>
            <w:shd w:val="clear" w:color="auto" w:fill="E0E0E0"/>
            <w:vAlign w:val="center"/>
          </w:tcPr>
          <w:p>
            <w:pPr>
              <w:keepNext/>
              <w:keepLines/>
              <w:adjustRightInd w:val="0"/>
              <w:jc w:val="center"/>
              <w:rPr>
                <w:b/>
                <w:bCs/>
                <w:noProof/>
                <w:color w:val="000000"/>
                <w:sz w:val="28"/>
                <w:szCs w:val="28"/>
              </w:rPr>
            </w:pPr>
            <w:r>
              <w:rPr>
                <w:b/>
                <w:noProof/>
                <w:color w:val="000000"/>
                <w:sz w:val="28"/>
              </w:rPr>
              <w:t>Корекции за Обединеното кралство за 2007—2012 г.</w:t>
            </w:r>
          </w:p>
          <w:p>
            <w:pPr>
              <w:keepNext/>
              <w:keepLines/>
              <w:adjustRightInd w:val="0"/>
              <w:jc w:val="center"/>
              <w:rPr>
                <w:noProof/>
                <w:color w:val="000000"/>
                <w:sz w:val="20"/>
              </w:rPr>
            </w:pPr>
            <w:r>
              <w:rPr>
                <w:noProof/>
                <w:color w:val="000000"/>
                <w:sz w:val="20"/>
              </w:rPr>
              <w:t>Разлика в първоначалния размер спрямо прага от 10,5 млрд. EUR</w:t>
            </w:r>
          </w:p>
          <w:p>
            <w:pPr>
              <w:adjustRightInd w:val="0"/>
              <w:jc w:val="center"/>
              <w:rPr>
                <w:b/>
                <w:bCs/>
                <w:noProof/>
                <w:color w:val="000000"/>
                <w:sz w:val="28"/>
                <w:szCs w:val="28"/>
              </w:rPr>
            </w:pPr>
            <w:r>
              <w:rPr>
                <w:noProof/>
                <w:color w:val="000000"/>
                <w:sz w:val="20"/>
              </w:rPr>
              <w:t>(РСР от 2007 г. спрямо РСР от 2000 г.), в евро</w:t>
            </w:r>
          </w:p>
        </w:tc>
        <w:tc>
          <w:tcPr>
            <w:tcW w:w="1800" w:type="dxa"/>
            <w:tcBorders>
              <w:top w:val="double" w:sz="6" w:space="0" w:color="auto"/>
              <w:left w:val="double" w:sz="6" w:space="0" w:color="auto"/>
              <w:bottom w:val="single" w:sz="2" w:space="0" w:color="000000"/>
              <w:right w:val="single" w:sz="6" w:space="0" w:color="auto"/>
            </w:tcBorders>
            <w:shd w:val="clear" w:color="auto" w:fill="E0E0E0"/>
            <w:vAlign w:val="center"/>
          </w:tcPr>
          <w:p>
            <w:pPr>
              <w:adjustRightInd w:val="0"/>
              <w:jc w:val="center"/>
              <w:rPr>
                <w:b/>
                <w:bCs/>
                <w:noProof/>
                <w:color w:val="000000"/>
                <w:sz w:val="20"/>
              </w:rPr>
            </w:pPr>
            <w:r>
              <w:rPr>
                <w:b/>
                <w:noProof/>
                <w:color w:val="000000"/>
                <w:sz w:val="20"/>
              </w:rPr>
              <w:t>Разлика по текущи цени</w:t>
            </w:r>
          </w:p>
        </w:tc>
        <w:tc>
          <w:tcPr>
            <w:tcW w:w="1800" w:type="dxa"/>
            <w:tcBorders>
              <w:top w:val="double" w:sz="6" w:space="0" w:color="auto"/>
              <w:left w:val="single" w:sz="6" w:space="0" w:color="auto"/>
              <w:bottom w:val="single" w:sz="2" w:space="0" w:color="000000"/>
              <w:right w:val="double" w:sz="6" w:space="0" w:color="auto"/>
            </w:tcBorders>
            <w:shd w:val="clear" w:color="auto" w:fill="E0E0E0"/>
            <w:vAlign w:val="center"/>
          </w:tcPr>
          <w:p>
            <w:pPr>
              <w:adjustRightInd w:val="0"/>
              <w:jc w:val="center"/>
              <w:rPr>
                <w:b/>
                <w:bCs/>
                <w:noProof/>
                <w:color w:val="000000"/>
                <w:sz w:val="20"/>
              </w:rPr>
            </w:pPr>
            <w:r>
              <w:rPr>
                <w:b/>
                <w:noProof/>
                <w:color w:val="000000"/>
                <w:sz w:val="20"/>
              </w:rPr>
              <w:t>Разлика по постоянни цени от 2004 г.</w:t>
            </w:r>
          </w:p>
        </w:tc>
      </w:tr>
      <w:tr>
        <w:trPr>
          <w:trHeight w:val="264"/>
        </w:trPr>
        <w:tc>
          <w:tcPr>
            <w:tcW w:w="730" w:type="dxa"/>
            <w:tcBorders>
              <w:top w:val="double" w:sz="6" w:space="0" w:color="auto"/>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(A)</w:t>
            </w:r>
          </w:p>
        </w:tc>
        <w:tc>
          <w:tcPr>
            <w:tcW w:w="4670" w:type="dxa"/>
            <w:tcBorders>
              <w:top w:val="double" w:sz="6" w:space="0" w:color="auto"/>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Корекция за Обединеното кралство за 2007 г.</w:t>
            </w:r>
          </w:p>
        </w:tc>
        <w:tc>
          <w:tcPr>
            <w:tcW w:w="1800" w:type="dxa"/>
            <w:tcBorders>
              <w:top w:val="double" w:sz="6" w:space="0" w:color="auto"/>
              <w:left w:val="double" w:sz="6" w:space="0" w:color="auto"/>
              <w:bottom w:val="single" w:sz="2" w:space="0" w:color="000000"/>
              <w:right w:val="single" w:sz="6" w:space="0" w:color="auto"/>
            </w:tcBorders>
          </w:tcPr>
          <w:p>
            <w:pPr>
              <w:jc w:val="right"/>
              <w:rPr>
                <w:noProof/>
                <w:sz w:val="20"/>
                <w:szCs w:val="20"/>
              </w:rPr>
            </w:pPr>
            <w:r>
              <w:rPr>
                <w:noProof/>
                <w:sz w:val="20"/>
              </w:rPr>
              <w:t>0</w:t>
            </w:r>
          </w:p>
        </w:tc>
        <w:tc>
          <w:tcPr>
            <w:tcW w:w="1800" w:type="dxa"/>
            <w:tcBorders>
              <w:top w:val="double" w:sz="6" w:space="0" w:color="auto"/>
              <w:left w:val="single" w:sz="6" w:space="0" w:color="auto"/>
              <w:bottom w:val="single" w:sz="2" w:space="0" w:color="000000"/>
              <w:right w:val="double" w:sz="6" w:space="0" w:color="auto"/>
            </w:tcBorders>
          </w:tcPr>
          <w:p>
            <w:pPr>
              <w:jc w:val="right"/>
              <w:rPr>
                <w:noProof/>
                <w:sz w:val="20"/>
                <w:szCs w:val="20"/>
              </w:rPr>
            </w:pPr>
            <w:r>
              <w:rPr>
                <w:noProof/>
                <w:sz w:val="20"/>
              </w:rPr>
              <w:t>0</w:t>
            </w:r>
          </w:p>
        </w:tc>
      </w:tr>
      <w:tr>
        <w:trPr>
          <w:trHeight w:val="252"/>
        </w:trPr>
        <w:tc>
          <w:tcPr>
            <w:tcW w:w="730" w:type="dxa"/>
            <w:tcBorders>
              <w:top w:val="single" w:sz="2" w:space="0" w:color="000000"/>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(Б)</w:t>
            </w:r>
          </w:p>
        </w:tc>
        <w:tc>
          <w:tcPr>
            <w:tcW w:w="4670" w:type="dxa"/>
            <w:tcBorders>
              <w:top w:val="single" w:sz="2" w:space="0" w:color="000000"/>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 xml:space="preserve">Корекция за Обединеното кралство за 2008 г. </w:t>
            </w:r>
          </w:p>
        </w:tc>
        <w:tc>
          <w:tcPr>
            <w:tcW w:w="1800" w:type="dxa"/>
            <w:tcBorders>
              <w:top w:val="single" w:sz="2" w:space="0" w:color="000000"/>
              <w:left w:val="double" w:sz="6" w:space="0" w:color="auto"/>
              <w:bottom w:val="single" w:sz="2" w:space="0" w:color="000000"/>
              <w:right w:val="single" w:sz="6" w:space="0" w:color="auto"/>
            </w:tcBorders>
            <w:vAlign w:val="center"/>
          </w:tcPr>
          <w:p>
            <w:pPr>
              <w:jc w:val="right"/>
              <w:rPr>
                <w:noProof/>
                <w:sz w:val="20"/>
                <w:szCs w:val="20"/>
              </w:rPr>
            </w:pPr>
            <w:r>
              <w:rPr>
                <w:noProof/>
                <w:sz w:val="20"/>
              </w:rPr>
              <w:t>-301 679 647</w:t>
            </w:r>
          </w:p>
        </w:tc>
        <w:tc>
          <w:tcPr>
            <w:tcW w:w="1800" w:type="dxa"/>
            <w:tcBorders>
              <w:top w:val="single" w:sz="2" w:space="0" w:color="000000"/>
              <w:left w:val="single" w:sz="6" w:space="0" w:color="auto"/>
              <w:bottom w:val="single" w:sz="2" w:space="0" w:color="000000"/>
              <w:right w:val="double" w:sz="6" w:space="0" w:color="auto"/>
            </w:tcBorders>
            <w:vAlign w:val="center"/>
          </w:tcPr>
          <w:p>
            <w:pPr>
              <w:jc w:val="right"/>
              <w:rPr>
                <w:noProof/>
                <w:sz w:val="20"/>
                <w:szCs w:val="20"/>
              </w:rPr>
            </w:pPr>
            <w:r>
              <w:rPr>
                <w:noProof/>
                <w:sz w:val="20"/>
              </w:rPr>
              <w:t>-280 649 108</w:t>
            </w:r>
          </w:p>
        </w:tc>
      </w:tr>
      <w:tr>
        <w:trPr>
          <w:trHeight w:val="252"/>
        </w:trPr>
        <w:tc>
          <w:tcPr>
            <w:tcW w:w="730" w:type="dxa"/>
            <w:tcBorders>
              <w:top w:val="single" w:sz="2" w:space="0" w:color="000000"/>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(В)</w:t>
            </w:r>
          </w:p>
        </w:tc>
        <w:tc>
          <w:tcPr>
            <w:tcW w:w="4670" w:type="dxa"/>
            <w:tcBorders>
              <w:top w:val="single" w:sz="2" w:space="0" w:color="000000"/>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 xml:space="preserve">Корекция за Обединеното кралство за 2009 г. </w:t>
            </w:r>
          </w:p>
        </w:tc>
        <w:tc>
          <w:tcPr>
            <w:tcW w:w="1800" w:type="dxa"/>
            <w:tcBorders>
              <w:top w:val="single" w:sz="2" w:space="0" w:color="000000"/>
              <w:left w:val="double" w:sz="6" w:space="0" w:color="auto"/>
              <w:bottom w:val="single" w:sz="2" w:space="0" w:color="000000"/>
              <w:right w:val="single" w:sz="6" w:space="0" w:color="auto"/>
            </w:tcBorders>
            <w:vAlign w:val="center"/>
          </w:tcPr>
          <w:p>
            <w:pPr>
              <w:jc w:val="right"/>
              <w:rPr>
                <w:noProof/>
                <w:sz w:val="20"/>
                <w:szCs w:val="20"/>
              </w:rPr>
            </w:pPr>
            <w:r>
              <w:rPr>
                <w:noProof/>
                <w:sz w:val="20"/>
              </w:rPr>
              <w:t>-1 349 749 997</w:t>
            </w:r>
          </w:p>
        </w:tc>
        <w:tc>
          <w:tcPr>
            <w:tcW w:w="1800" w:type="dxa"/>
            <w:tcBorders>
              <w:top w:val="single" w:sz="2" w:space="0" w:color="000000"/>
              <w:left w:val="single" w:sz="6" w:space="0" w:color="auto"/>
              <w:bottom w:val="single" w:sz="2" w:space="0" w:color="000000"/>
              <w:right w:val="double" w:sz="6" w:space="0" w:color="auto"/>
            </w:tcBorders>
            <w:vAlign w:val="center"/>
          </w:tcPr>
          <w:p>
            <w:pPr>
              <w:jc w:val="right"/>
              <w:rPr>
                <w:noProof/>
                <w:sz w:val="20"/>
                <w:szCs w:val="20"/>
              </w:rPr>
            </w:pPr>
            <w:r>
              <w:rPr>
                <w:noProof/>
                <w:sz w:val="20"/>
              </w:rPr>
              <w:t>-1 276 489 414</w:t>
            </w:r>
          </w:p>
        </w:tc>
      </w:tr>
      <w:tr>
        <w:trPr>
          <w:trHeight w:val="252"/>
        </w:trPr>
        <w:tc>
          <w:tcPr>
            <w:tcW w:w="730" w:type="dxa"/>
            <w:tcBorders>
              <w:top w:val="single" w:sz="2" w:space="0" w:color="000000"/>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(Г)</w:t>
            </w:r>
          </w:p>
        </w:tc>
        <w:tc>
          <w:tcPr>
            <w:tcW w:w="4670" w:type="dxa"/>
            <w:tcBorders>
              <w:top w:val="single" w:sz="2" w:space="0" w:color="000000"/>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Корекция за Обединеното кралство за 2010 г.</w:t>
            </w:r>
          </w:p>
        </w:tc>
        <w:tc>
          <w:tcPr>
            <w:tcW w:w="1800" w:type="dxa"/>
            <w:tcBorders>
              <w:top w:val="single" w:sz="2" w:space="0" w:color="000000"/>
              <w:left w:val="double" w:sz="6" w:space="0" w:color="auto"/>
              <w:bottom w:val="single" w:sz="2" w:space="0" w:color="000000"/>
              <w:right w:val="single" w:sz="6" w:space="0" w:color="auto"/>
            </w:tcBorders>
            <w:vAlign w:val="center"/>
          </w:tcPr>
          <w:p>
            <w:pPr>
              <w:jc w:val="right"/>
              <w:rPr>
                <w:noProof/>
                <w:sz w:val="20"/>
                <w:szCs w:val="20"/>
              </w:rPr>
            </w:pPr>
            <w:r>
              <w:rPr>
                <w:noProof/>
                <w:sz w:val="20"/>
              </w:rPr>
              <w:t>-2 127 945 515</w:t>
            </w:r>
          </w:p>
        </w:tc>
        <w:tc>
          <w:tcPr>
            <w:tcW w:w="1800" w:type="dxa"/>
            <w:tcBorders>
              <w:top w:val="single" w:sz="2" w:space="0" w:color="000000"/>
              <w:left w:val="single" w:sz="6" w:space="0" w:color="auto"/>
              <w:bottom w:val="single" w:sz="2" w:space="0" w:color="000000"/>
              <w:right w:val="double" w:sz="6" w:space="0" w:color="auto"/>
            </w:tcBorders>
            <w:vAlign w:val="center"/>
          </w:tcPr>
          <w:p>
            <w:pPr>
              <w:jc w:val="right"/>
              <w:rPr>
                <w:noProof/>
                <w:sz w:val="20"/>
                <w:szCs w:val="20"/>
              </w:rPr>
            </w:pPr>
            <w:r>
              <w:rPr>
                <w:noProof/>
                <w:sz w:val="20"/>
              </w:rPr>
              <w:t>-1 964 546 518</w:t>
            </w:r>
          </w:p>
        </w:tc>
      </w:tr>
      <w:tr>
        <w:trPr>
          <w:trHeight w:val="252"/>
        </w:trPr>
        <w:tc>
          <w:tcPr>
            <w:tcW w:w="730" w:type="dxa"/>
            <w:tcBorders>
              <w:top w:val="single" w:sz="2" w:space="0" w:color="000000"/>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(Д)</w:t>
            </w:r>
          </w:p>
        </w:tc>
        <w:tc>
          <w:tcPr>
            <w:tcW w:w="4670" w:type="dxa"/>
            <w:tcBorders>
              <w:top w:val="single" w:sz="2" w:space="0" w:color="000000"/>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Корекция за Обединеното кралство за 2011 г.</w:t>
            </w:r>
          </w:p>
        </w:tc>
        <w:tc>
          <w:tcPr>
            <w:tcW w:w="1800" w:type="dxa"/>
            <w:tcBorders>
              <w:top w:val="single" w:sz="2" w:space="0" w:color="000000"/>
              <w:left w:val="double" w:sz="6" w:space="0" w:color="auto"/>
              <w:bottom w:val="single" w:sz="2" w:space="0" w:color="000000"/>
              <w:right w:val="single" w:sz="6" w:space="0" w:color="auto"/>
            </w:tcBorders>
            <w:vAlign w:val="center"/>
          </w:tcPr>
          <w:p>
            <w:pPr>
              <w:jc w:val="right"/>
              <w:rPr>
                <w:noProof/>
                <w:sz w:val="20"/>
                <w:szCs w:val="20"/>
              </w:rPr>
            </w:pPr>
            <w:r>
              <w:rPr>
                <w:noProof/>
                <w:sz w:val="20"/>
              </w:rPr>
              <w:t>-2 347 786 720</w:t>
            </w:r>
          </w:p>
        </w:tc>
        <w:tc>
          <w:tcPr>
            <w:tcW w:w="1800" w:type="dxa"/>
            <w:tcBorders>
              <w:top w:val="single" w:sz="2" w:space="0" w:color="000000"/>
              <w:left w:val="single" w:sz="6" w:space="0" w:color="auto"/>
              <w:bottom w:val="single" w:sz="2" w:space="0" w:color="000000"/>
              <w:right w:val="double" w:sz="6" w:space="0" w:color="auto"/>
            </w:tcBorders>
            <w:vAlign w:val="center"/>
          </w:tcPr>
          <w:p>
            <w:pPr>
              <w:jc w:val="right"/>
              <w:rPr>
                <w:noProof/>
                <w:sz w:val="20"/>
                <w:szCs w:val="20"/>
              </w:rPr>
            </w:pPr>
            <w:r>
              <w:rPr>
                <w:noProof/>
                <w:sz w:val="20"/>
              </w:rPr>
              <w:t>-2 137 047 656</w:t>
            </w:r>
          </w:p>
        </w:tc>
      </w:tr>
      <w:tr>
        <w:trPr>
          <w:trHeight w:val="252"/>
        </w:trPr>
        <w:tc>
          <w:tcPr>
            <w:tcW w:w="730" w:type="dxa"/>
            <w:tcBorders>
              <w:top w:val="single" w:sz="2" w:space="0" w:color="000000"/>
              <w:left w:val="double" w:sz="6" w:space="0" w:color="auto"/>
              <w:bottom w:val="single" w:sz="6" w:space="0" w:color="auto"/>
              <w:right w:val="single" w:sz="2" w:space="0" w:color="000000"/>
            </w:tcBorders>
          </w:tcPr>
          <w:p>
            <w:pPr>
              <w:adjustRightInd w:val="0"/>
              <w:jc w:val="center"/>
              <w:rPr>
                <w:noProof/>
                <w:color w:val="000000"/>
                <w:sz w:val="20"/>
              </w:rPr>
            </w:pPr>
            <w:r>
              <w:rPr>
                <w:noProof/>
                <w:color w:val="000000"/>
                <w:sz w:val="20"/>
              </w:rPr>
              <w:t>(Е)</w:t>
            </w:r>
          </w:p>
        </w:tc>
        <w:tc>
          <w:tcPr>
            <w:tcW w:w="4670" w:type="dxa"/>
            <w:tcBorders>
              <w:top w:val="single" w:sz="2" w:space="0" w:color="000000"/>
              <w:left w:val="single" w:sz="2" w:space="0" w:color="000000"/>
              <w:bottom w:val="single" w:sz="6" w:space="0" w:color="auto"/>
              <w:right w:val="single" w:sz="2" w:space="0" w:color="000000"/>
            </w:tcBorders>
          </w:tcPr>
          <w:p>
            <w:pPr>
              <w:adjustRightInd w:val="0"/>
              <w:rPr>
                <w:noProof/>
                <w:color w:val="000000"/>
                <w:sz w:val="20"/>
              </w:rPr>
            </w:pPr>
            <w:r>
              <w:rPr>
                <w:noProof/>
                <w:color w:val="000000"/>
                <w:sz w:val="20"/>
              </w:rPr>
              <w:t>Корекция за Обединеното кралство за 2012 г.</w:t>
            </w:r>
          </w:p>
        </w:tc>
        <w:tc>
          <w:tcPr>
            <w:tcW w:w="1800" w:type="dxa"/>
            <w:tcBorders>
              <w:top w:val="single" w:sz="2" w:space="0" w:color="000000"/>
              <w:left w:val="double" w:sz="6" w:space="0" w:color="auto"/>
              <w:bottom w:val="single" w:sz="6" w:space="0" w:color="auto"/>
              <w:right w:val="single" w:sz="6" w:space="0" w:color="auto"/>
            </w:tcBorders>
            <w:vAlign w:val="center"/>
          </w:tcPr>
          <w:p>
            <w:pPr>
              <w:jc w:val="right"/>
              <w:rPr>
                <w:noProof/>
                <w:sz w:val="20"/>
                <w:szCs w:val="20"/>
              </w:rPr>
            </w:pPr>
            <w:r>
              <w:rPr>
                <w:noProof/>
                <w:sz w:val="20"/>
              </w:rPr>
              <w:t>-2 882 312 294</w:t>
            </w:r>
          </w:p>
        </w:tc>
        <w:tc>
          <w:tcPr>
            <w:tcW w:w="1800" w:type="dxa"/>
            <w:tcBorders>
              <w:top w:val="single" w:sz="2" w:space="0" w:color="000000"/>
              <w:left w:val="single" w:sz="6" w:space="0" w:color="auto"/>
              <w:bottom w:val="single" w:sz="6" w:space="0" w:color="auto"/>
              <w:right w:val="double" w:sz="6" w:space="0" w:color="auto"/>
            </w:tcBorders>
            <w:vAlign w:val="center"/>
          </w:tcPr>
          <w:p>
            <w:pPr>
              <w:jc w:val="right"/>
              <w:rPr>
                <w:noProof/>
                <w:sz w:val="20"/>
                <w:szCs w:val="20"/>
              </w:rPr>
            </w:pPr>
            <w:r>
              <w:rPr>
                <w:noProof/>
                <w:sz w:val="20"/>
              </w:rPr>
              <w:t>-2 561 528 172</w:t>
            </w:r>
          </w:p>
        </w:tc>
      </w:tr>
      <w:tr>
        <w:trPr>
          <w:trHeight w:val="308"/>
        </w:trPr>
        <w:tc>
          <w:tcPr>
            <w:tcW w:w="730" w:type="dxa"/>
            <w:tcBorders>
              <w:top w:val="single" w:sz="6" w:space="0" w:color="auto"/>
              <w:left w:val="double" w:sz="6" w:space="0" w:color="auto"/>
              <w:bottom w:val="double" w:sz="6" w:space="0" w:color="auto"/>
              <w:right w:val="single" w:sz="2" w:space="0" w:color="000000"/>
            </w:tcBorders>
          </w:tcPr>
          <w:p>
            <w:pPr>
              <w:adjustRightInd w:val="0"/>
              <w:jc w:val="center"/>
              <w:rPr>
                <w:noProof/>
                <w:color w:val="000000"/>
                <w:sz w:val="20"/>
              </w:rPr>
            </w:pPr>
            <w:r>
              <w:rPr>
                <w:noProof/>
                <w:color w:val="000000"/>
                <w:sz w:val="20"/>
              </w:rPr>
              <w:t>(Ж)</w:t>
            </w:r>
          </w:p>
        </w:tc>
        <w:tc>
          <w:tcPr>
            <w:tcW w:w="4670" w:type="dxa"/>
            <w:tcBorders>
              <w:top w:val="single" w:sz="6" w:space="0" w:color="auto"/>
              <w:left w:val="single" w:sz="2" w:space="0" w:color="000000"/>
              <w:bottom w:val="double" w:sz="6" w:space="0" w:color="auto"/>
              <w:right w:val="single" w:sz="2" w:space="0" w:color="000000"/>
            </w:tcBorders>
          </w:tcPr>
          <w:p>
            <w:pPr>
              <w:adjustRightInd w:val="0"/>
              <w:rPr>
                <w:noProof/>
                <w:color w:val="000000"/>
                <w:sz w:val="20"/>
              </w:rPr>
            </w:pPr>
            <w:r>
              <w:rPr>
                <w:noProof/>
                <w:color w:val="000000"/>
                <w:sz w:val="20"/>
              </w:rPr>
              <w:t>Сума от разликите = (A) + (Б) + (В) + (Г) + (Д) + (Е)</w:t>
            </w:r>
          </w:p>
        </w:tc>
        <w:tc>
          <w:tcPr>
            <w:tcW w:w="1800" w:type="dxa"/>
            <w:tcBorders>
              <w:top w:val="single" w:sz="6" w:space="0" w:color="auto"/>
              <w:left w:val="double" w:sz="6" w:space="0" w:color="auto"/>
              <w:bottom w:val="double" w:sz="6" w:space="0" w:color="auto"/>
              <w:right w:val="single" w:sz="6" w:space="0" w:color="auto"/>
            </w:tcBorders>
            <w:vAlign w:val="center"/>
          </w:tcPr>
          <w:p>
            <w:pPr>
              <w:jc w:val="right"/>
              <w:rPr>
                <w:noProof/>
                <w:sz w:val="20"/>
                <w:szCs w:val="20"/>
              </w:rPr>
            </w:pPr>
            <w:r>
              <w:rPr>
                <w:noProof/>
                <w:sz w:val="20"/>
              </w:rPr>
              <w:t>-9 009 474 174</w:t>
            </w:r>
          </w:p>
        </w:tc>
        <w:tc>
          <w:tcPr>
            <w:tcW w:w="1800" w:type="dxa"/>
            <w:tcBorders>
              <w:top w:val="single" w:sz="6" w:space="0" w:color="auto"/>
              <w:left w:val="single" w:sz="6" w:space="0" w:color="auto"/>
              <w:bottom w:val="double" w:sz="6" w:space="0" w:color="auto"/>
              <w:right w:val="double" w:sz="6" w:space="0" w:color="auto"/>
            </w:tcBorders>
            <w:vAlign w:val="center"/>
          </w:tcPr>
          <w:p>
            <w:pPr>
              <w:jc w:val="right"/>
              <w:rPr>
                <w:noProof/>
                <w:sz w:val="20"/>
                <w:szCs w:val="20"/>
              </w:rPr>
            </w:pPr>
            <w:r>
              <w:rPr>
                <w:noProof/>
                <w:sz w:val="20"/>
              </w:rPr>
              <w:t>-8 220 260 868</w:t>
            </w:r>
          </w:p>
        </w:tc>
      </w:tr>
    </w:tbl>
    <w:p>
      <w:pPr>
        <w:rPr>
          <w:noProof/>
        </w:rPr>
      </w:pPr>
      <w:bookmarkStart w:id="53" w:name="_Toc231879708"/>
    </w:p>
    <w:p>
      <w:pPr>
        <w:keepNext/>
        <w:tabs>
          <w:tab w:val="left" w:pos="850"/>
        </w:tabs>
        <w:spacing w:before="160" w:after="160"/>
        <w:ind w:left="851" w:hanging="851"/>
        <w:jc w:val="both"/>
        <w:outlineLvl w:val="1"/>
        <w:rPr>
          <w:b/>
          <w:bCs/>
          <w:i/>
          <w:iCs/>
          <w:noProof/>
        </w:rPr>
      </w:pPr>
      <w:bookmarkStart w:id="54" w:name="_Toc293417237"/>
      <w:bookmarkStart w:id="55" w:name="_Toc294673196"/>
      <w:bookmarkStart w:id="56" w:name="_Toc357005416"/>
      <w:bookmarkStart w:id="57" w:name="_Toc390436799"/>
      <w:bookmarkStart w:id="58" w:name="_Toc420941904"/>
      <w:bookmarkStart w:id="59" w:name="_Toc421700212"/>
      <w:bookmarkStart w:id="60" w:name="_Toc424207686"/>
      <w:r>
        <w:rPr>
          <w:b/>
          <w:i/>
          <w:noProof/>
        </w:rPr>
        <w:t>2.3.3</w:t>
      </w:r>
      <w:r>
        <w:rPr>
          <w:noProof/>
        </w:rPr>
        <w:tab/>
      </w:r>
      <w:r>
        <w:rPr>
          <w:b/>
          <w:i/>
          <w:noProof/>
        </w:rPr>
        <w:t>Записване в ПКБ 6/2015 на първата актуализация на корекцията за Обединеното кралство за 2014 г., на втората актуализация на корекцията за Обединеното кралство за 2013 г., на третата актуализация на корекцията за Обединеното кралство за 2012 г. и на окончателния размер на корекцията за Обединеното кралство за 2011 г.</w:t>
      </w:r>
      <w:bookmarkEnd w:id="53"/>
      <w:bookmarkEnd w:id="54"/>
      <w:bookmarkEnd w:id="55"/>
      <w:bookmarkEnd w:id="56"/>
      <w:bookmarkEnd w:id="57"/>
      <w:bookmarkEnd w:id="58"/>
      <w:bookmarkEnd w:id="59"/>
      <w:bookmarkEnd w:id="60"/>
    </w:p>
    <w:p>
      <w:pPr>
        <w:keepNext/>
        <w:numPr>
          <w:ilvl w:val="3"/>
          <w:numId w:val="0"/>
        </w:numPr>
        <w:tabs>
          <w:tab w:val="num" w:pos="851"/>
        </w:tabs>
        <w:spacing w:before="120" w:after="120"/>
        <w:ind w:left="851" w:hanging="851"/>
        <w:jc w:val="both"/>
        <w:outlineLvl w:val="3"/>
        <w:rPr>
          <w:b/>
          <w:bCs/>
          <w:noProof/>
          <w:szCs w:val="28"/>
        </w:rPr>
      </w:pPr>
      <w:bookmarkStart w:id="61" w:name="_Toc231879709"/>
      <w:r>
        <w:rPr>
          <w:b/>
          <w:noProof/>
        </w:rPr>
        <w:t>2.3.3.1</w:t>
      </w:r>
      <w:r>
        <w:rPr>
          <w:noProof/>
        </w:rPr>
        <w:tab/>
      </w:r>
      <w:r>
        <w:rPr>
          <w:b/>
          <w:noProof/>
        </w:rPr>
        <w:t>Корекция за Обединеното кралство за 2014 г. (глава 15)</w:t>
      </w:r>
    </w:p>
    <w:bookmarkEnd w:id="61"/>
    <w:p>
      <w:pPr>
        <w:spacing w:before="120" w:after="120"/>
        <w:jc w:val="both"/>
        <w:rPr>
          <w:noProof/>
        </w:rPr>
      </w:pPr>
      <w:r>
        <w:rPr>
          <w:noProof/>
        </w:rPr>
        <w:t xml:space="preserve">Размерът на корекцията за Обединеното кралство, който е предвиден в глава 15 от настоящия ПКБ 6/2015, е размерът на </w:t>
      </w:r>
      <w:r>
        <w:rPr>
          <w:i/>
          <w:noProof/>
        </w:rPr>
        <w:t>първата актуализация</w:t>
      </w:r>
      <w:r>
        <w:rPr>
          <w:noProof/>
        </w:rPr>
        <w:t xml:space="preserve"> на корекцията за Обединеното кралство за 2014 г. (т.е. 4 544 158 897 EUR, която сума заменя сумата от 5 433 363 587 EUR, вписана в бюджета за 2015 г.).</w:t>
      </w:r>
    </w:p>
    <w:p>
      <w:pPr>
        <w:spacing w:before="120" w:after="240"/>
        <w:jc w:val="both"/>
        <w:rPr>
          <w:noProof/>
        </w:rPr>
      </w:pPr>
      <w:r>
        <w:rPr>
          <w:noProof/>
        </w:rPr>
        <w:t>Тази сума следва да бъде финансирана съобразно преразгледаните бази за БНД за 2015 г. в настоящия ПКБ 6/2015. Включването на тази сума в глава 15 от бюджета е обобщено по-долу:</w:t>
      </w: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jc w:val="center"/>
              <w:rPr>
                <w:b/>
                <w:bCs/>
                <w:noProof/>
                <w:sz w:val="20"/>
                <w:szCs w:val="20"/>
              </w:rPr>
            </w:pPr>
            <w:r>
              <w:rPr>
                <w:b/>
                <w:noProof/>
                <w:sz w:val="20"/>
              </w:rPr>
              <w:t>Корекция за Обединеното кралство за 2014 г. — Глава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227 330 088</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17 016 030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23 176 845</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57 819 847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80 365 439</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4 466 547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151 269 379</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63 786 269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290 405 953</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30 994 726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11 012 215</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224 653 059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90 230 685</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96 042 290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98 844 865</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85 286 224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602 682 406</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20 621 247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1 219 446 279</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41 436 080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23 306 875</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111 965 875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886 982 795</w:t>
            </w:r>
          </w:p>
        </w:tc>
        <w:tc>
          <w:tcPr>
            <w:tcW w:w="793" w:type="dxa"/>
            <w:tcBorders>
              <w:top w:val="nil"/>
              <w:left w:val="nil"/>
              <w:bottom w:val="nil"/>
              <w:right w:val="nil"/>
            </w:tcBorders>
            <w:shd w:val="clear" w:color="auto" w:fill="auto"/>
            <w:noWrap/>
            <w:vAlign w:val="center"/>
          </w:tcPr>
          <w:p>
            <w:pPr>
              <w:jc w:val="center"/>
              <w:rPr>
                <w:b/>
                <w:bCs/>
                <w:noProof/>
                <w:sz w:val="20"/>
                <w:szCs w:val="20"/>
              </w:rPr>
            </w:pPr>
            <w:r>
              <w:rPr>
                <w:b/>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41 643 760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9 107 348</w:t>
            </w:r>
          </w:p>
        </w:tc>
        <w:tc>
          <w:tcPr>
            <w:tcW w:w="793" w:type="dxa"/>
            <w:vMerge w:val="restart"/>
            <w:tcBorders>
              <w:top w:val="nil"/>
              <w:left w:val="nil"/>
              <w:right w:val="nil"/>
            </w:tcBorders>
            <w:shd w:val="clear" w:color="auto" w:fill="auto"/>
            <w:noWrap/>
            <w:vAlign w:val="center"/>
          </w:tcPr>
          <w:p>
            <w:pPr>
              <w:jc w:val="center"/>
              <w:rPr>
                <w:b/>
                <w:bCs/>
                <w:noProof/>
                <w:sz w:val="20"/>
                <w:szCs w:val="20"/>
              </w:rPr>
            </w:pPr>
            <w:r>
              <w:rPr>
                <w:b/>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szCs w:val="20"/>
                <w:highlight w:val="yellow"/>
              </w:rPr>
            </w:pPr>
            <w:r>
              <w:rPr>
                <w:noProof/>
                <w:sz w:val="20"/>
              </w:rPr>
              <w:t>-4 544 158 897</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rPr>
              <w:t>13 822 068</w:t>
            </w:r>
          </w:p>
        </w:tc>
        <w:tc>
          <w:tcPr>
            <w:tcW w:w="793" w:type="dxa"/>
            <w:vMerge/>
            <w:tcBorders>
              <w:left w:val="nil"/>
              <w:bottom w:val="nil"/>
              <w:right w:val="nil"/>
            </w:tcBorders>
            <w:shd w:val="clear" w:color="auto" w:fill="auto"/>
            <w:noWrap/>
            <w:vAlign w:val="center"/>
          </w:tcPr>
          <w:p>
            <w:pPr>
              <w:jc w:val="center"/>
              <w:rPr>
                <w:b/>
                <w:bCs/>
                <w:noProof/>
                <w:sz w:val="20"/>
                <w:szCs w:val="20"/>
              </w:rPr>
            </w:pPr>
          </w:p>
        </w:tc>
        <w:tc>
          <w:tcPr>
            <w:tcW w:w="1532" w:type="dxa"/>
            <w:vMerge/>
            <w:tcBorders>
              <w:left w:val="nil"/>
              <w:bottom w:val="nil"/>
              <w:right w:val="single" w:sz="8" w:space="0" w:color="auto"/>
            </w:tcBorders>
            <w:shd w:val="clear" w:color="auto" w:fill="auto"/>
            <w:noWrap/>
            <w:vAlign w:val="bottom"/>
          </w:tcPr>
          <w:p>
            <w:pPr>
              <w:jc w:val="right"/>
              <w:rPr>
                <w:noProof/>
                <w:sz w:val="20"/>
                <w:szCs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szCs w:val="20"/>
                <w:highlight w:val="yellow"/>
              </w:rPr>
            </w:pPr>
            <w:r>
              <w:rPr>
                <w:noProof/>
                <w:sz w:val="20"/>
              </w:rPr>
              <w:t>20 443 703</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szCs w:val="20"/>
              </w:rPr>
            </w:pPr>
            <w:r>
              <w:rPr>
                <w:b/>
                <w:noProof/>
                <w:sz w:val="20"/>
              </w:rPr>
              <w:t xml:space="preserve">Общо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szCs w:val="20"/>
              </w:rPr>
            </w:pPr>
            <w:r>
              <w:rPr>
                <w:b/>
                <w:noProof/>
                <w:sz w:val="20"/>
              </w:rPr>
              <w:t>0</w:t>
            </w:r>
          </w:p>
        </w:tc>
      </w:tr>
    </w:tbl>
    <w:p>
      <w:pPr>
        <w:keepNext/>
        <w:numPr>
          <w:ilvl w:val="3"/>
          <w:numId w:val="0"/>
        </w:numPr>
        <w:tabs>
          <w:tab w:val="num" w:pos="851"/>
        </w:tabs>
        <w:spacing w:before="120" w:after="120"/>
        <w:ind w:left="851" w:hanging="851"/>
        <w:jc w:val="both"/>
        <w:outlineLvl w:val="3"/>
        <w:rPr>
          <w:b/>
          <w:bCs/>
          <w:noProof/>
          <w:szCs w:val="28"/>
        </w:rPr>
      </w:pPr>
      <w:bookmarkStart w:id="62" w:name="_Toc231879710"/>
      <w:r>
        <w:rPr>
          <w:b/>
          <w:noProof/>
        </w:rPr>
        <w:t>2.3.3.2</w:t>
      </w:r>
      <w:r>
        <w:rPr>
          <w:noProof/>
        </w:rPr>
        <w:tab/>
      </w:r>
      <w:r>
        <w:rPr>
          <w:b/>
          <w:noProof/>
        </w:rPr>
        <w:t>Корекция за Обединеното кралство за 2011 г. (глава 35)</w:t>
      </w:r>
    </w:p>
    <w:p>
      <w:pPr>
        <w:spacing w:before="120" w:after="120"/>
        <w:jc w:val="both"/>
        <w:rPr>
          <w:noProof/>
        </w:rPr>
      </w:pPr>
      <w:r>
        <w:rPr>
          <w:noProof/>
        </w:rPr>
        <w:t xml:space="preserve">Размерът на корекцията за Обединеното кралство, който подлежи на включване в глава 35 от настоящия ПКБ 6/2015, е разликата между </w:t>
      </w:r>
      <w:r>
        <w:rPr>
          <w:i/>
          <w:noProof/>
        </w:rPr>
        <w:t>окончателния размер</w:t>
      </w:r>
      <w:r>
        <w:rPr>
          <w:noProof/>
        </w:rPr>
        <w:t xml:space="preserve"> на корекцията за Обединеното кралство за 2011 г. (т.е. 4 386 373 990 EUR) и </w:t>
      </w:r>
      <w:r>
        <w:rPr>
          <w:i/>
          <w:noProof/>
        </w:rPr>
        <w:t>третата актуализация</w:t>
      </w:r>
      <w:r>
        <w:rPr>
          <w:noProof/>
        </w:rPr>
        <w:t xml:space="preserve"> на корекцията за Обединеното кралство за 2011 г. (т.е. 4 188 411 749 EUR, записани в КБ 3/2014), която възлиза на 197 962 241 EUR.</w:t>
      </w:r>
    </w:p>
    <w:p>
      <w:pPr>
        <w:spacing w:before="120" w:after="240"/>
        <w:jc w:val="both"/>
        <w:rPr>
          <w:noProof/>
        </w:rPr>
      </w:pPr>
      <w:r>
        <w:rPr>
          <w:noProof/>
        </w:rPr>
        <w:t>Тази сума следва да бъде финансирана съобразно преразгледаните бази за БНД за 2012 г., известни в края на 2014 г. Включването на тази сума в глава 35 от бюджета е обобщено по-долу:</w:t>
      </w:r>
    </w:p>
    <w:tbl>
      <w:tblPr>
        <w:tblW w:w="4220" w:type="dxa"/>
        <w:jc w:val="center"/>
        <w:tblLook w:val="0000" w:firstRow="0" w:lastRow="0" w:firstColumn="0" w:lastColumn="0" w:noHBand="0" w:noVBand="0"/>
      </w:tblPr>
      <w:tblGrid>
        <w:gridCol w:w="549"/>
        <w:gridCol w:w="1383"/>
        <w:gridCol w:w="809"/>
        <w:gridCol w:w="1479"/>
      </w:tblGrid>
      <w:tr>
        <w:trP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szCs w:val="20"/>
              </w:rPr>
            </w:pPr>
            <w:r>
              <w:rPr>
                <w:b/>
                <w:noProof/>
                <w:sz w:val="20"/>
              </w:rPr>
              <w:t>Корекция за Обединеното кралство за 2011 г. — Глава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11 815 757</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37 104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1 392 513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2 508 198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4 784 685</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344 459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3 487 953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5 167 025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10 915 347</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1 172 371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364 152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9 539 521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3 453 266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2 909 281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2 741 329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2 915 322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27 503 186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SI</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702 416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43 503 201</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SK</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1 459 572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53 237 596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4 044 692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1 207 563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1 743 115</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244 042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UK</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rPr>
            </w:pPr>
            <w:r>
              <w:rPr>
                <w:noProof/>
                <w:sz w:val="20"/>
              </w:rPr>
              <w:t>-197 962 241</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szCs w:val="20"/>
              </w:rPr>
            </w:pPr>
            <w:r>
              <w:rPr>
                <w:noProof/>
                <w:sz w:val="20"/>
              </w:rPr>
              <w:t>768 575</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szCs w:val="20"/>
              </w:rPr>
            </w:pPr>
            <w:r>
              <w:rPr>
                <w:b/>
                <w:noProof/>
                <w:sz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szCs w:val="20"/>
              </w:rPr>
            </w:pPr>
            <w:r>
              <w:rPr>
                <w:b/>
                <w:noProof/>
                <w:sz w:val="20"/>
              </w:rPr>
              <w:t>0</w:t>
            </w:r>
          </w:p>
        </w:tc>
      </w:tr>
    </w:tbl>
    <w:p>
      <w:pPr>
        <w:rPr>
          <w:noProof/>
        </w:rPr>
      </w:pPr>
    </w:p>
    <w:p>
      <w:pPr>
        <w:keepNext/>
        <w:numPr>
          <w:ilvl w:val="3"/>
          <w:numId w:val="0"/>
        </w:numPr>
        <w:tabs>
          <w:tab w:val="num" w:pos="851"/>
        </w:tabs>
        <w:spacing w:before="120" w:after="120"/>
        <w:ind w:left="851" w:hanging="851"/>
        <w:jc w:val="both"/>
        <w:outlineLvl w:val="3"/>
        <w:rPr>
          <w:b/>
          <w:bCs/>
          <w:noProof/>
          <w:szCs w:val="28"/>
        </w:rPr>
      </w:pPr>
      <w:r>
        <w:rPr>
          <w:b/>
          <w:noProof/>
        </w:rPr>
        <w:t>2.3.3.3</w:t>
      </w:r>
      <w:r>
        <w:rPr>
          <w:noProof/>
        </w:rPr>
        <w:tab/>
      </w:r>
      <w:r>
        <w:rPr>
          <w:b/>
          <w:noProof/>
        </w:rPr>
        <w:t>Корекция за Обединеното кралство за 2012 г. (глава 36)</w:t>
      </w:r>
    </w:p>
    <w:bookmarkEnd w:id="62"/>
    <w:p>
      <w:pPr>
        <w:spacing w:before="120" w:after="120"/>
        <w:jc w:val="both"/>
        <w:rPr>
          <w:noProof/>
        </w:rPr>
      </w:pPr>
      <w:r>
        <w:rPr>
          <w:noProof/>
        </w:rPr>
        <w:t xml:space="preserve">Размерът на корекцията за Обединеното кралство, който подлежи на включване в глава 36 от настоящия ПКБ 6/2015, е разликата между </w:t>
      </w:r>
      <w:r>
        <w:rPr>
          <w:i/>
          <w:noProof/>
        </w:rPr>
        <w:t>третата актуализация</w:t>
      </w:r>
      <w:r>
        <w:rPr>
          <w:noProof/>
        </w:rPr>
        <w:t xml:space="preserve"> на корекцията за Обединеното кралство за 2012 г. (т.е. 5 143 608 383 EUR) и </w:t>
      </w:r>
      <w:r>
        <w:rPr>
          <w:i/>
          <w:noProof/>
        </w:rPr>
        <w:t>първата актуализация</w:t>
      </w:r>
      <w:r>
        <w:rPr>
          <w:noProof/>
        </w:rPr>
        <w:t xml:space="preserve"> на корекцията за Обединеното кралство за 2012 г. (т.е. 4 631 401 328 EUR, записани в КБ 6/2013), която възлиза на 512 207 055 EUR.</w:t>
      </w:r>
    </w:p>
    <w:p>
      <w:pPr>
        <w:spacing w:before="120" w:after="240"/>
        <w:jc w:val="both"/>
        <w:rPr>
          <w:noProof/>
        </w:rPr>
      </w:pPr>
      <w:r>
        <w:rPr>
          <w:noProof/>
        </w:rPr>
        <w:t>Тази сума следва да бъде финансирана съобразно преразгледаните бази за БНД за 2013 г., известни в края на 2014 г. Включването на тази сума в глава 36 от бюджета е обобщено по-долу:</w:t>
      </w:r>
    </w:p>
    <w:tbl>
      <w:tblPr>
        <w:tblW w:w="4220" w:type="dxa"/>
        <w:jc w:val="center"/>
        <w:tblLook w:val="0000" w:firstRow="0" w:lastRow="0" w:firstColumn="0" w:lastColumn="0" w:noHBand="0" w:noVBand="0"/>
      </w:tblPr>
      <w:tblGrid>
        <w:gridCol w:w="549"/>
        <w:gridCol w:w="1383"/>
        <w:gridCol w:w="809"/>
        <w:gridCol w:w="1479"/>
      </w:tblGrid>
      <w:tr>
        <w:trP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szCs w:val="20"/>
              </w:rPr>
            </w:pPr>
            <w:r>
              <w:rPr>
                <w:b/>
                <w:noProof/>
                <w:sz w:val="20"/>
              </w:rPr>
              <w:t>Корекция за Обединеното кралство за 2012 г. — Глава 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20 609 337</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-626 437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2 761 140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6 799 870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8 144 978</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800 752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15 569 429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8 934 474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35 721 878</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2 296 477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1 607 973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18 950 469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13 192 753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12 984 470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10 134 814</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10 427 052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61 882 563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SI</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2 497 710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134 788 539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SK</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3 685 428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1 255 475</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9 962 881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119 606 240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4 499 743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1 962 450</w:t>
            </w:r>
          </w:p>
        </w:tc>
        <w:tc>
          <w:tcPr>
            <w:tcW w:w="809" w:type="dxa"/>
            <w:tcBorders>
              <w:top w:val="nil"/>
              <w:left w:val="nil"/>
              <w:bottom w:val="nil"/>
              <w:right w:val="nil"/>
            </w:tcBorders>
            <w:shd w:val="clear" w:color="auto" w:fill="auto"/>
            <w:noWrap/>
          </w:tcPr>
          <w:p>
            <w:pPr>
              <w:jc w:val="center"/>
              <w:rPr>
                <w:b/>
                <w:noProof/>
                <w:sz w:val="20"/>
                <w:szCs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1 174 712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-512 207 055</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szCs w:val="20"/>
              </w:rPr>
            </w:pPr>
            <w:r>
              <w:rPr>
                <w:noProof/>
                <w:sz w:val="20"/>
              </w:rPr>
              <w:t>2 581 885</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szCs w:val="20"/>
              </w:rPr>
            </w:pPr>
            <w:r>
              <w:rPr>
                <w:b/>
                <w:noProof/>
                <w:sz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szCs w:val="20"/>
              </w:rPr>
            </w:pPr>
            <w:r>
              <w:rPr>
                <w:b/>
                <w:noProof/>
                <w:sz w:val="20"/>
              </w:rPr>
              <w:t>0</w:t>
            </w:r>
          </w:p>
        </w:tc>
      </w:tr>
    </w:tbl>
    <w:bookmarkEnd w:id="3"/>
    <w:bookmarkEnd w:id="4"/>
    <w:bookmarkEnd w:id="5"/>
    <w:bookmarkEnd w:id="6"/>
    <w:bookmarkEnd w:id="7"/>
    <w:bookmarkEnd w:id="34"/>
    <w:bookmarkEnd w:id="35"/>
    <w:bookmarkEnd w:id="36"/>
    <w:p>
      <w:pPr>
        <w:keepNext/>
        <w:numPr>
          <w:ilvl w:val="3"/>
          <w:numId w:val="0"/>
        </w:numPr>
        <w:tabs>
          <w:tab w:val="num" w:pos="851"/>
        </w:tabs>
        <w:spacing w:before="120" w:after="120"/>
        <w:ind w:left="851" w:hanging="851"/>
        <w:jc w:val="both"/>
        <w:outlineLvl w:val="3"/>
        <w:rPr>
          <w:b/>
          <w:bCs/>
          <w:noProof/>
          <w:szCs w:val="28"/>
        </w:rPr>
      </w:pPr>
      <w:r>
        <w:rPr>
          <w:b/>
          <w:noProof/>
        </w:rPr>
        <w:t>2.3.3.4</w:t>
      </w:r>
      <w:r>
        <w:rPr>
          <w:noProof/>
        </w:rPr>
        <w:tab/>
      </w:r>
      <w:r>
        <w:rPr>
          <w:b/>
          <w:noProof/>
        </w:rPr>
        <w:t>Корекция за Обединеното кралство за 2013 г. (глава 36)</w:t>
      </w:r>
    </w:p>
    <w:p>
      <w:pPr>
        <w:spacing w:before="120" w:after="120"/>
        <w:jc w:val="both"/>
        <w:rPr>
          <w:noProof/>
        </w:rPr>
      </w:pPr>
      <w:r>
        <w:rPr>
          <w:noProof/>
        </w:rPr>
        <w:t xml:space="preserve">Размерът на корекцията за Обединеното кралство, който подлежи на включване в глава 36 от настоящия ПКБ 6/2015, е разликата между </w:t>
      </w:r>
      <w:r>
        <w:rPr>
          <w:i/>
          <w:noProof/>
        </w:rPr>
        <w:t>втората актуализация</w:t>
      </w:r>
      <w:r>
        <w:rPr>
          <w:noProof/>
        </w:rPr>
        <w:t xml:space="preserve"> на корекцията за Обединеното кралство за 2013 г. (т.е. 5 923 047 619 EUR) и </w:t>
      </w:r>
      <w:r>
        <w:rPr>
          <w:i/>
          <w:noProof/>
        </w:rPr>
        <w:t>първата актуализация</w:t>
      </w:r>
      <w:r>
        <w:rPr>
          <w:noProof/>
        </w:rPr>
        <w:t xml:space="preserve"> на корекцията за Обединеното кралство за 2013 г. (т.е. 5 542 182 331 EUR, записани в КБ 3/2014), която възлиза на 380 865 288 EUR.</w:t>
      </w:r>
    </w:p>
    <w:p>
      <w:pPr>
        <w:spacing w:before="120" w:after="240"/>
        <w:jc w:val="both"/>
        <w:rPr>
          <w:noProof/>
        </w:rPr>
      </w:pPr>
      <w:r>
        <w:rPr>
          <w:noProof/>
        </w:rPr>
        <w:t>Тази сума следва да бъде финансирана съобразно преразгледаните бази за БНД за 2014 г., известни в края на 2014 г. Включването на тази сума в глава 36 от бюджета е обобщено по-долу:</w:t>
      </w:r>
    </w:p>
    <w:p>
      <w:pPr>
        <w:rPr>
          <w:noProof/>
        </w:rPr>
      </w:pPr>
    </w:p>
    <w:tbl>
      <w:tblPr>
        <w:tblW w:w="4253" w:type="dxa"/>
        <w:jc w:val="center"/>
        <w:tblLook w:val="0000" w:firstRow="0" w:lastRow="0" w:firstColumn="0" w:lastColumn="0" w:noHBand="0" w:noVBand="0"/>
      </w:tblPr>
      <w:tblGrid>
        <w:gridCol w:w="549"/>
        <w:gridCol w:w="1416"/>
        <w:gridCol w:w="809"/>
        <w:gridCol w:w="1479"/>
      </w:tblGrid>
      <w:tr>
        <w:trPr>
          <w:jc w:val="center"/>
        </w:trPr>
        <w:tc>
          <w:tcPr>
            <w:tcW w:w="4253"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szCs w:val="20"/>
              </w:rPr>
            </w:pPr>
            <w:r>
              <w:rPr>
                <w:b/>
                <w:noProof/>
                <w:sz w:val="20"/>
              </w:rPr>
              <w:t>Корекция за Обединеното кралство за 2013 г. — Глава 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BE</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21 086 719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LU</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- 688 281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BG</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2 638 709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HU</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xml:space="preserve"> 5 678 759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CZ</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8 452 106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MT</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xml:space="preserve"> 754 325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DK</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10 531 440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NL</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xml:space="preserve"> 8 532 126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DE</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23 687 365</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AT</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xml:space="preserve"> 1 859 547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EE</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1 123 952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PL</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xml:space="preserve"> 19 604 131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IE</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12 880 201</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PT</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xml:space="preserve"> 9 472 101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EL</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5 940 696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RO</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xml:space="preserve"> 8 755 802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ES</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57 278 112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SI</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xml:space="preserve"> 2 200 336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FR</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96 456 818</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SK</w:t>
            </w:r>
          </w:p>
        </w:tc>
        <w:tc>
          <w:tcPr>
            <w:tcW w:w="1479"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rPr>
              <w:t xml:space="preserve"> 2 943 154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HR</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1 527 600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FI</w:t>
            </w:r>
          </w:p>
        </w:tc>
        <w:tc>
          <w:tcPr>
            <w:tcW w:w="1479" w:type="dxa"/>
            <w:tcBorders>
              <w:top w:val="nil"/>
              <w:left w:val="nil"/>
              <w:bottom w:val="nil"/>
              <w:right w:val="single" w:sz="8" w:space="0" w:color="auto"/>
            </w:tcBorders>
            <w:shd w:val="clear" w:color="auto" w:fill="auto"/>
            <w:noWrap/>
          </w:tcPr>
          <w:p>
            <w:pPr>
              <w:jc w:val="right"/>
              <w:rPr>
                <w:noProof/>
                <w:sz w:val="20"/>
                <w:szCs w:val="20"/>
              </w:rPr>
            </w:pPr>
            <w:r>
              <w:rPr>
                <w:noProof/>
                <w:sz w:val="20"/>
              </w:rPr>
              <w:t xml:space="preserve"> 8 548 776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IT</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65 379 144</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SE</w:t>
            </w:r>
          </w:p>
        </w:tc>
        <w:tc>
          <w:tcPr>
            <w:tcW w:w="1479" w:type="dxa"/>
            <w:tcBorders>
              <w:top w:val="nil"/>
              <w:left w:val="nil"/>
              <w:bottom w:val="nil"/>
              <w:right w:val="single" w:sz="8" w:space="0" w:color="auto"/>
            </w:tcBorders>
            <w:shd w:val="clear" w:color="auto" w:fill="auto"/>
            <w:noWrap/>
          </w:tcPr>
          <w:p>
            <w:pPr>
              <w:jc w:val="right"/>
              <w:rPr>
                <w:noProof/>
                <w:sz w:val="20"/>
                <w:szCs w:val="20"/>
              </w:rPr>
            </w:pPr>
            <w:r>
              <w:rPr>
                <w:noProof/>
                <w:sz w:val="20"/>
              </w:rPr>
              <w:t xml:space="preserve"> 2 286 070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CY</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1 558 619</w:t>
            </w:r>
          </w:p>
        </w:tc>
        <w:tc>
          <w:tcPr>
            <w:tcW w:w="809" w:type="dxa"/>
            <w:tcBorders>
              <w:top w:val="nil"/>
              <w:left w:val="nil"/>
              <w:bottom w:val="nil"/>
              <w:right w:val="nil"/>
            </w:tcBorders>
            <w:shd w:val="clear" w:color="auto" w:fill="auto"/>
            <w:noWrap/>
          </w:tcPr>
          <w:p>
            <w:pPr>
              <w:jc w:val="center"/>
              <w:rPr>
                <w:b/>
                <w:noProof/>
                <w:sz w:val="20"/>
                <w:szCs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LV</w:t>
            </w:r>
          </w:p>
        </w:tc>
        <w:tc>
          <w:tcPr>
            <w:tcW w:w="1416" w:type="dxa"/>
            <w:tcBorders>
              <w:top w:val="nil"/>
              <w:left w:val="nil"/>
              <w:bottom w:val="nil"/>
              <w:right w:val="nil"/>
            </w:tcBorders>
            <w:shd w:val="clear" w:color="auto" w:fill="auto"/>
            <w:noWrap/>
          </w:tcPr>
          <w:p>
            <w:pPr>
              <w:jc w:val="right"/>
              <w:rPr>
                <w:noProof/>
                <w:sz w:val="20"/>
                <w:szCs w:val="20"/>
                <w:highlight w:val="yellow"/>
              </w:rPr>
            </w:pPr>
            <w:r>
              <w:rPr>
                <w:noProof/>
                <w:sz w:val="20"/>
              </w:rPr>
              <w:t xml:space="preserve"> 572 289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-380 865 288</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416" w:type="dxa"/>
            <w:tcBorders>
              <w:top w:val="nil"/>
              <w:left w:val="nil"/>
              <w:bottom w:val="single" w:sz="8" w:space="0" w:color="auto"/>
              <w:right w:val="nil"/>
            </w:tcBorders>
            <w:shd w:val="clear" w:color="auto" w:fill="auto"/>
            <w:noWrap/>
          </w:tcPr>
          <w:p>
            <w:pPr>
              <w:jc w:val="right"/>
              <w:rPr>
                <w:noProof/>
                <w:sz w:val="20"/>
                <w:szCs w:val="20"/>
                <w:highlight w:val="yellow"/>
              </w:rPr>
            </w:pPr>
            <w:r>
              <w:rPr>
                <w:noProof/>
                <w:sz w:val="20"/>
              </w:rPr>
              <w:t xml:space="preserve"> 1 804 672</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szCs w:val="20"/>
              </w:rPr>
            </w:pPr>
            <w:r>
              <w:rPr>
                <w:b/>
                <w:noProof/>
                <w:sz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szCs w:val="20"/>
              </w:rPr>
            </w:pPr>
            <w:r>
              <w:rPr>
                <w:b/>
                <w:noProof/>
                <w:sz w:val="20"/>
              </w:rPr>
              <w:t>0</w:t>
            </w:r>
          </w:p>
        </w:tc>
      </w:tr>
    </w:tbl>
    <w:p>
      <w:pPr>
        <w:keepNext/>
        <w:numPr>
          <w:ilvl w:val="3"/>
          <w:numId w:val="0"/>
        </w:numPr>
        <w:tabs>
          <w:tab w:val="num" w:pos="851"/>
        </w:tabs>
        <w:spacing w:before="120" w:after="120"/>
        <w:ind w:left="851" w:hanging="851"/>
        <w:jc w:val="both"/>
        <w:outlineLvl w:val="3"/>
        <w:rPr>
          <w:b/>
          <w:bCs/>
          <w:noProof/>
          <w:szCs w:val="28"/>
        </w:rPr>
      </w:pPr>
    </w:p>
    <w:p>
      <w:pPr>
        <w:keepNext/>
        <w:numPr>
          <w:ilvl w:val="3"/>
          <w:numId w:val="0"/>
        </w:numPr>
        <w:tabs>
          <w:tab w:val="num" w:pos="851"/>
        </w:tabs>
        <w:spacing w:before="120" w:after="120"/>
        <w:ind w:left="851" w:hanging="851"/>
        <w:jc w:val="both"/>
        <w:outlineLvl w:val="3"/>
        <w:rPr>
          <w:b/>
          <w:bCs/>
          <w:noProof/>
          <w:szCs w:val="28"/>
        </w:rPr>
      </w:pPr>
      <w:r>
        <w:rPr>
          <w:b/>
          <w:noProof/>
        </w:rPr>
        <w:t>2.3.3.5</w:t>
      </w:r>
      <w:r>
        <w:rPr>
          <w:noProof/>
        </w:rPr>
        <w:tab/>
      </w:r>
      <w:r>
        <w:rPr>
          <w:b/>
          <w:noProof/>
        </w:rPr>
        <w:t>Отражение на актуализациите на базите за ДДС и за БНД (действие във връзка със салдата за 2014 г.) върху корекцията за Обединеното кралство за периода 2011—2013 г.</w:t>
      </w:r>
    </w:p>
    <w:p>
      <w:pPr>
        <w:spacing w:before="120" w:after="240"/>
        <w:jc w:val="both"/>
        <w:rPr>
          <w:noProof/>
        </w:rPr>
      </w:pPr>
      <w:r>
        <w:rPr>
          <w:noProof/>
        </w:rPr>
        <w:t xml:space="preserve">Общото отражение на актуализациите на базите за ДДС и за БНД за периода 2011—2013 г. върху корекцията за Обединеното кралство за периода 2011—2013 г. е 1 091 млн. EUR, от които +198 млн. EUR за корекцията за 2011 г., + 512 млн. EUR за корекцията за 2012 г. и +381 млн. EUR за корекцията за 2013 г. </w:t>
      </w:r>
    </w:p>
    <w:p>
      <w:pPr>
        <w:spacing w:before="120" w:after="240"/>
        <w:jc w:val="both"/>
        <w:rPr>
          <w:noProof/>
        </w:rPr>
      </w:pPr>
      <w:r>
        <w:rPr>
          <w:noProof/>
        </w:rPr>
        <w:t>Общото отражение на актуализацията на корекциите за годините 2011—2013 върху вноските на държавите членки за финансиране на корекцията за Обединеното кралство е обобщено в таблицата по-долу:</w:t>
      </w:r>
    </w:p>
    <w:tbl>
      <w:tblPr>
        <w:tblW w:w="4220" w:type="dxa"/>
        <w:jc w:val="center"/>
        <w:tblLook w:val="0000" w:firstRow="0" w:lastRow="0" w:firstColumn="0" w:lastColumn="0" w:noHBand="0" w:noVBand="0"/>
      </w:tblPr>
      <w:tblGrid>
        <w:gridCol w:w="549"/>
        <w:gridCol w:w="1383"/>
        <w:gridCol w:w="809"/>
        <w:gridCol w:w="1479"/>
      </w:tblGrid>
      <w:tr>
        <w:trP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szCs w:val="20"/>
              </w:rPr>
            </w:pPr>
            <w:r>
              <w:rPr>
                <w:b/>
                <w:noProof/>
                <w:sz w:val="20"/>
              </w:rPr>
              <w:t>Корекция за Обединеното кралство за периода 2011—2013 г.</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BE</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53 511 813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LU</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- 1 277 614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BG</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6 792 362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HU</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xml:space="preserve"> 14 986 827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CZ</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21 381 769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MT</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xml:space="preserve"> 1 899 536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DK</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29 588 822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NL</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xml:space="preserve"> 22 633 625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DE</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70 324 590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AT</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xml:space="preserve"> 5 328 395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EE</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3 096 077</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PL</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xml:space="preserve"> 48 094 121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IE</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29 526 220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PT</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xml:space="preserve"> 25 365 852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EL</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18 816 839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RO</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xml:space="preserve"> 22 098 176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ES</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146 663 861</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SI</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xml:space="preserve"> 5 400 462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FR</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274 748 558</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SK</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rPr>
              <w:t xml:space="preserve"> 8 088 154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HR</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2 783 075</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FI</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rPr>
            </w:pPr>
            <w:r>
              <w:rPr>
                <w:noProof/>
                <w:sz w:val="20"/>
              </w:rPr>
              <w:t xml:space="preserve"> 22 556 349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IT</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238 222 980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SE</w:t>
            </w:r>
          </w:p>
        </w:tc>
        <w:tc>
          <w:tcPr>
            <w:tcW w:w="1479" w:type="dxa"/>
            <w:tcBorders>
              <w:top w:val="nil"/>
              <w:left w:val="nil"/>
              <w:bottom w:val="nil"/>
              <w:right w:val="single" w:sz="8" w:space="0" w:color="auto"/>
            </w:tcBorders>
            <w:shd w:val="clear" w:color="auto" w:fill="auto"/>
            <w:noWrap/>
            <w:vAlign w:val="bottom"/>
          </w:tcPr>
          <w:p>
            <w:pPr>
              <w:jc w:val="right"/>
              <w:rPr>
                <w:noProof/>
                <w:sz w:val="20"/>
                <w:szCs w:val="20"/>
              </w:rPr>
            </w:pPr>
            <w:r>
              <w:rPr>
                <w:noProof/>
                <w:sz w:val="20"/>
              </w:rPr>
              <w:t xml:space="preserve"> 8 528 928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CY</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4 728 632</w:t>
            </w:r>
          </w:p>
        </w:tc>
        <w:tc>
          <w:tcPr>
            <w:tcW w:w="809" w:type="dxa"/>
            <w:tcBorders>
              <w:top w:val="nil"/>
              <w:left w:val="nil"/>
              <w:bottom w:val="nil"/>
              <w:right w:val="nil"/>
            </w:tcBorders>
            <w:shd w:val="clear" w:color="auto" w:fill="auto"/>
            <w:noWrap/>
          </w:tcPr>
          <w:p>
            <w:pPr>
              <w:jc w:val="center"/>
              <w:rPr>
                <w:b/>
                <w:noProof/>
                <w:sz w:val="20"/>
                <w:szCs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LV</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rPr>
              <w:t xml:space="preserve"> 1 991 043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-1 091 034 584</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383" w:type="dxa"/>
            <w:tcBorders>
              <w:top w:val="nil"/>
              <w:left w:val="nil"/>
              <w:bottom w:val="single" w:sz="8" w:space="0" w:color="auto"/>
              <w:right w:val="nil"/>
            </w:tcBorders>
            <w:shd w:val="clear" w:color="auto" w:fill="auto"/>
            <w:noWrap/>
            <w:vAlign w:val="bottom"/>
          </w:tcPr>
          <w:p>
            <w:pPr>
              <w:jc w:val="right"/>
              <w:rPr>
                <w:noProof/>
                <w:sz w:val="20"/>
                <w:szCs w:val="20"/>
                <w:highlight w:val="yellow"/>
              </w:rPr>
            </w:pPr>
            <w:r>
              <w:rPr>
                <w:noProof/>
                <w:sz w:val="20"/>
              </w:rPr>
              <w:t xml:space="preserve"> 5 155 132</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szCs w:val="20"/>
              </w:rPr>
            </w:pPr>
            <w:r>
              <w:rPr>
                <w:b/>
                <w:noProof/>
                <w:sz w:val="20"/>
              </w:rPr>
              <w:t>Общо</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szCs w:val="20"/>
              </w:rPr>
            </w:pPr>
            <w:r>
              <w:rPr>
                <w:b/>
                <w:noProof/>
                <w:sz w:val="20"/>
              </w:rPr>
              <w:t>0</w:t>
            </w:r>
          </w:p>
        </w:tc>
      </w:tr>
    </w:tbl>
    <w:p>
      <w:pPr>
        <w:keepNext/>
        <w:tabs>
          <w:tab w:val="left" w:pos="850"/>
        </w:tabs>
        <w:spacing w:before="360" w:after="120"/>
        <w:ind w:left="851" w:hanging="851"/>
        <w:jc w:val="both"/>
        <w:outlineLvl w:val="0"/>
        <w:rPr>
          <w:b/>
          <w:smallCaps/>
          <w:noProof/>
        </w:rPr>
      </w:pPr>
      <w:bookmarkStart w:id="63" w:name="_Toc421700213"/>
      <w:bookmarkStart w:id="64" w:name="_Toc424207687"/>
      <w:r>
        <w:rPr>
          <w:b/>
          <w:smallCaps/>
          <w:noProof/>
        </w:rPr>
        <w:t>3.</w:t>
      </w:r>
      <w:r>
        <w:rPr>
          <w:noProof/>
        </w:rPr>
        <w:tab/>
      </w:r>
      <w:r>
        <w:rPr>
          <w:b/>
          <w:smallCaps/>
          <w:noProof/>
        </w:rPr>
        <w:t>Доверителни фондове за външна дейност</w:t>
      </w:r>
      <w:bookmarkEnd w:id="63"/>
      <w:bookmarkEnd w:id="64"/>
    </w:p>
    <w:p>
      <w:pPr>
        <w:spacing w:before="120" w:after="120"/>
        <w:jc w:val="both"/>
        <w:rPr>
          <w:noProof/>
        </w:rPr>
      </w:pPr>
      <w:r>
        <w:rPr>
          <w:noProof/>
        </w:rPr>
        <w:t>В съответствие с член 187, параграф 7 от Финансовия регламент Комисията се оправомощава да тегли не повече от 5 % от средствата, събрани в доверителен фонд, за покриване на разходите си за управление. Тези такси за управление се приравняват на целеви приходи.</w:t>
      </w:r>
    </w:p>
    <w:p>
      <w:pPr>
        <w:spacing w:before="120" w:after="120"/>
        <w:jc w:val="both"/>
        <w:rPr>
          <w:noProof/>
        </w:rPr>
      </w:pPr>
      <w:r>
        <w:rPr>
          <w:noProof/>
        </w:rPr>
        <w:t xml:space="preserve">За да получи тези средства, Комисията предлага да бъдат създадени две нови бюджетни позиции със символичен запис (p.m.) — 21 01 04 08 и 22 01 04 03 — </w:t>
      </w:r>
      <w:r>
        <w:rPr>
          <w:i/>
          <w:noProof/>
        </w:rPr>
        <w:t>Разходи за подкрепа за доверителните фондове, управлявани от Европейската комисия</w:t>
      </w:r>
      <w:r>
        <w:rPr>
          <w:noProof/>
        </w:rPr>
        <w:t>, в областите на политиката съответно „Развитие и сътрудничество“ и „Разширяване“.</w:t>
      </w:r>
    </w:p>
    <w:p>
      <w:pPr>
        <w:keepNext/>
        <w:tabs>
          <w:tab w:val="left" w:pos="850"/>
        </w:tabs>
        <w:spacing w:before="360" w:after="120"/>
        <w:ind w:left="851" w:hanging="851"/>
        <w:jc w:val="both"/>
        <w:outlineLvl w:val="0"/>
        <w:rPr>
          <w:b/>
          <w:smallCaps/>
          <w:noProof/>
        </w:rPr>
      </w:pPr>
      <w:bookmarkStart w:id="65" w:name="_Toc421700214"/>
      <w:bookmarkStart w:id="66" w:name="_Toc424207688"/>
      <w:r>
        <w:rPr>
          <w:b/>
          <w:smallCaps/>
          <w:noProof/>
        </w:rPr>
        <w:t>4.</w:t>
      </w:r>
      <w:r>
        <w:rPr>
          <w:noProof/>
        </w:rPr>
        <w:tab/>
      </w:r>
      <w:r>
        <w:rPr>
          <w:b/>
          <w:smallCaps/>
          <w:noProof/>
        </w:rPr>
        <w:t>Служба на Органа на европейските регулатори в областта на електронните съобщения (Служба на ОЕРЕС)</w:t>
      </w:r>
      <w:bookmarkEnd w:id="65"/>
      <w:bookmarkEnd w:id="66"/>
    </w:p>
    <w:p>
      <w:pPr>
        <w:spacing w:before="120" w:after="120"/>
        <w:jc w:val="both"/>
        <w:rPr>
          <w:noProof/>
        </w:rPr>
      </w:pPr>
      <w:r>
        <w:rPr>
          <w:noProof/>
        </w:rPr>
        <w:t>Службата на ОЕРЕС е агенцията на ЕС, която подпомага Органа на европейските регулатори в областта на електронните съобщения. Тя бе създадена през 2009 г.</w:t>
      </w:r>
      <w:r>
        <w:rPr>
          <w:rStyle w:val="FootnoteReference"/>
          <w:noProof/>
        </w:rPr>
        <w:footnoteReference w:id="14"/>
      </w:r>
      <w:r>
        <w:rPr>
          <w:noProof/>
        </w:rPr>
        <w:t xml:space="preserve">, намира се в Рига (Латвия) и понастоящем има персонал от 15 временно наети служители. Предложената промяна на щатното разписание за 2015 г. на Службата на ОЕРЕС е необходима, за да се може да бъде направено прекласиране (повишаване) на двама администратори (AD 5) и двама асистенти (AST 3) на временна длъжност през 2015 г. В щатното разписание на ОЕРЕС в бюджета за 2015 г. не бе взето правилно предвид развитието на кариерата на персонала. Общият бюджет и общият брой длъжности не се променят. </w:t>
      </w:r>
    </w:p>
    <w:p>
      <w:pPr>
        <w:rPr>
          <w:noProof/>
        </w:rPr>
      </w:pPr>
    </w:p>
    <w:sectPr>
      <w:headerReference w:type="even" r:id="rId30"/>
      <w:headerReference w:type="default" r:id="rId31"/>
      <w:footerReference w:type="even" r:id="rId32"/>
      <w:footerReference w:type="default" r:id="rId33"/>
      <w:headerReference w:type="first" r:id="rId34"/>
      <w:footerReference w:type="first" r:id="rId35"/>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tab/>
      </w:r>
      <w:r>
        <w:rPr>
          <w:sz w:val="18"/>
        </w:rPr>
        <w:t>ОВ L 298, 26.10.2012 г., стр. 1.</w:t>
      </w:r>
    </w:p>
  </w:footnote>
  <w:footnote w:id="3">
    <w:p>
      <w:pPr>
        <w:pStyle w:val="FootnoteText"/>
      </w:pPr>
      <w:r>
        <w:rPr>
          <w:rStyle w:val="FootnoteReference"/>
        </w:rPr>
        <w:footnoteRef/>
      </w:r>
      <w:r>
        <w:tab/>
      </w:r>
      <w:r>
        <w:rPr>
          <w:sz w:val="18"/>
        </w:rPr>
        <w:t>ОВ L 69, 13.3.2015 г., стр. 1.</w:t>
      </w:r>
    </w:p>
  </w:footnote>
  <w:footnote w:id="4">
    <w:p>
      <w:pPr>
        <w:pStyle w:val="FootnoteText"/>
      </w:pPr>
      <w:r>
        <w:rPr>
          <w:rStyle w:val="FootnoteReference"/>
        </w:rPr>
        <w:footnoteRef/>
      </w:r>
      <w:r>
        <w:t xml:space="preserve"> </w:t>
      </w:r>
      <w:r>
        <w:tab/>
        <w:t>ОВ L XX, XX.XX.2015 г.</w:t>
      </w:r>
    </w:p>
  </w:footnote>
  <w:footnote w:id="5">
    <w:p>
      <w:pPr>
        <w:pStyle w:val="FootnoteText"/>
      </w:pPr>
      <w:r>
        <w:rPr>
          <w:rStyle w:val="FootnoteReference"/>
        </w:rPr>
        <w:footnoteRef/>
      </w:r>
      <w:r>
        <w:t xml:space="preserve"> </w:t>
      </w:r>
      <w:r>
        <w:tab/>
        <w:t>COM(2015) 11 final, 13.1.2015 г.</w:t>
      </w:r>
    </w:p>
  </w:footnote>
  <w:footnote w:id="6">
    <w:p>
      <w:pPr>
        <w:pStyle w:val="FootnoteText"/>
      </w:pPr>
      <w:r>
        <w:rPr>
          <w:rStyle w:val="FootnoteReference"/>
        </w:rPr>
        <w:footnoteRef/>
      </w:r>
      <w:r>
        <w:t xml:space="preserve"> </w:t>
      </w:r>
      <w:r>
        <w:tab/>
        <w:t>COM(2015) 160 final, 15.4.2015 г.</w:t>
      </w:r>
    </w:p>
  </w:footnote>
  <w:footnote w:id="7">
    <w:p>
      <w:pPr>
        <w:pStyle w:val="FootnoteText"/>
      </w:pPr>
      <w:r>
        <w:rPr>
          <w:rStyle w:val="FootnoteReference"/>
        </w:rPr>
        <w:footnoteRef/>
      </w:r>
      <w:r>
        <w:t xml:space="preserve"> </w:t>
      </w:r>
      <w:r>
        <w:tab/>
        <w:t>COM(2015) 161 final, 15.4.2015 г.</w:t>
      </w:r>
    </w:p>
  </w:footnote>
  <w:footnote w:id="8">
    <w:p>
      <w:pPr>
        <w:pStyle w:val="FootnoteText"/>
        <w:rPr>
          <w:lang w:val="pt-PT"/>
        </w:rPr>
      </w:pPr>
      <w:r>
        <w:rPr>
          <w:rStyle w:val="FootnoteReference"/>
        </w:rPr>
        <w:footnoteRef/>
      </w:r>
      <w:r>
        <w:t xml:space="preserve"> </w:t>
      </w:r>
      <w:r>
        <w:tab/>
        <w:t>COM(2015) 241 final, 13.5.2015 г.</w:t>
      </w:r>
    </w:p>
  </w:footnote>
  <w:footnote w:id="9">
    <w:p>
      <w:pPr>
        <w:pStyle w:val="FootnoteText"/>
      </w:pPr>
      <w:r>
        <w:rPr>
          <w:rStyle w:val="FootnoteReference"/>
          <w:sz w:val="24"/>
        </w:rPr>
        <w:footnoteRef/>
      </w:r>
      <w:r>
        <w:rPr>
          <w:sz w:val="24"/>
        </w:rPr>
        <w:t xml:space="preserve"> </w:t>
      </w:r>
      <w:r>
        <w:tab/>
      </w:r>
      <w:r>
        <w:rPr>
          <w:sz w:val="18"/>
        </w:rPr>
        <w:t>Общата прогноза за нетните налози върху захарта за 2015 г. е на същото равнище (124,7 млн. EUR, след приспадане на 25 % за разходи по събирането).</w:t>
      </w:r>
    </w:p>
  </w:footnote>
  <w:footnote w:id="10">
    <w:p>
      <w:pPr>
        <w:pStyle w:val="FootnoteText"/>
        <w:rPr>
          <w:rStyle w:val="FootnoteReference"/>
          <w:sz w:val="18"/>
          <w:szCs w:val="18"/>
          <w:vertAlign w:val="baseline"/>
        </w:rPr>
      </w:pPr>
      <w:r>
        <w:rPr>
          <w:rStyle w:val="FootnoteReference"/>
          <w:sz w:val="18"/>
        </w:rPr>
        <w:footnoteRef/>
      </w:r>
      <w:r>
        <w:tab/>
      </w:r>
      <w:r>
        <w:rPr>
          <w:rStyle w:val="FootnoteReference"/>
          <w:sz w:val="18"/>
          <w:vertAlign w:val="baseline"/>
        </w:rPr>
        <w:t>В съответствие с Решение 2007/436 на Съвета, ако базата за ДДС на държава членка надвиши 50 % от нейния БНД, за тази база се определя таван на равнище тези 50 %. За ПКБ 6/2015 за пет държави членки ще има таван за базата за ДДС, равен на 50 % от техния БНД: Хърватия, Кипър, Люксембург, Малта и Словения.</w:t>
      </w:r>
    </w:p>
  </w:footnote>
  <w:footnote w:id="11">
    <w:p>
      <w:pPr>
        <w:pStyle w:val="FootnoteText"/>
        <w:rPr>
          <w:rStyle w:val="FootnoteReference"/>
          <w:sz w:val="18"/>
          <w:szCs w:val="18"/>
          <w:vertAlign w:val="baseline"/>
        </w:rPr>
      </w:pPr>
      <w:r>
        <w:rPr>
          <w:rStyle w:val="FootnoteReference"/>
          <w:sz w:val="18"/>
        </w:rPr>
        <w:footnoteRef/>
      </w:r>
      <w:r>
        <w:rPr>
          <w:rStyle w:val="FootnoteReference"/>
          <w:sz w:val="18"/>
        </w:rPr>
        <w:t xml:space="preserve"> </w:t>
      </w:r>
      <w:r>
        <w:tab/>
      </w:r>
      <w:r>
        <w:rPr>
          <w:rStyle w:val="FootnoteReference"/>
          <w:sz w:val="18"/>
          <w:vertAlign w:val="baseline"/>
        </w:rPr>
        <w:t>Сумите в сиво произлизат от базите за ДДС с таван, както е обяснено по-горе в бележка под линия 9.</w:t>
      </w:r>
    </w:p>
  </w:footnote>
  <w:footnote w:id="12">
    <w:p>
      <w:pPr>
        <w:pStyle w:val="FootnoteText"/>
        <w:rPr>
          <w:sz w:val="18"/>
          <w:szCs w:val="18"/>
        </w:rPr>
      </w:pPr>
      <w:r>
        <w:rPr>
          <w:rStyle w:val="FootnoteReference"/>
          <w:sz w:val="18"/>
        </w:rPr>
        <w:footnoteRef/>
      </w:r>
      <w:r>
        <w:rPr>
          <w:sz w:val="18"/>
        </w:rPr>
        <w:t xml:space="preserve"> </w:t>
      </w:r>
      <w:r>
        <w:tab/>
      </w:r>
      <w:r>
        <w:rPr>
          <w:sz w:val="18"/>
        </w:rPr>
        <w:t>OВ L 163, 23.6.2007 г., стр. 17.</w:t>
      </w:r>
    </w:p>
  </w:footnote>
  <w:footnote w:id="13">
    <w:p>
      <w:pPr>
        <w:pStyle w:val="FootnoteText"/>
        <w:rPr>
          <w:sz w:val="18"/>
          <w:szCs w:val="18"/>
        </w:rPr>
      </w:pPr>
      <w:r>
        <w:rPr>
          <w:rStyle w:val="FootnoteReference"/>
        </w:rPr>
        <w:footnoteRef/>
      </w:r>
      <w:r>
        <w:tab/>
      </w:r>
      <w:r>
        <w:rPr>
          <w:sz w:val="18"/>
        </w:rPr>
        <w:t xml:space="preserve">Работен документ на Комисията от 23 май 2007 г. относно изчисляване, финансиране, плащане и вписване в бюджета на корекцията на бюджетните дисбаланси в съответствие с членове 4 и 5 от Решение [2007/436/ЕО, Евратом] на Съвета относно системата на собствените ресурси на Европейските общности, който може да бъде намерен на адрес: </w:t>
      </w:r>
    </w:p>
    <w:p>
      <w:pPr>
        <w:pStyle w:val="FootnoteText"/>
        <w:spacing w:after="60"/>
        <w:ind w:firstLine="0"/>
        <w:rPr>
          <w:sz w:val="18"/>
          <w:szCs w:val="18"/>
        </w:rPr>
      </w:pPr>
      <w:hyperlink r:id="rId1">
        <w:r>
          <w:rPr>
            <w:rStyle w:val="Hyperlink"/>
            <w:sz w:val="18"/>
          </w:rPr>
          <w:t>http://ec.europa.eu/budget/library/biblio/documents/financing/calc_own_res_2007_bg.pdf</w:t>
        </w:r>
      </w:hyperlink>
      <w:r>
        <w:rPr>
          <w:sz w:val="18"/>
        </w:rPr>
        <w:t>.</w:t>
      </w:r>
    </w:p>
  </w:footnote>
  <w:footnote w:id="14">
    <w:p>
      <w:pPr>
        <w:pStyle w:val="FootnoteText"/>
      </w:pPr>
      <w:r>
        <w:rPr>
          <w:rStyle w:val="FootnoteReference"/>
        </w:rPr>
        <w:footnoteRef/>
      </w:r>
      <w:r>
        <w:t xml:space="preserve"> </w:t>
      </w:r>
      <w:r>
        <w:tab/>
        <w:t>Регламент (EО) № 1211/2009 на Европейския парламент и на Съвета от 25 ноември 2009 г. за създаване на Орган на европейските регулатори в областта на електронните съобщения (ОЕРЕС) и на Служба (OВ L 337, 18.12.2009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44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ED833C0"/>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A2403CB"/>
    <w:multiLevelType w:val="hybridMultilevel"/>
    <w:tmpl w:val="8B06DF60"/>
    <w:lvl w:ilvl="0" w:tplc="0FE406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284234"/>
    <w:multiLevelType w:val="hybridMultilevel"/>
    <w:tmpl w:val="B1B622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AAA725C"/>
    <w:multiLevelType w:val="hybridMultilevel"/>
    <w:tmpl w:val="1C9E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F6F6245"/>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AF131E8"/>
    <w:multiLevelType w:val="hybridMultilevel"/>
    <w:tmpl w:val="7EE22C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0F627D1"/>
    <w:multiLevelType w:val="hybridMultilevel"/>
    <w:tmpl w:val="9D346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9E2343"/>
    <w:multiLevelType w:val="hybridMultilevel"/>
    <w:tmpl w:val="D89C5E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4FB55F2"/>
    <w:multiLevelType w:val="hybridMultilevel"/>
    <w:tmpl w:val="63DED26E"/>
    <w:lvl w:ilvl="0" w:tplc="34DC57B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36DEC"/>
    <w:multiLevelType w:val="hybridMultilevel"/>
    <w:tmpl w:val="79644CE6"/>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0">
    <w:nsid w:val="6D38527D"/>
    <w:multiLevelType w:val="hybridMultilevel"/>
    <w:tmpl w:val="C0B8F2B8"/>
    <w:lvl w:ilvl="0" w:tplc="EB1C0EE4">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23216D"/>
    <w:multiLevelType w:val="hybridMultilevel"/>
    <w:tmpl w:val="F648ECEA"/>
    <w:lvl w:ilvl="0" w:tplc="5810F3C8">
      <w:start w:val="1"/>
      <w:numFmt w:val="bullet"/>
      <w:lvlText w:val=""/>
      <w:lvlJc w:val="left"/>
      <w:pPr>
        <w:tabs>
          <w:tab w:val="num" w:pos="720"/>
        </w:tabs>
        <w:ind w:left="720" w:hanging="360"/>
      </w:pPr>
      <w:rPr>
        <w:rFonts w:ascii="Symbol" w:hAnsi="Symbol" w:hint="default"/>
      </w:rPr>
    </w:lvl>
    <w:lvl w:ilvl="1" w:tplc="E45E7B3C" w:tentative="1">
      <w:start w:val="1"/>
      <w:numFmt w:val="bullet"/>
      <w:lvlText w:val="o"/>
      <w:lvlJc w:val="left"/>
      <w:pPr>
        <w:tabs>
          <w:tab w:val="num" w:pos="1440"/>
        </w:tabs>
        <w:ind w:left="1440" w:hanging="360"/>
      </w:pPr>
      <w:rPr>
        <w:rFonts w:ascii="Courier New" w:hAnsi="Courier New" w:cs="Courier New" w:hint="default"/>
      </w:rPr>
    </w:lvl>
    <w:lvl w:ilvl="2" w:tplc="46941928" w:tentative="1">
      <w:start w:val="1"/>
      <w:numFmt w:val="bullet"/>
      <w:lvlText w:val=""/>
      <w:lvlJc w:val="left"/>
      <w:pPr>
        <w:tabs>
          <w:tab w:val="num" w:pos="2160"/>
        </w:tabs>
        <w:ind w:left="2160" w:hanging="360"/>
      </w:pPr>
      <w:rPr>
        <w:rFonts w:ascii="Wingdings" w:hAnsi="Wingdings" w:hint="default"/>
      </w:rPr>
    </w:lvl>
    <w:lvl w:ilvl="3" w:tplc="9906EA66" w:tentative="1">
      <w:start w:val="1"/>
      <w:numFmt w:val="bullet"/>
      <w:lvlText w:val=""/>
      <w:lvlJc w:val="left"/>
      <w:pPr>
        <w:tabs>
          <w:tab w:val="num" w:pos="2880"/>
        </w:tabs>
        <w:ind w:left="2880" w:hanging="360"/>
      </w:pPr>
      <w:rPr>
        <w:rFonts w:ascii="Symbol" w:hAnsi="Symbol" w:hint="default"/>
      </w:rPr>
    </w:lvl>
    <w:lvl w:ilvl="4" w:tplc="F54297AE" w:tentative="1">
      <w:start w:val="1"/>
      <w:numFmt w:val="bullet"/>
      <w:lvlText w:val="o"/>
      <w:lvlJc w:val="left"/>
      <w:pPr>
        <w:tabs>
          <w:tab w:val="num" w:pos="3600"/>
        </w:tabs>
        <w:ind w:left="3600" w:hanging="360"/>
      </w:pPr>
      <w:rPr>
        <w:rFonts w:ascii="Courier New" w:hAnsi="Courier New" w:cs="Courier New" w:hint="default"/>
      </w:rPr>
    </w:lvl>
    <w:lvl w:ilvl="5" w:tplc="878EFA52" w:tentative="1">
      <w:start w:val="1"/>
      <w:numFmt w:val="bullet"/>
      <w:lvlText w:val=""/>
      <w:lvlJc w:val="left"/>
      <w:pPr>
        <w:tabs>
          <w:tab w:val="num" w:pos="4320"/>
        </w:tabs>
        <w:ind w:left="4320" w:hanging="360"/>
      </w:pPr>
      <w:rPr>
        <w:rFonts w:ascii="Wingdings" w:hAnsi="Wingdings" w:hint="default"/>
      </w:rPr>
    </w:lvl>
    <w:lvl w:ilvl="6" w:tplc="B0DEB76A" w:tentative="1">
      <w:start w:val="1"/>
      <w:numFmt w:val="bullet"/>
      <w:lvlText w:val=""/>
      <w:lvlJc w:val="left"/>
      <w:pPr>
        <w:tabs>
          <w:tab w:val="num" w:pos="5040"/>
        </w:tabs>
        <w:ind w:left="5040" w:hanging="360"/>
      </w:pPr>
      <w:rPr>
        <w:rFonts w:ascii="Symbol" w:hAnsi="Symbol" w:hint="default"/>
      </w:rPr>
    </w:lvl>
    <w:lvl w:ilvl="7" w:tplc="F0B2655E" w:tentative="1">
      <w:start w:val="1"/>
      <w:numFmt w:val="bullet"/>
      <w:lvlText w:val="o"/>
      <w:lvlJc w:val="left"/>
      <w:pPr>
        <w:tabs>
          <w:tab w:val="num" w:pos="5760"/>
        </w:tabs>
        <w:ind w:left="5760" w:hanging="360"/>
      </w:pPr>
      <w:rPr>
        <w:rFonts w:ascii="Courier New" w:hAnsi="Courier New" w:cs="Courier New" w:hint="default"/>
      </w:rPr>
    </w:lvl>
    <w:lvl w:ilvl="8" w:tplc="41F24686"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2"/>
  </w:num>
  <w:num w:numId="4">
    <w:abstractNumId w:val="20"/>
  </w:num>
  <w:num w:numId="5">
    <w:abstractNumId w:val="31"/>
  </w:num>
  <w:num w:numId="6">
    <w:abstractNumId w:val="20"/>
  </w:num>
  <w:num w:numId="7">
    <w:abstractNumId w:val="29"/>
  </w:num>
  <w:num w:numId="8">
    <w:abstractNumId w:val="19"/>
  </w:num>
  <w:num w:numId="9">
    <w:abstractNumId w:val="10"/>
  </w:num>
  <w:num w:numId="10">
    <w:abstractNumId w:val="17"/>
  </w:num>
  <w:num w:numId="11">
    <w:abstractNumId w:val="18"/>
  </w:num>
  <w:num w:numId="12">
    <w:abstractNumId w:val="5"/>
  </w:num>
  <w:num w:numId="13">
    <w:abstractNumId w:val="8"/>
  </w:num>
  <w:num w:numId="14">
    <w:abstractNumId w:val="12"/>
  </w:num>
  <w:num w:numId="15">
    <w:abstractNumId w:val="15"/>
  </w:num>
  <w:num w:numId="16">
    <w:abstractNumId w:val="21"/>
  </w:num>
  <w:num w:numId="17">
    <w:abstractNumId w:val="20"/>
  </w:num>
  <w:num w:numId="18">
    <w:abstractNumId w:val="27"/>
  </w:num>
  <w:num w:numId="19">
    <w:abstractNumId w:val="4"/>
  </w:num>
  <w:num w:numId="20">
    <w:abstractNumId w:val="14"/>
  </w:num>
  <w:num w:numId="21">
    <w:abstractNumId w:val="20"/>
  </w:num>
  <w:num w:numId="22">
    <w:abstractNumId w:val="20"/>
  </w:num>
  <w:num w:numId="23">
    <w:abstractNumId w:val="3"/>
  </w:num>
  <w:num w:numId="24">
    <w:abstractNumId w:val="30"/>
  </w:num>
  <w:num w:numId="25">
    <w:abstractNumId w:val="26"/>
  </w:num>
  <w:num w:numId="26">
    <w:abstractNumId w:val="0"/>
  </w:num>
  <w:num w:numId="27">
    <w:abstractNumId w:val="2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8"/>
  </w:num>
  <w:num w:numId="39">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3"/>
  </w:num>
  <w:num w:numId="45">
    <w:abstractNumId w:val="22"/>
  </w:num>
  <w:num w:numId="46">
    <w:abstractNumId w:val="6"/>
  </w:num>
  <w:num w:numId="47">
    <w:abstractNumId w:val="25"/>
  </w:num>
  <w:num w:numId="48">
    <w:abstractNumId w:val="2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824D2427E797408082CB73125DF8160D"/>
    <w:docVar w:name="LW_CROSSREFERENCE" w:val="&lt;UNUSED&gt;"/>
    <w:docVar w:name="LW_DocType" w:val="NORMAL"/>
    <w:docVar w:name="LW_EMISSION" w:val="15.7.2015"/>
    <w:docVar w:name="LW_EMISSION_ISODATE" w:val="2015-07-15"/>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51"/>
    <w:docVar w:name="LW_REF.INTERNE" w:val="&lt;UNUSED&gt;"/>
    <w:docVar w:name="LW_SOUS.TITRE.OBJ.CP" w:val="&lt;UNUSED&gt;"/>
    <w:docVar w:name="LW_SUPERTITRE" w:val="&lt;UNUSED&gt;"/>
    <w:docVar w:name="LW_TITRE.OBJ.CP" w:val="\u1057?\u1054?\u1041?\u1057?\u1058?\u1042?\u1045?\u1053?\u1048? \u1056?\u1045?\u1057?\u1059?\u1056?\u1057?\u1048?_x000b_\u1044?\u1054?\u1042?\u1045?\u1056?\u1048?\u1058?\u1045?\u1051?\u1053?\u1048? \u1060?\u1054?\u1053?\u1044?\u1054?\u1042?\u1045? \u1047?\u1040? \u1042?\u1066?\u1053?\u1064?\u1053?\u1040? \u1044?\u1045?\u1049?\u1053?\u1054?\u1057?\u1058? \u1053?\u1040? \u1057?\u1066?\u1070?\u1047?\u1040?_x000b_\u1057?\u1051?\u1059?\u1046?\u1041?\u1040? \u1053?\u1040? \u1054?\u1056?\u1043?\u1040?\u1053?\u1040? \u1053?\u1040? \u1045?\u1042?\u1056?\u1054?\u1055?\u1045?\u1049?\u1057?\u1050?\u1048?\u1058?\u1045? \u1056?\u1045?\u1043?\u1059?\u1051?\u1040?\u1058?\u1054?\u1056?\u1048? \u1042? \u1054?\u1041?\u1051?\u1040?\u1057?\u1058?\u1058?\u1040? \u1053?\u1040? \u1045?\u1051?\u1045?\u1050?\u1058?\u1056?\u1054?\u1053?\u1053?\u1048?\u1058?\u1045? \u1057?\u1066?\u1054?\u1041?\u1065?\u1045?\u1053?\u1048?\u1071?"/>
    <w:docVar w:name="LW_TITRE.OBJ.CP_PREVIOUS" w:val="&lt;UNUSED&gt;"/>
    <w:docVar w:name="LW_TYPE.DOC.CP" w:val="\u1055?\u1056?\u1054?\u1045?\u1050?\u1058? \u1053?\u1040? \u1050?\u1054?\u1056?\u1048?\u1043?\u1048?\u1056?\u1040?\u1065? \u1041?\u1070?\u1044?\u1046?\u1045?\u1058? \u8470? 6_x000b_\u1050?\u1066?\u1052? \u1054?\u1041?\u1065?\u1048?\u1071? \u1041?\u1070?\u1044?\u1046?\u1045?\u1058? \u1047?\u1040? 2015 \u104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library/biblio/documents/financing/calc_own_res_2007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70AFD-C378-4A76-93FB-4C6EC019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5625</Words>
  <Characters>25147</Characters>
  <Application>Microsoft Office Word</Application>
  <DocSecurity>0</DocSecurity>
  <Lines>1479</Lines>
  <Paragraphs>1282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29490</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42</cp:revision>
  <cp:lastPrinted>2015-07-01T14:47:00Z</cp:lastPrinted>
  <dcterms:created xsi:type="dcterms:W3CDTF">2015-07-02T10:36:00Z</dcterms:created>
  <dcterms:modified xsi:type="dcterms:W3CDTF">2015-07-14T08:38:00Z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