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1C" w:rsidRDefault="00771BEE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7FD0E752748FFB74BE4ECC274A838" style="width:450.75pt;height:366pt">
            <v:imagedata r:id="rId8" o:title=""/>
          </v:shape>
        </w:pict>
      </w:r>
    </w:p>
    <w:p w:rsidR="0094761C" w:rsidRDefault="0094761C">
      <w:pPr>
        <w:rPr>
          <w:noProof/>
        </w:rPr>
        <w:sectPr w:rsidR="0094761C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4761C" w:rsidRDefault="00771BEE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94761C" w:rsidRDefault="00771BEE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94761C" w:rsidRDefault="00771BEE">
      <w:pPr>
        <w:rPr>
          <w:noProof/>
        </w:rPr>
      </w:pPr>
      <w:r>
        <w:rPr>
          <w:noProof/>
        </w:rPr>
        <w:t xml:space="preserve">За снабдяването на ЕС с определени продукти от </w:t>
      </w:r>
      <w:r>
        <w:rPr>
          <w:noProof/>
        </w:rPr>
        <w:t>риболов до голяма степен се разчита на внос. През последните 15 години ЕС все по-повече зависи от внос за обезпечаване на потреблението си на продукти от риболов: производството на ЕС покрива само 44 % от нуждите му от продукти от риболов и аквакултури. Ос</w:t>
      </w:r>
      <w:r>
        <w:rPr>
          <w:noProof/>
        </w:rPr>
        <w:t>новната цел на автономните търговски мерки за продукти от риболов и аквакултури е да се даде възможност на рибопреработвателната промишленост да внася суровини за по-нататъшна преработка от трети държави при по-ниски мита или безмитно.</w:t>
      </w:r>
    </w:p>
    <w:p w:rsidR="0094761C" w:rsidRDefault="00771BEE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РЕЗУЛТАТИ ОТ КОНС</w:t>
      </w:r>
      <w:r>
        <w:rPr>
          <w:noProof/>
        </w:rPr>
        <w:t>УЛТАЦИИТЕ СЪС ЗАИНТЕРЕСОВАНИТЕ СТРАНИ И ОЦЕНКИТЕ НА ВЪЗДЕЙСТВИЕТО</w:t>
      </w:r>
    </w:p>
    <w:p w:rsidR="0094761C" w:rsidRDefault="00771BEE">
      <w:pPr>
        <w:spacing w:before="60" w:after="60"/>
        <w:rPr>
          <w:noProof/>
        </w:rPr>
      </w:pPr>
      <w:r>
        <w:rPr>
          <w:noProof/>
        </w:rPr>
        <w:t>Преработвателите от ЕС и редица държави членки на ЕС поискаха продължаване на автономните тарифни квоти за продукти от риболов, за да се гарантира снабдяването на рибопреработвателната проми</w:t>
      </w:r>
      <w:r>
        <w:rPr>
          <w:noProof/>
        </w:rPr>
        <w:t>шленост в ЕС.</w:t>
      </w:r>
    </w:p>
    <w:p w:rsidR="0094761C" w:rsidRDefault="00771BEE">
      <w:pPr>
        <w:spacing w:before="60" w:after="60"/>
        <w:rPr>
          <w:noProof/>
        </w:rPr>
      </w:pPr>
      <w:r>
        <w:rPr>
          <w:noProof/>
        </w:rPr>
        <w:t xml:space="preserve">През декември 2014 г. и януари 2015 г. чрез изпратен от Комисията въпросник бяха проведени консултации с производители и преработватели от ЕС, както и с държавите членки. </w:t>
      </w:r>
    </w:p>
    <w:p w:rsidR="0094761C" w:rsidRDefault="00771BEE">
      <w:pPr>
        <w:rPr>
          <w:noProof/>
        </w:rPr>
      </w:pPr>
      <w:r>
        <w:rPr>
          <w:noProof/>
        </w:rPr>
        <w:t>През август 2014 г. бе възложено външно проучване за оценка на резулта</w:t>
      </w:r>
      <w:r>
        <w:rPr>
          <w:noProof/>
        </w:rPr>
        <w:t>тите от прилагането на Регламент (ЕО) № 1220/2012 за периода 2013—2015 г. и за проверка дали целите са били изпълнени, като се отчете глобалният контекст на доставките за преработвателната промишленост на ЕС. Докладът включва ретроспективна оценка, както и</w:t>
      </w:r>
      <w:r>
        <w:rPr>
          <w:noProof/>
        </w:rPr>
        <w:t xml:space="preserve"> прогнозна оценка за възможните перспективи за бъдещия регламент за автономните тарифни квоти за периода 2016—2018 година.</w:t>
      </w:r>
    </w:p>
    <w:p w:rsidR="0094761C" w:rsidRDefault="00771BEE">
      <w:pPr>
        <w:rPr>
          <w:noProof/>
        </w:rPr>
      </w:pPr>
      <w:r>
        <w:rPr>
          <w:noProof/>
        </w:rPr>
        <w:t>Като цяло резултатите от проучването потвърждават, че схемата на автономните тарифни квоти е от значение за подкрепата на преработват</w:t>
      </w:r>
      <w:r>
        <w:rPr>
          <w:noProof/>
        </w:rPr>
        <w:t xml:space="preserve">елната промишленост в ЕС, тъй като чрез нея секторът може да се снабдява на по-ниски цени. Освен това схемата е последователна. Тя няма забележими отрицателни последици за производствения сектор на ЕС, тъй като повечето от обхванатите от регламента видове </w:t>
      </w:r>
      <w:r>
        <w:rPr>
          <w:noProof/>
        </w:rPr>
        <w:t>не се произвеждат в достатъчни количества в ЕС или изобщо не се произвеждат. Общата оценка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на схемата на автономни тарифни квоти е, че тя е ефективна и ефикасна. Конкурентоспособността на рибопреработвателната промишленост в ЕС е осигурена, без да се вред</w:t>
      </w:r>
      <w:r>
        <w:rPr>
          <w:noProof/>
        </w:rPr>
        <w:t>и на производителите от ЕС. Освен това регламентът на автономните тарифни квоти насърчава растежа и запазва работните места в този сектор, като в същото време се гарантира стабилното снабдяване на потребителите на разумни цени. Всяко неплатено евро от мита</w:t>
      </w:r>
      <w:r>
        <w:rPr>
          <w:noProof/>
        </w:rPr>
        <w:t>та генерира в сектора добавена стойност между 2,5 и 3 EUR.</w:t>
      </w:r>
    </w:p>
    <w:p w:rsidR="0094761C" w:rsidRDefault="00771BEE">
      <w:pPr>
        <w:rPr>
          <w:noProof/>
        </w:rPr>
      </w:pPr>
      <w:r>
        <w:rPr>
          <w:noProof/>
        </w:rPr>
        <w:t xml:space="preserve">Съгласно проучването 3-годишният срок на прилагане, определен в регламента, не представлява особен проблем. С него се прави компромис между правната сигурност и необходимостта от преразглеждане на </w:t>
      </w:r>
      <w:r>
        <w:rPr>
          <w:noProof/>
        </w:rPr>
        <w:t>регламента, за да бъде адаптиран към променящите се условия за снабдяване.</w:t>
      </w:r>
    </w:p>
    <w:p w:rsidR="0094761C" w:rsidRDefault="00771BEE">
      <w:pPr>
        <w:rPr>
          <w:noProof/>
        </w:rPr>
      </w:pPr>
      <w:r>
        <w:rPr>
          <w:noProof/>
        </w:rPr>
        <w:t>Основното въздействие на настоящия регламент се изразява в загубата на приходи за бюджета на ЕС, което обаче от своя страна означава митнически преференции и конкурентоспособни суро</w:t>
      </w:r>
      <w:r>
        <w:rPr>
          <w:noProof/>
        </w:rPr>
        <w:t xml:space="preserve">вини за преработвателите на продукти от риболов в ЕС. </w:t>
      </w:r>
      <w:r>
        <w:rPr>
          <w:noProof/>
        </w:rPr>
        <w:lastRenderedPageBreak/>
        <w:t>Автономните тарифни квоти за продукти от риболов и аквакултури означават за бюджета на ЕС максимална загуба на приходи от около 185,5 милиона евро годишно (средно за тригодишния период).</w:t>
      </w:r>
    </w:p>
    <w:p w:rsidR="0094761C" w:rsidRDefault="00771BEE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ПРАВНИ ЕЛЕМЕ</w:t>
      </w:r>
      <w:r>
        <w:rPr>
          <w:noProof/>
        </w:rPr>
        <w:t>НТИ НА ПРЕДЛОЖЕНИЕТО</w:t>
      </w:r>
    </w:p>
    <w:p w:rsidR="0094761C" w:rsidRDefault="00771BEE">
      <w:pPr>
        <w:pStyle w:val="Text1"/>
        <w:rPr>
          <w:b/>
          <w:noProof/>
        </w:rPr>
      </w:pPr>
      <w:r>
        <w:rPr>
          <w:b/>
          <w:noProof/>
        </w:rPr>
        <w:t>Правно основание</w:t>
      </w:r>
    </w:p>
    <w:p w:rsidR="0094761C" w:rsidRDefault="00771BEE">
      <w:pPr>
        <w:pStyle w:val="Text1"/>
        <w:ind w:left="0"/>
        <w:rPr>
          <w:noProof/>
        </w:rPr>
      </w:pPr>
      <w:r>
        <w:rPr>
          <w:noProof/>
        </w:rPr>
        <w:t>Член 31 от Договора за функционирането на Европейския съюз.</w:t>
      </w:r>
    </w:p>
    <w:p w:rsidR="0094761C" w:rsidRDefault="00771BEE">
      <w:pPr>
        <w:pStyle w:val="Text1"/>
        <w:rPr>
          <w:b/>
          <w:noProof/>
        </w:rPr>
      </w:pPr>
      <w:r>
        <w:rPr>
          <w:b/>
          <w:noProof/>
        </w:rPr>
        <w:t>Принцип на субсидиарност</w:t>
      </w:r>
    </w:p>
    <w:p w:rsidR="0094761C" w:rsidRDefault="00771BEE"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Митата по Общата митническа тарифа са от изключителната компетентност на Съюза. Следователно принципът на субсидиарност не е приложим</w:t>
      </w:r>
      <w:r>
        <w:rPr>
          <w:noProof/>
        </w:rPr>
        <w:t xml:space="preserve"> по отношение на тези разпоредби.</w:t>
      </w:r>
    </w:p>
    <w:p w:rsidR="0094761C" w:rsidRDefault="00771BEE">
      <w:pPr>
        <w:pStyle w:val="Text1"/>
        <w:rPr>
          <w:b/>
          <w:noProof/>
        </w:rPr>
      </w:pPr>
      <w:r>
        <w:rPr>
          <w:b/>
          <w:noProof/>
        </w:rPr>
        <w:t xml:space="preserve">Принцип на пропорционалност </w:t>
      </w:r>
    </w:p>
    <w:p w:rsidR="0094761C" w:rsidRDefault="00771BEE">
      <w:pPr>
        <w:rPr>
          <w:noProof/>
        </w:rPr>
      </w:pPr>
      <w:r>
        <w:rPr>
          <w:noProof/>
        </w:rPr>
        <w:t>Предложението отговаря на принципа на пропорционалност поради следната причина: Митническият съюз представлява обща политика и по тази причина следва да се изпълнява чрез регламент, приет от Съ</w:t>
      </w:r>
      <w:r>
        <w:rPr>
          <w:noProof/>
        </w:rPr>
        <w:t>вета.</w:t>
      </w:r>
    </w:p>
    <w:p w:rsidR="0094761C" w:rsidRDefault="00771BEE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ОТРАЖЕНИЕ ВЪРХУ БЮДЖЕТА </w:t>
      </w:r>
    </w:p>
    <w:p w:rsidR="0094761C" w:rsidRDefault="00771BEE">
      <w:pPr>
        <w:rPr>
          <w:noProof/>
        </w:rPr>
      </w:pPr>
      <w:r>
        <w:rPr>
          <w:noProof/>
        </w:rPr>
        <w:t>Вж. финансовата обосновка по-долу.</w:t>
      </w:r>
    </w:p>
    <w:p w:rsidR="0094761C" w:rsidRDefault="0094761C">
      <w:pPr>
        <w:rPr>
          <w:noProof/>
        </w:rPr>
        <w:sectPr w:rsidR="0094761C"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94761C" w:rsidRDefault="00771BEE">
      <w:pPr>
        <w:pStyle w:val="Rfrenceinterinstitutionnelle"/>
        <w:rPr>
          <w:noProof/>
        </w:rPr>
      </w:pPr>
      <w:r>
        <w:rPr>
          <w:noProof/>
        </w:rPr>
        <w:lastRenderedPageBreak/>
        <w:t>2015/0151 (NLE)</w:t>
      </w:r>
    </w:p>
    <w:p w:rsidR="0094761C" w:rsidRDefault="00771BEE">
      <w:pPr>
        <w:pStyle w:val="Statut"/>
        <w:rPr>
          <w:noProof/>
        </w:rPr>
      </w:pPr>
      <w:r>
        <w:rPr>
          <w:noProof/>
        </w:rPr>
        <w:t>Предложение за</w:t>
      </w:r>
    </w:p>
    <w:p w:rsidR="0094761C" w:rsidRDefault="00771BEE"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 w:rsidR="0094761C" w:rsidRDefault="00771BEE">
      <w:pPr>
        <w:pStyle w:val="Titreobjet"/>
        <w:rPr>
          <w:noProof/>
        </w:rPr>
      </w:pPr>
      <w:r>
        <w:rPr>
          <w:noProof/>
        </w:rPr>
        <w:t>за откриване и управление на автоно</w:t>
      </w:r>
      <w:r>
        <w:rPr>
          <w:noProof/>
        </w:rPr>
        <w:t>мните тарифни квоти на Съюза за определени продукти от риболов за периода 2016—2018 година</w:t>
      </w:r>
      <w:r>
        <w:rPr>
          <w:noProof/>
        </w:rPr>
        <w:br/>
      </w:r>
    </w:p>
    <w:p w:rsidR="0094761C" w:rsidRDefault="00771BEE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94761C" w:rsidRDefault="00771BEE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31 от него,</w:t>
      </w:r>
    </w:p>
    <w:p w:rsidR="0094761C" w:rsidRDefault="00771BEE">
      <w:pPr>
        <w:rPr>
          <w:noProof/>
        </w:rPr>
      </w:pPr>
      <w:r>
        <w:rPr>
          <w:noProof/>
        </w:rPr>
        <w:t xml:space="preserve">като взе предвид предложението на </w:t>
      </w:r>
      <w:r>
        <w:rPr>
          <w:noProof/>
        </w:rPr>
        <w:t>Европейската комисия</w:t>
      </w:r>
      <w:bookmarkStart w:id="0" w:name="_GoBack"/>
      <w:bookmarkEnd w:id="0"/>
      <w:r>
        <w:rPr>
          <w:noProof/>
        </w:rPr>
        <w:t>,</w:t>
      </w:r>
    </w:p>
    <w:p w:rsidR="0094761C" w:rsidRDefault="00771BEE">
      <w:pPr>
        <w:rPr>
          <w:noProof/>
        </w:rPr>
      </w:pPr>
      <w:r>
        <w:rPr>
          <w:noProof/>
        </w:rPr>
        <w:t>като има предвид, че:</w:t>
      </w:r>
    </w:p>
    <w:p w:rsidR="0094761C" w:rsidRDefault="00771BEE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Снабдяването на Съюза с определени продукти от риболов понастоящем зависи от вноса от трети държави. През последните 15 години Съюзът все по-повече зависи от внос за обезпечаване на потреблението си на проду</w:t>
      </w:r>
      <w:r>
        <w:rPr>
          <w:noProof/>
        </w:rPr>
        <w:t>кти от риболов. С цел да не се застраши производството на продукти от риболов в Съюза и да се осигури достатъчно снабдяване на неговата преработвателна промишленост, за редица продукти митата следва отчасти или изцяло да бъдат суспендирани в рамките на тар</w:t>
      </w:r>
      <w:r>
        <w:rPr>
          <w:noProof/>
        </w:rPr>
        <w:t>ифни квоти с подходящ обем. С цел да се осигурят равни условия за производителите в Съюза следва да се вземе предвид и чувствителността на отделните продукти от риболов на пазара на Съюза.</w:t>
      </w:r>
    </w:p>
    <w:p w:rsidR="0094761C" w:rsidRDefault="00771BEE">
      <w:pPr>
        <w:pStyle w:val="ManualConsidrant"/>
        <w:rPr>
          <w:bCs/>
          <w:noProof/>
        </w:rPr>
      </w:pPr>
      <w:r>
        <w:t>(2)</w:t>
      </w:r>
      <w:r>
        <w:tab/>
      </w:r>
      <w:r>
        <w:rPr>
          <w:noProof/>
        </w:rPr>
        <w:t>С Регламент (ЕО) № 1220/2012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са открити и се управля</w:t>
      </w:r>
      <w:r>
        <w:rPr>
          <w:noProof/>
        </w:rPr>
        <w:t>ват автономни тарифни квоти на Общността за определени продукти от риболов за периода 2013―2015 г. Споменатият регламент следва да бъде отменен и заменен с нов регламент с цел да се гарантират подходящи условия за снабдяване на промишлеността на Съюза за п</w:t>
      </w:r>
      <w:r>
        <w:rPr>
          <w:noProof/>
        </w:rPr>
        <w:t>ериода 2016―2018 г.</w:t>
      </w:r>
    </w:p>
    <w:p w:rsidR="0094761C" w:rsidRDefault="00771BEE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На всички вносители от Съюза следва да се осигури равнопоставен и непрекъснат достъп до предвидените в настоящия регламент тарифни квоти, а предвидените ставки за тарифните квоти да се прилагат без прекъсване до изчерпването им към </w:t>
      </w:r>
      <w:r>
        <w:rPr>
          <w:noProof/>
        </w:rPr>
        <w:t>всички операции по внос на съответните продукти в държавите членки.</w:t>
      </w:r>
    </w:p>
    <w:p w:rsidR="0094761C" w:rsidRDefault="00771BEE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 влизането в сила на всеобхватното икономическо и търговско споразумение между Европейския съюз и Канада ще се промени наличният преференциален достъп до пазара на Съюза за скариди от</w:t>
      </w:r>
      <w:r>
        <w:rPr>
          <w:noProof/>
        </w:rPr>
        <w:t xml:space="preserve"> вида </w:t>
      </w:r>
      <w:r>
        <w:rPr>
          <w:i/>
          <w:noProof/>
        </w:rPr>
        <w:t>Pandalus borealis</w:t>
      </w:r>
      <w:r>
        <w:rPr>
          <w:noProof/>
        </w:rPr>
        <w:t>, обхванати от тарифна квота на настоящия регламент. Поради това съответната квота следва да бъдат адаптирана, за да се гарантира едно и също ниво на преференциалните доставки на пазара на Съюза, както преди влизането в сила или врем</w:t>
      </w:r>
      <w:r>
        <w:rPr>
          <w:noProof/>
        </w:rPr>
        <w:t>енното прилагане на споразумението.</w:t>
      </w:r>
    </w:p>
    <w:p w:rsidR="0094761C" w:rsidRDefault="00771BEE">
      <w:pPr>
        <w:pStyle w:val="ManualConsidrant"/>
        <w:rPr>
          <w:i/>
          <w:noProof/>
        </w:rPr>
      </w:pPr>
      <w:r>
        <w:lastRenderedPageBreak/>
        <w:t>(5)</w:t>
      </w:r>
      <w:r>
        <w:tab/>
      </w:r>
      <w:r>
        <w:rPr>
          <w:noProof/>
        </w:rPr>
        <w:t>С цел да се гарантира ефективността на общото управление на тарифните квоти, държавите членки следва да имат право да изваждат от обема на тарифните квоти необходимите количества, които съответстват на действително и</w:t>
      </w:r>
      <w:r>
        <w:rPr>
          <w:noProof/>
        </w:rPr>
        <w:t>звършените от тях операции по внос. Тъй като този метод на управление изисква тясно сътрудничество между държавите членки и Комисията, последната следва да може да следи темповете на изчерпване на тарифните квоти и съответно да информира държавите членки.</w:t>
      </w:r>
    </w:p>
    <w:p w:rsidR="0094761C" w:rsidRDefault="00771BEE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Регламент (ЕИО) № 2454/93 на Комисията от 2 юли 1993 г. за определяне на разпоредби за прилагане на Регламент (ЕИО) № 2913/92 на Съвета за създаване на Митнически кодекс на Общността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предвижда система за управление на тарифните квоти, която следва хро</w:t>
      </w:r>
      <w:r>
        <w:rPr>
          <w:noProof/>
        </w:rPr>
        <w:t>нологичния ред на датите на приемане на декларациите за пускане в свободно обращение. Откритите с настоящия регламент тарифни квоти следва да бъдат управлявани от Комисията и държавите членки в съответствие с тази система,</w:t>
      </w:r>
    </w:p>
    <w:p w:rsidR="0094761C" w:rsidRDefault="00771BEE"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 w:rsidR="0094761C" w:rsidRDefault="00771BEE">
      <w:pPr>
        <w:pStyle w:val="Titrearticle"/>
        <w:rPr>
          <w:noProof/>
        </w:rPr>
      </w:pPr>
      <w:r>
        <w:rPr>
          <w:noProof/>
        </w:rPr>
        <w:t>Член 1</w:t>
      </w:r>
    </w:p>
    <w:p w:rsidR="0094761C" w:rsidRDefault="00771BEE">
      <w:pPr>
        <w:pStyle w:val="ManualNumPar1"/>
        <w:ind w:left="0" w:firstLine="0"/>
      </w:pPr>
      <w:r>
        <w:rPr>
          <w:noProof/>
        </w:rPr>
        <w:t>Митата за внос на продуктите, изброени в приложението, се намаляват или суспендират в рамките на тарифните квоти при ставките, сроковете и количествата, посочени в него.</w:t>
      </w:r>
    </w:p>
    <w:p w:rsidR="0094761C" w:rsidRDefault="00771BEE">
      <w:pPr>
        <w:pStyle w:val="Titrearticle"/>
        <w:rPr>
          <w:noProof/>
        </w:rPr>
      </w:pPr>
      <w:r>
        <w:rPr>
          <w:noProof/>
        </w:rPr>
        <w:t>Член 2</w:t>
      </w:r>
    </w:p>
    <w:p w:rsidR="0094761C" w:rsidRDefault="00771BEE">
      <w:pPr>
        <w:rPr>
          <w:noProof/>
        </w:rPr>
      </w:pPr>
      <w:r>
        <w:rPr>
          <w:noProof/>
        </w:rPr>
        <w:t xml:space="preserve">Тарифната квота, приложима под пореден номер 09.2794 за скариди от вида </w:t>
      </w:r>
      <w:r>
        <w:rPr>
          <w:i/>
          <w:noProof/>
        </w:rPr>
        <w:t>Pandalu</w:t>
      </w:r>
      <w:r>
        <w:rPr>
          <w:i/>
          <w:noProof/>
        </w:rPr>
        <w:t>s borealis</w:t>
      </w:r>
      <w:r>
        <w:rPr>
          <w:noProof/>
        </w:rPr>
        <w:t>, сварени и без черупки, за преработка, която в приложението е определена на 30 000 тона годишно, автоматично се намалява до 7000 тона годишно, считано от 1 януари на годината, следваща годината, в която всеобхватното икономическо и търговско спо</w:t>
      </w:r>
      <w:r>
        <w:rPr>
          <w:noProof/>
        </w:rPr>
        <w:t>разумение между Европейския съюз и Канада влиза в сила или започва временно да се прилага — в зависимост от това кое настъпи първо.</w:t>
      </w:r>
    </w:p>
    <w:p w:rsidR="0094761C" w:rsidRDefault="00771BEE">
      <w:pPr>
        <w:pStyle w:val="Titrearticle"/>
        <w:rPr>
          <w:noProof/>
        </w:rPr>
      </w:pPr>
      <w:r>
        <w:rPr>
          <w:noProof/>
        </w:rPr>
        <w:t xml:space="preserve">Член 3 </w:t>
      </w:r>
    </w:p>
    <w:p w:rsidR="0094761C" w:rsidRDefault="00771BEE">
      <w:pPr>
        <w:rPr>
          <w:noProof/>
        </w:rPr>
      </w:pPr>
      <w:r>
        <w:rPr>
          <w:noProof/>
        </w:rPr>
        <w:t>Посочените в член 1 тарифни квоти се управляват в съответствие с членове 308а, 308б и член 308в, параграф 1 от Регла</w:t>
      </w:r>
      <w:r>
        <w:rPr>
          <w:noProof/>
        </w:rPr>
        <w:t>мент (ЕИО) № 2454/93.</w:t>
      </w:r>
    </w:p>
    <w:p w:rsidR="0094761C" w:rsidRDefault="00771BEE">
      <w:pPr>
        <w:pStyle w:val="Titrearticle"/>
        <w:rPr>
          <w:noProof/>
        </w:rPr>
      </w:pPr>
      <w:r>
        <w:rPr>
          <w:noProof/>
        </w:rPr>
        <w:t>Член 4</w:t>
      </w:r>
    </w:p>
    <w:p w:rsidR="0094761C" w:rsidRDefault="00771BEE">
      <w:pPr>
        <w:rPr>
          <w:noProof/>
        </w:rPr>
      </w:pPr>
      <w:r>
        <w:rPr>
          <w:noProof/>
        </w:rPr>
        <w:t>Комисията и митническите органи на държавите членки работят в тясно сътрудничество, за да се гарантира правилното управление и контрол на прилагането на настоящия регламент.</w:t>
      </w:r>
    </w:p>
    <w:p w:rsidR="0094761C" w:rsidRDefault="00771BEE">
      <w:pPr>
        <w:pStyle w:val="Titrearticle"/>
        <w:rPr>
          <w:noProof/>
        </w:rPr>
      </w:pPr>
      <w:r>
        <w:rPr>
          <w:noProof/>
        </w:rPr>
        <w:t>Член 5</w:t>
      </w:r>
    </w:p>
    <w:p w:rsidR="0094761C" w:rsidRDefault="00771BEE">
      <w:pPr>
        <w:rPr>
          <w:noProof/>
        </w:rPr>
      </w:pPr>
      <w:r>
        <w:rPr>
          <w:noProof/>
        </w:rPr>
        <w:t>Настоящият регламент влиза в сила на двадесети</w:t>
      </w:r>
      <w:r>
        <w:rPr>
          <w:noProof/>
        </w:rPr>
        <w:t xml:space="preserve">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94761C" w:rsidRDefault="00771BEE">
      <w:pPr>
        <w:rPr>
          <w:noProof/>
        </w:rPr>
      </w:pPr>
      <w:r>
        <w:rPr>
          <w:noProof/>
        </w:rPr>
        <w:t>Той се прилага от 1 януари 2016 г. до 31 декември 2018 г.</w:t>
      </w:r>
    </w:p>
    <w:p w:rsidR="0094761C" w:rsidRDefault="00771BEE">
      <w:pPr>
        <w:pStyle w:val="Applicationdirecte"/>
        <w:rPr>
          <w:noProof/>
        </w:rPr>
      </w:pPr>
      <w:r>
        <w:rPr>
          <w:noProof/>
        </w:rPr>
        <w:lastRenderedPageBreak/>
        <w:t>Настоящият регламент е задължителен в своята цялост и се прилага пряко във всички държави членки.</w:t>
      </w:r>
    </w:p>
    <w:p w:rsidR="0094761C" w:rsidRDefault="00771BEE">
      <w:pPr>
        <w:pStyle w:val="Fait"/>
        <w:rPr>
          <w:noProof/>
        </w:rPr>
      </w:pPr>
      <w:r>
        <w:rPr>
          <w:noProof/>
        </w:rPr>
        <w:t xml:space="preserve">Съставено в Брюксел на </w:t>
      </w:r>
      <w:r>
        <w:rPr>
          <w:noProof/>
        </w:rPr>
        <w:t>[…] година.</w:t>
      </w:r>
    </w:p>
    <w:p w:rsidR="0094761C" w:rsidRDefault="00771BEE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94761C" w:rsidRDefault="00771BEE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94761C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EE" w:rsidRDefault="00771BEE">
      <w:pPr>
        <w:spacing w:before="0" w:after="0"/>
      </w:pPr>
      <w:r>
        <w:separator/>
      </w:r>
    </w:p>
  </w:endnote>
  <w:endnote w:type="continuationSeparator" w:id="0">
    <w:p w:rsidR="00771BEE" w:rsidRDefault="00771B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1C" w:rsidRDefault="00771BEE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1C" w:rsidRDefault="00771BEE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F2C98"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1C" w:rsidRDefault="00947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EE" w:rsidRDefault="00771BEE">
      <w:pPr>
        <w:spacing w:before="0" w:after="0"/>
      </w:pPr>
      <w:r>
        <w:separator/>
      </w:r>
    </w:p>
  </w:footnote>
  <w:footnote w:type="continuationSeparator" w:id="0">
    <w:p w:rsidR="00771BEE" w:rsidRDefault="00771BEE">
      <w:pPr>
        <w:spacing w:before="0" w:after="0"/>
      </w:pPr>
      <w:r>
        <w:continuationSeparator/>
      </w:r>
    </w:p>
  </w:footnote>
  <w:footnote w:id="1">
    <w:p w:rsidR="0094761C" w:rsidRDefault="00771BEE">
      <w:pPr>
        <w:pStyle w:val="FootnoteText"/>
      </w:pPr>
      <w:r>
        <w:rPr>
          <w:rStyle w:val="FootnoteReference"/>
        </w:rPr>
        <w:footnoteRef/>
      </w:r>
      <w:r>
        <w:tab/>
        <w:t>Ефективността и ефикасността се различават при продуктите, обхванати от регламента.</w:t>
      </w:r>
    </w:p>
  </w:footnote>
  <w:footnote w:id="2">
    <w:p w:rsidR="0094761C" w:rsidRDefault="00771BEE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Регламент (ЕС) № 1220/2012 на Съвета от 3 декември 2012 г. относно свързаните с търговията мерки за гарантиране на </w:t>
      </w:r>
      <w:r>
        <w:t xml:space="preserve">снабдяването на </w:t>
      </w:r>
      <w:proofErr w:type="spellStart"/>
      <w:r>
        <w:t>преработвателите</w:t>
      </w:r>
      <w:proofErr w:type="spellEnd"/>
      <w:r>
        <w:t xml:space="preserve"> от Съюза с определени рибни продукти през периода 2013—2015 г. и за изменение на регламенти (ЕО) № 104/2000 и (ЕС) № 1344/2011 (ОВ L 349, 19.12.2012 г., стр. 4).</w:t>
      </w:r>
    </w:p>
  </w:footnote>
  <w:footnote w:id="3">
    <w:p w:rsidR="0094761C" w:rsidRDefault="00771BEE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Регламент (ЕИО) № 2454/93 на Комисията от 2 юли 1993 г. за </w:t>
      </w:r>
      <w:r>
        <w:t>определяне на разпоредби за прилагане на Регламент (ЕИО) № 2913/92 на Съвета за създаване на Митнически кодекс на Общността (ОВ L 253, 11.10.1993 г., стр.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225B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5DC50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8C20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9C6C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50CDC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522AD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75EBE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88E6B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08 19:12:4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EF7FD0E752748FFB74BE4ECC274A838"/>
    <w:docVar w:name="LW_CROSSREFERENCE" w:val="&lt;UNUSED&gt;"/>
    <w:docVar w:name="LW_DocType" w:val="COM"/>
    <w:docVar w:name="LW_EMISSION" w:val="16.7.2015"/>
    <w:docVar w:name="LW_EMISSION_ISODATE" w:val="2015-07-16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51"/>
    <w:docVar w:name="LW_REF.II.NEW.CP_YEAR" w:val="2015"/>
    <w:docVar w:name="LW_REF.INST.NEW" w:val="COM"/>
    <w:docVar w:name="LW_REF.INST.NEW_ADOPTED" w:val="final"/>
    <w:docVar w:name="LW_REF.INST.NEW_TEXT" w:val="(2015) 344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6?\u1090?\u1082?\u1088?\u1080?\u1074?\u1072?\u1085?\u1077? \u1080? \u1091?\u1087?\u1088?\u1072?\u1074?\u1083?\u1077?\u1085?\u1080?\u1077? \u1085?\u1072? \u1072?\u1074?\u1090?\u1086?\u1085?\u1086?\u1084?\u1085?\u1080?\u1090?\u1077? \u1090?\u1072?\u1088?\u1080?\u1092?\u1085?\u1080? \u1082?\u1074?\u1086?\u1090?\u1080? \u1085?\u1072? \u1057?\u1098?\u1102?\u1079?\u1072? \u1079?\u1072? \u1086?\u1087?\u1088?\u1077?\u1076?\u1077?\u1083?\u1077?\u1085?\u1080? \u1087?\u1088?\u1086?\u1076?\u1091?\u1082?\u1090?\u1080? \u1086?\u1090? \u1088?\u1080?\u1073?\u1086?\u1083?\u1086?\u1074? \u1079?\u1072? \u1087?\u1077?\u1088?\u1080?\u1086?\u1076?\u1072? 2016\u8212?2018 \u1075?\u1086?\u1076?\u1080?\u1085?\u1072?_x000b_"/>
    <w:docVar w:name="LW_TYPE.DOC.CP" w:val="\u1056?\u1045?\u1043?\u1051?\u1040?\u1052?\u1045?\u1053?\u1058? \u1053?\u1040? \u1057?\u1066?\u1042?\u1045?\u1058?\u1040?"/>
  </w:docVars>
  <w:rsids>
    <w:rsidRoot w:val="0094761C"/>
    <w:rsid w:val="001F2C98"/>
    <w:rsid w:val="00771BEE"/>
    <w:rsid w:val="0094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19</cp:revision>
  <cp:lastPrinted>2015-05-05T07:33:00Z</cp:lastPrinted>
  <dcterms:created xsi:type="dcterms:W3CDTF">2015-07-02T07:49:00Z</dcterms:created>
  <dcterms:modified xsi:type="dcterms:W3CDTF">2015-07-09T08:16:00Z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SJ-016</vt:lpwstr>
  </property>
  <property fmtid="{D5CDD505-2E9C-101B-9397-08002B2CF9AE}" pid="10" name="DQCStatus">
    <vt:lpwstr>Yellow (DQC version 02)</vt:lpwstr>
  </property>
</Properties>
</file>