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FC" w:rsidRDefault="003E7F0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94B8A4FB774F1E8C62BEFE8E88CD1D" style="width:450.6pt;height:321pt">
            <v:imagedata r:id="rId9" o:title=""/>
          </v:shape>
        </w:pict>
      </w:r>
    </w:p>
    <w:bookmarkEnd w:id="0"/>
    <w:p w:rsidR="006A34FC" w:rsidRDefault="006A34FC">
      <w:pPr>
        <w:rPr>
          <w:noProof/>
        </w:rPr>
        <w:sectPr w:rsidR="006A34FC">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rsidR="006A34FC" w:rsidRDefault="006A34FC">
      <w:pPr>
        <w:spacing w:after="0"/>
        <w:rPr>
          <w:rFonts w:ascii="Times New Roman" w:eastAsia="Times New Roman" w:hAnsi="Times New Roman"/>
          <w:i/>
          <w:noProof/>
          <w:spacing w:val="-3"/>
          <w:sz w:val="28"/>
          <w:szCs w:val="28"/>
        </w:rPr>
      </w:pPr>
    </w:p>
    <w:p w:rsidR="006A34FC" w:rsidRDefault="003E7F02">
      <w:pPr>
        <w:spacing w:after="0"/>
        <w:rPr>
          <w:rFonts w:ascii="Times New Roman" w:hAnsi="Times New Roman"/>
          <w:noProof/>
          <w:sz w:val="24"/>
          <w:szCs w:val="24"/>
        </w:rPr>
      </w:pPr>
      <w:r>
        <w:rPr>
          <w:rFonts w:ascii="Times New Roman" w:hAnsi="Times New Roman"/>
          <w:noProof/>
          <w:sz w:val="24"/>
        </w:rPr>
        <w:t>СЪДЪРЖАНИЕ</w:t>
      </w:r>
    </w:p>
    <w:p w:rsidR="006A34FC" w:rsidRDefault="006A34FC">
      <w:pPr>
        <w:spacing w:after="0"/>
        <w:rPr>
          <w:rFonts w:ascii="Times New Roman" w:hAnsi="Times New Roman"/>
          <w:noProof/>
          <w:sz w:val="24"/>
          <w:szCs w:val="24"/>
        </w:rPr>
      </w:pPr>
    </w:p>
    <w:p w:rsidR="006A34FC" w:rsidRDefault="003E7F02">
      <w:pPr>
        <w:pStyle w:val="TOC1"/>
        <w:rPr>
          <w:rFonts w:ascii="Calibri" w:hAnsi="Calibri" w:cs="Cordia New"/>
          <w:noProof/>
          <w:sz w:val="22"/>
          <w:szCs w:val="28"/>
          <w:lang w:val="en-GB" w:eastAsia="en-GB" w:bidi="th-TH"/>
        </w:rPr>
      </w:pPr>
      <w:r>
        <w:rPr>
          <w:noProof/>
        </w:rPr>
        <w:fldChar w:fldCharType="begin"/>
      </w:r>
      <w:r>
        <w:rPr>
          <w:noProof/>
        </w:rPr>
        <w:instrText xml:space="preserve"> TOC \o "1-1" \h \z \u </w:instrText>
      </w:r>
      <w:r>
        <w:rPr>
          <w:noProof/>
        </w:rPr>
        <w:fldChar w:fldCharType="separate"/>
      </w:r>
      <w:hyperlink w:anchor="_Toc424902419" w:history="1">
        <w:r>
          <w:rPr>
            <w:rStyle w:val="Hyperlink"/>
            <w:noProof/>
          </w:rPr>
          <w:t>1.</w:t>
        </w:r>
        <w:r>
          <w:rPr>
            <w:rFonts w:ascii="Calibri" w:hAnsi="Calibri" w:cs="Cordia New"/>
            <w:noProof/>
            <w:sz w:val="22"/>
            <w:szCs w:val="28"/>
            <w:lang w:val="en-GB" w:eastAsia="en-GB" w:bidi="th-TH"/>
          </w:rPr>
          <w:tab/>
        </w:r>
        <w:r>
          <w:rPr>
            <w:rStyle w:val="Hyperlink"/>
            <w:noProof/>
          </w:rPr>
          <w:t>Въведение</w:t>
        </w:r>
        <w:r>
          <w:rPr>
            <w:noProof/>
            <w:webHidden/>
          </w:rPr>
          <w:tab/>
        </w:r>
        <w:r>
          <w:rPr>
            <w:noProof/>
            <w:webHidden/>
          </w:rPr>
          <w:fldChar w:fldCharType="begin"/>
        </w:r>
        <w:r>
          <w:rPr>
            <w:noProof/>
            <w:webHidden/>
          </w:rPr>
          <w:instrText xml:space="preserve"> PAGEREF _Toc424902419 \h </w:instrText>
        </w:r>
        <w:r>
          <w:rPr>
            <w:noProof/>
            <w:webHidden/>
          </w:rPr>
        </w:r>
        <w:r>
          <w:rPr>
            <w:noProof/>
            <w:webHidden/>
          </w:rPr>
          <w:fldChar w:fldCharType="separate"/>
        </w:r>
        <w:r>
          <w:rPr>
            <w:noProof/>
            <w:webHidden/>
          </w:rPr>
          <w:t>3</w:t>
        </w:r>
        <w:r>
          <w:rPr>
            <w:noProof/>
            <w:webHidden/>
          </w:rPr>
          <w:fldChar w:fldCharType="end"/>
        </w:r>
      </w:hyperlink>
    </w:p>
    <w:p w:rsidR="006A34FC" w:rsidRDefault="003E7F02">
      <w:pPr>
        <w:pStyle w:val="TOC1"/>
        <w:rPr>
          <w:rFonts w:ascii="Calibri" w:hAnsi="Calibri" w:cs="Cordia New"/>
          <w:noProof/>
          <w:sz w:val="22"/>
          <w:szCs w:val="28"/>
          <w:lang w:val="en-GB" w:eastAsia="en-GB" w:bidi="th-TH"/>
        </w:rPr>
      </w:pPr>
      <w:hyperlink w:anchor="_Toc424902420" w:history="1">
        <w:r>
          <w:rPr>
            <w:rStyle w:val="Hyperlink"/>
            <w:noProof/>
          </w:rPr>
          <w:t>2.</w:t>
        </w:r>
        <w:r>
          <w:rPr>
            <w:rFonts w:ascii="Calibri" w:hAnsi="Calibri" w:cs="Cordia New"/>
            <w:noProof/>
            <w:sz w:val="22"/>
            <w:szCs w:val="28"/>
            <w:lang w:val="en-GB" w:eastAsia="en-GB" w:bidi="th-TH"/>
          </w:rPr>
          <w:tab/>
        </w:r>
        <w:r>
          <w:rPr>
            <w:rStyle w:val="Hyperlink"/>
            <w:noProof/>
          </w:rPr>
          <w:t>Целеви приходи, предназначени за ЕФГЗ</w:t>
        </w:r>
        <w:r>
          <w:rPr>
            <w:noProof/>
            <w:webHidden/>
          </w:rPr>
          <w:tab/>
        </w:r>
        <w:r>
          <w:rPr>
            <w:noProof/>
            <w:webHidden/>
          </w:rPr>
          <w:fldChar w:fldCharType="begin"/>
        </w:r>
        <w:r>
          <w:rPr>
            <w:noProof/>
            <w:webHidden/>
          </w:rPr>
          <w:instrText xml:space="preserve"> PAGEREF _Toc424902420 \h </w:instrText>
        </w:r>
        <w:r>
          <w:rPr>
            <w:noProof/>
            <w:webHidden/>
          </w:rPr>
        </w:r>
        <w:r>
          <w:rPr>
            <w:noProof/>
            <w:webHidden/>
          </w:rPr>
          <w:fldChar w:fldCharType="separate"/>
        </w:r>
        <w:r>
          <w:rPr>
            <w:noProof/>
            <w:webHidden/>
          </w:rPr>
          <w:t>3</w:t>
        </w:r>
        <w:r>
          <w:rPr>
            <w:noProof/>
            <w:webHidden/>
          </w:rPr>
          <w:fldChar w:fldCharType="end"/>
        </w:r>
      </w:hyperlink>
    </w:p>
    <w:p w:rsidR="006A34FC" w:rsidRDefault="003E7F02">
      <w:pPr>
        <w:pStyle w:val="TOC1"/>
        <w:rPr>
          <w:rFonts w:ascii="Calibri" w:hAnsi="Calibri" w:cs="Cordia New"/>
          <w:noProof/>
          <w:sz w:val="22"/>
          <w:szCs w:val="28"/>
          <w:lang w:val="en-GB" w:eastAsia="en-GB" w:bidi="th-TH"/>
        </w:rPr>
      </w:pPr>
      <w:hyperlink w:anchor="_Toc424902421" w:history="1">
        <w:r>
          <w:rPr>
            <w:rStyle w:val="Hyperlink"/>
            <w:noProof/>
          </w:rPr>
          <w:t>3.</w:t>
        </w:r>
        <w:r>
          <w:rPr>
            <w:rFonts w:ascii="Calibri" w:hAnsi="Calibri" w:cs="Cordia New"/>
            <w:noProof/>
            <w:sz w:val="22"/>
            <w:szCs w:val="28"/>
            <w:lang w:val="en-GB" w:eastAsia="en-GB" w:bidi="th-TH"/>
          </w:rPr>
          <w:tab/>
        </w:r>
        <w:r>
          <w:rPr>
            <w:rStyle w:val="Hyperlink"/>
            <w:noProof/>
          </w:rPr>
          <w:t>Коментар относно предварителните данни за изпълнението на бюджета на ЕФГЗ за 2015 г.</w:t>
        </w:r>
        <w:r>
          <w:rPr>
            <w:noProof/>
            <w:webHidden/>
          </w:rPr>
          <w:tab/>
        </w:r>
        <w:r>
          <w:rPr>
            <w:noProof/>
            <w:webHidden/>
          </w:rPr>
          <w:fldChar w:fldCharType="begin"/>
        </w:r>
        <w:r>
          <w:rPr>
            <w:noProof/>
            <w:webHidden/>
          </w:rPr>
          <w:instrText xml:space="preserve"> PAGEREF _Toc424902421 \h </w:instrText>
        </w:r>
        <w:r>
          <w:rPr>
            <w:noProof/>
            <w:webHidden/>
          </w:rPr>
        </w:r>
        <w:r>
          <w:rPr>
            <w:noProof/>
            <w:webHidden/>
          </w:rPr>
          <w:fldChar w:fldCharType="separate"/>
        </w:r>
        <w:r>
          <w:rPr>
            <w:noProof/>
            <w:webHidden/>
          </w:rPr>
          <w:t>4</w:t>
        </w:r>
        <w:r>
          <w:rPr>
            <w:noProof/>
            <w:webHidden/>
          </w:rPr>
          <w:fldChar w:fldCharType="end"/>
        </w:r>
      </w:hyperlink>
    </w:p>
    <w:p w:rsidR="006A34FC" w:rsidRDefault="003E7F02">
      <w:pPr>
        <w:pStyle w:val="TOC1"/>
        <w:rPr>
          <w:rFonts w:ascii="Calibri" w:hAnsi="Calibri" w:cs="Cordia New"/>
          <w:noProof/>
          <w:sz w:val="22"/>
          <w:szCs w:val="28"/>
          <w:lang w:val="en-GB" w:eastAsia="en-GB" w:bidi="th-TH"/>
        </w:rPr>
      </w:pPr>
      <w:hyperlink w:anchor="_Toc424902422" w:history="1">
        <w:r>
          <w:rPr>
            <w:rStyle w:val="Hyperlink"/>
            <w:noProof/>
          </w:rPr>
          <w:t>4.</w:t>
        </w:r>
        <w:r>
          <w:rPr>
            <w:rFonts w:ascii="Calibri" w:hAnsi="Calibri" w:cs="Cordia New"/>
            <w:noProof/>
            <w:sz w:val="22"/>
            <w:szCs w:val="28"/>
            <w:lang w:val="en-GB" w:eastAsia="en-GB" w:bidi="th-TH"/>
          </w:rPr>
          <w:tab/>
        </w:r>
        <w:r>
          <w:rPr>
            <w:rStyle w:val="Hyperlink"/>
            <w:noProof/>
          </w:rPr>
          <w:t>Изпълнение на целевите приходи, предназначени за ЕФГЗ</w:t>
        </w:r>
        <w:r>
          <w:rPr>
            <w:noProof/>
            <w:webHidden/>
          </w:rPr>
          <w:tab/>
        </w:r>
        <w:r>
          <w:rPr>
            <w:noProof/>
            <w:webHidden/>
          </w:rPr>
          <w:fldChar w:fldCharType="begin"/>
        </w:r>
        <w:r>
          <w:rPr>
            <w:noProof/>
            <w:webHidden/>
          </w:rPr>
          <w:instrText xml:space="preserve"> PAGEREF _Toc424902422 \h </w:instrText>
        </w:r>
        <w:r>
          <w:rPr>
            <w:noProof/>
            <w:webHidden/>
          </w:rPr>
        </w:r>
        <w:r>
          <w:rPr>
            <w:noProof/>
            <w:webHidden/>
          </w:rPr>
          <w:fldChar w:fldCharType="separate"/>
        </w:r>
        <w:r>
          <w:rPr>
            <w:noProof/>
            <w:webHidden/>
          </w:rPr>
          <w:t>7</w:t>
        </w:r>
        <w:r>
          <w:rPr>
            <w:noProof/>
            <w:webHidden/>
          </w:rPr>
          <w:fldChar w:fldCharType="end"/>
        </w:r>
      </w:hyperlink>
    </w:p>
    <w:p w:rsidR="006A34FC" w:rsidRDefault="003E7F02">
      <w:pPr>
        <w:pStyle w:val="TOC1"/>
        <w:rPr>
          <w:rFonts w:ascii="Calibri" w:hAnsi="Calibri" w:cs="Cordia New"/>
          <w:noProof/>
          <w:sz w:val="22"/>
          <w:szCs w:val="28"/>
          <w:lang w:val="en-GB" w:eastAsia="en-GB" w:bidi="th-TH"/>
        </w:rPr>
      </w:pPr>
      <w:hyperlink w:anchor="_Toc424902423" w:history="1">
        <w:r>
          <w:rPr>
            <w:rStyle w:val="Hyperlink"/>
            <w:noProof/>
          </w:rPr>
          <w:t>5.</w:t>
        </w:r>
        <w:r>
          <w:rPr>
            <w:rFonts w:ascii="Calibri" w:hAnsi="Calibri" w:cs="Cordia New"/>
            <w:noProof/>
            <w:sz w:val="22"/>
            <w:szCs w:val="28"/>
            <w:lang w:val="en-GB" w:eastAsia="en-GB" w:bidi="th-TH"/>
          </w:rPr>
          <w:tab/>
        </w:r>
        <w:r>
          <w:rPr>
            <w:rStyle w:val="Hyperlink"/>
            <w:noProof/>
          </w:rPr>
          <w:t>Заключени</w:t>
        </w:r>
        <w:r>
          <w:rPr>
            <w:rStyle w:val="Hyperlink"/>
            <w:noProof/>
          </w:rPr>
          <w:t>я</w:t>
        </w:r>
        <w:r>
          <w:rPr>
            <w:noProof/>
            <w:webHidden/>
          </w:rPr>
          <w:tab/>
        </w:r>
        <w:r>
          <w:rPr>
            <w:noProof/>
            <w:webHidden/>
          </w:rPr>
          <w:fldChar w:fldCharType="begin"/>
        </w:r>
        <w:r>
          <w:rPr>
            <w:noProof/>
            <w:webHidden/>
          </w:rPr>
          <w:instrText xml:space="preserve"> PAGEREF _Toc424902423 \h </w:instrText>
        </w:r>
        <w:r>
          <w:rPr>
            <w:noProof/>
            <w:webHidden/>
          </w:rPr>
        </w:r>
        <w:r>
          <w:rPr>
            <w:noProof/>
            <w:webHidden/>
          </w:rPr>
          <w:fldChar w:fldCharType="separate"/>
        </w:r>
        <w:r>
          <w:rPr>
            <w:noProof/>
            <w:webHidden/>
          </w:rPr>
          <w:t>7</w:t>
        </w:r>
        <w:r>
          <w:rPr>
            <w:noProof/>
            <w:webHidden/>
          </w:rPr>
          <w:fldChar w:fldCharType="end"/>
        </w:r>
      </w:hyperlink>
    </w:p>
    <w:p w:rsidR="006A34FC" w:rsidRDefault="003E7F02">
      <w:pPr>
        <w:pStyle w:val="TOC1"/>
        <w:rPr>
          <w:rFonts w:ascii="Calibri" w:hAnsi="Calibri"/>
          <w:noProof/>
          <w:sz w:val="22"/>
          <w:szCs w:val="22"/>
        </w:rPr>
      </w:pPr>
      <w:r>
        <w:rPr>
          <w:noProof/>
        </w:rPr>
        <w:fldChar w:fldCharType="end"/>
      </w:r>
    </w:p>
    <w:tbl>
      <w:tblPr>
        <w:tblW w:w="0" w:type="auto"/>
        <w:tblLook w:val="01E0" w:firstRow="1" w:lastRow="1" w:firstColumn="1" w:lastColumn="1" w:noHBand="0" w:noVBand="0"/>
      </w:tblPr>
      <w:tblGrid>
        <w:gridCol w:w="2111"/>
        <w:gridCol w:w="7154"/>
      </w:tblGrid>
      <w:tr w:rsidR="006A34FC">
        <w:tc>
          <w:tcPr>
            <w:tcW w:w="1908" w:type="dxa"/>
            <w:hideMark/>
          </w:tcPr>
          <w:p w:rsidR="006A34FC" w:rsidRDefault="003E7F02">
            <w:pPr>
              <w:spacing w:before="120" w:after="120"/>
              <w:ind w:right="612"/>
              <w:rPr>
                <w:rFonts w:ascii="Times New Roman" w:hAnsi="Times New Roman"/>
                <w:smallCaps/>
                <w:noProof/>
                <w:sz w:val="24"/>
                <w:szCs w:val="24"/>
              </w:rPr>
            </w:pPr>
            <w:r>
              <w:rPr>
                <w:rFonts w:ascii="Times New Roman" w:hAnsi="Times New Roman"/>
                <w:smallCaps/>
                <w:noProof/>
              </w:rPr>
              <w:t>Приложение 1:</w:t>
            </w:r>
          </w:p>
        </w:tc>
        <w:tc>
          <w:tcPr>
            <w:tcW w:w="7320" w:type="dxa"/>
            <w:hideMark/>
          </w:tcPr>
          <w:p w:rsidR="006A34FC" w:rsidRDefault="003E7F02">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31.5.2015 г.</w:t>
            </w:r>
          </w:p>
        </w:tc>
      </w:tr>
    </w:tbl>
    <w:p w:rsidR="006A34FC" w:rsidRDefault="006A34FC">
      <w:pPr>
        <w:spacing w:after="0"/>
        <w:rPr>
          <w:noProof/>
        </w:rPr>
      </w:pPr>
    </w:p>
    <w:p w:rsidR="006A34FC" w:rsidRDefault="006A34FC">
      <w:pPr>
        <w:spacing w:after="0"/>
        <w:rPr>
          <w:noProof/>
        </w:rPr>
      </w:pPr>
    </w:p>
    <w:p w:rsidR="006A34FC" w:rsidRDefault="006A34FC">
      <w:pPr>
        <w:spacing w:after="0"/>
        <w:rPr>
          <w:noProof/>
        </w:rPr>
        <w:sectPr w:rsidR="006A34FC">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rsidR="006A34FC" w:rsidRDefault="003E7F02">
      <w:pPr>
        <w:pStyle w:val="Heading1"/>
        <w:rPr>
          <w:noProof/>
        </w:rPr>
      </w:pPr>
      <w:bookmarkStart w:id="1" w:name="_Toc416964431"/>
      <w:bookmarkStart w:id="2" w:name="_Toc424902419"/>
      <w:bookmarkStart w:id="3" w:name="_Toc244054013"/>
      <w:r>
        <w:rPr>
          <w:noProof/>
        </w:rPr>
        <w:lastRenderedPageBreak/>
        <w:t>Въведение</w:t>
      </w:r>
      <w:bookmarkEnd w:id="1"/>
      <w:bookmarkEnd w:id="2"/>
    </w:p>
    <w:p w:rsidR="006A34FC" w:rsidRDefault="003E7F02">
      <w:pPr>
        <w:pStyle w:val="Text1"/>
        <w:rPr>
          <w:noProof/>
        </w:rPr>
      </w:pPr>
      <w:r>
        <w:rPr>
          <w:noProof/>
        </w:rPr>
        <w:t xml:space="preserve">В настоящия доклад е представена актуализация на предварителните данни за изпълнението на бюджета по линия на Европейския фонд за гарантиране на земеделието (ЕФГЗ) за 2015 г. По-специално в приложение 1 е представено сравнение </w:t>
      </w:r>
      <w:r>
        <w:rPr>
          <w:noProof/>
        </w:rPr>
        <w:t>между реалното равнище на изпълнението на бюджета на ЕФГЗ за периода от 16 октомври 2014 г. до 31 май 2015 г. и прогнозния профил на разходите. Този профил е резултат от прилагането на показателя към равнището на бюджетните кредити. Показателят е установен</w:t>
      </w:r>
      <w:r>
        <w:rPr>
          <w:noProof/>
        </w:rPr>
        <w:t xml:space="preserve"> въз основа на разпоредбите на член 28 от Регламент (ЕС) № 1306/2013 относно финансирането, управлението и мониторинга на общата селскостопанска политика</w:t>
      </w:r>
      <w:r>
        <w:rPr>
          <w:rStyle w:val="FootnoteReference"/>
          <w:noProof/>
        </w:rPr>
        <w:footnoteReference w:id="1"/>
      </w:r>
      <w:r>
        <w:rPr>
          <w:noProof/>
        </w:rPr>
        <w:t xml:space="preserve">. </w:t>
      </w:r>
    </w:p>
    <w:p w:rsidR="006A34FC" w:rsidRDefault="003E7F02">
      <w:pPr>
        <w:pStyle w:val="Heading1"/>
        <w:rPr>
          <w:noProof/>
        </w:rPr>
      </w:pPr>
      <w:bookmarkStart w:id="4" w:name="_Toc416964432"/>
      <w:bookmarkStart w:id="5" w:name="_Toc424902420"/>
      <w:r>
        <w:rPr>
          <w:noProof/>
        </w:rPr>
        <w:t>Целеви приходи, предназначени за ЕФГЗ</w:t>
      </w:r>
      <w:bookmarkEnd w:id="3"/>
      <w:bookmarkEnd w:id="4"/>
      <w:bookmarkEnd w:id="5"/>
    </w:p>
    <w:p w:rsidR="006A34FC" w:rsidRDefault="003E7F02">
      <w:pPr>
        <w:pStyle w:val="Text1"/>
        <w:rPr>
          <w:noProof/>
        </w:rPr>
      </w:pPr>
      <w:r>
        <w:rPr>
          <w:noProof/>
        </w:rPr>
        <w:t>Съгласно член 43 от Регламент (ЕС) № 1306/2013 приходите, пол</w:t>
      </w:r>
      <w:r>
        <w:rPr>
          <w:noProof/>
        </w:rPr>
        <w:t>учени от финансови корекции по силата на решения за счетоводно уравняване и за уравняване по съответствие, от възстановявания вследствие на нередности, както и от налога в сектора на млякото, се считат за целеви приходи, предназначени за финансиране на раз</w:t>
      </w:r>
      <w:r>
        <w:rPr>
          <w:noProof/>
        </w:rPr>
        <w:t>ходите по линия на ЕФГЗ.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 бюджетна година</w:t>
      </w:r>
      <w:r>
        <w:rPr>
          <w:rStyle w:val="FootnoteReference"/>
          <w:noProof/>
        </w:rPr>
        <w:footnoteReference w:id="2"/>
      </w:r>
      <w:r>
        <w:rPr>
          <w:noProof/>
        </w:rPr>
        <w:t>.</w:t>
      </w:r>
    </w:p>
    <w:p w:rsidR="006A34FC" w:rsidRDefault="003E7F02">
      <w:pPr>
        <w:pStyle w:val="Text1"/>
        <w:spacing w:after="0"/>
        <w:ind w:left="851"/>
        <w:rPr>
          <w:noProof/>
        </w:rPr>
      </w:pPr>
      <w:r>
        <w:rPr>
          <w:noProof/>
        </w:rPr>
        <w:t xml:space="preserve">Бюджетът на ЕФГЗ за 2015 г., приет от бюджетния орган, включваше както: </w:t>
      </w:r>
    </w:p>
    <w:p w:rsidR="006A34FC" w:rsidRDefault="003E7F02">
      <w:pPr>
        <w:pStyle w:val="Tiret1"/>
        <w:ind w:left="1418"/>
        <w:rPr>
          <w:noProof/>
        </w:rPr>
      </w:pPr>
      <w:r>
        <w:rPr>
          <w:noProof/>
        </w:rPr>
        <w:t xml:space="preserve">разчетите на Комисията относно нуждите от финансиране на очакваните разходи в областта на пазарните мерки и директните плащания, така и </w:t>
      </w:r>
    </w:p>
    <w:p w:rsidR="006A34FC" w:rsidRDefault="003E7F02">
      <w:pPr>
        <w:pStyle w:val="Tiret1"/>
        <w:ind w:left="1418"/>
        <w:rPr>
          <w:noProof/>
        </w:rPr>
      </w:pPr>
      <w:r>
        <w:rPr>
          <w:noProof/>
        </w:rPr>
        <w:t>разчетите относно целевите приходи, които се о</w:t>
      </w:r>
      <w:r>
        <w:rPr>
          <w:noProof/>
        </w:rPr>
        <w:t xml:space="preserve">чакваше да бъдат събрани през бюджетната 2015 година, и целевите приходи, пренесени от бюджетната 2014 година. </w:t>
      </w:r>
    </w:p>
    <w:p w:rsidR="006A34FC" w:rsidRDefault="003E7F02">
      <w:pPr>
        <w:pStyle w:val="Text1"/>
        <w:rPr>
          <w:noProof/>
        </w:rPr>
      </w:pPr>
      <w:r>
        <w:rPr>
          <w:noProof/>
        </w:rPr>
        <w:t xml:space="preserve">Към момента на изготвянето на бюджета за 2015 г. целевите приходи се изчисляваха от Комисията на 1768,6 млн. евро. Тази сума включваше: </w:t>
      </w:r>
    </w:p>
    <w:p w:rsidR="006A34FC" w:rsidRDefault="003E7F02">
      <w:pPr>
        <w:pStyle w:val="Tiret1"/>
        <w:ind w:left="1418"/>
        <w:rPr>
          <w:noProof/>
        </w:rPr>
      </w:pPr>
      <w:r>
        <w:rPr>
          <w:noProof/>
        </w:rPr>
        <w:t>целевит</w:t>
      </w:r>
      <w:r>
        <w:rPr>
          <w:noProof/>
        </w:rPr>
        <w:t>е приходи, които се очакваше да бъдат генерирани в течение на бюджетната 2015 година, възлизащи според разчетите на 1438,6 млн. евро, т.е.: 868,6 млн. евро от корекции във връзка с уравняването по съответствие, 165 млн. евро от възстановявания вследствие н</w:t>
      </w:r>
      <w:r>
        <w:rPr>
          <w:noProof/>
        </w:rPr>
        <w:t>а нередности и 405 млн. евро от постъпления от налога в сектора на млякото.</w:t>
      </w:r>
    </w:p>
    <w:p w:rsidR="006A34FC" w:rsidRDefault="003E7F02">
      <w:pPr>
        <w:pStyle w:val="Tiret1"/>
        <w:ind w:left="1418"/>
        <w:rPr>
          <w:noProof/>
        </w:rPr>
      </w:pPr>
      <w:r>
        <w:rPr>
          <w:noProof/>
        </w:rPr>
        <w:t>сумата на целевите приходи, която се очакваше да бъде пренесена от бюджетната 2014 г. в бюджетната 2015 година, възлизаща според разчетите на 330 млн. евро.</w:t>
      </w:r>
    </w:p>
    <w:p w:rsidR="006A34FC" w:rsidRDefault="003E7F02">
      <w:pPr>
        <w:pStyle w:val="Text1"/>
        <w:rPr>
          <w:noProof/>
        </w:rPr>
      </w:pPr>
      <w:r>
        <w:rPr>
          <w:noProof/>
        </w:rPr>
        <w:t>В бюджета за 2015 г. Ко</w:t>
      </w:r>
      <w:r>
        <w:rPr>
          <w:noProof/>
        </w:rPr>
        <w:t xml:space="preserve">мисията разпредели тези целеви приходи, възлизащи според първоначалните разчети на 1768,6 млн. евро, за бюджетните позиции по следните статии: </w:t>
      </w:r>
    </w:p>
    <w:p w:rsidR="006A34FC" w:rsidRDefault="003E7F02">
      <w:pPr>
        <w:pStyle w:val="Tiret1"/>
        <w:rPr>
          <w:noProof/>
        </w:rPr>
      </w:pPr>
      <w:r>
        <w:rPr>
          <w:noProof/>
        </w:rPr>
        <w:t>05 02 08 – Плодове и зеленчуци: 469,3 млн. евро</w:t>
      </w:r>
      <w:r>
        <w:rPr>
          <w:rStyle w:val="FootnoteReference"/>
          <w:noProof/>
        </w:rPr>
        <w:footnoteReference w:id="3"/>
      </w:r>
      <w:r>
        <w:rPr>
          <w:noProof/>
        </w:rPr>
        <w:t xml:space="preserve">, </w:t>
      </w:r>
    </w:p>
    <w:p w:rsidR="006A34FC" w:rsidRDefault="003E7F02">
      <w:pPr>
        <w:pStyle w:val="Tiret1"/>
        <w:rPr>
          <w:noProof/>
        </w:rPr>
      </w:pPr>
      <w:r>
        <w:rPr>
          <w:noProof/>
        </w:rPr>
        <w:t>05 02 12 – Мляко и млечни продукти: 54,3 млн. евро</w:t>
      </w:r>
      <w:r>
        <w:rPr>
          <w:rStyle w:val="FootnoteReference"/>
          <w:noProof/>
        </w:rPr>
        <w:footnoteReference w:id="4"/>
      </w:r>
      <w:r>
        <w:rPr>
          <w:noProof/>
        </w:rPr>
        <w:t xml:space="preserve">, </w:t>
      </w:r>
    </w:p>
    <w:p w:rsidR="006A34FC" w:rsidRDefault="003E7F02">
      <w:pPr>
        <w:pStyle w:val="Tiret1"/>
        <w:rPr>
          <w:noProof/>
        </w:rPr>
      </w:pPr>
      <w:r>
        <w:rPr>
          <w:noProof/>
        </w:rPr>
        <w:t>05 03 0</w:t>
      </w:r>
      <w:r>
        <w:rPr>
          <w:noProof/>
        </w:rPr>
        <w:t>1 – Отделени от производството директни плащания: 1245 млн. евро</w:t>
      </w:r>
      <w:r>
        <w:rPr>
          <w:rStyle w:val="FootnoteReference"/>
          <w:noProof/>
        </w:rPr>
        <w:footnoteReference w:id="5"/>
      </w:r>
      <w:r>
        <w:rPr>
          <w:noProof/>
        </w:rPr>
        <w:t xml:space="preserve">. </w:t>
      </w:r>
    </w:p>
    <w:p w:rsidR="006A34FC" w:rsidRDefault="003E7F02">
      <w:pPr>
        <w:pStyle w:val="Text1"/>
        <w:rPr>
          <w:noProof/>
        </w:rPr>
      </w:pPr>
      <w:r>
        <w:rPr>
          <w:noProof/>
        </w:rPr>
        <w:t xml:space="preserve">За тези схеми бюджетният орган в крайна сметка одобри бюджетни кредити съгласно предложението на Комисията. Сумата на одобрените кредити и на гореспоменатите целеви приходи съответства на общите разчети за нуждите. </w:t>
      </w:r>
    </w:p>
    <w:p w:rsidR="006A34FC" w:rsidRDefault="003E7F02">
      <w:pPr>
        <w:pStyle w:val="Text1"/>
        <w:rPr>
          <w:noProof/>
        </w:rPr>
      </w:pPr>
      <w:r>
        <w:rPr>
          <w:noProof/>
        </w:rPr>
        <w:t>В приложение 1 данните за бюджетните кре</w:t>
      </w:r>
      <w:r>
        <w:rPr>
          <w:noProof/>
        </w:rPr>
        <w:t>дити по статиите за плодовете и зеленчуците, за млякото и млечните продукти и за отделените от производството директни плащания се отнасят за одобрените кредити по тези статии, възлизащи съответно на 836,2 млн. евро, 77,1 млн. евро и 37 397 млн. евро, като</w:t>
      </w:r>
      <w:r>
        <w:rPr>
          <w:noProof/>
        </w:rPr>
        <w:t xml:space="preserve"> не са взети предвид гореспоменатите целеви приходи. Заедно с разпределените за тези статии целеви приходи общият размер на бюджетните кредити, предвидени в бюджета за 2015 г., възлиза съответно на 1305,5 млн. евро за плодовете и зеленчуците, 131,4 млн. ев</w:t>
      </w:r>
      <w:r>
        <w:rPr>
          <w:noProof/>
        </w:rPr>
        <w:t xml:space="preserve">ро за млякото и млечните продукти и 38 642 млн. евро за отделените от производството директни плащания. </w:t>
      </w:r>
    </w:p>
    <w:p w:rsidR="006A34FC" w:rsidRDefault="003E7F02">
      <w:pPr>
        <w:pStyle w:val="Heading1"/>
        <w:rPr>
          <w:noProof/>
        </w:rPr>
      </w:pPr>
      <w:bookmarkStart w:id="6" w:name="_Toc244054015"/>
      <w:bookmarkStart w:id="7" w:name="_Toc416964433"/>
      <w:bookmarkStart w:id="8" w:name="_Toc424902421"/>
      <w:r>
        <w:rPr>
          <w:noProof/>
        </w:rPr>
        <w:t>Коментар относно предварителните данни за изпълнението на бюджета на ЕФГЗ за 2015 г.</w:t>
      </w:r>
      <w:bookmarkEnd w:id="6"/>
      <w:bookmarkEnd w:id="7"/>
      <w:bookmarkEnd w:id="8"/>
    </w:p>
    <w:p w:rsidR="006A34FC" w:rsidRDefault="003E7F02">
      <w:pPr>
        <w:pStyle w:val="Text1"/>
        <w:rPr>
          <w:noProof/>
        </w:rPr>
      </w:pPr>
      <w:r>
        <w:rPr>
          <w:noProof/>
        </w:rPr>
        <w:t>Предварителните данни за изпълнението на бюджета за периода от 16 </w:t>
      </w:r>
      <w:r>
        <w:rPr>
          <w:noProof/>
        </w:rPr>
        <w:t>октомври 2014 г. до 31 май 2015 г., представени в приложение 1, са сравнени с профила на разходите въз основа на показателя, установен в съответствие с член 28 от Регламент (ЕС) № 1306/2013. По-долу следва кратък коментар по някои бюджетни статии, по които</w:t>
      </w:r>
      <w:r>
        <w:rPr>
          <w:noProof/>
        </w:rPr>
        <w:t xml:space="preserve"> се наблюдават най-значителните отклонения между реалното и очакваното равнище на изпълнение на бюджета за 2015 г.</w:t>
      </w:r>
      <w:bookmarkStart w:id="9" w:name="_Toc244054016"/>
    </w:p>
    <w:p w:rsidR="006A34FC" w:rsidRDefault="003E7F02">
      <w:pPr>
        <w:pStyle w:val="Heading2"/>
        <w:rPr>
          <w:noProof/>
        </w:rPr>
      </w:pPr>
      <w:r>
        <w:rPr>
          <w:noProof/>
        </w:rPr>
        <w:t>Пазарни мерки</w:t>
      </w:r>
      <w:bookmarkEnd w:id="9"/>
    </w:p>
    <w:p w:rsidR="006A34FC" w:rsidRDefault="003E7F02">
      <w:pPr>
        <w:pStyle w:val="Text1"/>
        <w:rPr>
          <w:noProof/>
        </w:rPr>
      </w:pPr>
      <w:r>
        <w:rPr>
          <w:noProof/>
        </w:rPr>
        <w:t>Използваните бюджетни кредити за интервенции на селскостопанските пазари бяха с 22,7 млн. евро по-високи от одобрените бюджетни</w:t>
      </w:r>
      <w:r>
        <w:rPr>
          <w:noProof/>
        </w:rPr>
        <w:t xml:space="preserve"> кредити, определени по нивото на показателя на 31 май 2015 г. Това отклонение е нетен ефект от тенденциите в изпълнението на бюджета — преди всичко в сектора на плодовете и зеленчуците, на млякото и млечните продукти и в лозаро-винарския сектор.  </w:t>
      </w:r>
    </w:p>
    <w:p w:rsidR="006A34FC" w:rsidRDefault="003E7F02">
      <w:pPr>
        <w:pStyle w:val="Heading3"/>
        <w:rPr>
          <w:noProof/>
        </w:rPr>
      </w:pPr>
      <w:r>
        <w:rPr>
          <w:noProof/>
        </w:rPr>
        <w:t>Плодове</w:t>
      </w:r>
      <w:r>
        <w:rPr>
          <w:noProof/>
        </w:rPr>
        <w:t xml:space="preserve"> и зеленчуци (+ 88,6 млн евро над гласуваните бюджетни кредити)</w:t>
      </w:r>
    </w:p>
    <w:p w:rsidR="006A34FC" w:rsidRDefault="003E7F02">
      <w:pPr>
        <w:pStyle w:val="Text1"/>
        <w:rPr>
          <w:noProof/>
        </w:rPr>
      </w:pPr>
      <w:r>
        <w:rPr>
          <w:noProof/>
        </w:rPr>
        <w:t>Това равнище на изпълнение се дължи предимно на разходите за оперативните фондове за схемата на организациите на производители и на разходите за другите мерки в сектора на плодовете и зеленчуц</w:t>
      </w:r>
      <w:r>
        <w:rPr>
          <w:noProof/>
        </w:rPr>
        <w:t>ите, които се финансират както от одобрените бюджетни кредити, така и от целевите приходи (забележка: за повече информация вж. точка 2 по-горе). За разлика от това показателят за периода до 31 май 2015 г. се прилага само към одобрените бюджетни кредити в р</w:t>
      </w:r>
      <w:r>
        <w:rPr>
          <w:noProof/>
        </w:rPr>
        <w:t xml:space="preserve">азмер на 836,2 млн. евро, тоест без да се вземат предвид целевите приходи. </w:t>
      </w:r>
    </w:p>
    <w:p w:rsidR="006A34FC" w:rsidRDefault="003E7F02">
      <w:pPr>
        <w:pStyle w:val="Text1"/>
        <w:rPr>
          <w:noProof/>
        </w:rPr>
      </w:pPr>
      <w:r>
        <w:rPr>
          <w:noProof/>
        </w:rPr>
        <w:t>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w:t>
      </w:r>
      <w:r>
        <w:rPr>
          <w:noProof/>
        </w:rPr>
        <w:t>юджетните кредити по тази статия, включително целевите приходи в размер на 469,3 млн. евро. Ако показателят беше приложен към общия размер на очакваните налични средства по тази статия (1305,5 млн. евро), би било отчетено неизпълнение в размер на - 71,3 мл</w:t>
      </w:r>
      <w:r>
        <w:rPr>
          <w:noProof/>
        </w:rPr>
        <w:t xml:space="preserve">н. евро. </w:t>
      </w:r>
    </w:p>
    <w:p w:rsidR="006A34FC" w:rsidRDefault="003E7F02">
      <w:pPr>
        <w:pStyle w:val="Text1"/>
        <w:rPr>
          <w:noProof/>
          <w:color w:val="FF0000"/>
        </w:rPr>
      </w:pPr>
      <w:r>
        <w:rPr>
          <w:noProof/>
        </w:rPr>
        <w:t>Това е последица от по-бавното усвояване на всички схеми, финансирани по тази статия, с изключение на другите мерки в сектора на плодовете и зеленчуците (бюджетна позиция 05 02 08 99). Следва да се отбележи, че не можаха да бъдат направени надежд</w:t>
      </w:r>
      <w:r>
        <w:rPr>
          <w:noProof/>
        </w:rPr>
        <w:t>ни разчети за темповете на усвояване на бюджетните кредити за мерките при криза, които са налични в рамките на оперативните фондове за организациите на производители и другите мерки в сектора на плодовете и зеленчуците. Поради това има вероятност тези темп</w:t>
      </w:r>
      <w:r>
        <w:rPr>
          <w:noProof/>
        </w:rPr>
        <w:t>ове да се отклоняват от 3-годишния среден профил на усвояването, който служи за основа на показателя по тази статия.</w:t>
      </w:r>
      <w:r>
        <w:rPr>
          <w:noProof/>
          <w:color w:val="FF0000"/>
        </w:rPr>
        <w:t xml:space="preserve"> </w:t>
      </w:r>
    </w:p>
    <w:p w:rsidR="006A34FC" w:rsidRDefault="003E7F02">
      <w:pPr>
        <w:pStyle w:val="Text1"/>
        <w:rPr>
          <w:noProof/>
        </w:rPr>
      </w:pPr>
      <w:r>
        <w:rPr>
          <w:noProof/>
        </w:rPr>
        <w:t xml:space="preserve">Към настоящия момент това положение се счита за временно, като изпълнението по тази статия се следи отблизо от службите на Комисията. </w:t>
      </w:r>
    </w:p>
    <w:p w:rsidR="006A34FC" w:rsidRDefault="003E7F02">
      <w:pPr>
        <w:pStyle w:val="Heading3"/>
        <w:rPr>
          <w:noProof/>
        </w:rPr>
      </w:pPr>
      <w:r>
        <w:rPr>
          <w:noProof/>
        </w:rPr>
        <w:t>Про</w:t>
      </w:r>
      <w:r>
        <w:rPr>
          <w:noProof/>
        </w:rPr>
        <w:t>дукти от лозаро-винарския сектор (– 95 млн. евро)</w:t>
      </w:r>
    </w:p>
    <w:p w:rsidR="006A34FC" w:rsidRDefault="003E7F02">
      <w:pPr>
        <w:pStyle w:val="Text1"/>
        <w:tabs>
          <w:tab w:val="left" w:pos="851"/>
        </w:tabs>
        <w:rPr>
          <w:noProof/>
        </w:rPr>
      </w:pPr>
      <w:r>
        <w:rPr>
          <w:noProof/>
        </w:rPr>
        <w:t>Това неизпълнение се дължи на по-бавните темпове на плащанията, извършвани от държавите членки, в сравнение с профила на разходите на установения показател за националните програми в лозаро-винарския сектор</w:t>
      </w:r>
      <w:r>
        <w:rPr>
          <w:noProof/>
        </w:rPr>
        <w:t>. Към края на бюджетната година обаче държавите членки обикновено ускоряват темповете на изпълнението на тези програми. Поради това към настоящия момент това положение се счита за временно.</w:t>
      </w:r>
    </w:p>
    <w:p w:rsidR="006A34FC" w:rsidRDefault="003E7F02">
      <w:pPr>
        <w:pStyle w:val="Heading3"/>
        <w:rPr>
          <w:noProof/>
        </w:rPr>
      </w:pPr>
      <w:r>
        <w:rPr>
          <w:noProof/>
        </w:rPr>
        <w:t xml:space="preserve">Мляко и млечни продукти (+ 33,9 млн. евро) </w:t>
      </w:r>
    </w:p>
    <w:p w:rsidR="006A34FC" w:rsidRDefault="003E7F02">
      <w:pPr>
        <w:pStyle w:val="Text1"/>
        <w:rPr>
          <w:noProof/>
        </w:rPr>
      </w:pPr>
      <w:r>
        <w:rPr>
          <w:noProof/>
        </w:rPr>
        <w:t>Това равнище на изпълн</w:t>
      </w:r>
      <w:r>
        <w:rPr>
          <w:noProof/>
        </w:rPr>
        <w:t>ение се дължи предимно на разходите за складиране и на разходите за другите мерки в сектора на млякото и млечните продукти (бюджетна позиция 05 02 12 99), които се финансират както от одобрените бюджетни кредити, така и от целевите приходи (забележка: за п</w:t>
      </w:r>
      <w:r>
        <w:rPr>
          <w:noProof/>
        </w:rPr>
        <w:t xml:space="preserve">овече информация вж. точка 2 по-горе). За разлика от това показателят за периода до 31 май 2015 г. се прилага само към одобрените бюджетни кредити в размер на 77,1 млн. евро, тоест без да се вземат предвид целевите приходи. </w:t>
      </w:r>
    </w:p>
    <w:p w:rsidR="006A34FC" w:rsidRDefault="003E7F02">
      <w:pPr>
        <w:pStyle w:val="Text1"/>
        <w:rPr>
          <w:noProof/>
        </w:rPr>
      </w:pPr>
      <w:r>
        <w:rPr>
          <w:noProof/>
        </w:rPr>
        <w:t>В бележка под линия * към табли</w:t>
      </w:r>
      <w:r>
        <w:rPr>
          <w:noProof/>
        </w:rPr>
        <w:t xml:space="preserve">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54,3 млн. евро. Ако показателят </w:t>
      </w:r>
      <w:r>
        <w:rPr>
          <w:noProof/>
        </w:rPr>
        <w:t xml:space="preserve">беше приложен към общия размер на очакваните налични средства по тази статия (131,4 млн. евро), би било отчетено неизпълнение в размер на - 18,6 млн. евро. </w:t>
      </w:r>
    </w:p>
    <w:p w:rsidR="006A34FC" w:rsidRDefault="003E7F02">
      <w:pPr>
        <w:pStyle w:val="Text1"/>
        <w:rPr>
          <w:noProof/>
          <w:color w:val="FF0000"/>
        </w:rPr>
      </w:pPr>
      <w:r>
        <w:rPr>
          <w:noProof/>
        </w:rPr>
        <w:t xml:space="preserve">Това е предимно последица от по-бавното усвояване на бюджетните кредити по схемата за раздаване на </w:t>
      </w:r>
      <w:r>
        <w:rPr>
          <w:noProof/>
        </w:rPr>
        <w:t xml:space="preserve">мляко в училищата. Освен това следва да се отбележи, че не можаха да бъдат направени надеждни разчети за темповете на усвояване на бюджетните кредити за мерките при криза, които са налични за складирането и за другите мерки в сектора на млякото и млечните </w:t>
      </w:r>
      <w:r>
        <w:rPr>
          <w:noProof/>
        </w:rPr>
        <w:t>продукти. Поради това има вероятност профилът на разходите да се отклонява от 3-годишната средна стойност, която служи за основа на показателя по тази статия.</w:t>
      </w:r>
      <w:r>
        <w:rPr>
          <w:noProof/>
          <w:color w:val="FF0000"/>
        </w:rPr>
        <w:t xml:space="preserve"> </w:t>
      </w:r>
    </w:p>
    <w:p w:rsidR="006A34FC" w:rsidRDefault="003E7F02">
      <w:pPr>
        <w:pStyle w:val="Text1"/>
        <w:rPr>
          <w:noProof/>
        </w:rPr>
      </w:pPr>
      <w:r>
        <w:rPr>
          <w:noProof/>
        </w:rPr>
        <w:t>Към настоящия момент това положение се счита за временно, като изпълнението по тази статия се сл</w:t>
      </w:r>
      <w:r>
        <w:rPr>
          <w:noProof/>
        </w:rPr>
        <w:t xml:space="preserve">еди отблизо от службите на Комисията. </w:t>
      </w:r>
    </w:p>
    <w:p w:rsidR="006A34FC" w:rsidRDefault="003E7F02">
      <w:pPr>
        <w:pStyle w:val="Heading2"/>
        <w:rPr>
          <w:noProof/>
        </w:rPr>
      </w:pPr>
      <w:bookmarkStart w:id="10" w:name="_Toc244054022"/>
      <w:r>
        <w:rPr>
          <w:noProof/>
        </w:rPr>
        <w:t xml:space="preserve">Директни </w:t>
      </w:r>
      <w:bookmarkEnd w:id="10"/>
      <w:r>
        <w:rPr>
          <w:noProof/>
        </w:rPr>
        <w:t xml:space="preserve">плащания </w:t>
      </w:r>
    </w:p>
    <w:p w:rsidR="006A34FC" w:rsidRDefault="003E7F02">
      <w:pPr>
        <w:pStyle w:val="Text1"/>
        <w:rPr>
          <w:noProof/>
        </w:rPr>
      </w:pPr>
      <w:r>
        <w:rPr>
          <w:noProof/>
        </w:rPr>
        <w:t>В сравнение с равнището на показателя към 31 май 2015 г. усвоените бюджетни кредити за директни плащания са били с 991,1 млн. евро повече.</w:t>
      </w:r>
      <w:bookmarkStart w:id="11" w:name="_Toc244054023"/>
      <w:r>
        <w:rPr>
          <w:noProof/>
        </w:rPr>
        <w:t xml:space="preserve"> </w:t>
      </w:r>
    </w:p>
    <w:p w:rsidR="006A34FC" w:rsidRDefault="003E7F02">
      <w:pPr>
        <w:pStyle w:val="Heading3"/>
        <w:rPr>
          <w:noProof/>
        </w:rPr>
      </w:pPr>
      <w:r>
        <w:rPr>
          <w:noProof/>
        </w:rPr>
        <w:t>Отделени от производството директни плащания (+ 999 млн. е</w:t>
      </w:r>
      <w:r>
        <w:rPr>
          <w:noProof/>
        </w:rPr>
        <w:t>вро в сравнение с одобрените бюджетни кредити)</w:t>
      </w:r>
    </w:p>
    <w:p w:rsidR="006A34FC" w:rsidRDefault="003E7F02">
      <w:pPr>
        <w:pStyle w:val="Text1"/>
        <w:rPr>
          <w:noProof/>
        </w:rPr>
      </w:pPr>
      <w:r>
        <w:rPr>
          <w:noProof/>
        </w:rPr>
        <w:t>Това равнище на изпълнение се дължи предимно на разходите по схемата за единно плащане, които се финансират както от одобрените бюджетни кредити, така и от целевите приходи (забележка: за повече информация вж.</w:t>
      </w:r>
      <w:r>
        <w:rPr>
          <w:noProof/>
        </w:rPr>
        <w:t xml:space="preserve"> точка 2 по-горе). За разлика от това показателят за периода до 31 май 2015 г. се прилага само към одобрените бюджетни кредити в размер на 37 397 млн. евро, тоест без да се вземат предвид целевите приходи. </w:t>
      </w:r>
    </w:p>
    <w:p w:rsidR="006A34FC" w:rsidRDefault="003E7F02">
      <w:pPr>
        <w:pStyle w:val="Text1"/>
        <w:rPr>
          <w:noProof/>
        </w:rPr>
      </w:pPr>
      <w:r>
        <w:rPr>
          <w:noProof/>
        </w:rPr>
        <w:t>В бележка под линия * към таблицата с предварител</w:t>
      </w:r>
      <w:r>
        <w:rPr>
          <w:noProof/>
        </w:rPr>
        <w:t xml:space="preserve">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1245 млн. евро. Ако показателят беше приложен към </w:t>
      </w:r>
      <w:r>
        <w:rPr>
          <w:noProof/>
        </w:rPr>
        <w:t xml:space="preserve">общия размер на очакваните налични средства по тази статия (38 642 млн. евро), би било отчетено неизпълнение в размер на – 231 млн. евро. </w:t>
      </w:r>
    </w:p>
    <w:p w:rsidR="006A34FC" w:rsidRDefault="003E7F02">
      <w:pPr>
        <w:pStyle w:val="Text1"/>
        <w:rPr>
          <w:noProof/>
        </w:rPr>
      </w:pPr>
      <w:r>
        <w:rPr>
          <w:noProof/>
        </w:rPr>
        <w:t>Това отклонение в степента на изпълнение на бюджета за отделените от производството преки плащания се дължи главно на</w:t>
      </w:r>
      <w:r>
        <w:rPr>
          <w:noProof/>
        </w:rPr>
        <w:t xml:space="preserve"> по-бавните темпове на изпълнение на схемата за специфично подпомагане (член 68) в сравнение с нивото на показателя за периода до 31 май 2015 г. Следва да се отбележи обаче, че държавите членки прогнозират пълното изпълнение на бюджетните кредити на тази с</w:t>
      </w:r>
      <w:r>
        <w:rPr>
          <w:noProof/>
        </w:rPr>
        <w:t>хема за 2015 г. до края на бюджетната година.</w:t>
      </w:r>
    </w:p>
    <w:p w:rsidR="006A34FC" w:rsidRDefault="003E7F02">
      <w:pPr>
        <w:pStyle w:val="Text1"/>
        <w:rPr>
          <w:noProof/>
        </w:rPr>
      </w:pPr>
      <w:r>
        <w:rPr>
          <w:noProof/>
        </w:rPr>
        <w:t>Освен това следва да се отбележи, че независимо от факта, че изпълнението на схемата за единно плащане постигна подобрение (98,4 % от нуждите до 31 май 2015 г. в сравнение с 97,8 % до 31 май 2014 г.), прогнозит</w:t>
      </w:r>
      <w:r>
        <w:rPr>
          <w:noProof/>
        </w:rPr>
        <w:t>е на държавите членки показват, че в края на бюджетната година тази позиция може да е не съвсем пълно усвоена. Тъй като 2015 г. е последната година от прилагането на схемата за единно плащане, Комисията обаче продължава внимателно да следи усвояването на б</w:t>
      </w:r>
      <w:r>
        <w:rPr>
          <w:noProof/>
        </w:rPr>
        <w:t>юджетните кредити по тази схема.</w:t>
      </w:r>
    </w:p>
    <w:p w:rsidR="006A34FC" w:rsidRDefault="003E7F02">
      <w:pPr>
        <w:pStyle w:val="Text1"/>
        <w:rPr>
          <w:noProof/>
        </w:rPr>
      </w:pPr>
      <w:r>
        <w:rPr>
          <w:noProof/>
        </w:rPr>
        <w:t xml:space="preserve">Към настоящия момент Комисията очаква, че наличните бюджетни кредити и целеви приходи ще бъдат достатъчно за покриване на нуждите от финансиране по тази статия. </w:t>
      </w:r>
    </w:p>
    <w:p w:rsidR="006A34FC" w:rsidRDefault="003E7F02">
      <w:pPr>
        <w:pStyle w:val="Heading1"/>
        <w:rPr>
          <w:noProof/>
        </w:rPr>
      </w:pPr>
      <w:bookmarkStart w:id="12" w:name="_Toc244054027"/>
      <w:bookmarkStart w:id="13" w:name="_Toc416964434"/>
      <w:bookmarkStart w:id="14" w:name="_Toc424902422"/>
      <w:bookmarkEnd w:id="11"/>
      <w:r>
        <w:rPr>
          <w:noProof/>
        </w:rPr>
        <w:t>Изпълнение на целевите приходи, предназначени за ЕФГЗ</w:t>
      </w:r>
      <w:bookmarkEnd w:id="12"/>
      <w:bookmarkEnd w:id="13"/>
      <w:bookmarkEnd w:id="14"/>
    </w:p>
    <w:p w:rsidR="006A34FC" w:rsidRDefault="003E7F02">
      <w:pPr>
        <w:pStyle w:val="Text1"/>
        <w:spacing w:before="90"/>
        <w:ind w:left="851"/>
        <w:rPr>
          <w:noProof/>
        </w:rPr>
      </w:pPr>
      <w:bookmarkStart w:id="15" w:name="_Toc244054028"/>
      <w:r>
        <w:rPr>
          <w:noProof/>
        </w:rPr>
        <w:t>Таблица</w:t>
      </w:r>
      <w:r>
        <w:rPr>
          <w:noProof/>
        </w:rPr>
        <w:t>та в приложение 1 показва, че към 31 май 2015 г. са били събрани целеви приходи, възлизащи на 1263,1 млн. евро. По-конкретно:</w:t>
      </w:r>
    </w:p>
    <w:p w:rsidR="006A34FC" w:rsidRDefault="003E7F02">
      <w:pPr>
        <w:pStyle w:val="Tiret1"/>
        <w:rPr>
          <w:noProof/>
        </w:rPr>
      </w:pPr>
      <w:r>
        <w:rPr>
          <w:noProof/>
        </w:rPr>
        <w:t>приходите от корекции въз основа на решения за счетоводно уравняване и за уравняване по съответствие бяха в размер на 746,7 млн. е</w:t>
      </w:r>
      <w:r>
        <w:rPr>
          <w:noProof/>
        </w:rPr>
        <w:t>вро, като до края на бюджетната година се очакват допълнителни суми от прилагането на Решението за изпълнение на Комисията (ad hoc 48)</w:t>
      </w:r>
      <w:r>
        <w:rPr>
          <w:rStyle w:val="FootnoteReference"/>
          <w:noProof/>
        </w:rPr>
        <w:footnoteReference w:id="6"/>
      </w:r>
      <w:r>
        <w:rPr>
          <w:noProof/>
        </w:rPr>
        <w:t>;</w:t>
      </w:r>
    </w:p>
    <w:p w:rsidR="006A34FC" w:rsidRDefault="003E7F02">
      <w:pPr>
        <w:pStyle w:val="Tiret1"/>
        <w:rPr>
          <w:noProof/>
        </w:rPr>
      </w:pPr>
      <w:r>
        <w:rPr>
          <w:noProof/>
        </w:rPr>
        <w:t>приходите от финансови корекции вследствие на нередности бяха в размер на 107,9 млн. евро, като до края на бюджетната г</w:t>
      </w:r>
      <w:r>
        <w:rPr>
          <w:noProof/>
        </w:rPr>
        <w:t xml:space="preserve">одина също се очакват допълнителни суми, и </w:t>
      </w:r>
    </w:p>
    <w:p w:rsidR="006A34FC" w:rsidRDefault="003E7F02">
      <w:pPr>
        <w:pStyle w:val="Tiret1"/>
        <w:rPr>
          <w:noProof/>
        </w:rPr>
      </w:pPr>
      <w:r>
        <w:rPr>
          <w:noProof/>
        </w:rPr>
        <w:t>към настоящия момент всички приходи от налога в сектора на млякото са събрани и възлизат на около 408,5 млн. евро.</w:t>
      </w:r>
    </w:p>
    <w:p w:rsidR="006A34FC" w:rsidRDefault="003E7F02">
      <w:pPr>
        <w:pStyle w:val="Text1"/>
        <w:rPr>
          <w:noProof/>
        </w:rPr>
      </w:pPr>
      <w:r>
        <w:rPr>
          <w:noProof/>
        </w:rPr>
        <w:t>И накрая, сумата на целевите приходи, окончателно пренесени от 2014 г. в 2015 г., възлиза на 341,</w:t>
      </w:r>
      <w:r>
        <w:rPr>
          <w:noProof/>
        </w:rPr>
        <w:t xml:space="preserve">3 млн. евро. </w:t>
      </w:r>
    </w:p>
    <w:p w:rsidR="006A34FC" w:rsidRDefault="003E7F02">
      <w:pPr>
        <w:pStyle w:val="Text1"/>
        <w:rPr>
          <w:noProof/>
        </w:rPr>
      </w:pPr>
      <w:r>
        <w:rPr>
          <w:noProof/>
        </w:rPr>
        <w:t>Така наличните целеви приходи за финансиране на разходите по ЕФГЗ към 31 май 2015 г. възлизат на 1604,4 млн. евро, като до края на бюджетната година се очаква да постъпят допълнителни суми новосъбрани целеви приходи от решенията за счетоводно</w:t>
      </w:r>
      <w:r>
        <w:rPr>
          <w:noProof/>
        </w:rPr>
        <w:t xml:space="preserve"> уравняване и за уравняване по съответствие и от финансови корекции вследствие на нередности.</w:t>
      </w:r>
    </w:p>
    <w:p w:rsidR="006A34FC" w:rsidRDefault="003E7F02">
      <w:pPr>
        <w:pStyle w:val="Heading1"/>
        <w:rPr>
          <w:noProof/>
        </w:rPr>
      </w:pPr>
      <w:bookmarkStart w:id="17" w:name="_Toc244054030"/>
      <w:bookmarkStart w:id="18" w:name="_Toc416964435"/>
      <w:bookmarkStart w:id="19" w:name="_Toc424902423"/>
      <w:bookmarkEnd w:id="15"/>
      <w:r>
        <w:rPr>
          <w:noProof/>
        </w:rPr>
        <w:t>Заключения</w:t>
      </w:r>
      <w:bookmarkEnd w:id="17"/>
      <w:bookmarkEnd w:id="18"/>
      <w:bookmarkEnd w:id="19"/>
    </w:p>
    <w:p w:rsidR="006A34FC" w:rsidRDefault="003E7F02">
      <w:pPr>
        <w:pStyle w:val="Text1"/>
        <w:rPr>
          <w:noProof/>
        </w:rPr>
      </w:pPr>
      <w:r>
        <w:rPr>
          <w:noProof/>
        </w:rPr>
        <w:t>Съгласно предварителните данни за усвояването на бюджетните кредити на ЕФГЗ за 2015 г. за периода до 31 май 2015 г. месечните възстановявания в полза н</w:t>
      </w:r>
      <w:r>
        <w:rPr>
          <w:noProof/>
        </w:rPr>
        <w:t xml:space="preserve">а държавите членки са надвишили с около 1004 млн. евро профила на разходите за бюджетно усвояване, създаден въз основа на показателя. </w:t>
      </w:r>
    </w:p>
    <w:p w:rsidR="006A34FC" w:rsidRDefault="003E7F02">
      <w:pPr>
        <w:pStyle w:val="Text1"/>
        <w:rPr>
          <w:noProof/>
        </w:rPr>
      </w:pPr>
      <w:r>
        <w:rPr>
          <w:noProof/>
        </w:rPr>
        <w:t>Вече са налице целеви приходи, възлизащи на 1604,4 млн. евро, като се очаква до края на 2015 г. да бъдат събрани допълнит</w:t>
      </w:r>
      <w:r>
        <w:rPr>
          <w:noProof/>
        </w:rPr>
        <w:t xml:space="preserve">елни суми. </w:t>
      </w:r>
    </w:p>
    <w:p w:rsidR="006A34FC" w:rsidRDefault="003E7F02">
      <w:pPr>
        <w:pStyle w:val="Text1"/>
        <w:rPr>
          <w:noProof/>
        </w:rPr>
      </w:pPr>
      <w:r>
        <w:rPr>
          <w:noProof/>
        </w:rPr>
        <w:t>Към настоящия момент Комисията счита, че сумите на одобрените бюджетни кредити и на целевите приходи, които вече са налични и се очакват до края на годината, ще бъдат достатъчно за покриване на нуждите на ЕФГЗ през 2015 г., включително с прилаг</w:t>
      </w:r>
      <w:r>
        <w:rPr>
          <w:noProof/>
        </w:rPr>
        <w:t>ането на мерките при криза, предприети от Комисията вследствие на руската забрана, както се очакваше първоначално при изготвянето на бюджета за 2015 г.</w:t>
      </w:r>
    </w:p>
    <w:sectPr w:rsidR="006A34FC">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FC" w:rsidRDefault="003E7F02">
      <w:pPr>
        <w:spacing w:after="0" w:line="240" w:lineRule="auto"/>
      </w:pPr>
      <w:r>
        <w:separator/>
      </w:r>
    </w:p>
  </w:endnote>
  <w:endnote w:type="continuationSeparator" w:id="0">
    <w:p w:rsidR="006A34FC" w:rsidRDefault="003E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3E7F0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3E7F02">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rsidR="006A34FC" w:rsidRDefault="006A34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3E7F02">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rsidR="006A34FC" w:rsidRDefault="006A34F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FC" w:rsidRDefault="003E7F02">
      <w:pPr>
        <w:spacing w:after="0" w:line="240" w:lineRule="auto"/>
      </w:pPr>
      <w:r>
        <w:separator/>
      </w:r>
    </w:p>
  </w:footnote>
  <w:footnote w:type="continuationSeparator" w:id="0">
    <w:p w:rsidR="006A34FC" w:rsidRDefault="003E7F02">
      <w:pPr>
        <w:spacing w:after="0" w:line="240" w:lineRule="auto"/>
      </w:pPr>
      <w:r>
        <w:continuationSeparator/>
      </w:r>
    </w:p>
  </w:footnote>
  <w:footnote w:id="1">
    <w:p w:rsidR="006A34FC" w:rsidRDefault="003E7F02">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ОВ L 347, 20.12.2013 г., стр. 549.</w:t>
      </w:r>
    </w:p>
  </w:footnote>
  <w:footnote w:id="2">
    <w:p w:rsidR="006A34FC" w:rsidRDefault="003E7F02">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w:t>
      </w:r>
      <w:proofErr w:type="spellStart"/>
      <w:r>
        <w:rPr>
          <w:rFonts w:ascii="Times New Roman" w:hAnsi="Times New Roman"/>
        </w:rPr>
        <w:t>Евратом</w:t>
      </w:r>
      <w:proofErr w:type="spellEnd"/>
      <w:r>
        <w:rPr>
          <w:rFonts w:ascii="Times New Roman" w:hAnsi="Times New Roman"/>
        </w:rPr>
        <w:t>) № 966/2012 на Европейския парламент и на Съвета относно финансовите правила, приложими за общия бюджет на Съюза, се постановява, че вътрешните целеви приходи се пренасят само за една година. Поради това, в интерес на до</w:t>
      </w:r>
      <w:r>
        <w:rPr>
          <w:rFonts w:ascii="Times New Roman" w:hAnsi="Times New Roman"/>
        </w:rPr>
        <w:t xml:space="preserve">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3">
    <w:p w:rsidR="006A34FC" w:rsidRDefault="003E7F02">
      <w:pPr>
        <w:pStyle w:val="FootnoteText"/>
        <w:spacing w:after="60"/>
        <w:ind w:left="840" w:hanging="840"/>
        <w:jc w:val="both"/>
      </w:pPr>
      <w:r>
        <w:rPr>
          <w:rStyle w:val="FootnoteReference"/>
        </w:rPr>
        <w:footnoteRef/>
      </w:r>
      <w:r>
        <w:t xml:space="preserve"> </w:t>
      </w:r>
      <w:r>
        <w:tab/>
      </w:r>
      <w:r>
        <w:rPr>
          <w:rFonts w:ascii="Times New Roman" w:hAnsi="Times New Roman"/>
        </w:rPr>
        <w:t>362,4 млн. евро за оперативните фондове за организациите на производители в сектора на плодовете и зеленчуците</w:t>
      </w:r>
      <w:r>
        <w:rPr>
          <w:rFonts w:ascii="Times New Roman" w:hAnsi="Times New Roman"/>
        </w:rPr>
        <w:t xml:space="preserve"> и 106,9 млн. евро за другите мерки в сектора на плодовете и зеленчуците.</w:t>
      </w:r>
    </w:p>
  </w:footnote>
  <w:footnote w:id="4">
    <w:p w:rsidR="006A34FC" w:rsidRDefault="003E7F02">
      <w:pPr>
        <w:pStyle w:val="FootnoteText"/>
        <w:spacing w:after="60"/>
        <w:ind w:left="840" w:hanging="840"/>
        <w:jc w:val="both"/>
      </w:pPr>
      <w:r>
        <w:rPr>
          <w:rStyle w:val="FootnoteReference"/>
        </w:rPr>
        <w:footnoteRef/>
      </w:r>
      <w:r>
        <w:t xml:space="preserve"> </w:t>
      </w:r>
      <w:r>
        <w:tab/>
      </w:r>
      <w:r>
        <w:rPr>
          <w:rFonts w:ascii="Times New Roman" w:hAnsi="Times New Roman"/>
        </w:rPr>
        <w:t>0,9 млн. евро за мерките за складиране на обезмаслено мляко на прах, 2,9 млн. евро за мерките за складиране на масло и сметана и 50,5 млн. евро за другите мерки в сектора на мляко</w:t>
      </w:r>
      <w:r>
        <w:rPr>
          <w:rFonts w:ascii="Times New Roman" w:hAnsi="Times New Roman"/>
        </w:rPr>
        <w:t>то и млечните продукти.</w:t>
      </w:r>
    </w:p>
  </w:footnote>
  <w:footnote w:id="5">
    <w:p w:rsidR="006A34FC" w:rsidRDefault="003E7F02">
      <w:pPr>
        <w:pStyle w:val="FootnoteText"/>
        <w:spacing w:after="60"/>
        <w:ind w:left="840" w:hanging="840"/>
        <w:rPr>
          <w:rFonts w:ascii="Times New Roman" w:hAnsi="Times New Roman"/>
        </w:rPr>
      </w:pPr>
      <w:r>
        <w:rPr>
          <w:rStyle w:val="FootnoteReference"/>
        </w:rPr>
        <w:footnoteRef/>
      </w:r>
      <w:r>
        <w:t xml:space="preserve"> </w:t>
      </w:r>
      <w:r>
        <w:tab/>
      </w:r>
      <w:r>
        <w:rPr>
          <w:rFonts w:ascii="Times New Roman" w:hAnsi="Times New Roman"/>
        </w:rPr>
        <w:t>Цялата сума за схемата за единно плащане.</w:t>
      </w:r>
    </w:p>
  </w:footnote>
  <w:footnote w:id="6">
    <w:p w:rsidR="006A34FC" w:rsidRDefault="003E7F02">
      <w:pPr>
        <w:autoSpaceDE w:val="0"/>
        <w:autoSpaceDN w:val="0"/>
        <w:adjustRightInd w:val="0"/>
        <w:spacing w:after="0" w:line="240" w:lineRule="auto"/>
        <w:ind w:left="840" w:hanging="840"/>
        <w:jc w:val="both"/>
      </w:pPr>
      <w:r>
        <w:rPr>
          <w:rStyle w:val="FootnoteReference"/>
        </w:rPr>
        <w:footnoteRef/>
      </w:r>
      <w:r>
        <w:t xml:space="preserve"> </w:t>
      </w:r>
      <w:r>
        <w:tab/>
      </w:r>
      <w:r>
        <w:rPr>
          <w:rFonts w:ascii="Times New Roman" w:hAnsi="Times New Roman"/>
          <w:sz w:val="20"/>
        </w:rPr>
        <w:t>Решение за изпълнение на Комисията от 22 юни 2015 г. за изключване от финансиране от страна на Европейския съюз на някои разходи, направени от държавите членки в рамките на Европейския</w:t>
      </w:r>
      <w:r>
        <w:rPr>
          <w:rFonts w:ascii="Times New Roman" w:hAnsi="Times New Roman"/>
          <w:sz w:val="20"/>
        </w:rPr>
        <w:t xml:space="preserve"> фонд за гарантиране на земеделието (ЕФГЗ) и на Европейския земеделски фонд за развитие на селските райони (ЕЗФРСР).</w:t>
      </w:r>
      <w:bookmarkStart w:id="16" w:name="_GoBack"/>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C" w:rsidRDefault="006A3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494B8A4FB774F1E8C62BEFE8E88CD1D"/>
    <w:docVar w:name="LW_CROSSREFERENCE" w:val="&lt;UNUSED&gt;"/>
    <w:docVar w:name="LW_DocType" w:val="NORMAL"/>
    <w:docVar w:name="LW_EMISSION" w:val="22.7.2015"/>
    <w:docVar w:name="LW_EMISSION_ISODATE" w:val="2015-07-2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71"/>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6? \u1087?\u1088?\u1077?\u1076?\u1091?\u1087?\u1088?\u1077?\u1078?\u1076?\u1077?\u1085?\u1080?\u1077? \u8470? 6-7/2015"/>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6A34FC"/>
    <w:rsid w:val="003E7F02"/>
    <w:rsid w:val="006A34F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val="bg-BG" w:eastAsia="bg-BG" w:bidi="bg-BG"/>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val="en-GB" w:bidi="th-TH"/>
    </w:rPr>
  </w:style>
  <w:style w:type="character" w:customStyle="1" w:styleId="FooterCoverPageChar">
    <w:name w:val="Footer Cover Page Char"/>
    <w:link w:val="FooterCoverPage"/>
    <w:rPr>
      <w:rFonts w:ascii="Times New Roman" w:eastAsia="Times New Roman" w:hAnsi="Times New Roman"/>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en-GB" w:bidi="th-TH"/>
    </w:rPr>
  </w:style>
  <w:style w:type="character" w:customStyle="1" w:styleId="HeaderCoverPageChar">
    <w:name w:val="Header Cover Page Char"/>
    <w:link w:val="HeaderCoverPage"/>
    <w:rPr>
      <w:rFonts w:ascii="Times New Roman" w:eastAsia="Times New Roman" w:hAnsi="Times New Roman"/>
      <w:sz w:val="24"/>
      <w:szCs w:val="24"/>
      <w:lang w:eastAsia="bg-BG"/>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val="bg-BG" w:eastAsia="bg-BG" w:bidi="bg-BG"/>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val="en-GB" w:bidi="th-TH"/>
    </w:rPr>
  </w:style>
  <w:style w:type="character" w:customStyle="1" w:styleId="FooterCoverPageChar">
    <w:name w:val="Footer Cover Page Char"/>
    <w:link w:val="FooterCoverPage"/>
    <w:rPr>
      <w:rFonts w:ascii="Times New Roman" w:eastAsia="Times New Roman" w:hAnsi="Times New Roman"/>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en-GB" w:bidi="th-TH"/>
    </w:rPr>
  </w:style>
  <w:style w:type="character" w:customStyle="1" w:styleId="HeaderCoverPageChar">
    <w:name w:val="Header Cover Page Char"/>
    <w:link w:val="HeaderCoverPage"/>
    <w:rPr>
      <w:rFonts w:ascii="Times New Roman" w:eastAsia="Times New Roman" w:hAnsi="Times New Roman"/>
      <w:sz w:val="24"/>
      <w:szCs w:val="24"/>
      <w:lang w:eastAsia="bg-BG"/>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87FD-7EA1-42FA-8730-156E6862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1620</Words>
  <Characters>11553</Characters>
  <Application>Microsoft Office Word</Application>
  <DocSecurity>0</DocSecurity>
  <Lines>213</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13071</CharactersWithSpaces>
  <SharedDoc>false</SharedDoc>
  <HLinks>
    <vt:vector size="30" baseType="variant">
      <vt:variant>
        <vt:i4>1572912</vt:i4>
      </vt:variant>
      <vt:variant>
        <vt:i4>26</vt:i4>
      </vt:variant>
      <vt:variant>
        <vt:i4>0</vt:i4>
      </vt:variant>
      <vt:variant>
        <vt:i4>5</vt:i4>
      </vt:variant>
      <vt:variant>
        <vt:lpwstr/>
      </vt:variant>
      <vt:variant>
        <vt:lpwstr>_Toc416964435</vt:lpwstr>
      </vt:variant>
      <vt:variant>
        <vt:i4>1572912</vt:i4>
      </vt:variant>
      <vt:variant>
        <vt:i4>20</vt:i4>
      </vt:variant>
      <vt:variant>
        <vt:i4>0</vt:i4>
      </vt:variant>
      <vt:variant>
        <vt:i4>5</vt:i4>
      </vt:variant>
      <vt:variant>
        <vt:lpwstr/>
      </vt:variant>
      <vt:variant>
        <vt:lpwstr>_Toc416964434</vt:lpwstr>
      </vt:variant>
      <vt:variant>
        <vt:i4>1572912</vt:i4>
      </vt:variant>
      <vt:variant>
        <vt:i4>14</vt:i4>
      </vt:variant>
      <vt:variant>
        <vt:i4>0</vt:i4>
      </vt:variant>
      <vt:variant>
        <vt:i4>5</vt:i4>
      </vt:variant>
      <vt:variant>
        <vt:lpwstr/>
      </vt:variant>
      <vt:variant>
        <vt:lpwstr>_Toc416964433</vt:lpwstr>
      </vt:variant>
      <vt:variant>
        <vt:i4>1572912</vt:i4>
      </vt:variant>
      <vt:variant>
        <vt:i4>8</vt:i4>
      </vt:variant>
      <vt:variant>
        <vt:i4>0</vt:i4>
      </vt:variant>
      <vt:variant>
        <vt:i4>5</vt:i4>
      </vt:variant>
      <vt:variant>
        <vt:lpwstr/>
      </vt:variant>
      <vt:variant>
        <vt:lpwstr>_Toc416964432</vt:lpwstr>
      </vt:variant>
      <vt:variant>
        <vt:i4>1572912</vt:i4>
      </vt:variant>
      <vt:variant>
        <vt:i4>2</vt:i4>
      </vt:variant>
      <vt:variant>
        <vt:i4>0</vt:i4>
      </vt:variant>
      <vt:variant>
        <vt:i4>5</vt:i4>
      </vt:variant>
      <vt:variant>
        <vt:lpwstr/>
      </vt:variant>
      <vt:variant>
        <vt:lpwstr>_Toc416964431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KARSKA-VANDIEST Hanna (SG)</dc:creator>
  <cp:lastModifiedBy>KARSKA-VANDIEST Hanna (SG)</cp:lastModifiedBy>
  <cp:revision>2</cp:revision>
  <cp:lastPrinted>2015-06-29T06:52:00Z</cp:lastPrinted>
  <dcterms:created xsi:type="dcterms:W3CDTF">2015-07-22T14:09:00Z</dcterms:created>
  <dcterms:modified xsi:type="dcterms:W3CDTF">2015-07-22T14:09:00Z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