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5A" w:rsidRDefault="00D858FD" w:rsidP="00D858FD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230C921154534E41B3ABA0B302C8AA4D" style="width:450.75pt;height:445.5pt">
            <v:imagedata r:id="rId9" o:title=""/>
          </v:shape>
        </w:pict>
      </w:r>
    </w:p>
    <w:p w:rsidR="009D3E5A" w:rsidRDefault="009D3E5A">
      <w:pPr>
        <w:rPr>
          <w:noProof/>
        </w:rPr>
        <w:sectPr w:rsidR="009D3E5A" w:rsidSect="00D858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D3E5A" w:rsidRDefault="00D858FD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9D3E5A" w:rsidRDefault="00D858FD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Единният формат за визи бе първоначално разработен в</w:t>
      </w:r>
      <w:r>
        <w:rPr>
          <w:noProof/>
        </w:rPr>
        <w:t xml:space="preserve"> рамките на междуправителственото шенгенско сътрудничество и възприет в правото на ЕС с приемането на Регламент № 1683/95 относно единния формат за визи. Всички държави членки, включително Дания, Обединеното кралство и Ирландия, участваха в посочения регла</w:t>
      </w:r>
      <w:r>
        <w:rPr>
          <w:noProof/>
        </w:rPr>
        <w:t>мент, който се основаваше на член 100в от ДЕО, въведен с Договора от Маастрихт. Интегрирането на достиженията на правото от Шенген в рамките на Съюза и въвеждането на „променлива геометрия“ в правото на Съюза бе извършено впоследствие — на 1 май 1999 г., к</w:t>
      </w:r>
      <w:r>
        <w:rPr>
          <w:noProof/>
        </w:rPr>
        <w:t>огато влезе в сила Договорът от Амстердам.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 Регламент (ЕО) № 1683/95 за определяне на единен формат за визи се възприе оформлението, прието от държавите от Шенген, като в съображенията на регламента се посочва, че тези документи трябва да съдържат цялата</w:t>
      </w:r>
      <w:r>
        <w:rPr>
          <w:noProof/>
        </w:rPr>
        <w:t xml:space="preserve"> необходима информация, както и да отговарят на високи технически стандарти, и по-точно за защита срещу подправяне и фалшификация. Тези мерки бяха предприети в рамките на борбата с незаконната миграция.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След въвеждането на единния формат за визи бяха прие</w:t>
      </w:r>
      <w:r>
        <w:rPr>
          <w:noProof/>
        </w:rPr>
        <w:t>ти две съществени изменения на първоначалния регламент, които допринесоха за издаването на сигурни документи, отговарящи на високи технически стандарти. Първото изменение бе въведено с Регламент (ЕО)№ 334/2002  с изискването за фотография, която е направен</w:t>
      </w:r>
      <w:r>
        <w:rPr>
          <w:noProof/>
        </w:rPr>
        <w:t xml:space="preserve">а в съответствие със стандартите за повишена сигурност, като първа стъпка към използване на елементи, които предоставят по-надеждна връзка между притежателя и визовия стикер, като важен принос към обезпечаване на защитата на единния формат за визи и срещу </w:t>
      </w:r>
      <w:r>
        <w:rPr>
          <w:noProof/>
        </w:rPr>
        <w:t>използването му с измамна цел. Второто изменение с Регламент (ЕО) № 856/2008 се отнасяше главно до адаптиране на номерирането с цел да бъдат изпълнени изискванията на Визовата информационна система (ВИС).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Концепцията за сигурност на единния формат за визи</w:t>
      </w:r>
      <w:r>
        <w:rPr>
          <w:noProof/>
        </w:rPr>
        <w:t xml:space="preserve"> датира още от 1995 г., като се отчитат и горепосочените изменения. При все това наскоро в няколко държави членки бяха открити висококачествени фалшификати. Поради това е необходимо да се разработят нова концепция за сигурност и ново оформление, предназнач</w:t>
      </w:r>
      <w:r>
        <w:rPr>
          <w:noProof/>
        </w:rPr>
        <w:t xml:space="preserve">ени за бъдеща по-сигурна виза. 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Във връзка с бъдещата концепция за виза е важно да се има предвид, че настоящият документ за виза на ЕС е част от цялата визова система, включително Визовата информационна система (ВИС), която е все още в етап на въвеждане.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Независимо от системата за база данни, понастоящем продължава да е необходим физически документ за визата. Все още има потребност от визовия стикер, първо, поради всички многократни визи (МВ), издадени с дълъг срок на валидност преди пълното въвеждане на</w:t>
      </w:r>
      <w:r>
        <w:rPr>
          <w:noProof/>
        </w:rPr>
        <w:t xml:space="preserve"> ВИС, и второ, поради това, че единният формат за визи се използва също за визите за дълъг престой от вида „D“, които не се съхраняват във ВИС и които ще продължат да бъдат валидни още няколко години.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По тези причини физически документ за визовия стикер щ</w:t>
      </w:r>
      <w:r>
        <w:rPr>
          <w:noProof/>
        </w:rPr>
        <w:t>е продължи да бъде необходим и през следващите години.</w:t>
      </w:r>
    </w:p>
    <w:p w:rsidR="009D3E5A" w:rsidRDefault="009D3E5A">
      <w:pPr>
        <w:spacing w:before="0" w:after="0"/>
        <w:rPr>
          <w:rFonts w:eastAsia="Times New Roman"/>
          <w:noProof/>
          <w:szCs w:val="24"/>
        </w:rPr>
      </w:pPr>
    </w:p>
    <w:p w:rsidR="009D3E5A" w:rsidRDefault="00D858FD"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lastRenderedPageBreak/>
        <w:t>Освен това, що се отнася до настоящия визов стикер, необходимо е допълнително подобрение на цялостната му сигурност без увеличаване на разходите за самия документ.</w:t>
      </w:r>
    </w:p>
    <w:p w:rsidR="009D3E5A" w:rsidRDefault="00D858FD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РЕЗУЛТАТИ ОТ КОНСУЛТАЦИИТЕ СЪС </w:t>
      </w:r>
      <w:r>
        <w:rPr>
          <w:noProof/>
        </w:rPr>
        <w:t>ЗАИНТЕРЕСОВАНИТЕ СТРАНИ И ОТ ОЦЕНКИТЕ НА ВЪЗДЕЙСТВИЕТО</w:t>
      </w:r>
    </w:p>
    <w:p w:rsidR="009D3E5A" w:rsidRDefault="00D858FD">
      <w:pPr>
        <w:rPr>
          <w:noProof/>
        </w:rPr>
      </w:pPr>
      <w:r>
        <w:rPr>
          <w:noProof/>
        </w:rPr>
        <w:t>Съвсем наскоро имаше случай на подправяне, при който имаше имитации на испански, австрийски, германски, чешки и италиански визови стикери.</w:t>
      </w:r>
    </w:p>
    <w:p w:rsidR="009D3E5A" w:rsidRDefault="00D858FD">
      <w:pPr>
        <w:rPr>
          <w:noProof/>
        </w:rPr>
      </w:pPr>
      <w:r>
        <w:rPr>
          <w:noProof/>
        </w:rPr>
        <w:t xml:space="preserve">Общите елементи на подправянето са следните: всички кинеграми </w:t>
      </w:r>
      <w:r>
        <w:rPr>
          <w:noProof/>
        </w:rPr>
        <w:t>са истински и са били отделени от автентични документи, така че част от оригиналните дълбок печат и влакна могат да се видят и на фалшификатите. Нямаше значителни разлики във видимите изображения; те са били цифровизирани със скенер. Видимите офсетови фоно</w:t>
      </w:r>
      <w:r>
        <w:rPr>
          <w:noProof/>
        </w:rPr>
        <w:t xml:space="preserve">ви отпечатъци са били имитирани.  Безцветният ултравиолетов отпечатък е бил направен с ирисов печат с едно клише. На някои фалшификати многоцветните ултравиолетови влакна са били имитирани чрез офсетов печат. </w:t>
      </w:r>
    </w:p>
    <w:p w:rsidR="009D3E5A" w:rsidRDefault="00D858FD">
      <w:pPr>
        <w:rPr>
          <w:noProof/>
        </w:rPr>
      </w:pPr>
      <w:r>
        <w:rPr>
          <w:noProof/>
        </w:rPr>
        <w:t>Поради това специалисти от държавите членки см</w:t>
      </w:r>
      <w:r>
        <w:rPr>
          <w:noProof/>
        </w:rPr>
        <w:t>ятат, че в настоящото си оформление визовият стикер е изложен на риск. От това следва, че е необходимо спешно да се разработи ново оформление на визовия стикер с подобрени елементи за сигурност.</w:t>
      </w:r>
    </w:p>
    <w:p w:rsidR="009D3E5A" w:rsidRDefault="00D858FD">
      <w:pPr>
        <w:rPr>
          <w:noProof/>
        </w:rPr>
      </w:pPr>
      <w:r>
        <w:rPr>
          <w:noProof/>
        </w:rPr>
        <w:t>Комитетът, учреден съгласно член 6 от Регламент (ЕО) № 1683/1</w:t>
      </w:r>
      <w:r>
        <w:rPr>
          <w:noProof/>
        </w:rPr>
        <w:t>995, създаде още през 2009 г. подкомитет с цел разработването на проект на ново оформление с общи елементи за сигурност. Подгрупата заседава от два до три пъти годишно, за да подготви цялостен принос за новото оформление.</w:t>
      </w:r>
    </w:p>
    <w:p w:rsidR="009D3E5A" w:rsidRDefault="00D858FD">
      <w:pPr>
        <w:rPr>
          <w:noProof/>
        </w:rPr>
      </w:pPr>
      <w:r>
        <w:rPr>
          <w:noProof/>
        </w:rPr>
        <w:t>Бъдещите технически спецификации щ</w:t>
      </w:r>
      <w:r>
        <w:rPr>
          <w:noProof/>
        </w:rPr>
        <w:t>е позволят на държавите членки да изработят нов визов стикер със същите (единни) оформление, хартия и елементи за сигурност. В новото оформление елементите за сигурност са преместени от краищата на стикера на места, откъдето не могат да бъдат лесно изрязан</w:t>
      </w:r>
      <w:r>
        <w:rPr>
          <w:noProof/>
        </w:rPr>
        <w:t xml:space="preserve">и. Освен това, за да бъдат споменати някои от предложенията за новото оформление, се предлагат два номера върху стикера — в допълнение към хоризонталния номер в горния десен ъгъл вертикален номер до фотографията, за който се използва различен висок печат. </w:t>
      </w:r>
      <w:r>
        <w:rPr>
          <w:noProof/>
        </w:rPr>
        <w:t>Кинеграмата ще бъде поставена, като припокрива пространството за фотография и върху нея бъде нанесен  ултравиолетов печат. Тези предложения бяха направени от държавите членки след задълбочен анализ на най-често срещаните видове опит за измама, свързана с в</w:t>
      </w:r>
      <w:r>
        <w:rPr>
          <w:noProof/>
        </w:rPr>
        <w:t>изовия стикер. Това следва да повиши значително равнището на сигурност на визовия стикер.</w:t>
      </w:r>
    </w:p>
    <w:p w:rsidR="009D3E5A" w:rsidRDefault="00D858FD">
      <w:pPr>
        <w:rPr>
          <w:noProof/>
        </w:rPr>
      </w:pPr>
      <w:r>
        <w:rPr>
          <w:noProof/>
        </w:rPr>
        <w:t xml:space="preserve">Разходите за бъдещия визов стикер ще бъдат същите като настоящите, тъй като някои доставчици се съгласиха да доставят своите продукти на същата цена. Все пак може да </w:t>
      </w:r>
      <w:r>
        <w:rPr>
          <w:noProof/>
        </w:rPr>
        <w:t>възникнат еднократни допълнителни разходи за отделните производители в някои държави членки, тъй като те трябва да адаптират производството към новите изисквания.</w:t>
      </w:r>
    </w:p>
    <w:p w:rsidR="009D3E5A" w:rsidRDefault="00D858FD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ЕЛЕМЕНТИ НА ПРЕДЛОЖЕНИЕТО</w:t>
      </w:r>
    </w:p>
    <w:p w:rsidR="009D3E5A" w:rsidRDefault="00D858FD">
      <w:pPr>
        <w:rPr>
          <w:noProof/>
          <w:u w:val="single"/>
        </w:rPr>
      </w:pPr>
      <w:r>
        <w:rPr>
          <w:noProof/>
          <w:u w:val="single"/>
        </w:rPr>
        <w:t>Защо не се предлага преработка?</w:t>
      </w:r>
    </w:p>
    <w:p w:rsidR="009D3E5A" w:rsidRDefault="00D858FD">
      <w:pPr>
        <w:rPr>
          <w:noProof/>
        </w:rPr>
      </w:pPr>
      <w:r>
        <w:rPr>
          <w:noProof/>
        </w:rPr>
        <w:t>По принцип се смята, че п</w:t>
      </w:r>
      <w:r>
        <w:rPr>
          <w:noProof/>
        </w:rPr>
        <w:t xml:space="preserve">ри трето съществено изменение (като се броят техническите адаптации във връзка с присъединяването на нови държави членки и приемането на Визовия кодекс, настоящото предложение представлява </w:t>
      </w:r>
      <w:r>
        <w:rPr>
          <w:i/>
          <w:noProof/>
        </w:rPr>
        <w:t>шесто</w:t>
      </w:r>
      <w:r>
        <w:rPr>
          <w:noProof/>
        </w:rPr>
        <w:t xml:space="preserve"> изменение) обикновено следва да се предложи преработка. </w:t>
      </w:r>
    </w:p>
    <w:p w:rsidR="009D3E5A" w:rsidRDefault="00D858FD">
      <w:pPr>
        <w:rPr>
          <w:noProof/>
        </w:rPr>
      </w:pPr>
      <w:r>
        <w:rPr>
          <w:noProof/>
        </w:rPr>
        <w:lastRenderedPageBreak/>
        <w:t>В на</w:t>
      </w:r>
      <w:r>
        <w:rPr>
          <w:noProof/>
        </w:rPr>
        <w:t>стоящия случай са налице доводи, които мотивират отклонение от това правило. Основните промени ще бъдат в решението за изпълнение на Комисията, в което се определят секретните технически спецификации за производството на новия визов стикер — секретни, защо</w:t>
      </w:r>
      <w:r>
        <w:rPr>
          <w:noProof/>
        </w:rPr>
        <w:t>то извършителите на измами не трябва да получат достъп до техническите спецификации за производството на визовия стикер. Няма значителни промени в диспозитива на настоящия регламент, само приложението се заменя, за да бъде показано новото оформление. Необх</w:t>
      </w:r>
      <w:r>
        <w:rPr>
          <w:noProof/>
        </w:rPr>
        <w:t>одимо е бързо законодателно действие, тъй като извършителите на измами имат преднина; форматът за визи трябва да се направи по-устойчив на измами. Освен това за разлика от основни регламенти, като например Визовия кодекс, настоящият регламент е от ограниче</w:t>
      </w:r>
      <w:r>
        <w:rPr>
          <w:noProof/>
        </w:rPr>
        <w:t>н интерес за широката общественост. След приемането на настоящото предложение за изменение, което е неотложно, може да се извърши кодифициране на Регламента относно единния формат за визи.</w:t>
      </w:r>
    </w:p>
    <w:p w:rsidR="009D3E5A" w:rsidRDefault="00D858FD">
      <w:pPr>
        <w:rPr>
          <w:noProof/>
          <w:u w:val="single"/>
        </w:rPr>
      </w:pPr>
      <w:r>
        <w:rPr>
          <w:noProof/>
          <w:u w:val="single"/>
        </w:rPr>
        <w:t>Принцип на субсидиарност</w:t>
      </w:r>
    </w:p>
    <w:p w:rsidR="009D3E5A" w:rsidRDefault="00D858FD">
      <w:pPr>
        <w:rPr>
          <w:noProof/>
        </w:rPr>
      </w:pPr>
      <w:r>
        <w:rPr>
          <w:noProof/>
        </w:rPr>
        <w:t>Член 77, параграф 2, буква а) от ДФЕС опра</w:t>
      </w:r>
      <w:r>
        <w:rPr>
          <w:noProof/>
        </w:rPr>
        <w:t>вомощава Европейския парламент и Съвета да приемат „мерки в областта на общата политика по отношение на визите и другите разрешения за краткосрочно пребиваване“.</w:t>
      </w:r>
    </w:p>
    <w:p w:rsidR="009D3E5A" w:rsidRDefault="00D858FD">
      <w:pPr>
        <w:rPr>
          <w:noProof/>
        </w:rPr>
      </w:pPr>
      <w:r>
        <w:rPr>
          <w:noProof/>
        </w:rPr>
        <w:t>Посочените мерки включват, както и по-рано се съдържаше имплицитно в предишния текст на член 6</w:t>
      </w:r>
      <w:r>
        <w:rPr>
          <w:noProof/>
        </w:rPr>
        <w:t xml:space="preserve">2, параграф 2, буква б), подточка iii) и на член 100в, параграф 3 от ДЕО, единен формат за визи. </w:t>
      </w:r>
    </w:p>
    <w:p w:rsidR="009D3E5A" w:rsidRDefault="00D858FD">
      <w:pPr>
        <w:rPr>
          <w:noProof/>
        </w:rPr>
      </w:pPr>
      <w:r>
        <w:rPr>
          <w:noProof/>
        </w:rPr>
        <w:t>Настоящото предложение се вписва в границите, определени от тези разпоредби на Договора, и не променя приложното поле на законодателството на Съюза.</w:t>
      </w:r>
    </w:p>
    <w:p w:rsidR="009D3E5A" w:rsidRDefault="00D858FD">
      <w:pPr>
        <w:rPr>
          <w:noProof/>
          <w:spacing w:val="6"/>
        </w:rPr>
      </w:pPr>
      <w:r>
        <w:rPr>
          <w:noProof/>
          <w:spacing w:val="6"/>
        </w:rPr>
        <w:t xml:space="preserve">Целта на </w:t>
      </w:r>
      <w:r>
        <w:rPr>
          <w:noProof/>
          <w:spacing w:val="6"/>
        </w:rPr>
        <w:t>настоящото предложение е да се направи по-сигурен и да се подобри единният формат за визи предвид на развитието на методите на извършителите на измами. Тази цел не може да бъде постигната в достатъчна степен от държавите членки, действащи самостоятелно, тъ</w:t>
      </w:r>
      <w:r>
        <w:rPr>
          <w:noProof/>
          <w:spacing w:val="6"/>
        </w:rPr>
        <w:t>й като е необходимо единният формат да бъде действително единен и само Съюзът може да измени съществуващ акт на Съюза.</w:t>
      </w:r>
    </w:p>
    <w:p w:rsidR="009D3E5A" w:rsidRDefault="00D858FD">
      <w:pPr>
        <w:rPr>
          <w:noProof/>
          <w:u w:val="single"/>
        </w:rPr>
      </w:pPr>
      <w:r>
        <w:rPr>
          <w:noProof/>
          <w:u w:val="single"/>
        </w:rPr>
        <w:t>Принцип на пропорционалност</w:t>
      </w:r>
    </w:p>
    <w:p w:rsidR="009D3E5A" w:rsidRDefault="00D858FD">
      <w:pPr>
        <w:rPr>
          <w:noProof/>
        </w:rPr>
      </w:pPr>
      <w:r>
        <w:rPr>
          <w:noProof/>
        </w:rPr>
        <w:t>Член 5, параграф 4 от ДЕС гласи, че съдържанието и формата на дейност на Съюза не трябва да надхвърлят необхо</w:t>
      </w:r>
      <w:r>
        <w:rPr>
          <w:noProof/>
        </w:rPr>
        <w:t xml:space="preserve">димото за постигане на целите на Договорите. Избраната форма за тази дейност трябва да даде възможност предложението да постигне целта си и да бъде приложено възможно най-ефективно. </w:t>
      </w:r>
    </w:p>
    <w:p w:rsidR="009D3E5A" w:rsidRDefault="00D858FD">
      <w:pPr>
        <w:rPr>
          <w:noProof/>
          <w:spacing w:val="6"/>
        </w:rPr>
      </w:pPr>
      <w:r>
        <w:rPr>
          <w:noProof/>
          <w:spacing w:val="6"/>
        </w:rPr>
        <w:t>Създаването на единния формат за визи беше под формата на регламент, за д</w:t>
      </w:r>
      <w:r>
        <w:rPr>
          <w:noProof/>
          <w:spacing w:val="6"/>
        </w:rPr>
        <w:t>а се гарантира, че той ще се прилага по един и същ начин във всички държави членки. Настоящото предложение представлява изменение на вече съществуващ регламент и следователно трябва да е под формата на регламент. Що се отнася до съдържанието, настоящата ин</w:t>
      </w:r>
      <w:r>
        <w:rPr>
          <w:noProof/>
          <w:spacing w:val="6"/>
        </w:rPr>
        <w:t>ициатива е ограничена до подобрения на съществуващия регламент и се основава на целта на политиката за борба с незаконната миграция чрез повишаване на сигурността на документите срещу подправяне и фалшификация. Следователно предложението е в съответствие с</w:t>
      </w:r>
      <w:r>
        <w:rPr>
          <w:noProof/>
          <w:spacing w:val="6"/>
        </w:rPr>
        <w:t xml:space="preserve"> принципа на пропорционалност.</w:t>
      </w:r>
    </w:p>
    <w:p w:rsidR="009D3E5A" w:rsidRDefault="00D858FD">
      <w:pPr>
        <w:rPr>
          <w:noProof/>
          <w:u w:val="single"/>
        </w:rPr>
      </w:pPr>
      <w:r>
        <w:rPr>
          <w:noProof/>
          <w:u w:val="single"/>
        </w:rPr>
        <w:t>Избор на инструмент</w:t>
      </w:r>
    </w:p>
    <w:p w:rsidR="009D3E5A" w:rsidRDefault="00D858FD">
      <w:pPr>
        <w:rPr>
          <w:noProof/>
          <w:spacing w:val="2"/>
        </w:rPr>
      </w:pPr>
      <w:r>
        <w:rPr>
          <w:noProof/>
          <w:spacing w:val="2"/>
        </w:rPr>
        <w:t>Настоящото предложение изменя Регламент (ЕО) № 1683/95 за определяне на единен формат за визи. Поради това единственият възможен правен инструмент е регламентът.</w:t>
      </w:r>
    </w:p>
    <w:p w:rsidR="009D3E5A" w:rsidRDefault="00D858FD">
      <w:pPr>
        <w:rPr>
          <w:noProof/>
          <w:u w:val="single"/>
        </w:rPr>
      </w:pPr>
      <w:r>
        <w:rPr>
          <w:noProof/>
          <w:u w:val="single"/>
        </w:rPr>
        <w:lastRenderedPageBreak/>
        <w:t>Подробни разпоредби</w:t>
      </w:r>
    </w:p>
    <w:p w:rsidR="009D3E5A" w:rsidRDefault="00D858FD">
      <w:pPr>
        <w:rPr>
          <w:noProof/>
        </w:rPr>
      </w:pPr>
      <w:r>
        <w:rPr>
          <w:noProof/>
        </w:rPr>
        <w:t>Регламентът за изменени</w:t>
      </w:r>
      <w:r>
        <w:rPr>
          <w:noProof/>
        </w:rPr>
        <w:t xml:space="preserve">е се основава на член 77, параграф 2, буква а) от ДФЕС, който замени член 62, параграф 2, буква б), подточка iii) от ДЕО. </w:t>
      </w:r>
    </w:p>
    <w:p w:rsidR="009D3E5A" w:rsidRDefault="00D858FD">
      <w:pPr>
        <w:rPr>
          <w:noProof/>
        </w:rPr>
      </w:pPr>
      <w:r>
        <w:rPr>
          <w:noProof/>
        </w:rPr>
        <w:t>1. Участие на Дания, Ирландия и Обединеното кралство</w:t>
      </w:r>
    </w:p>
    <w:p w:rsidR="009D3E5A" w:rsidRDefault="00D858FD">
      <w:pPr>
        <w:rPr>
          <w:noProof/>
        </w:rPr>
      </w:pPr>
      <w:r>
        <w:rPr>
          <w:noProof/>
        </w:rPr>
        <w:t>В съответствие с член 6 от Протокол № 22 относно позицията на Дания членове 1, 2</w:t>
      </w:r>
      <w:r>
        <w:rPr>
          <w:noProof/>
        </w:rPr>
        <w:t xml:space="preserve"> и 3 от посочения протокол не се прилагат по отношение на мерки, свързани с единния формат за визи. Следователно не бе вмъкнато съображение относно Дания, тъй като Дания е в същото положение като всяка друга държава членка, която не е посочена в съображени</w:t>
      </w:r>
      <w:r>
        <w:rPr>
          <w:noProof/>
        </w:rPr>
        <w:t>е: след приемането на предложението то ще се прилага спрямо съответната държава.</w:t>
      </w:r>
    </w:p>
    <w:p w:rsidR="009D3E5A" w:rsidRDefault="00D858FD">
      <w:pPr>
        <w:rPr>
          <w:noProof/>
        </w:rPr>
      </w:pPr>
      <w:r>
        <w:rPr>
          <w:noProof/>
        </w:rPr>
        <w:t>В съответствие с член 4а, параграф 1 от Протокол № 21 относно позицията на Обединеното кралство и Ирландия по отношение на пространството на свобода, сигурност и правосъдие, п</w:t>
      </w:r>
      <w:r>
        <w:rPr>
          <w:noProof/>
        </w:rPr>
        <w:t>риложен към Договорите, разпоредбите на посочения протокол се прилагат също и по отношение на мерки, предложени или приети на основание дял V, трета част от ДФЕС, които изменят съществуваща мярка, която е със задължителна сила за Обединеното кралство и Ирл</w:t>
      </w:r>
      <w:r>
        <w:rPr>
          <w:noProof/>
        </w:rPr>
        <w:t>андия. Регламент (ЕО) № 1683/95, който настоящото предложение предлага да се измени, е със задължителна сила за Обединеното кралство и Ирландия. От това следва, че разпоредбите на Протокол № 21 се прилагат. Това означава, че Обединеното кралство и Ирландия</w:t>
      </w:r>
      <w:r>
        <w:rPr>
          <w:noProof/>
        </w:rPr>
        <w:t xml:space="preserve"> не участват в приемането на предложения регламент (член 1 от Протокол № 21), освен ако се възползват от правото си съгласно член 3 от Протокол № 21 да уведомят в срок до три месеца, считано от внасянето в Съвета на предложение, че желаят да вземат участие</w:t>
      </w:r>
      <w:r>
        <w:rPr>
          <w:noProof/>
        </w:rPr>
        <w:t xml:space="preserve"> в приемането и прилагането на тази мярка. Прилага се също член 4 от Протокол № 21, който дава възможност на Обединеното кралство и Ирландия да се присъединят към мярката след приемането ѝ от Европейския парламент и от Съвета, ако те не са направили това в</w:t>
      </w:r>
      <w:r>
        <w:rPr>
          <w:noProof/>
        </w:rPr>
        <w:t xml:space="preserve"> срок до три месеца след приемането на предложението. За да бъде взет предвид изборът, направен от Ирландия и Обединеното кралство,  в срок от три месеца след приемането на предложението, в квадратни скоби са представени текстовете на шест възможни съображ</w:t>
      </w:r>
      <w:r>
        <w:rPr>
          <w:noProof/>
        </w:rPr>
        <w:t>ения, от които едно или две ще бъде избрани от Европейския парламент и от Съвета като подходящи въз основа на избора на Ирландия и Обединеното кралство, направен в срок от три месеца след приемането на предложението.</w:t>
      </w:r>
    </w:p>
    <w:p w:rsidR="009D3E5A" w:rsidRDefault="009D3E5A">
      <w:pPr>
        <w:rPr>
          <w:noProof/>
        </w:rPr>
      </w:pPr>
    </w:p>
    <w:p w:rsidR="009D3E5A" w:rsidRDefault="00D858FD">
      <w:pPr>
        <w:rPr>
          <w:noProof/>
        </w:rPr>
      </w:pPr>
      <w:r>
        <w:rPr>
          <w:noProof/>
        </w:rPr>
        <w:t>2. Развитие на достиженията на правото</w:t>
      </w:r>
      <w:r>
        <w:rPr>
          <w:noProof/>
        </w:rPr>
        <w:t xml:space="preserve"> от Шенген по смисъла на споразуменията за асоцииране</w:t>
      </w:r>
    </w:p>
    <w:p w:rsidR="009D3E5A" w:rsidRDefault="00D858FD">
      <w:pPr>
        <w:rPr>
          <w:noProof/>
        </w:rPr>
      </w:pPr>
      <w:r>
        <w:rPr>
          <w:noProof/>
        </w:rPr>
        <w:t xml:space="preserve">Регламент (ЕО) № 1683/95 е част от достиженията на правото от Шенген, към които Норвегия и Исландия, Швейцария и Лихтенщайн са асоциирани въз основа на съответните си споразумения за асоцииране. Поради </w:t>
      </w:r>
      <w:r>
        <w:rPr>
          <w:noProof/>
        </w:rPr>
        <w:t>това предложеното изменение следва да се прилага и към тези асоциирани държави.</w:t>
      </w:r>
    </w:p>
    <w:p w:rsidR="009D3E5A" w:rsidRDefault="009D3E5A">
      <w:pPr>
        <w:rPr>
          <w:noProof/>
        </w:rPr>
      </w:pPr>
    </w:p>
    <w:p w:rsidR="009D3E5A" w:rsidRDefault="00D858FD">
      <w:pPr>
        <w:rPr>
          <w:noProof/>
        </w:rPr>
      </w:pPr>
      <w:r>
        <w:rPr>
          <w:noProof/>
        </w:rPr>
        <w:t>3. Диспозитив</w:t>
      </w:r>
    </w:p>
    <w:p w:rsidR="009D3E5A" w:rsidRDefault="00D858FD">
      <w:pPr>
        <w:rPr>
          <w:noProof/>
        </w:rPr>
      </w:pPr>
      <w:r>
        <w:rPr>
          <w:noProof/>
        </w:rPr>
        <w:t>Член 1</w:t>
      </w:r>
    </w:p>
    <w:p w:rsidR="009D3E5A" w:rsidRDefault="00D858FD">
      <w:pPr>
        <w:rPr>
          <w:noProof/>
        </w:rPr>
      </w:pPr>
      <w:r>
        <w:rPr>
          <w:noProof/>
        </w:rPr>
        <w:t>В тази разпоредба се определя, че приложението към Регламент (ЕО) № 1683/1995 следва да бъде заменено с новото приложение, което съдържа изображението и о</w:t>
      </w:r>
      <w:r>
        <w:rPr>
          <w:noProof/>
        </w:rPr>
        <w:t>бщото описание на новия визов стикер.</w:t>
      </w:r>
    </w:p>
    <w:p w:rsidR="009D3E5A" w:rsidRDefault="00D858FD">
      <w:pPr>
        <w:rPr>
          <w:noProof/>
        </w:rPr>
      </w:pPr>
      <w:r>
        <w:rPr>
          <w:noProof/>
        </w:rPr>
        <w:lastRenderedPageBreak/>
        <w:t>Член 2</w:t>
      </w:r>
    </w:p>
    <w:p w:rsidR="009D3E5A" w:rsidRDefault="00D858FD">
      <w:pPr>
        <w:rPr>
          <w:noProof/>
        </w:rPr>
      </w:pPr>
      <w:r>
        <w:rPr>
          <w:noProof/>
        </w:rPr>
        <w:t>С цел да се даде възможност за изчерпване на наличните запаси се предвижда преходен период от шест месеца, в който държавите членки могат да продължат да използват старите визови стикери.</w:t>
      </w:r>
    </w:p>
    <w:p w:rsidR="009D3E5A" w:rsidRDefault="00D858FD">
      <w:pPr>
        <w:rPr>
          <w:noProof/>
        </w:rPr>
      </w:pPr>
      <w:r>
        <w:rPr>
          <w:noProof/>
        </w:rPr>
        <w:t>Член 3</w:t>
      </w:r>
    </w:p>
    <w:p w:rsidR="009D3E5A" w:rsidRDefault="00D858FD">
      <w:pPr>
        <w:rPr>
          <w:noProof/>
        </w:rPr>
      </w:pPr>
      <w:r>
        <w:rPr>
          <w:noProof/>
        </w:rPr>
        <w:t>Първо, включва с</w:t>
      </w:r>
      <w:r>
        <w:rPr>
          <w:noProof/>
        </w:rPr>
        <w:t>е обичайната разпоредба за влизането в сила на регламента.</w:t>
      </w:r>
    </w:p>
    <w:p w:rsidR="009D3E5A" w:rsidRDefault="00D858FD">
      <w:pPr>
        <w:rPr>
          <w:noProof/>
        </w:rPr>
      </w:pPr>
      <w:r>
        <w:rPr>
          <w:noProof/>
        </w:rPr>
        <w:t>Второ, предвижда се, че държавите членки въвеждат новите визови стикери девет месеца, след като Комисията приеме решение за изпълнение относно допълнителните технически спецификации.</w:t>
      </w:r>
    </w:p>
    <w:p w:rsidR="009D3E5A" w:rsidRDefault="00D858FD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</w:t>
      </w:r>
      <w:r>
        <w:rPr>
          <w:noProof/>
        </w:rPr>
        <w:t>ЪРХУ БЮДЖЕТА</w:t>
      </w:r>
    </w:p>
    <w:p w:rsidR="009D3E5A" w:rsidRDefault="00D858FD">
      <w:pPr>
        <w:rPr>
          <w:noProof/>
        </w:rPr>
      </w:pPr>
      <w:r>
        <w:rPr>
          <w:noProof/>
        </w:rPr>
        <w:t xml:space="preserve">Предложеното изменение няма отражение върху бюджета на ЕС. </w:t>
      </w:r>
    </w:p>
    <w:p w:rsidR="009D3E5A" w:rsidRDefault="009D3E5A">
      <w:pPr>
        <w:rPr>
          <w:noProof/>
        </w:rPr>
        <w:sectPr w:rsidR="009D3E5A" w:rsidSect="00D858FD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 w:rsidR="009D3E5A" w:rsidRDefault="00D858FD" w:rsidP="00D858FD">
      <w:pPr>
        <w:pStyle w:val="Rfrenceinterinstitutionnelle"/>
        <w:rPr>
          <w:noProof/>
        </w:rPr>
      </w:pPr>
      <w:r w:rsidRPr="00D858FD">
        <w:lastRenderedPageBreak/>
        <w:t>2015/0134 (COD)</w:t>
      </w:r>
    </w:p>
    <w:p w:rsidR="009D3E5A" w:rsidRDefault="00D858FD" w:rsidP="00D858FD">
      <w:pPr>
        <w:pStyle w:val="Statut"/>
        <w:rPr>
          <w:noProof/>
        </w:rPr>
      </w:pPr>
      <w:r w:rsidRPr="00D858FD">
        <w:t>Предложение за</w:t>
      </w:r>
    </w:p>
    <w:p w:rsidR="009D3E5A" w:rsidRDefault="00D858FD" w:rsidP="00D858FD">
      <w:pPr>
        <w:pStyle w:val="Typedudocument"/>
        <w:rPr>
          <w:noProof/>
        </w:rPr>
      </w:pPr>
      <w:r w:rsidRPr="00D858FD">
        <w:t>РЕГЛАМЕНТ НА ЕВРОПЕЙСКИЯ ПАРЛАМЕНТ И НА СЪВЕТА</w:t>
      </w:r>
    </w:p>
    <w:p w:rsidR="009D3E5A" w:rsidRDefault="00D858FD" w:rsidP="00D858FD">
      <w:pPr>
        <w:pStyle w:val="Titreobjet"/>
        <w:rPr>
          <w:noProof/>
        </w:rPr>
      </w:pPr>
      <w:r w:rsidRPr="00D858FD">
        <w:t>за изменение на Регламент (ЕО) №</w:t>
      </w:r>
      <w:r>
        <w:t> </w:t>
      </w:r>
      <w:r w:rsidRPr="00D858FD">
        <w:t xml:space="preserve">1683/1995 от 29 май 1995 година за определяне на единен формат за визи </w:t>
      </w:r>
      <w:r w:rsidRPr="00D858FD">
        <w:br/>
      </w:r>
      <w:r w:rsidRPr="00D858FD">
        <w:br/>
        <w:t xml:space="preserve"> </w:t>
      </w:r>
    </w:p>
    <w:p w:rsidR="009D3E5A" w:rsidRDefault="00D858FD"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 w:rsidR="009D3E5A" w:rsidRDefault="00D858FD"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 77,</w:t>
      </w:r>
      <w:r>
        <w:rPr>
          <w:noProof/>
        </w:rPr>
        <w:t xml:space="preserve"> параграф 2, буква а) от него,</w:t>
      </w:r>
    </w:p>
    <w:p w:rsidR="009D3E5A" w:rsidRDefault="00D858FD"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 w:rsidR="009D3E5A" w:rsidRDefault="00D858FD"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 w:rsidR="009D3E5A" w:rsidRDefault="00D858FD"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 w:rsidR="009D3E5A" w:rsidRDefault="00D858FD">
      <w:pPr>
        <w:rPr>
          <w:noProof/>
        </w:rPr>
      </w:pPr>
      <w:r>
        <w:rPr>
          <w:noProof/>
        </w:rPr>
        <w:t>като имат предвид, че: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 Регламе</w:t>
      </w:r>
      <w:r>
        <w:rPr>
          <w:noProof/>
        </w:rPr>
        <w:t>нт (ЕО) № 1683/95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бе определен единен формат за визи.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Настоящият визов стикер, който е в обращение вече 20 години, трябва да се смята за изложен на риск предвид на сериозните случаи на подправяне и измама.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Поради това следва да се </w:t>
      </w:r>
      <w:r>
        <w:rPr>
          <w:noProof/>
        </w:rPr>
        <w:t>създаде ново общо оформление с по-модерни елементи за сигурност, които да повишат сигурността на визовия стикер и да предотвратят подправяне.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Настоящият регламент зачита основните права и съблюдава принципите, признати по-специално в Хартата на основни</w:t>
      </w:r>
      <w:r>
        <w:rPr>
          <w:noProof/>
        </w:rPr>
        <w:t>те права на Европейския съюз.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[В съответствие с членове 1 и 2 и с член 4а, параграф 1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</w:t>
      </w:r>
      <w:r>
        <w:rPr>
          <w:noProof/>
        </w:rPr>
        <w:t xml:space="preserve">пейския съюз и към Договора за функционирането на Европейския съюз, и без да се засяга член 4 от посочения протокол, тези държави членки не участват в приемането на настоящия регламент и не са обвързани от него, нито от неговото прилагане.] 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[В съответ</w:t>
      </w:r>
      <w:r>
        <w:rPr>
          <w:noProof/>
        </w:rPr>
        <w:t>ствие с членове 1 и 2 и с член 4а, параграф 1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</w:t>
      </w:r>
      <w:r>
        <w:rPr>
          <w:noProof/>
        </w:rPr>
        <w:t xml:space="preserve">то на Европейския съюз, и без да се засяга член 4 от посочения протокол, Обединеното кралство не участва в приемането на настоящия регламент и не е обвързано от него, нито от неговото прилагане.] 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lastRenderedPageBreak/>
        <w:t>(7)</w:t>
      </w:r>
      <w:r>
        <w:rPr>
          <w:noProof/>
        </w:rPr>
        <w:tab/>
        <w:t>[В съответствие с членове 1 и 2 и с член 4а, параграф 1</w:t>
      </w:r>
      <w:r>
        <w:rPr>
          <w:noProof/>
        </w:rPr>
        <w:t xml:space="preserve">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и без да се засяга чл</w:t>
      </w:r>
      <w:r>
        <w:rPr>
          <w:noProof/>
        </w:rPr>
        <w:t xml:space="preserve">ен 4 от посочения протокол, Ирландия не участва в приемането на настоящия регламент и не е обвързана от него, нито от неговото прилагане.] 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[В съответствие с член 3 и с член 4а, параграф 1 от Протокол № 21 относно позицията на Обединеното кралство и Ир</w:t>
      </w:r>
      <w:r>
        <w:rPr>
          <w:noProof/>
        </w:rPr>
        <w:t>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тези държави членки са нотифицирали желанието си да участват в приемането и прилагане</w:t>
      </w:r>
      <w:r>
        <w:rPr>
          <w:noProof/>
        </w:rPr>
        <w:t xml:space="preserve">то на настоящия регламент.] 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 xml:space="preserve">[В съответствие с член 3 и с член 4а, параграф 1 от Протокол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</w:t>
      </w:r>
      <w:r>
        <w:rPr>
          <w:noProof/>
        </w:rPr>
        <w:t xml:space="preserve">съюз и към Договора за функционирането на Европейския съюз, Обединеното кралство (, с писмо от ...,) е нотифицирало желанието си да участва в приемането и прилагането на настоящия регламент.] 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[В съответствие с член 3 и с член 4а, параграф 1 от Проток</w:t>
      </w:r>
      <w:r>
        <w:rPr>
          <w:noProof/>
        </w:rPr>
        <w:t xml:space="preserve">ол № 21 относно позицията на Обединеното кралство и Ирландия по отношение на пространството на свобода, сигурност и правосъдие, приложен към Договора за Европейския съюз и към Договора за функционирането на Европейския съюз, Ирландия (, с писмо от ...,) е </w:t>
      </w:r>
      <w:r>
        <w:rPr>
          <w:noProof/>
        </w:rPr>
        <w:t>нотифицирала желанието си да участва в приемането и прилагането на настоящия регламент.]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>Настоящият регламент представлява акт, който се основава на достиженията на правото от Шенген или по друг начин е свързан с тях съответно по смисъла на член 3, па</w:t>
      </w:r>
      <w:r>
        <w:rPr>
          <w:noProof/>
        </w:rPr>
        <w:t>раграф 1 от Акта за присъединяване от 2003 г., на член 4, параграф 1 от Акта за присъединяване от 2005 г. и на член 4, параграф 1 от Акта за присъединяване от 2011 г.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>По отношение на Исландия и Норвегия настоящият регламент представлява развитие на ра</w:t>
      </w:r>
      <w:r>
        <w:rPr>
          <w:noProof/>
        </w:rPr>
        <w:t>зпоредбите на достиженията на правото от Шенген по смисъла на Споразумението, сключено между Съвета на Европейския съюз, от една страна, и Република Исландия и Кралство Норвегия, от друга страна, за асоциирането на последните в процеса на изпълнение, прила</w:t>
      </w:r>
      <w:r>
        <w:rPr>
          <w:noProof/>
        </w:rPr>
        <w:t>гане и развитие на достиженията на правото от Шенген</w:t>
      </w:r>
      <w:r>
        <w:rPr>
          <w:rStyle w:val="FootnoteReference"/>
          <w:noProof/>
        </w:rPr>
        <w:footnoteReference w:id="2"/>
      </w:r>
      <w:r>
        <w:rPr>
          <w:noProof/>
        </w:rPr>
        <w:t>, които попадат в областта, посочена в член 1, буква Б от Решение 1999/437/ЕО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По отношение на Швейцария, настоящият регламент представлява развитие на разпоредбите на достиженията на пра</w:t>
      </w:r>
      <w:r>
        <w:rPr>
          <w:noProof/>
        </w:rPr>
        <w:t xml:space="preserve">вото от Шенген по смисъла на Споразумението, сключено между Европейския съюз, Европейската общност и Конфедерация Швейцария относно асоциирането на Конфедерация Швейцария към изпълнението, прилагането и развитието на достиженията на правото от </w:t>
      </w:r>
      <w:r>
        <w:rPr>
          <w:noProof/>
        </w:rPr>
        <w:lastRenderedPageBreak/>
        <w:t>Шенген</w:t>
      </w:r>
      <w:r>
        <w:rPr>
          <w:rStyle w:val="FootnoteReference"/>
          <w:noProof/>
        </w:rPr>
        <w:footnoteReference w:id="4"/>
      </w:r>
      <w:r>
        <w:rPr>
          <w:noProof/>
        </w:rPr>
        <w:t>, кои</w:t>
      </w:r>
      <w:r>
        <w:rPr>
          <w:noProof/>
        </w:rPr>
        <w:t>то попадат в областта, посочена в член 1, буква Б от Решение 1999/437/ЕО, във връзка с член 3 от Решение 2008/146/ЕО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 w:rsidR="009D3E5A" w:rsidRDefault="00D858FD"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>По отношение на Лихтенщайн настоящият регламент представлява развитие на разпоредбите на достиженията на правото от Шенген</w:t>
      </w:r>
      <w:r>
        <w:rPr>
          <w:noProof/>
        </w:rPr>
        <w:t xml:space="preserve"> по смисъла на Протокола между Европейския съюз, Европейската общност, Конфедерация Швейцария и Княжество Лихтенщайн относно присъединяването на Княжество Лихтенщайн към Споразумението между Европейския съюз, Европейската общност и Конфедерация Швейцария о</w:t>
      </w:r>
      <w:r>
        <w:rPr>
          <w:noProof/>
        </w:rPr>
        <w:t>тносно асоциирането на Конфедерация Швейцария към изпълнението, прилагането и развитието на достиженията на правото от Шенген</w:t>
      </w:r>
      <w:r>
        <w:rPr>
          <w:rStyle w:val="FootnoteReference"/>
          <w:noProof/>
        </w:rPr>
        <w:footnoteReference w:id="6"/>
      </w:r>
      <w:r>
        <w:rPr>
          <w:noProof/>
        </w:rPr>
        <w:t>, които попадат в областта, посочена в член 1, буква Б от Решение 1999/437/ЕО, във връзка с член 3 от Решение 2011/350/ЕС на Съвет</w:t>
      </w:r>
      <w:r>
        <w:rPr>
          <w:noProof/>
        </w:rPr>
        <w:t>а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 w:rsidR="009D3E5A" w:rsidRDefault="00D858FD"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 w:rsidR="009D3E5A" w:rsidRDefault="00D858FD">
      <w:pPr>
        <w:pStyle w:val="Titrearticle"/>
        <w:rPr>
          <w:noProof/>
        </w:rPr>
      </w:pPr>
      <w:r>
        <w:rPr>
          <w:noProof/>
        </w:rPr>
        <w:t>Член 1</w:t>
      </w:r>
    </w:p>
    <w:p w:rsidR="009D3E5A" w:rsidRDefault="00D858FD">
      <w:pPr>
        <w:rPr>
          <w:noProof/>
        </w:rPr>
      </w:pPr>
      <w:r>
        <w:rPr>
          <w:noProof/>
        </w:rPr>
        <w:t>Приложението към Регламент (ЕО) № 1683/95 се заменя с текста в приложението към настоящия регламент.</w:t>
      </w:r>
    </w:p>
    <w:p w:rsidR="009D3E5A" w:rsidRDefault="00D858FD">
      <w:pPr>
        <w:pStyle w:val="Titrearticle"/>
        <w:rPr>
          <w:noProof/>
        </w:rPr>
      </w:pPr>
      <w:r>
        <w:rPr>
          <w:noProof/>
        </w:rPr>
        <w:t xml:space="preserve"> Член 2</w:t>
      </w:r>
    </w:p>
    <w:p w:rsidR="009D3E5A" w:rsidRDefault="00D858FD">
      <w:pPr>
        <w:rPr>
          <w:noProof/>
        </w:rPr>
      </w:pPr>
      <w:r>
        <w:rPr>
          <w:noProof/>
        </w:rPr>
        <w:t>Визовите стикери, които съответстват на спецификациите, посочени в приложението към Регламент (ЕО) № 1683/95</w:t>
      </w:r>
      <w:r>
        <w:rPr>
          <w:noProof/>
        </w:rPr>
        <w:t xml:space="preserve"> и приложими до датата, посочена в член 3, параграф 2, могат да се използват за визи, издадени до шест месеца след посочената дата.</w:t>
      </w:r>
    </w:p>
    <w:p w:rsidR="009D3E5A" w:rsidRDefault="00D858FD">
      <w:pPr>
        <w:pStyle w:val="Titrearticle"/>
        <w:rPr>
          <w:noProof/>
        </w:rPr>
      </w:pPr>
      <w:r>
        <w:rPr>
          <w:noProof/>
        </w:rPr>
        <w:t>Член 3</w:t>
      </w:r>
    </w:p>
    <w:p w:rsidR="009D3E5A" w:rsidRDefault="00D858FD"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 xml:space="preserve">Официален вестник на Европейския </w:t>
      </w:r>
      <w:r>
        <w:rPr>
          <w:i/>
          <w:noProof/>
        </w:rPr>
        <w:t>съюз</w:t>
      </w:r>
      <w:r>
        <w:rPr>
          <w:noProof/>
        </w:rPr>
        <w:t>.</w:t>
      </w:r>
    </w:p>
    <w:p w:rsidR="009D3E5A" w:rsidRDefault="00D858FD">
      <w:pPr>
        <w:rPr>
          <w:noProof/>
        </w:rPr>
      </w:pPr>
      <w:r>
        <w:rPr>
          <w:noProof/>
        </w:rPr>
        <w:t>Той започва да се прилага девет месеца след приемането на допълнителните технически спецификации, посочени в член 2 от Регламент (ЕО) № 1683/95.</w:t>
      </w:r>
    </w:p>
    <w:p w:rsidR="009D3E5A" w:rsidRDefault="00D858FD">
      <w:pPr>
        <w:rPr>
          <w:noProof/>
        </w:rPr>
      </w:pPr>
      <w:r>
        <w:rPr>
          <w:noProof/>
        </w:rPr>
        <w:t xml:space="preserve">Настоящият регламент е задължителен в своята цялост и се прилага пряко в държавите членки в съответствие </w:t>
      </w:r>
      <w:r>
        <w:rPr>
          <w:noProof/>
        </w:rPr>
        <w:t>с Договорите.</w:t>
      </w:r>
    </w:p>
    <w:p w:rsidR="009D3E5A" w:rsidRDefault="00D858FD" w:rsidP="00D858FD">
      <w:pPr>
        <w:pStyle w:val="Fait"/>
        <w:rPr>
          <w:noProof/>
        </w:rPr>
      </w:pPr>
      <w:r w:rsidRPr="00D858FD">
        <w:t xml:space="preserve">Съставено в Брюксел на </w:t>
      </w:r>
      <w:r w:rsidRPr="00D858FD">
        <w:rPr>
          <w:rStyle w:val="Marker2"/>
        </w:rPr>
        <w:t>[…]</w:t>
      </w:r>
      <w:r w:rsidRPr="00D858FD">
        <w:t xml:space="preserve"> година.</w:t>
      </w:r>
    </w:p>
    <w:p w:rsidR="009D3E5A" w:rsidRDefault="00D858FD"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 w:rsidR="009D3E5A" w:rsidRDefault="00D858FD"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 w:rsidR="009D3E5A" w:rsidSect="00D858FD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5A" w:rsidRDefault="00D858FD">
      <w:pPr>
        <w:spacing w:before="0" w:after="0"/>
      </w:pPr>
      <w:r>
        <w:separator/>
      </w:r>
    </w:p>
  </w:endnote>
  <w:endnote w:type="continuationSeparator" w:id="0">
    <w:p w:rsidR="009D3E5A" w:rsidRDefault="00D858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5A" w:rsidRPr="00D858FD" w:rsidRDefault="00D858FD" w:rsidP="00D858FD">
    <w:pPr>
      <w:pStyle w:val="Footer"/>
      <w:rPr>
        <w:rFonts w:ascii="Arial" w:hAnsi="Arial" w:cs="Arial"/>
        <w:b/>
        <w:sz w:val="48"/>
      </w:rPr>
    </w:pPr>
    <w:r w:rsidRPr="00D858FD">
      <w:rPr>
        <w:rFonts w:ascii="Arial" w:hAnsi="Arial" w:cs="Arial"/>
        <w:b/>
        <w:sz w:val="48"/>
      </w:rPr>
      <w:t>BG</w:t>
    </w:r>
    <w:r w:rsidRPr="00D858FD">
      <w:rPr>
        <w:rFonts w:ascii="Arial" w:hAnsi="Arial" w:cs="Arial"/>
        <w:b/>
        <w:sz w:val="48"/>
      </w:rPr>
      <w:tab/>
    </w:r>
    <w:r w:rsidRPr="00D858F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858FD">
      <w:tab/>
    </w:r>
    <w:proofErr w:type="spellStart"/>
    <w:r w:rsidRPr="00D858FD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5A" w:rsidRPr="00D858FD" w:rsidRDefault="00D858FD" w:rsidP="00D858FD">
    <w:pPr>
      <w:pStyle w:val="Footer"/>
      <w:rPr>
        <w:rFonts w:ascii="Arial" w:hAnsi="Arial" w:cs="Arial"/>
        <w:b/>
        <w:sz w:val="48"/>
      </w:rPr>
    </w:pPr>
    <w:r w:rsidRPr="00D858FD">
      <w:rPr>
        <w:rFonts w:ascii="Arial" w:hAnsi="Arial" w:cs="Arial"/>
        <w:b/>
        <w:sz w:val="48"/>
      </w:rPr>
      <w:t>BG</w:t>
    </w:r>
    <w:r w:rsidRPr="00D858F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D858FD">
      <w:tab/>
    </w:r>
    <w:r w:rsidRPr="00D858F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5A" w:rsidRDefault="00D858FD">
      <w:pPr>
        <w:spacing w:before="0" w:after="0"/>
      </w:pPr>
      <w:r>
        <w:separator/>
      </w:r>
    </w:p>
  </w:footnote>
  <w:footnote w:type="continuationSeparator" w:id="0">
    <w:p w:rsidR="009D3E5A" w:rsidRDefault="00D858FD">
      <w:pPr>
        <w:spacing w:before="0" w:after="0"/>
      </w:pPr>
      <w:r>
        <w:continuationSeparator/>
      </w:r>
    </w:p>
  </w:footnote>
  <w:footnote w:id="1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  <w:t>Регламент (ЕО) № 29/164 на Съвета от 29 май 1995 г. за определяне на единен формат за визи (ОВ L 164, 14.7.1995 г., стр. 1).</w:t>
      </w:r>
    </w:p>
  </w:footnote>
  <w:footnote w:id="2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ОВ L 176, </w:t>
      </w:r>
      <w:r>
        <w:t>10.7.1999 г., стр. 36.</w:t>
      </w:r>
    </w:p>
  </w:footnote>
  <w:footnote w:id="3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Решение 1999/437/ЕО на Съвета от 17 май 1999 г. относно определени условия по прилагането на Споразумението между Съвета на Европейския съюз и Република Исландия и Кралство Норвегия за асоцииране на тези две държави при </w:t>
      </w:r>
      <w:r>
        <w:t xml:space="preserve">изпълнението, прилагането и развитието на достиженията на правото от </w:t>
      </w:r>
      <w:proofErr w:type="spellStart"/>
      <w:r>
        <w:t>Шенген</w:t>
      </w:r>
      <w:proofErr w:type="spellEnd"/>
      <w:r>
        <w:t xml:space="preserve"> (ОВ L 176, 10.7.1999 г., стр. 31).</w:t>
      </w:r>
    </w:p>
  </w:footnote>
  <w:footnote w:id="4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>ОВ L 53, 27.2.2008 г., стр. 52.</w:t>
      </w:r>
    </w:p>
  </w:footnote>
  <w:footnote w:id="5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>Решение 2008/146/ЕО на Съвета от 28 януари 2008 г. за сключване от името на Европейската общност на Споразуме</w:t>
      </w:r>
      <w:r>
        <w:t xml:space="preserve">ние между Европейския съюз, Европейската общност и Конфедерация Швейцария за асоцииране на Конфедерация Швейцария към въвеждането, прилагането и развитието на достиженията на правото от </w:t>
      </w:r>
      <w:proofErr w:type="spellStart"/>
      <w:r>
        <w:t>Шенген</w:t>
      </w:r>
      <w:proofErr w:type="spellEnd"/>
      <w:r>
        <w:t xml:space="preserve"> (ОВ L 53, 27.2.2008 г., стр. 1).</w:t>
      </w:r>
    </w:p>
  </w:footnote>
  <w:footnote w:id="6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>ОВ L 160, 18.6.2011 г., стр.</w:t>
      </w:r>
      <w:r>
        <w:t xml:space="preserve"> 21.</w:t>
      </w:r>
    </w:p>
  </w:footnote>
  <w:footnote w:id="7">
    <w:p w:rsidR="009D3E5A" w:rsidRDefault="00D858FD">
      <w:pPr>
        <w:pStyle w:val="FootnoteText"/>
      </w:pPr>
      <w:r>
        <w:rPr>
          <w:rStyle w:val="FootnoteReference"/>
        </w:rPr>
        <w:footnoteRef/>
      </w:r>
      <w:r>
        <w:tab/>
      </w:r>
      <w:r>
        <w:t>Решение 2011/350/ЕС на Съвета от 7 март 2011 г. за сключване от името на Европейския съюз на Протокола между Европейския съюз, Европейската общност, Конфедерация Швейцария и Княжество Лихтенщайн относно присъединяването на Княжество Лихтенщайн към С</w:t>
      </w:r>
      <w:r>
        <w:t xml:space="preserve">поразумението между Европейския съюз, Европейската общност и Конфедерация Швейцария относно асоциирането на Конфедерация Швейцария към изпълнението, прилагането и развитието на достиженията на правото от </w:t>
      </w:r>
      <w:proofErr w:type="spellStart"/>
      <w:r>
        <w:t>Шенген</w:t>
      </w:r>
      <w:proofErr w:type="spellEnd"/>
      <w:r>
        <w:t>, по отношение на премахването на проверките п</w:t>
      </w:r>
      <w:r>
        <w:t>о вътрешните граници и движението на хора (</w:t>
      </w:r>
      <w:r>
        <w:rPr>
          <w:rStyle w:val="CRMinorChangeAdded"/>
          <w:u w:val="none"/>
        </w:rPr>
        <w:t>ОВ L 160, 18.6.2011 г., стр. 19).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D" w:rsidRPr="00D858FD" w:rsidRDefault="00D858FD" w:rsidP="00D858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1485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5B44B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E3617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BCC47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51EB2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896C1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6F27A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3021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7-03 09:39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4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/EU RESTRICTED"/>
    <w:docVar w:name="LW_CORRIGENDUM" w:val="Annule et remplace le document COM(2015) 303 final du 24.6.2015._x000b_La modification concerne uniquement l'annexe dans toutes ses versions linguistiques (remplacement de l'image à la page 2 par l'image plus lisible)._x000b_"/>
    <w:docVar w:name="LW_COVERPAGE_GUID" w:val="230C921154534E41B3ABA0B302C8AA4D"/>
    <w:docVar w:name="LW_CROSSREFERENCE" w:val="&lt;UNUSED&gt;"/>
    <w:docVar w:name="LW_DocType" w:val="COM"/>
    <w:docVar w:name="LW_EMISSION" w:val="3.7.2015"/>
    <w:docVar w:name="LW_EMISSION_ISODATE" w:val="2015-07-03"/>
    <w:docVar w:name="LW_EMISSION_LOCATION" w:val="BRX"/>
    <w:docVar w:name="LW_EMISSION_PREFIX" w:val="\u1041?\u1088?\u1102?\u1082?\u1089?\u1077?\u1083?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34"/>
    <w:docVar w:name="LW_REF.II.NEW.CP_YEAR" w:val="2015"/>
    <w:docVar w:name="LW_REF.INST.NEW" w:val="COM"/>
    <w:docVar w:name="LW_REF.INST.NEW_ADOPTED" w:val="final/ 2"/>
    <w:docVar w:name="LW_REF.INST.NEW_TEXT" w:val="(2015) 30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4?) \u8470? 1683/1995 \u1086?\u1090? 29 \u1084?\u1072?\u1081? 1995 \u1075?\u1086?\u1076?\u1080?\u1085?\u1072? \u1079?\u1072? \u1086?\u1087?\u1088?\u1077?\u1076?\u1077?\u1083?\u1103?\u1085?\u1077? \u1085?\u1072? \u1077?\u1076?\u1080?\u1085?\u1077?\u1085? \u1092?\u1086?\u1088?\u1084?\u1072?\u1090? \u1079?\u1072? \u1074?\u1080?\u1079?\u1080? _x000b__x000b_ 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w:rsids>
    <w:rsidRoot w:val="009D3E5A"/>
    <w:rsid w:val="009D3E5A"/>
    <w:rsid w:val="00D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CRDeleted">
    <w:name w:val="CR Deleted"/>
    <w:rPr>
      <w:rFonts w:cs="Times New Roman"/>
      <w:dstrike/>
      <w:lang w:val="bg-BG" w:eastAsia="bg-BG"/>
    </w:rPr>
  </w:style>
  <w:style w:type="character" w:customStyle="1" w:styleId="CRMinorChangeAdded">
    <w:name w:val="CR Minor Change Added"/>
    <w:rPr>
      <w:rFonts w:cs="Times New Roman"/>
      <w:u w:val="double"/>
      <w:lang w:val="bg-BG" w:eastAsia="bg-BG"/>
    </w:rPr>
  </w:style>
  <w:style w:type="character" w:customStyle="1" w:styleId="CRMinorChangeDeleted">
    <w:name w:val="CR Minor Change Deleted"/>
    <w:rPr>
      <w:rFonts w:cs="Times New Roman"/>
      <w:dstrike/>
      <w:u w:val="double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858F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D858FD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858FD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F7D1-A406-481C-8AA6-522E8EF7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9</Pages>
  <Words>3121</Words>
  <Characters>15923</Characters>
  <Application>Microsoft Office Word</Application>
  <DocSecurity>0</DocSecurity>
  <Lines>274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KUDRYK Katarzyna (SG)</cp:lastModifiedBy>
  <cp:revision>34</cp:revision>
  <cp:lastPrinted>2015-03-26T09:32:00Z</cp:lastPrinted>
  <dcterms:created xsi:type="dcterms:W3CDTF">2015-05-11T13:50:00Z</dcterms:created>
  <dcterms:modified xsi:type="dcterms:W3CDTF">2015-07-03T09:43:00Z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SJ-023</vt:lpwstr>
  </property>
  <property fmtid="{D5CDD505-2E9C-101B-9397-08002B2CF9AE}" pid="10" name="DQCStatus">
    <vt:lpwstr>Yellow (DQC version 02)</vt:lpwstr>
  </property>
</Properties>
</file>