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54A0C5190684DB19CBFEF7E03F7EBC4" style="width:450.75pt;height:407.2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rPr>
          <w:noProof/>
          <w:szCs w:val="24"/>
        </w:rPr>
      </w:pPr>
      <w:r>
        <w:rPr>
          <w:noProof/>
        </w:rPr>
        <w:t>На 1 юни 2015 г. влезе в сила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страна.</w:t>
      </w:r>
    </w:p>
    <w:p>
      <w:pPr>
        <w:rPr>
          <w:noProof/>
          <w:szCs w:val="24"/>
        </w:rPr>
      </w:pPr>
      <w:r>
        <w:rPr>
          <w:noProof/>
        </w:rPr>
        <w:t>Съветът за стабилизиране и асоцииране, създаден с член 115 от горепосоченото споразумение, контролира изпълнението на това споразумение и разглежда всички важни въпроси, възникващи в рамките на споразумението, както и всякакви други двустранни или международни въпроси от взаимен интерес.</w:t>
      </w:r>
    </w:p>
    <w:p>
      <w:pPr>
        <w:rPr>
          <w:noProof/>
          <w:szCs w:val="24"/>
        </w:rPr>
      </w:pPr>
      <w:r>
        <w:rPr>
          <w:noProof/>
        </w:rPr>
        <w:t>Съгласно предвиденото в член 116 от Споразумението за стабилизиране и асоцииране Съветът за стабилизиране и асоцииране установява своя процедурен правилник. В съответствие с член 118 от споразумението в процедурния правилник се определят задълженията на Комитета за стабилизиране и асоцииране, който подпомага Съвета за стабилизиране и асоцииране при изпълнението на неговите задължения.</w:t>
      </w:r>
    </w:p>
    <w:p>
      <w:pPr>
        <w:rPr>
          <w:noProof/>
          <w:szCs w:val="24"/>
        </w:rPr>
      </w:pPr>
      <w:r>
        <w:rPr>
          <w:noProof/>
        </w:rPr>
        <w:t xml:space="preserve">В съответствие с член 218, параграф 9 от Договора за функционирането на Европейския съюз позицията, която трябва да се заеме от Съюза в Съвета за стабилизиране и асоцииране във връзка с решение на Съвета за стабилизиране и асоцииране за приемане на неговия процедурен правилник, се определя с решение на Съвета по предложение на Комисията. </w:t>
      </w:r>
    </w:p>
    <w:p>
      <w:pPr>
        <w:rPr>
          <w:noProof/>
          <w:szCs w:val="24"/>
        </w:rPr>
      </w:pPr>
      <w:r>
        <w:rPr>
          <w:noProof/>
        </w:rPr>
        <w:t>Поради това Съветът се приканва да приеме приложеното предложение за решение за позицията на Европейския съюз относно решение на Съвета за стабилизиране и асоцииране относно неговия процедурен правилник.</w:t>
      </w:r>
    </w:p>
    <w:p>
      <w:pPr>
        <w:rPr>
          <w:noProof/>
          <w:szCs w:val="24"/>
        </w:rPr>
      </w:pPr>
      <w:r>
        <w:rPr>
          <w:noProof/>
        </w:rPr>
        <w:t>За информация на Съвета проектите на процедурните правилници на съответните подкомитети и специални групи са предоставени в отделен документ.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2015/0161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установяване на позицията, която да бъде заета от името на Европейския съюз в рамките на Съвета за стабилизиране и асоцииране, създаден със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по отношение на решение на Съвета за стабилизиране и асоцииране за приемане на неговия процедурен правилник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 и по-специално член 217, във връзка с член 218, параграф 9 от него,</w:t>
      </w:r>
    </w:p>
    <w:p>
      <w:pPr>
        <w:spacing w:before="0" w:after="240" w:line="276" w:lineRule="auto"/>
        <w:jc w:val="left"/>
        <w:rPr>
          <w:noProof/>
          <w:szCs w:val="24"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член 115 от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 (наричано по-нататък „ССА“), се създава Съвет за стабилизиране и асоцииране.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член 116 от ССА се предвижда, че Съветът за стабилизиране и асоцииране приема свой процедурен правилник.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В член 118 от ССА се предвижда, че Съветът за стабилизиране и асоцииране се подпомага от Комитет за стабилизиране и асоцииране.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Член 118 от ССА предвижда Съветът за стабилизиране и асоцииране в съответствие със своя процедурен правилник да определи задълженията на Комитета за стабилизиране и асоцииране, като Съветът за стабилизиране и асоцииране може да делегира всяко от правомощията си на Комитета за стабилизиране и асоцииране.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член 120 от горепосоченото споразумение се предвижда, че Съветът за стабилизиране и асоцииране може да реши да създаде други специализирани комитети или органи, които могат да го подпомагат при изпълнението на неговите задължения. В него се предвижда също така, че в процедурния си правилник Съветът за стабилизиране и асоцииране определя състава и задълженията на тези комитети и органи и начина, по който те функционират,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spacing w:before="0" w:after="200" w:line="276" w:lineRule="auto"/>
        <w:jc w:val="left"/>
        <w:rPr>
          <w:i/>
          <w:noProof/>
        </w:rPr>
      </w:pPr>
      <w:r>
        <w:rPr>
          <w:noProof/>
        </w:rPr>
        <w:br w:type="page"/>
      </w:r>
    </w:p>
    <w:p>
      <w:pPr>
        <w:pStyle w:val="Titrearticle"/>
        <w:rPr>
          <w:noProof/>
        </w:rPr>
      </w:pPr>
      <w:r>
        <w:rPr>
          <w:noProof/>
        </w:rPr>
        <w:t>Член единствен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 xml:space="preserve">Позицията, която да се приеме от Европейския съюз в рамките на Съвета за стабилизиране и асоцииране, създаден с член 115 от ССА, във връзка с решение на Съвета за стабилизиране и асоцииране за приемане на неговия процедурен правилник, се определя в проекта на решение на Съвета за стабилизиране и асоцииране, приложен към настоящото решение. </w:t>
      </w:r>
    </w:p>
    <w:p>
      <w:pPr>
        <w:spacing w:before="0" w:after="200" w:line="276" w:lineRule="auto"/>
        <w:rPr>
          <w:noProof/>
          <w:szCs w:val="24"/>
        </w:rPr>
      </w:pPr>
      <w:r>
        <w:rPr>
          <w:noProof/>
        </w:rPr>
        <w:t>Могат да се приемат незначителни изменения на проекторешението, без да е необходимо друго решение на Съвета.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За Съвета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268A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F464A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D8464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7BC60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60073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D96B5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4CE9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9E9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28 16:18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254A0C5190684DB19CBFEF7E03F7EBC4"/>
    <w:docVar w:name="LW_CROSSREFERENCE" w:val="&lt;UNUSED&gt;"/>
    <w:docVar w:name="LW_DocType" w:val="COM"/>
    <w:docVar w:name="LW_EMISSION" w:val="29.7.2015"/>
    <w:docVar w:name="LW_EMISSION_ISODATE" w:val="2015-07-29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61"/>
    <w:docVar w:name="LW_REF.II.NEW.CP_YEAR" w:val="2015"/>
    <w:docVar w:name="LW_REF.INST.NEW" w:val="COM"/>
    <w:docVar w:name="LW_REF.INST.NEW_ADOPTED" w:val="final"/>
    <w:docVar w:name="LW_REF.INST.NEW_TEXT" w:val="(2015) 368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91?\u1089?\u1090?\u1072?\u1085?\u1086?\u1074?\u1103?\u1074?\u1072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89?\u1090?\u1072?\u1073?\u1080?\u1083?\u1080?\u1079?\u1080?\u1088?\u1072?\u1085?\u1077? \u1080? \u1072?\u1089?\u1086?\u1094?\u1080?\u1080?\u1088?\u1072?\u1085?\u1077?, \u1089?\u1098?\u1079?\u1076?\u1072?\u1076?\u1077?\u1085? \u1089?\u1098?\u1089? \u1057?\u1087?\u1086?\u1088?\u1072?\u1079?\u1091?\u1084?\u1077?\u1085?\u1080?\u1077?\u1090?\u1086? \u1079?\u1072? \u1089?\u1090?\u1072?\u1073?\u1080?\u1083?\u1080?\u1079?\u1080?\u1088?\u1072?\u1085?\u1077? \u1080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41?\u1086?\u1089?\u1085?\u1072? \u1080? \u1061?\u1077?\u1088?\u1094?\u1077?\u1075?\u1086?\u1074?\u1080?\u1085?\u1072?, \u1086?\u1090? \u1076?\u1088?\u1091?\u1075?\u1072? \u1089?\u1090?\u1088?\u1072?\u1085?\u1072?, \u1087?\u1086? \u1086?\u1090?\u1085?\u1086?\u1096?\u1077?\u1085?\u1080?\u1077? \u1085?\u1072? \u1088?\u1077?\u1096?\u1077?\u1085?\u1080?\u1077? \u1085?\u1072? \u1057?\u1098?\u1074?\u1077?\u1090?\u1072? \u1079?\u1072? \u1089?\u1090?\u1072?\u1073?\u1080?\u1083?\u1080?\u1079?\u1080?\u1088?\u1072?\u1085?\u1077? \u1080? \u1072?\u1089?\u1086?\u1094?\u1080?\u1080?\u1088?\u1072?\u1085?\u1077? \u1079?\u1072? \u1087?\u1088?\u1080?\u1077?\u1084?\u1072?\u1085?\u1077? \u1085?\u1072? \u1085?\u1077?\u1075?\u1086?\u1074?\u1080?\u1103? \u1087?\u1088?\u1086?\u1094?\u1077?\u1076?\u1091?\u1088?\u1077?\u1085? \u1087?\u1088?\u1072?\u1074?\u1080?\u1083?\u1085?\u1080?\u108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217D-A50F-4318-9BED-3EA24F6A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600</Words>
  <Characters>3444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2015-07-17T06:52:00Z</dcterms:created>
  <dcterms:modified xsi:type="dcterms:W3CDTF">2015-07-28T14:18:00Z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