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9360FCEA0E54BC08F405DE4E2205926"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360"/>
        <w:jc w:val="center"/>
        <w:rPr>
          <w:b/>
          <w:smallCaps/>
          <w:noProof/>
        </w:rPr>
      </w:pPr>
      <w:bookmarkStart w:id="0" w:name="_GoBack"/>
      <w:bookmarkEnd w:id="0"/>
      <w:r>
        <w:rPr>
          <w:b/>
          <w:smallCaps/>
          <w:noProof/>
        </w:rPr>
        <w:lastRenderedPageBreak/>
        <w:t>For the information of the Council only</w:t>
      </w:r>
    </w:p>
    <w:p>
      <w:pPr>
        <w:jc w:val="center"/>
        <w:rPr>
          <w:b/>
          <w:noProof/>
        </w:rPr>
      </w:pPr>
      <w:r>
        <w:rPr>
          <w:b/>
          <w:noProof/>
        </w:rPr>
        <w:t>DRAFT</w:t>
      </w:r>
      <w:r>
        <w:rPr>
          <w:b/>
          <w:noProof/>
        </w:rPr>
        <w:br/>
        <w:t>Decision N° 1/2015 of the EU – Bosnia and Herzegovina Stabilisation and Association Committee of day month 2015 creating subcommittees and special groups</w:t>
      </w:r>
    </w:p>
    <w:p>
      <w:pPr>
        <w:rPr>
          <w:caps/>
          <w:noProof/>
        </w:rPr>
      </w:pPr>
    </w:p>
    <w:p>
      <w:pPr>
        <w:rPr>
          <w:caps/>
          <w:noProof/>
        </w:rPr>
      </w:pPr>
      <w:r>
        <w:rPr>
          <w:caps/>
          <w:noProof/>
        </w:rPr>
        <w:t>THE Stabilisation and Association committee,</w:t>
      </w:r>
    </w:p>
    <w:p>
      <w:pPr>
        <w:rPr>
          <w:noProof/>
        </w:rPr>
      </w:pPr>
      <w:r>
        <w:rPr>
          <w:noProof/>
        </w:rPr>
        <w:t>Having regard to the Stabilisation and Association Agreement between the European Communities and their Member States, of the one part, and Bosnia and Herzegovina, of the other part, and in particular Article 119 thereof,</w:t>
      </w:r>
    </w:p>
    <w:p>
      <w:pPr>
        <w:rPr>
          <w:noProof/>
        </w:rPr>
      </w:pPr>
      <w:r>
        <w:rPr>
          <w:noProof/>
        </w:rPr>
        <w:t>Having regard to its rules of procedure, and in particular Article 10 thereof,</w:t>
      </w:r>
    </w:p>
    <w:p>
      <w:pPr>
        <w:rPr>
          <w:noProof/>
        </w:rPr>
      </w:pPr>
      <w:r>
        <w:rPr>
          <w:noProof/>
        </w:rPr>
        <w:t xml:space="preserve">HAS DECIDED AS FOLLOWS: </w:t>
      </w:r>
    </w:p>
    <w:p>
      <w:pPr>
        <w:jc w:val="center"/>
        <w:rPr>
          <w:i/>
          <w:noProof/>
        </w:rPr>
      </w:pPr>
      <w:r>
        <w:rPr>
          <w:i/>
          <w:noProof/>
        </w:rPr>
        <w:t>Sole Article</w:t>
      </w:r>
    </w:p>
    <w:p>
      <w:pPr>
        <w:rPr>
          <w:noProof/>
        </w:rPr>
      </w:pPr>
      <w:r>
        <w:rPr>
          <w:noProof/>
        </w:rPr>
        <w:t>The subcommittees and special groups listed in Annex I are hereby created. Their terms of reference are set out in Annex II.</w:t>
      </w:r>
    </w:p>
    <w:p>
      <w:pPr>
        <w:rPr>
          <w:noProof/>
        </w:rPr>
      </w:pPr>
      <w:r>
        <w:rPr>
          <w:noProof/>
        </w:rPr>
        <w:t xml:space="preserve">Done at </w:t>
      </w:r>
      <w:r>
        <w:rPr>
          <w:noProof/>
          <w:highlight w:val="green"/>
        </w:rPr>
        <w:t>………….</w:t>
      </w:r>
      <w:r>
        <w:rPr>
          <w:noProof/>
        </w:rPr>
        <w:t>, on day month 2015.</w:t>
      </w:r>
    </w:p>
    <w:p>
      <w:pPr>
        <w:rPr>
          <w:i/>
          <w:noProof/>
        </w:rPr>
      </w:pPr>
      <w:r>
        <w:rPr>
          <w:i/>
          <w:noProof/>
        </w:rPr>
        <w:t>For the Stabilisation and Association Committee</w:t>
      </w:r>
    </w:p>
    <w:p>
      <w:pPr>
        <w:rPr>
          <w:noProof/>
        </w:rPr>
      </w:pPr>
      <w:r>
        <w:rPr>
          <w:i/>
          <w:noProof/>
        </w:rPr>
        <w:t>The Chairman</w:t>
      </w:r>
    </w:p>
    <w:p>
      <w:pPr>
        <w:rPr>
          <w:noProof/>
        </w:rPr>
      </w:pPr>
      <w:r>
        <w:rPr>
          <w:noProof/>
        </w:rPr>
        <w:tab/>
      </w:r>
    </w:p>
    <w:p>
      <w:pPr>
        <w:jc w:val="center"/>
        <w:rPr>
          <w:b/>
          <w:noProof/>
          <w:u w:val="single"/>
        </w:rPr>
      </w:pPr>
      <w:r>
        <w:rPr>
          <w:b/>
          <w:noProof/>
        </w:rPr>
        <w:br w:type="page"/>
      </w:r>
      <w:r>
        <w:rPr>
          <w:b/>
          <w:noProof/>
          <w:u w:val="single"/>
        </w:rPr>
        <w:lastRenderedPageBreak/>
        <w:t>Annex I</w:t>
      </w:r>
    </w:p>
    <w:p>
      <w:pPr>
        <w:jc w:val="center"/>
        <w:rPr>
          <w:b/>
          <w:noProof/>
        </w:rPr>
      </w:pPr>
      <w:r>
        <w:rPr>
          <w:b/>
          <w:noProof/>
        </w:rPr>
        <w:t>EU – BOSNIA AND HERZEGOVINA STABILISATION AND ASSOCIATION AGREEMENT</w:t>
      </w:r>
    </w:p>
    <w:p>
      <w:pPr>
        <w:jc w:val="center"/>
        <w:rPr>
          <w:b/>
          <w:noProof/>
        </w:rPr>
      </w:pPr>
      <w:r>
        <w:rPr>
          <w:b/>
          <w:noProof/>
        </w:rPr>
        <w:t>Multidisciplinary Subcommittee Structure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0"/>
        <w:gridCol w:w="1533"/>
      </w:tblGrid>
      <w:tr>
        <w:trPr>
          <w:jc w:val="center"/>
        </w:trPr>
        <w:tc>
          <w:tcPr>
            <w:tcW w:w="3078" w:type="dxa"/>
            <w:shd w:val="clear" w:color="auto" w:fill="auto"/>
          </w:tcPr>
          <w:p>
            <w:pPr>
              <w:rPr>
                <w:noProof/>
              </w:rPr>
            </w:pPr>
            <w:r>
              <w:rPr>
                <w:noProof/>
              </w:rPr>
              <w:t>Title</w:t>
            </w:r>
          </w:p>
        </w:tc>
        <w:tc>
          <w:tcPr>
            <w:tcW w:w="3600" w:type="dxa"/>
            <w:shd w:val="clear" w:color="auto" w:fill="auto"/>
          </w:tcPr>
          <w:p>
            <w:pPr>
              <w:rPr>
                <w:noProof/>
              </w:rPr>
            </w:pPr>
            <w:r>
              <w:rPr>
                <w:noProof/>
              </w:rPr>
              <w:t>Issues</w:t>
            </w:r>
          </w:p>
        </w:tc>
        <w:tc>
          <w:tcPr>
            <w:tcW w:w="1533" w:type="dxa"/>
            <w:shd w:val="clear" w:color="auto" w:fill="auto"/>
          </w:tcPr>
          <w:p>
            <w:pPr>
              <w:rPr>
                <w:noProof/>
              </w:rPr>
            </w:pPr>
            <w:r>
              <w:rPr>
                <w:noProof/>
              </w:rPr>
              <w:t>SAA Article</w:t>
            </w:r>
          </w:p>
        </w:tc>
      </w:tr>
      <w:tr>
        <w:trPr>
          <w:trHeight w:val="498"/>
          <w:jc w:val="center"/>
        </w:trPr>
        <w:tc>
          <w:tcPr>
            <w:tcW w:w="3078" w:type="dxa"/>
            <w:vMerge w:val="restart"/>
            <w:shd w:val="clear" w:color="auto" w:fill="auto"/>
          </w:tcPr>
          <w:p>
            <w:pPr>
              <w:rPr>
                <w:noProof/>
                <w:sz w:val="20"/>
              </w:rPr>
            </w:pPr>
            <w:r>
              <w:rPr>
                <w:noProof/>
                <w:sz w:val="20"/>
              </w:rPr>
              <w:t>1. Trade, Industry, Customs and Taxation</w:t>
            </w:r>
          </w:p>
        </w:tc>
        <w:tc>
          <w:tcPr>
            <w:tcW w:w="3600" w:type="dxa"/>
            <w:shd w:val="clear" w:color="auto" w:fill="auto"/>
          </w:tcPr>
          <w:p>
            <w:pPr>
              <w:rPr>
                <w:noProof/>
                <w:sz w:val="20"/>
              </w:rPr>
            </w:pPr>
            <w:r>
              <w:rPr>
                <w:noProof/>
                <w:sz w:val="20"/>
              </w:rPr>
              <w:t>Free Movement of Goods</w:t>
            </w:r>
          </w:p>
        </w:tc>
        <w:tc>
          <w:tcPr>
            <w:tcW w:w="1533" w:type="dxa"/>
            <w:shd w:val="clear" w:color="auto" w:fill="auto"/>
          </w:tcPr>
          <w:p>
            <w:pPr>
              <w:rPr>
                <w:noProof/>
                <w:sz w:val="20"/>
              </w:rPr>
            </w:pPr>
            <w:r>
              <w:rPr>
                <w:noProof/>
                <w:sz w:val="20"/>
              </w:rPr>
              <w:t>Art. 18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Industrial Products</w:t>
            </w:r>
          </w:p>
        </w:tc>
        <w:tc>
          <w:tcPr>
            <w:tcW w:w="1533" w:type="dxa"/>
            <w:shd w:val="clear" w:color="auto" w:fill="auto"/>
          </w:tcPr>
          <w:p>
            <w:pPr>
              <w:rPr>
                <w:noProof/>
                <w:sz w:val="20"/>
              </w:rPr>
            </w:pPr>
            <w:r>
              <w:rPr>
                <w:noProof/>
                <w:sz w:val="20"/>
              </w:rPr>
              <w:t>Art. 19-23</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Commercial questions</w:t>
            </w:r>
          </w:p>
        </w:tc>
        <w:tc>
          <w:tcPr>
            <w:tcW w:w="1533" w:type="dxa"/>
            <w:shd w:val="clear" w:color="auto" w:fill="auto"/>
          </w:tcPr>
          <w:p>
            <w:pPr>
              <w:rPr>
                <w:noProof/>
                <w:sz w:val="20"/>
              </w:rPr>
            </w:pPr>
            <w:r>
              <w:rPr>
                <w:noProof/>
                <w:sz w:val="20"/>
              </w:rPr>
              <w:t>Art. 32-46</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Standardisation, metrology, accreditation, certification, conformity assessment, and market surveillance</w:t>
            </w:r>
          </w:p>
        </w:tc>
        <w:tc>
          <w:tcPr>
            <w:tcW w:w="1533" w:type="dxa"/>
            <w:shd w:val="clear" w:color="auto" w:fill="auto"/>
          </w:tcPr>
          <w:p>
            <w:pPr>
              <w:rPr>
                <w:noProof/>
                <w:sz w:val="20"/>
              </w:rPr>
            </w:pPr>
            <w:r>
              <w:rPr>
                <w:noProof/>
                <w:sz w:val="20"/>
              </w:rPr>
              <w:t>Art. 75</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Industrial co-operation</w:t>
            </w:r>
          </w:p>
        </w:tc>
        <w:tc>
          <w:tcPr>
            <w:tcW w:w="1533" w:type="dxa"/>
            <w:shd w:val="clear" w:color="auto" w:fill="auto"/>
          </w:tcPr>
          <w:p>
            <w:pPr>
              <w:rPr>
                <w:noProof/>
                <w:sz w:val="20"/>
              </w:rPr>
            </w:pPr>
            <w:r>
              <w:rPr>
                <w:noProof/>
                <w:sz w:val="20"/>
              </w:rPr>
              <w:t>Art. 92</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SMEs</w:t>
            </w:r>
          </w:p>
        </w:tc>
        <w:tc>
          <w:tcPr>
            <w:tcW w:w="1533" w:type="dxa"/>
            <w:shd w:val="clear" w:color="auto" w:fill="auto"/>
          </w:tcPr>
          <w:p>
            <w:pPr>
              <w:rPr>
                <w:noProof/>
                <w:sz w:val="20"/>
              </w:rPr>
            </w:pPr>
            <w:r>
              <w:rPr>
                <w:noProof/>
                <w:sz w:val="20"/>
              </w:rPr>
              <w:t>Art. 93</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Tourism</w:t>
            </w:r>
          </w:p>
        </w:tc>
        <w:tc>
          <w:tcPr>
            <w:tcW w:w="1533" w:type="dxa"/>
            <w:shd w:val="clear" w:color="auto" w:fill="auto"/>
          </w:tcPr>
          <w:p>
            <w:pPr>
              <w:rPr>
                <w:noProof/>
                <w:sz w:val="20"/>
              </w:rPr>
            </w:pPr>
            <w:r>
              <w:rPr>
                <w:noProof/>
                <w:sz w:val="20"/>
              </w:rPr>
              <w:t>Art. 94</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Customs</w:t>
            </w:r>
          </w:p>
        </w:tc>
        <w:tc>
          <w:tcPr>
            <w:tcW w:w="1533" w:type="dxa"/>
            <w:shd w:val="clear" w:color="auto" w:fill="auto"/>
          </w:tcPr>
          <w:p>
            <w:pPr>
              <w:rPr>
                <w:noProof/>
                <w:sz w:val="20"/>
              </w:rPr>
            </w:pPr>
            <w:r>
              <w:rPr>
                <w:noProof/>
                <w:sz w:val="20"/>
              </w:rPr>
              <w:t>Art. 97</w:t>
            </w:r>
          </w:p>
        </w:tc>
      </w:tr>
      <w:tr>
        <w:trPr>
          <w:trHeight w:val="357"/>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Taxation</w:t>
            </w:r>
          </w:p>
        </w:tc>
        <w:tc>
          <w:tcPr>
            <w:tcW w:w="1533" w:type="dxa"/>
            <w:shd w:val="clear" w:color="auto" w:fill="auto"/>
          </w:tcPr>
          <w:p>
            <w:pPr>
              <w:rPr>
                <w:noProof/>
                <w:sz w:val="20"/>
              </w:rPr>
            </w:pPr>
            <w:r>
              <w:rPr>
                <w:noProof/>
                <w:sz w:val="20"/>
              </w:rPr>
              <w:t>Art. 98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Rules of origin</w:t>
            </w:r>
          </w:p>
        </w:tc>
        <w:tc>
          <w:tcPr>
            <w:tcW w:w="1533" w:type="dxa"/>
            <w:shd w:val="clear" w:color="auto" w:fill="auto"/>
          </w:tcPr>
          <w:p>
            <w:pPr>
              <w:rPr>
                <w:noProof/>
                <w:sz w:val="20"/>
              </w:rPr>
            </w:pPr>
            <w:r>
              <w:rPr>
                <w:noProof/>
                <w:sz w:val="20"/>
              </w:rPr>
              <w:t>Protocol 2</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Administrative assistance in customs matters</w:t>
            </w:r>
          </w:p>
        </w:tc>
        <w:tc>
          <w:tcPr>
            <w:tcW w:w="1533" w:type="dxa"/>
            <w:shd w:val="clear" w:color="auto" w:fill="auto"/>
          </w:tcPr>
          <w:p>
            <w:pPr>
              <w:jc w:val="left"/>
              <w:rPr>
                <w:noProof/>
                <w:sz w:val="20"/>
              </w:rPr>
            </w:pPr>
            <w:r>
              <w:rPr>
                <w:noProof/>
                <w:sz w:val="20"/>
              </w:rPr>
              <w:t>Protocol 5</w:t>
            </w:r>
          </w:p>
        </w:tc>
      </w:tr>
      <w:tr>
        <w:trPr>
          <w:trHeight w:val="493"/>
          <w:jc w:val="center"/>
        </w:trPr>
        <w:tc>
          <w:tcPr>
            <w:tcW w:w="3078" w:type="dxa"/>
            <w:vMerge w:val="restart"/>
            <w:shd w:val="clear" w:color="auto" w:fill="auto"/>
          </w:tcPr>
          <w:p>
            <w:pPr>
              <w:rPr>
                <w:noProof/>
                <w:sz w:val="20"/>
              </w:rPr>
            </w:pPr>
            <w:r>
              <w:rPr>
                <w:noProof/>
                <w:sz w:val="20"/>
              </w:rPr>
              <w:t>2. Agriculture and Fisheries</w:t>
            </w:r>
          </w:p>
        </w:tc>
        <w:tc>
          <w:tcPr>
            <w:tcW w:w="3600" w:type="dxa"/>
            <w:shd w:val="clear" w:color="auto" w:fill="auto"/>
          </w:tcPr>
          <w:p>
            <w:pPr>
              <w:rPr>
                <w:noProof/>
                <w:sz w:val="20"/>
              </w:rPr>
            </w:pPr>
            <w:r>
              <w:rPr>
                <w:noProof/>
                <w:sz w:val="20"/>
              </w:rPr>
              <w:t>Agricultural products sensu lato</w:t>
            </w:r>
          </w:p>
        </w:tc>
        <w:tc>
          <w:tcPr>
            <w:tcW w:w="1533" w:type="dxa"/>
            <w:shd w:val="clear" w:color="auto" w:fill="auto"/>
          </w:tcPr>
          <w:p>
            <w:pPr>
              <w:rPr>
                <w:noProof/>
                <w:sz w:val="20"/>
              </w:rPr>
            </w:pPr>
            <w:r>
              <w:rPr>
                <w:noProof/>
                <w:sz w:val="20"/>
              </w:rPr>
              <w:t>Art. 24, 26(1), 26(2), 29, 30 and 33</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Agricultural products sensu stricto</w:t>
            </w:r>
          </w:p>
        </w:tc>
        <w:tc>
          <w:tcPr>
            <w:tcW w:w="1533" w:type="dxa"/>
            <w:shd w:val="clear" w:color="auto" w:fill="auto"/>
          </w:tcPr>
          <w:p>
            <w:pPr>
              <w:rPr>
                <w:noProof/>
                <w:sz w:val="20"/>
              </w:rPr>
            </w:pPr>
            <w:r>
              <w:rPr>
                <w:noProof/>
                <w:sz w:val="20"/>
              </w:rPr>
              <w:t>Art. 27(1)(2) and 27(4)</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Fisheries products</w:t>
            </w:r>
          </w:p>
        </w:tc>
        <w:tc>
          <w:tcPr>
            <w:tcW w:w="1533" w:type="dxa"/>
            <w:shd w:val="clear" w:color="auto" w:fill="auto"/>
          </w:tcPr>
          <w:p>
            <w:pPr>
              <w:rPr>
                <w:noProof/>
                <w:sz w:val="20"/>
              </w:rPr>
            </w:pPr>
            <w:r>
              <w:rPr>
                <w:noProof/>
                <w:sz w:val="20"/>
              </w:rPr>
              <w:t>Art. 26 and 28</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Processed agricultural products</w:t>
            </w:r>
          </w:p>
        </w:tc>
        <w:tc>
          <w:tcPr>
            <w:tcW w:w="1533" w:type="dxa"/>
            <w:shd w:val="clear" w:color="auto" w:fill="auto"/>
          </w:tcPr>
          <w:p>
            <w:pPr>
              <w:rPr>
                <w:noProof/>
                <w:sz w:val="20"/>
              </w:rPr>
            </w:pPr>
            <w:r>
              <w:rPr>
                <w:noProof/>
                <w:sz w:val="20"/>
              </w:rPr>
              <w:t>Art. 25, Protocol 1</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Wine</w:t>
            </w:r>
          </w:p>
        </w:tc>
        <w:tc>
          <w:tcPr>
            <w:tcW w:w="1533" w:type="dxa"/>
            <w:shd w:val="clear" w:color="auto" w:fill="auto"/>
          </w:tcPr>
          <w:p>
            <w:pPr>
              <w:rPr>
                <w:noProof/>
                <w:sz w:val="20"/>
              </w:rPr>
            </w:pPr>
            <w:r>
              <w:rPr>
                <w:noProof/>
                <w:sz w:val="20"/>
              </w:rPr>
              <w:t>Art. 27(5) and Protocol 7</w:t>
            </w:r>
          </w:p>
        </w:tc>
      </w:tr>
      <w:tr>
        <w:trPr>
          <w:trHeight w:val="493"/>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Protection of geographical indications for agricultural and fishery products and foodstuffs other than wine and spirits</w:t>
            </w:r>
          </w:p>
        </w:tc>
        <w:tc>
          <w:tcPr>
            <w:tcW w:w="1533" w:type="dxa"/>
            <w:shd w:val="clear" w:color="auto" w:fill="auto"/>
          </w:tcPr>
          <w:p>
            <w:pPr>
              <w:rPr>
                <w:noProof/>
                <w:sz w:val="20"/>
              </w:rPr>
            </w:pPr>
            <w:r>
              <w:rPr>
                <w:noProof/>
                <w:sz w:val="20"/>
              </w:rPr>
              <w:t>Art. 31</w:t>
            </w:r>
          </w:p>
        </w:tc>
      </w:tr>
      <w:tr>
        <w:trPr>
          <w:trHeight w:val="578"/>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Agriculture and the agro-industrial sector, veterinary and phytosanitary matters</w:t>
            </w:r>
          </w:p>
        </w:tc>
        <w:tc>
          <w:tcPr>
            <w:tcW w:w="1533" w:type="dxa"/>
            <w:shd w:val="clear" w:color="auto" w:fill="auto"/>
          </w:tcPr>
          <w:p>
            <w:pPr>
              <w:rPr>
                <w:noProof/>
                <w:sz w:val="20"/>
              </w:rPr>
            </w:pPr>
            <w:r>
              <w:rPr>
                <w:noProof/>
                <w:sz w:val="20"/>
              </w:rPr>
              <w:t>Art. 95</w:t>
            </w:r>
          </w:p>
        </w:tc>
      </w:tr>
      <w:tr>
        <w:trPr>
          <w:trHeight w:val="471"/>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Fisheries co-operation</w:t>
            </w:r>
          </w:p>
        </w:tc>
        <w:tc>
          <w:tcPr>
            <w:tcW w:w="1533" w:type="dxa"/>
            <w:shd w:val="clear" w:color="auto" w:fill="auto"/>
          </w:tcPr>
          <w:p>
            <w:pPr>
              <w:rPr>
                <w:noProof/>
                <w:sz w:val="20"/>
              </w:rPr>
            </w:pPr>
            <w:r>
              <w:rPr>
                <w:noProof/>
                <w:sz w:val="20"/>
              </w:rPr>
              <w:t>Art. 96</w:t>
            </w:r>
          </w:p>
        </w:tc>
      </w:tr>
      <w:tr>
        <w:trPr>
          <w:trHeight w:val="35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Food safety</w:t>
            </w:r>
          </w:p>
        </w:tc>
        <w:tc>
          <w:tcPr>
            <w:tcW w:w="1533" w:type="dxa"/>
            <w:shd w:val="clear" w:color="auto" w:fill="auto"/>
          </w:tcPr>
          <w:p>
            <w:pPr>
              <w:rPr>
                <w:noProof/>
                <w:sz w:val="20"/>
              </w:rPr>
            </w:pPr>
            <w:r>
              <w:rPr>
                <w:noProof/>
                <w:sz w:val="20"/>
              </w:rPr>
              <w:t>Art. 95</w:t>
            </w:r>
          </w:p>
        </w:tc>
      </w:tr>
      <w:tr>
        <w:trPr>
          <w:trHeight w:val="620"/>
          <w:jc w:val="center"/>
        </w:trPr>
        <w:tc>
          <w:tcPr>
            <w:tcW w:w="3078" w:type="dxa"/>
            <w:vMerge w:val="restart"/>
            <w:shd w:val="clear" w:color="auto" w:fill="auto"/>
          </w:tcPr>
          <w:p>
            <w:pPr>
              <w:rPr>
                <w:noProof/>
                <w:sz w:val="20"/>
              </w:rPr>
            </w:pPr>
            <w:r>
              <w:rPr>
                <w:noProof/>
                <w:sz w:val="20"/>
              </w:rPr>
              <w:t>3. Internal Market and Competition</w:t>
            </w:r>
          </w:p>
        </w:tc>
        <w:tc>
          <w:tcPr>
            <w:tcW w:w="3600" w:type="dxa"/>
            <w:shd w:val="clear" w:color="auto" w:fill="auto"/>
          </w:tcPr>
          <w:p>
            <w:pPr>
              <w:rPr>
                <w:noProof/>
                <w:sz w:val="20"/>
              </w:rPr>
            </w:pPr>
            <w:r>
              <w:rPr>
                <w:noProof/>
                <w:sz w:val="20"/>
              </w:rPr>
              <w:t>Right of establishment</w:t>
            </w:r>
          </w:p>
        </w:tc>
        <w:tc>
          <w:tcPr>
            <w:tcW w:w="1533" w:type="dxa"/>
            <w:shd w:val="clear" w:color="auto" w:fill="auto"/>
          </w:tcPr>
          <w:p>
            <w:pPr>
              <w:jc w:val="left"/>
              <w:rPr>
                <w:noProof/>
                <w:sz w:val="20"/>
              </w:rPr>
            </w:pPr>
            <w:r>
              <w:rPr>
                <w:noProof/>
                <w:sz w:val="20"/>
              </w:rPr>
              <w:t xml:space="preserve">Art. 50-56 </w:t>
            </w:r>
          </w:p>
        </w:tc>
      </w:tr>
      <w:tr>
        <w:trPr>
          <w:trHeight w:val="62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Supply of services</w:t>
            </w:r>
          </w:p>
        </w:tc>
        <w:tc>
          <w:tcPr>
            <w:tcW w:w="1533" w:type="dxa"/>
            <w:shd w:val="clear" w:color="auto" w:fill="auto"/>
          </w:tcPr>
          <w:p>
            <w:pPr>
              <w:rPr>
                <w:noProof/>
                <w:sz w:val="20"/>
              </w:rPr>
            </w:pPr>
            <w:r>
              <w:rPr>
                <w:noProof/>
                <w:sz w:val="20"/>
              </w:rPr>
              <w:t>Art. 57-59</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Other questions related to Title V of the SAA</w:t>
            </w:r>
          </w:p>
        </w:tc>
        <w:tc>
          <w:tcPr>
            <w:tcW w:w="1533" w:type="dxa"/>
            <w:shd w:val="clear" w:color="auto" w:fill="auto"/>
          </w:tcPr>
          <w:p>
            <w:pPr>
              <w:rPr>
                <w:noProof/>
                <w:sz w:val="20"/>
              </w:rPr>
            </w:pPr>
            <w:r>
              <w:rPr>
                <w:noProof/>
                <w:sz w:val="20"/>
              </w:rPr>
              <w:t>Art. 63-69</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Approximation of legislation and law enforcement</w:t>
            </w:r>
          </w:p>
        </w:tc>
        <w:tc>
          <w:tcPr>
            <w:tcW w:w="1533" w:type="dxa"/>
            <w:shd w:val="clear" w:color="auto" w:fill="auto"/>
          </w:tcPr>
          <w:p>
            <w:pPr>
              <w:rPr>
                <w:noProof/>
                <w:sz w:val="20"/>
              </w:rPr>
            </w:pPr>
            <w:r>
              <w:rPr>
                <w:noProof/>
                <w:sz w:val="20"/>
              </w:rPr>
              <w:t>Art. 70</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Competition</w:t>
            </w:r>
          </w:p>
        </w:tc>
        <w:tc>
          <w:tcPr>
            <w:tcW w:w="1533" w:type="dxa"/>
            <w:shd w:val="clear" w:color="auto" w:fill="auto"/>
          </w:tcPr>
          <w:p>
            <w:pPr>
              <w:spacing w:after="0"/>
              <w:rPr>
                <w:noProof/>
                <w:sz w:val="20"/>
              </w:rPr>
            </w:pPr>
            <w:r>
              <w:rPr>
                <w:noProof/>
                <w:sz w:val="20"/>
              </w:rPr>
              <w:t>Art. 71-72,</w:t>
            </w:r>
          </w:p>
          <w:p>
            <w:pPr>
              <w:spacing w:after="0"/>
              <w:rPr>
                <w:noProof/>
                <w:sz w:val="20"/>
              </w:rPr>
            </w:pPr>
            <w:r>
              <w:rPr>
                <w:noProof/>
                <w:sz w:val="20"/>
              </w:rPr>
              <w:t>Protocol 4</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Intellectual, industrial and commercial property</w:t>
            </w:r>
          </w:p>
        </w:tc>
        <w:tc>
          <w:tcPr>
            <w:tcW w:w="1533" w:type="dxa"/>
            <w:shd w:val="clear" w:color="auto" w:fill="auto"/>
          </w:tcPr>
          <w:p>
            <w:pPr>
              <w:rPr>
                <w:noProof/>
                <w:sz w:val="20"/>
              </w:rPr>
            </w:pPr>
            <w:r>
              <w:rPr>
                <w:noProof/>
                <w:sz w:val="20"/>
              </w:rPr>
              <w:t>Art. 73</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Public procurement</w:t>
            </w:r>
          </w:p>
        </w:tc>
        <w:tc>
          <w:tcPr>
            <w:tcW w:w="1533" w:type="dxa"/>
            <w:shd w:val="clear" w:color="auto" w:fill="auto"/>
          </w:tcPr>
          <w:p>
            <w:pPr>
              <w:rPr>
                <w:noProof/>
                <w:sz w:val="20"/>
              </w:rPr>
            </w:pPr>
            <w:r>
              <w:rPr>
                <w:noProof/>
                <w:sz w:val="20"/>
              </w:rPr>
              <w:t>Art. 74</w:t>
            </w:r>
          </w:p>
        </w:tc>
      </w:tr>
      <w:tr>
        <w:trPr>
          <w:trHeight w:val="61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Banking, insurance and other financial services</w:t>
            </w:r>
          </w:p>
        </w:tc>
        <w:tc>
          <w:tcPr>
            <w:tcW w:w="1533" w:type="dxa"/>
            <w:shd w:val="clear" w:color="auto" w:fill="auto"/>
          </w:tcPr>
          <w:p>
            <w:pPr>
              <w:rPr>
                <w:noProof/>
                <w:sz w:val="20"/>
              </w:rPr>
            </w:pPr>
            <w:r>
              <w:rPr>
                <w:noProof/>
                <w:sz w:val="20"/>
              </w:rPr>
              <w:t>Art. 89</w:t>
            </w:r>
          </w:p>
        </w:tc>
      </w:tr>
      <w:tr>
        <w:trPr>
          <w:trHeight w:val="3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Consumer protection</w:t>
            </w:r>
          </w:p>
        </w:tc>
        <w:tc>
          <w:tcPr>
            <w:tcW w:w="1533" w:type="dxa"/>
            <w:shd w:val="clear" w:color="auto" w:fill="auto"/>
          </w:tcPr>
          <w:p>
            <w:pPr>
              <w:rPr>
                <w:noProof/>
                <w:sz w:val="20"/>
              </w:rPr>
            </w:pPr>
            <w:r>
              <w:rPr>
                <w:noProof/>
                <w:sz w:val="20"/>
              </w:rPr>
              <w:t>Art. 76</w:t>
            </w:r>
          </w:p>
        </w:tc>
      </w:tr>
      <w:tr>
        <w:trPr>
          <w:trHeight w:val="3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Public health</w:t>
            </w:r>
          </w:p>
        </w:tc>
        <w:tc>
          <w:tcPr>
            <w:tcW w:w="1533" w:type="dxa"/>
            <w:shd w:val="clear" w:color="auto" w:fill="auto"/>
          </w:tcPr>
          <w:p>
            <w:pPr>
              <w:rPr>
                <w:noProof/>
                <w:sz w:val="20"/>
              </w:rPr>
            </w:pPr>
          </w:p>
        </w:tc>
      </w:tr>
      <w:tr>
        <w:trPr>
          <w:trHeight w:val="508"/>
          <w:jc w:val="center"/>
        </w:trPr>
        <w:tc>
          <w:tcPr>
            <w:tcW w:w="3078" w:type="dxa"/>
            <w:vMerge w:val="restart"/>
            <w:shd w:val="clear" w:color="auto" w:fill="auto"/>
          </w:tcPr>
          <w:p>
            <w:pPr>
              <w:rPr>
                <w:noProof/>
                <w:sz w:val="20"/>
              </w:rPr>
            </w:pPr>
            <w:r>
              <w:rPr>
                <w:noProof/>
                <w:sz w:val="20"/>
              </w:rPr>
              <w:t>4. Economic and financial issues and statistics</w:t>
            </w:r>
          </w:p>
        </w:tc>
        <w:tc>
          <w:tcPr>
            <w:tcW w:w="3600" w:type="dxa"/>
            <w:shd w:val="clear" w:color="auto" w:fill="auto"/>
          </w:tcPr>
          <w:p>
            <w:pPr>
              <w:rPr>
                <w:noProof/>
                <w:sz w:val="20"/>
              </w:rPr>
            </w:pPr>
            <w:r>
              <w:rPr>
                <w:noProof/>
                <w:sz w:val="20"/>
              </w:rPr>
              <w:t>Capital movements and payments</w:t>
            </w:r>
          </w:p>
        </w:tc>
        <w:tc>
          <w:tcPr>
            <w:tcW w:w="1533" w:type="dxa"/>
            <w:shd w:val="clear" w:color="auto" w:fill="auto"/>
          </w:tcPr>
          <w:p>
            <w:pPr>
              <w:rPr>
                <w:noProof/>
                <w:sz w:val="20"/>
              </w:rPr>
            </w:pPr>
            <w:r>
              <w:rPr>
                <w:noProof/>
                <w:sz w:val="20"/>
              </w:rPr>
              <w:t>Art. 60-62</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Economic policy</w:t>
            </w:r>
          </w:p>
        </w:tc>
        <w:tc>
          <w:tcPr>
            <w:tcW w:w="1533" w:type="dxa"/>
            <w:shd w:val="clear" w:color="auto" w:fill="auto"/>
          </w:tcPr>
          <w:p>
            <w:pPr>
              <w:rPr>
                <w:noProof/>
                <w:sz w:val="20"/>
              </w:rPr>
            </w:pPr>
            <w:r>
              <w:rPr>
                <w:noProof/>
                <w:sz w:val="20"/>
              </w:rPr>
              <w:t>Art. 87</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Statistical co-operation</w:t>
            </w:r>
          </w:p>
        </w:tc>
        <w:tc>
          <w:tcPr>
            <w:tcW w:w="1533" w:type="dxa"/>
            <w:shd w:val="clear" w:color="auto" w:fill="auto"/>
          </w:tcPr>
          <w:p>
            <w:pPr>
              <w:rPr>
                <w:noProof/>
                <w:sz w:val="20"/>
              </w:rPr>
            </w:pPr>
            <w:r>
              <w:rPr>
                <w:noProof/>
                <w:sz w:val="20"/>
              </w:rPr>
              <w:t>Art. 88</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Investment promotion and protection</w:t>
            </w:r>
          </w:p>
        </w:tc>
        <w:tc>
          <w:tcPr>
            <w:tcW w:w="1533" w:type="dxa"/>
            <w:shd w:val="clear" w:color="auto" w:fill="auto"/>
          </w:tcPr>
          <w:p>
            <w:pPr>
              <w:rPr>
                <w:noProof/>
                <w:sz w:val="20"/>
              </w:rPr>
            </w:pPr>
            <w:r>
              <w:rPr>
                <w:noProof/>
                <w:sz w:val="20"/>
              </w:rPr>
              <w:t>Art. 91</w:t>
            </w:r>
          </w:p>
        </w:tc>
      </w:tr>
      <w:tr>
        <w:trPr>
          <w:trHeight w:val="502"/>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Financial co-operation</w:t>
            </w:r>
          </w:p>
        </w:tc>
        <w:tc>
          <w:tcPr>
            <w:tcW w:w="1533" w:type="dxa"/>
            <w:shd w:val="clear" w:color="auto" w:fill="auto"/>
          </w:tcPr>
          <w:p>
            <w:pPr>
              <w:rPr>
                <w:noProof/>
                <w:sz w:val="20"/>
              </w:rPr>
            </w:pPr>
            <w:r>
              <w:rPr>
                <w:noProof/>
                <w:sz w:val="20"/>
              </w:rPr>
              <w:t>Art. 112-114</w:t>
            </w:r>
          </w:p>
        </w:tc>
      </w:tr>
      <w:tr>
        <w:trPr>
          <w:trHeight w:val="510"/>
          <w:jc w:val="center"/>
        </w:trPr>
        <w:tc>
          <w:tcPr>
            <w:tcW w:w="3078" w:type="dxa"/>
            <w:vMerge w:val="restart"/>
            <w:shd w:val="clear" w:color="auto" w:fill="auto"/>
          </w:tcPr>
          <w:p>
            <w:pPr>
              <w:rPr>
                <w:noProof/>
                <w:sz w:val="20"/>
              </w:rPr>
            </w:pPr>
            <w:r>
              <w:rPr>
                <w:noProof/>
                <w:sz w:val="20"/>
              </w:rPr>
              <w:t>5. Justice, freedom and security</w:t>
            </w:r>
          </w:p>
        </w:tc>
        <w:tc>
          <w:tcPr>
            <w:tcW w:w="3600" w:type="dxa"/>
            <w:shd w:val="clear" w:color="auto" w:fill="auto"/>
          </w:tcPr>
          <w:p>
            <w:pPr>
              <w:rPr>
                <w:noProof/>
                <w:sz w:val="20"/>
              </w:rPr>
            </w:pPr>
            <w:r>
              <w:rPr>
                <w:noProof/>
                <w:sz w:val="20"/>
              </w:rPr>
              <w:t xml:space="preserve">Judiciary and fundamental rights, including anti-discrimination </w:t>
            </w:r>
          </w:p>
        </w:tc>
        <w:tc>
          <w:tcPr>
            <w:tcW w:w="1533" w:type="dxa"/>
            <w:shd w:val="clear" w:color="auto" w:fill="auto"/>
          </w:tcPr>
          <w:p>
            <w:pPr>
              <w:rPr>
                <w:noProof/>
                <w:sz w:val="20"/>
              </w:rPr>
            </w:pPr>
            <w:r>
              <w:rPr>
                <w:noProof/>
                <w:sz w:val="20"/>
              </w:rPr>
              <w:t>Art.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Police co-operation and Judicial co-operation</w:t>
            </w:r>
          </w:p>
        </w:tc>
        <w:tc>
          <w:tcPr>
            <w:tcW w:w="1533" w:type="dxa"/>
            <w:shd w:val="clear" w:color="auto" w:fill="auto"/>
          </w:tcPr>
          <w:p>
            <w:pPr>
              <w:rPr>
                <w:noProof/>
                <w:sz w:val="20"/>
              </w:rPr>
            </w:pPr>
            <w:r>
              <w:rPr>
                <w:noProof/>
                <w:sz w:val="20"/>
              </w:rPr>
              <w:t>Art.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Rule of law</w:t>
            </w:r>
          </w:p>
        </w:tc>
        <w:tc>
          <w:tcPr>
            <w:tcW w:w="1533" w:type="dxa"/>
            <w:shd w:val="clear" w:color="auto" w:fill="auto"/>
          </w:tcPr>
          <w:p>
            <w:pPr>
              <w:rPr>
                <w:noProof/>
                <w:sz w:val="20"/>
              </w:rPr>
            </w:pPr>
            <w:r>
              <w:rPr>
                <w:noProof/>
                <w:sz w:val="20"/>
              </w:rPr>
              <w:t>Art. 78</w:t>
            </w:r>
          </w:p>
        </w:tc>
      </w:tr>
      <w:tr>
        <w:trPr>
          <w:trHeight w:val="51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Data protection</w:t>
            </w:r>
          </w:p>
        </w:tc>
        <w:tc>
          <w:tcPr>
            <w:tcW w:w="1533" w:type="dxa"/>
            <w:shd w:val="clear" w:color="auto" w:fill="auto"/>
          </w:tcPr>
          <w:p>
            <w:pPr>
              <w:rPr>
                <w:noProof/>
                <w:sz w:val="20"/>
              </w:rPr>
            </w:pPr>
            <w:r>
              <w:rPr>
                <w:noProof/>
                <w:sz w:val="20"/>
              </w:rPr>
              <w:t>Art. 79</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Visa, border control, asylum and migration</w:t>
            </w:r>
          </w:p>
        </w:tc>
        <w:tc>
          <w:tcPr>
            <w:tcW w:w="1533" w:type="dxa"/>
            <w:shd w:val="clear" w:color="auto" w:fill="auto"/>
          </w:tcPr>
          <w:p>
            <w:pPr>
              <w:rPr>
                <w:noProof/>
                <w:sz w:val="20"/>
              </w:rPr>
            </w:pPr>
            <w:r>
              <w:rPr>
                <w:noProof/>
                <w:sz w:val="20"/>
              </w:rPr>
              <w:t>Art. 80</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Illegal immigration and readmission</w:t>
            </w:r>
          </w:p>
        </w:tc>
        <w:tc>
          <w:tcPr>
            <w:tcW w:w="1533" w:type="dxa"/>
            <w:shd w:val="clear" w:color="auto" w:fill="auto"/>
          </w:tcPr>
          <w:p>
            <w:pPr>
              <w:rPr>
                <w:noProof/>
                <w:sz w:val="20"/>
              </w:rPr>
            </w:pPr>
            <w:r>
              <w:rPr>
                <w:noProof/>
                <w:sz w:val="20"/>
              </w:rPr>
              <w:t>Art. 81</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Money laundering</w:t>
            </w:r>
          </w:p>
        </w:tc>
        <w:tc>
          <w:tcPr>
            <w:tcW w:w="1533" w:type="dxa"/>
            <w:shd w:val="clear" w:color="auto" w:fill="auto"/>
          </w:tcPr>
          <w:p>
            <w:pPr>
              <w:rPr>
                <w:noProof/>
                <w:sz w:val="20"/>
              </w:rPr>
            </w:pPr>
            <w:r>
              <w:rPr>
                <w:noProof/>
                <w:sz w:val="20"/>
              </w:rPr>
              <w:t>Art. 82</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Drugs </w:t>
            </w:r>
          </w:p>
        </w:tc>
        <w:tc>
          <w:tcPr>
            <w:tcW w:w="1533" w:type="dxa"/>
            <w:shd w:val="clear" w:color="auto" w:fill="auto"/>
          </w:tcPr>
          <w:p>
            <w:pPr>
              <w:rPr>
                <w:noProof/>
                <w:sz w:val="20"/>
              </w:rPr>
            </w:pPr>
            <w:r>
              <w:rPr>
                <w:noProof/>
                <w:sz w:val="20"/>
              </w:rPr>
              <w:t>Art. 83</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Counter terrorism </w:t>
            </w:r>
          </w:p>
        </w:tc>
        <w:tc>
          <w:tcPr>
            <w:tcW w:w="1533" w:type="dxa"/>
            <w:shd w:val="clear" w:color="auto" w:fill="auto"/>
          </w:tcPr>
          <w:p>
            <w:pPr>
              <w:rPr>
                <w:noProof/>
                <w:sz w:val="20"/>
              </w:rPr>
            </w:pPr>
            <w:r>
              <w:rPr>
                <w:noProof/>
                <w:sz w:val="20"/>
              </w:rPr>
              <w:t>Art. 85</w:t>
            </w:r>
          </w:p>
        </w:tc>
      </w:tr>
      <w:tr>
        <w:trPr>
          <w:trHeight w:val="50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Crime and other illegal activities</w:t>
            </w:r>
          </w:p>
        </w:tc>
        <w:tc>
          <w:tcPr>
            <w:tcW w:w="1533" w:type="dxa"/>
            <w:shd w:val="clear" w:color="auto" w:fill="auto"/>
          </w:tcPr>
          <w:p>
            <w:pPr>
              <w:rPr>
                <w:noProof/>
                <w:sz w:val="20"/>
              </w:rPr>
            </w:pPr>
            <w:r>
              <w:rPr>
                <w:noProof/>
                <w:sz w:val="20"/>
              </w:rPr>
              <w:t>Art. 84</w:t>
            </w:r>
          </w:p>
        </w:tc>
      </w:tr>
      <w:tr>
        <w:trPr>
          <w:trHeight w:val="585"/>
          <w:jc w:val="center"/>
        </w:trPr>
        <w:tc>
          <w:tcPr>
            <w:tcW w:w="3078" w:type="dxa"/>
            <w:vMerge w:val="restart"/>
            <w:shd w:val="clear" w:color="auto" w:fill="auto"/>
          </w:tcPr>
          <w:p>
            <w:pPr>
              <w:rPr>
                <w:noProof/>
                <w:sz w:val="20"/>
              </w:rPr>
            </w:pPr>
            <w:r>
              <w:rPr>
                <w:noProof/>
                <w:sz w:val="20"/>
              </w:rPr>
              <w:t>6. Innovation, information society, and social policy</w:t>
            </w:r>
          </w:p>
        </w:tc>
        <w:tc>
          <w:tcPr>
            <w:tcW w:w="3600" w:type="dxa"/>
            <w:shd w:val="clear" w:color="auto" w:fill="auto"/>
          </w:tcPr>
          <w:p>
            <w:pPr>
              <w:rPr>
                <w:noProof/>
                <w:sz w:val="20"/>
              </w:rPr>
            </w:pPr>
            <w:r>
              <w:rPr>
                <w:noProof/>
                <w:sz w:val="20"/>
              </w:rPr>
              <w:t>Movement of workers</w:t>
            </w:r>
          </w:p>
        </w:tc>
        <w:tc>
          <w:tcPr>
            <w:tcW w:w="1533" w:type="dxa"/>
            <w:shd w:val="clear" w:color="auto" w:fill="auto"/>
          </w:tcPr>
          <w:p>
            <w:pPr>
              <w:rPr>
                <w:noProof/>
                <w:sz w:val="20"/>
              </w:rPr>
            </w:pPr>
            <w:r>
              <w:rPr>
                <w:noProof/>
                <w:sz w:val="20"/>
              </w:rPr>
              <w:t>Art. 47-49</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Working conditions and equal opportunities </w:t>
            </w:r>
          </w:p>
        </w:tc>
        <w:tc>
          <w:tcPr>
            <w:tcW w:w="1533" w:type="dxa"/>
            <w:shd w:val="clear" w:color="auto" w:fill="auto"/>
          </w:tcPr>
          <w:p>
            <w:pPr>
              <w:rPr>
                <w:noProof/>
                <w:sz w:val="20"/>
              </w:rPr>
            </w:pPr>
            <w:r>
              <w:rPr>
                <w:noProof/>
                <w:sz w:val="20"/>
              </w:rPr>
              <w:t>Art. 77</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Social co-operation </w:t>
            </w:r>
          </w:p>
        </w:tc>
        <w:tc>
          <w:tcPr>
            <w:tcW w:w="1533" w:type="dxa"/>
            <w:shd w:val="clear" w:color="auto" w:fill="auto"/>
          </w:tcPr>
          <w:p>
            <w:pPr>
              <w:rPr>
                <w:noProof/>
                <w:sz w:val="20"/>
              </w:rPr>
            </w:pPr>
            <w:r>
              <w:rPr>
                <w:noProof/>
                <w:sz w:val="20"/>
              </w:rPr>
              <w:t>Art. 99</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Education and training </w:t>
            </w:r>
          </w:p>
        </w:tc>
        <w:tc>
          <w:tcPr>
            <w:tcW w:w="1533" w:type="dxa"/>
            <w:shd w:val="clear" w:color="auto" w:fill="auto"/>
          </w:tcPr>
          <w:p>
            <w:pPr>
              <w:rPr>
                <w:noProof/>
                <w:sz w:val="20"/>
              </w:rPr>
            </w:pPr>
            <w:r>
              <w:rPr>
                <w:noProof/>
                <w:sz w:val="20"/>
              </w:rPr>
              <w:t>Art. 100</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Cultural co-operation</w:t>
            </w:r>
          </w:p>
        </w:tc>
        <w:tc>
          <w:tcPr>
            <w:tcW w:w="1533" w:type="dxa"/>
            <w:shd w:val="clear" w:color="auto" w:fill="auto"/>
          </w:tcPr>
          <w:p>
            <w:pPr>
              <w:rPr>
                <w:noProof/>
                <w:sz w:val="20"/>
              </w:rPr>
            </w:pPr>
            <w:r>
              <w:rPr>
                <w:noProof/>
                <w:sz w:val="20"/>
              </w:rPr>
              <w:t>Art. 101</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Information and communication</w:t>
            </w:r>
          </w:p>
        </w:tc>
        <w:tc>
          <w:tcPr>
            <w:tcW w:w="1533" w:type="dxa"/>
            <w:shd w:val="clear" w:color="auto" w:fill="auto"/>
          </w:tcPr>
          <w:p>
            <w:pPr>
              <w:rPr>
                <w:noProof/>
                <w:sz w:val="20"/>
              </w:rPr>
            </w:pPr>
            <w:r>
              <w:rPr>
                <w:noProof/>
                <w:sz w:val="20"/>
              </w:rPr>
              <w:t>Art. 105</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Co-operation in the audio-visual field</w:t>
            </w:r>
          </w:p>
        </w:tc>
        <w:tc>
          <w:tcPr>
            <w:tcW w:w="1533" w:type="dxa"/>
            <w:shd w:val="clear" w:color="auto" w:fill="auto"/>
          </w:tcPr>
          <w:p>
            <w:pPr>
              <w:rPr>
                <w:noProof/>
                <w:sz w:val="20"/>
              </w:rPr>
            </w:pPr>
            <w:r>
              <w:rPr>
                <w:noProof/>
                <w:sz w:val="20"/>
              </w:rPr>
              <w:t>Art. 102</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Electronic communications networks and services</w:t>
            </w:r>
          </w:p>
        </w:tc>
        <w:tc>
          <w:tcPr>
            <w:tcW w:w="1533" w:type="dxa"/>
            <w:shd w:val="clear" w:color="auto" w:fill="auto"/>
          </w:tcPr>
          <w:p>
            <w:pPr>
              <w:rPr>
                <w:noProof/>
                <w:sz w:val="20"/>
              </w:rPr>
            </w:pPr>
            <w:r>
              <w:rPr>
                <w:noProof/>
                <w:sz w:val="20"/>
              </w:rPr>
              <w:t>Art. 104</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Information society</w:t>
            </w:r>
          </w:p>
        </w:tc>
        <w:tc>
          <w:tcPr>
            <w:tcW w:w="1533" w:type="dxa"/>
            <w:shd w:val="clear" w:color="auto" w:fill="auto"/>
          </w:tcPr>
          <w:p>
            <w:pPr>
              <w:rPr>
                <w:noProof/>
                <w:sz w:val="20"/>
              </w:rPr>
            </w:pPr>
            <w:r>
              <w:rPr>
                <w:noProof/>
                <w:sz w:val="20"/>
              </w:rPr>
              <w:t>Art. 103</w:t>
            </w:r>
          </w:p>
        </w:tc>
      </w:tr>
      <w:tr>
        <w:trPr>
          <w:trHeight w:val="585"/>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Research and technological development</w:t>
            </w:r>
          </w:p>
        </w:tc>
        <w:tc>
          <w:tcPr>
            <w:tcW w:w="1533" w:type="dxa"/>
            <w:shd w:val="clear" w:color="auto" w:fill="auto"/>
          </w:tcPr>
          <w:p>
            <w:pPr>
              <w:rPr>
                <w:noProof/>
                <w:sz w:val="20"/>
              </w:rPr>
            </w:pPr>
            <w:r>
              <w:rPr>
                <w:noProof/>
                <w:sz w:val="20"/>
              </w:rPr>
              <w:t>Art. 109</w:t>
            </w:r>
          </w:p>
        </w:tc>
      </w:tr>
      <w:tr>
        <w:trPr>
          <w:trHeight w:val="230"/>
          <w:jc w:val="center"/>
        </w:trPr>
        <w:tc>
          <w:tcPr>
            <w:tcW w:w="3078" w:type="dxa"/>
            <w:vMerge w:val="restart"/>
            <w:shd w:val="clear" w:color="auto" w:fill="auto"/>
          </w:tcPr>
          <w:p>
            <w:pPr>
              <w:rPr>
                <w:noProof/>
                <w:sz w:val="20"/>
              </w:rPr>
            </w:pPr>
            <w:r>
              <w:rPr>
                <w:noProof/>
                <w:sz w:val="20"/>
              </w:rPr>
              <w:t>7. Transport, energy, environment, and regional development</w:t>
            </w:r>
            <w:r>
              <w:rPr>
                <w:rStyle w:val="FootnoteReference"/>
                <w:noProof/>
              </w:rPr>
              <w:footnoteReference w:id="1"/>
            </w:r>
          </w:p>
        </w:tc>
        <w:tc>
          <w:tcPr>
            <w:tcW w:w="3600" w:type="dxa"/>
            <w:shd w:val="clear" w:color="auto" w:fill="auto"/>
          </w:tcPr>
          <w:p>
            <w:pPr>
              <w:rPr>
                <w:noProof/>
                <w:sz w:val="20"/>
              </w:rPr>
            </w:pPr>
            <w:r>
              <w:rPr>
                <w:noProof/>
                <w:sz w:val="20"/>
              </w:rPr>
              <w:t>Transport</w:t>
            </w:r>
          </w:p>
        </w:tc>
        <w:tc>
          <w:tcPr>
            <w:tcW w:w="1533" w:type="dxa"/>
            <w:shd w:val="clear" w:color="auto" w:fill="auto"/>
          </w:tcPr>
          <w:p>
            <w:pPr>
              <w:rPr>
                <w:noProof/>
                <w:sz w:val="20"/>
              </w:rPr>
            </w:pPr>
            <w:r>
              <w:rPr>
                <w:noProof/>
                <w:sz w:val="20"/>
              </w:rPr>
              <w:t>Art. 53, 59, 106 and Protocol 3</w:t>
            </w:r>
          </w:p>
        </w:tc>
      </w:tr>
      <w:tr>
        <w:trPr>
          <w:trHeight w:val="230"/>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Energy</w:t>
            </w:r>
          </w:p>
        </w:tc>
        <w:tc>
          <w:tcPr>
            <w:tcW w:w="1533" w:type="dxa"/>
            <w:shd w:val="clear" w:color="auto" w:fill="auto"/>
          </w:tcPr>
          <w:p>
            <w:pPr>
              <w:rPr>
                <w:noProof/>
                <w:sz w:val="20"/>
              </w:rPr>
            </w:pPr>
            <w:r>
              <w:rPr>
                <w:noProof/>
                <w:sz w:val="20"/>
              </w:rPr>
              <w:t>Art. 107</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Nuclear safety</w:t>
            </w:r>
          </w:p>
        </w:tc>
        <w:tc>
          <w:tcPr>
            <w:tcW w:w="1533" w:type="dxa"/>
            <w:shd w:val="clear" w:color="auto" w:fill="auto"/>
          </w:tcPr>
          <w:p>
            <w:pPr>
              <w:rPr>
                <w:noProof/>
                <w:sz w:val="20"/>
              </w:rPr>
            </w:pPr>
            <w:r>
              <w:rPr>
                <w:noProof/>
                <w:sz w:val="20"/>
              </w:rPr>
              <w:t>Art. 107</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 xml:space="preserve">Environment </w:t>
            </w:r>
          </w:p>
        </w:tc>
        <w:tc>
          <w:tcPr>
            <w:tcW w:w="1533" w:type="dxa"/>
            <w:shd w:val="clear" w:color="auto" w:fill="auto"/>
          </w:tcPr>
          <w:p>
            <w:pPr>
              <w:rPr>
                <w:noProof/>
                <w:sz w:val="20"/>
              </w:rPr>
            </w:pPr>
            <w:r>
              <w:rPr>
                <w:noProof/>
                <w:sz w:val="20"/>
              </w:rPr>
              <w:t>Art.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Climate change</w:t>
            </w:r>
          </w:p>
        </w:tc>
        <w:tc>
          <w:tcPr>
            <w:tcW w:w="1533" w:type="dxa"/>
            <w:shd w:val="clear" w:color="auto" w:fill="auto"/>
          </w:tcPr>
          <w:p>
            <w:pPr>
              <w:rPr>
                <w:noProof/>
                <w:sz w:val="20"/>
              </w:rPr>
            </w:pPr>
            <w:r>
              <w:rPr>
                <w:noProof/>
                <w:sz w:val="20"/>
              </w:rPr>
              <w:t>Art.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Civil protection</w:t>
            </w:r>
          </w:p>
        </w:tc>
        <w:tc>
          <w:tcPr>
            <w:tcW w:w="1533" w:type="dxa"/>
            <w:shd w:val="clear" w:color="auto" w:fill="auto"/>
          </w:tcPr>
          <w:p>
            <w:pPr>
              <w:rPr>
                <w:noProof/>
                <w:sz w:val="20"/>
              </w:rPr>
            </w:pPr>
            <w:r>
              <w:rPr>
                <w:noProof/>
                <w:sz w:val="20"/>
              </w:rPr>
              <w:t>Art. 108</w:t>
            </w:r>
          </w:p>
        </w:tc>
      </w:tr>
      <w:tr>
        <w:trPr>
          <w:trHeight w:val="466"/>
          <w:jc w:val="center"/>
        </w:trPr>
        <w:tc>
          <w:tcPr>
            <w:tcW w:w="3078" w:type="dxa"/>
            <w:vMerge/>
            <w:shd w:val="clear" w:color="auto" w:fill="auto"/>
          </w:tcPr>
          <w:p>
            <w:pPr>
              <w:rPr>
                <w:noProof/>
                <w:sz w:val="20"/>
              </w:rPr>
            </w:pPr>
          </w:p>
        </w:tc>
        <w:tc>
          <w:tcPr>
            <w:tcW w:w="3600" w:type="dxa"/>
            <w:shd w:val="clear" w:color="auto" w:fill="auto"/>
          </w:tcPr>
          <w:p>
            <w:pPr>
              <w:rPr>
                <w:noProof/>
                <w:sz w:val="20"/>
              </w:rPr>
            </w:pPr>
            <w:r>
              <w:rPr>
                <w:noProof/>
                <w:sz w:val="20"/>
              </w:rPr>
              <w:t>Regional and local development</w:t>
            </w:r>
          </w:p>
        </w:tc>
        <w:tc>
          <w:tcPr>
            <w:tcW w:w="1533" w:type="dxa"/>
            <w:shd w:val="clear" w:color="auto" w:fill="auto"/>
          </w:tcPr>
          <w:p>
            <w:pPr>
              <w:rPr>
                <w:noProof/>
                <w:sz w:val="20"/>
              </w:rPr>
            </w:pPr>
            <w:r>
              <w:rPr>
                <w:noProof/>
                <w:sz w:val="20"/>
              </w:rPr>
              <w:t>110</w:t>
            </w:r>
          </w:p>
        </w:tc>
      </w:tr>
    </w:tbl>
    <w:p>
      <w:pPr>
        <w:jc w:val="center"/>
        <w:rPr>
          <w:noProof/>
        </w:rPr>
      </w:pPr>
    </w:p>
    <w:p>
      <w:pPr>
        <w:jc w:val="center"/>
        <w:rPr>
          <w:b/>
          <w:noProof/>
        </w:rPr>
      </w:pPr>
      <w:r>
        <w:rPr>
          <w:b/>
          <w:noProof/>
        </w:rPr>
        <w:t>Structure of the Special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600"/>
        <w:gridCol w:w="1533"/>
      </w:tblGrid>
      <w:tr>
        <w:trPr>
          <w:jc w:val="center"/>
        </w:trPr>
        <w:tc>
          <w:tcPr>
            <w:tcW w:w="3078" w:type="dxa"/>
            <w:shd w:val="clear" w:color="auto" w:fill="auto"/>
          </w:tcPr>
          <w:p>
            <w:pPr>
              <w:rPr>
                <w:noProof/>
              </w:rPr>
            </w:pPr>
            <w:r>
              <w:rPr>
                <w:noProof/>
              </w:rPr>
              <w:t>Title</w:t>
            </w:r>
          </w:p>
        </w:tc>
        <w:tc>
          <w:tcPr>
            <w:tcW w:w="3600" w:type="dxa"/>
            <w:shd w:val="clear" w:color="auto" w:fill="auto"/>
          </w:tcPr>
          <w:p>
            <w:pPr>
              <w:rPr>
                <w:noProof/>
              </w:rPr>
            </w:pPr>
            <w:r>
              <w:rPr>
                <w:noProof/>
              </w:rPr>
              <w:t>Issues</w:t>
            </w:r>
          </w:p>
        </w:tc>
        <w:tc>
          <w:tcPr>
            <w:tcW w:w="1533" w:type="dxa"/>
            <w:shd w:val="clear" w:color="auto" w:fill="auto"/>
          </w:tcPr>
          <w:p>
            <w:pPr>
              <w:rPr>
                <w:noProof/>
              </w:rPr>
            </w:pPr>
            <w:r>
              <w:rPr>
                <w:noProof/>
              </w:rPr>
              <w:t>SAA Article</w:t>
            </w:r>
          </w:p>
        </w:tc>
      </w:tr>
      <w:tr>
        <w:trPr>
          <w:trHeight w:val="230"/>
          <w:jc w:val="center"/>
        </w:trPr>
        <w:tc>
          <w:tcPr>
            <w:tcW w:w="3078" w:type="dxa"/>
            <w:shd w:val="clear" w:color="auto" w:fill="auto"/>
          </w:tcPr>
          <w:p>
            <w:pPr>
              <w:rPr>
                <w:noProof/>
                <w:sz w:val="20"/>
              </w:rPr>
            </w:pPr>
            <w:r>
              <w:rPr>
                <w:noProof/>
                <w:sz w:val="20"/>
              </w:rPr>
              <w:t xml:space="preserve">Special Group for reform of public </w:t>
            </w:r>
            <w:r>
              <w:rPr>
                <w:noProof/>
                <w:sz w:val="20"/>
              </w:rPr>
              <w:lastRenderedPageBreak/>
              <w:t>administration</w:t>
            </w:r>
          </w:p>
        </w:tc>
        <w:tc>
          <w:tcPr>
            <w:tcW w:w="3600" w:type="dxa"/>
            <w:shd w:val="clear" w:color="auto" w:fill="auto"/>
          </w:tcPr>
          <w:p>
            <w:pPr>
              <w:rPr>
                <w:noProof/>
                <w:sz w:val="20"/>
              </w:rPr>
            </w:pPr>
            <w:r>
              <w:rPr>
                <w:noProof/>
                <w:sz w:val="20"/>
              </w:rPr>
              <w:lastRenderedPageBreak/>
              <w:t>Public administration reform</w:t>
            </w:r>
          </w:p>
        </w:tc>
        <w:tc>
          <w:tcPr>
            <w:tcW w:w="1533" w:type="dxa"/>
            <w:shd w:val="clear" w:color="auto" w:fill="auto"/>
          </w:tcPr>
          <w:p>
            <w:pPr>
              <w:rPr>
                <w:noProof/>
                <w:sz w:val="20"/>
              </w:rPr>
            </w:pPr>
            <w:r>
              <w:rPr>
                <w:noProof/>
                <w:sz w:val="20"/>
              </w:rPr>
              <w:t xml:space="preserve">Title VI Legal </w:t>
            </w:r>
            <w:r>
              <w:rPr>
                <w:noProof/>
                <w:sz w:val="20"/>
              </w:rPr>
              <w:lastRenderedPageBreak/>
              <w:t>approximation and law enforcement, Art. 70 and Title VII, Justice and Home Affairs, Art. 78, Art. 111</w:t>
            </w:r>
          </w:p>
        </w:tc>
      </w:tr>
    </w:tbl>
    <w:p>
      <w:pPr>
        <w:jc w:val="center"/>
        <w:rPr>
          <w:b/>
          <w:caps/>
          <w:noProof/>
          <w:u w:val="single"/>
        </w:rPr>
      </w:pPr>
      <w:r>
        <w:rPr>
          <w:noProof/>
        </w:rPr>
        <w:lastRenderedPageBreak/>
        <w:br w:type="page"/>
      </w:r>
      <w:r>
        <w:rPr>
          <w:b/>
          <w:caps/>
          <w:noProof/>
          <w:u w:val="single"/>
        </w:rPr>
        <w:lastRenderedPageBreak/>
        <w:t>A</w:t>
      </w:r>
      <w:r>
        <w:rPr>
          <w:b/>
          <w:noProof/>
          <w:u w:val="single"/>
        </w:rPr>
        <w:t>nnex</w:t>
      </w:r>
      <w:r>
        <w:rPr>
          <w:b/>
          <w:caps/>
          <w:noProof/>
          <w:u w:val="single"/>
        </w:rPr>
        <w:t xml:space="preserve"> II</w:t>
      </w:r>
    </w:p>
    <w:p>
      <w:pPr>
        <w:jc w:val="center"/>
        <w:rPr>
          <w:noProof/>
        </w:rPr>
      </w:pPr>
      <w:r>
        <w:rPr>
          <w:b/>
          <w:noProof/>
        </w:rPr>
        <w:t>Terms of Reference of the EU – Bosnia and Herzegovina Subcommittees and Special Groups</w:t>
      </w:r>
    </w:p>
    <w:p>
      <w:pPr>
        <w:rPr>
          <w:b/>
          <w:noProof/>
        </w:rPr>
      </w:pPr>
      <w:r>
        <w:rPr>
          <w:b/>
          <w:noProof/>
        </w:rPr>
        <w:t>Composition and Chair</w:t>
      </w:r>
    </w:p>
    <w:p>
      <w:pPr>
        <w:rPr>
          <w:noProof/>
        </w:rPr>
      </w:pPr>
      <w:r>
        <w:rPr>
          <w:noProof/>
        </w:rPr>
        <w:t>The subcommittees and the special group on public administration reform (PAR) shall be composed of representatives of the European Commission and representatives of the government of Bosnia and Herzegovina. They shall be chaired alternately by the two parties. The Member States will be informed and invited to the meetings of the subcommittees and the special group on PAR.</w:t>
      </w:r>
    </w:p>
    <w:p>
      <w:pPr>
        <w:spacing w:before="240"/>
        <w:rPr>
          <w:b/>
          <w:noProof/>
        </w:rPr>
      </w:pPr>
      <w:r>
        <w:rPr>
          <w:b/>
          <w:noProof/>
        </w:rPr>
        <w:t>Secretariat</w:t>
      </w:r>
    </w:p>
    <w:p>
      <w:pPr>
        <w:rPr>
          <w:noProof/>
        </w:rPr>
      </w:pPr>
      <w:r>
        <w:rPr>
          <w:noProof/>
        </w:rPr>
        <w:t>An official of the European Commission and an official of the government of Bosnia and Herzegovina shall act jointly as secretaries of each of the subcommittees and of the special group on PAR.</w:t>
      </w:r>
    </w:p>
    <w:p>
      <w:pPr>
        <w:rPr>
          <w:noProof/>
        </w:rPr>
      </w:pPr>
      <w:r>
        <w:rPr>
          <w:noProof/>
        </w:rPr>
        <w:t>All communications concerning the subcommittees shall be forwarded to the secretaries of the relevant subcommittee and of the special group on PAR.</w:t>
      </w:r>
    </w:p>
    <w:p>
      <w:pPr>
        <w:spacing w:before="240"/>
        <w:rPr>
          <w:b/>
          <w:noProof/>
        </w:rPr>
      </w:pPr>
      <w:r>
        <w:rPr>
          <w:b/>
          <w:noProof/>
        </w:rPr>
        <w:t>Meetings</w:t>
      </w:r>
    </w:p>
    <w:p>
      <w:pPr>
        <w:rPr>
          <w:noProof/>
        </w:rPr>
      </w:pPr>
      <w:r>
        <w:rPr>
          <w:noProof/>
        </w:rPr>
        <w:t>The subcommittees and the special group on PAR shall meet whenever circumstances require, with the agreement of both Parties. Each meeting of a subcommittee or the special group on PAR shall be held at a time and place agreed by both Parties.</w:t>
      </w:r>
    </w:p>
    <w:p>
      <w:pPr>
        <w:rPr>
          <w:noProof/>
        </w:rPr>
      </w:pPr>
      <w:r>
        <w:rPr>
          <w:noProof/>
        </w:rPr>
        <w:t>If both Parties agree, the subcommittees and the special group on PAR may invite experts to their meetings to provide the specific information requested.</w:t>
      </w:r>
    </w:p>
    <w:p>
      <w:pPr>
        <w:spacing w:before="240"/>
        <w:rPr>
          <w:b/>
          <w:noProof/>
        </w:rPr>
      </w:pPr>
      <w:r>
        <w:rPr>
          <w:b/>
          <w:noProof/>
        </w:rPr>
        <w:t>Agenda and supporting documentation</w:t>
      </w:r>
    </w:p>
    <w:p>
      <w:pPr>
        <w:spacing w:before="0" w:after="200"/>
        <w:rPr>
          <w:rFonts w:eastAsia="Calibri"/>
          <w:noProof/>
          <w:szCs w:val="24"/>
        </w:rPr>
      </w:pPr>
      <w:r>
        <w:rPr>
          <w:rFonts w:eastAsia="Calibri"/>
          <w:noProof/>
          <w:szCs w:val="24"/>
        </w:rPr>
        <w:t>The Chairman and the secretaries shall draw up a provisional agenda for each meeting not later than 30 working days before the beginning of the meeting.</w:t>
      </w:r>
    </w:p>
    <w:p>
      <w:pPr>
        <w:spacing w:before="0" w:after="200"/>
        <w:rPr>
          <w:rFonts w:eastAsia="Calibri"/>
          <w:noProof/>
          <w:szCs w:val="24"/>
        </w:rPr>
      </w:pPr>
      <w:r>
        <w:rPr>
          <w:rFonts w:eastAsia="Calibri"/>
          <w:noProof/>
          <w:szCs w:val="24"/>
        </w:rPr>
        <w:t>The provisional agenda shall include items in respect of which a request for inclusion has been received by the secretaries not later than 35 working days before the beginning of the meeting.</w:t>
      </w:r>
    </w:p>
    <w:p>
      <w:pPr>
        <w:spacing w:before="0" w:after="200"/>
        <w:rPr>
          <w:rFonts w:eastAsia="Calibri"/>
          <w:noProof/>
          <w:szCs w:val="24"/>
        </w:rPr>
      </w:pPr>
      <w:r>
        <w:rPr>
          <w:rFonts w:eastAsia="Calibri"/>
          <w:noProof/>
          <w:szCs w:val="24"/>
        </w:rPr>
        <w:t>Following the agreement of the provisional agenda for each meeting and not later than 10 working days before the beginning of the meeting the secretary on behalf of Bosnia and Herzegovina shall submit to the secretary on behalf of the European Commission the necessary written documentation following the items agreed in the provisional agenda.</w:t>
      </w:r>
    </w:p>
    <w:p>
      <w:pPr>
        <w:spacing w:before="0" w:after="200"/>
        <w:rPr>
          <w:rFonts w:eastAsia="Calibri"/>
          <w:noProof/>
          <w:szCs w:val="24"/>
        </w:rPr>
      </w:pPr>
      <w:r>
        <w:rPr>
          <w:rFonts w:eastAsia="Calibri"/>
          <w:noProof/>
          <w:szCs w:val="24"/>
        </w:rPr>
        <w:t>In case the deadline mentioned in paragraph 3 is not respected, the meeting shall be automatically cancelled without further notice.</w:t>
      </w:r>
    </w:p>
    <w:p>
      <w:pPr>
        <w:spacing w:before="240"/>
        <w:rPr>
          <w:b/>
          <w:noProof/>
        </w:rPr>
      </w:pPr>
      <w:r>
        <w:rPr>
          <w:b/>
          <w:noProof/>
        </w:rPr>
        <w:t>Subject matters</w:t>
      </w:r>
    </w:p>
    <w:p>
      <w:pPr>
        <w:rPr>
          <w:noProof/>
        </w:rPr>
      </w:pPr>
      <w:r>
        <w:rPr>
          <w:noProof/>
        </w:rPr>
        <w:t>The subcommittees shall discuss issues related to the areas of the SAA as listed in the multidisciplinary subcommittee structure. Progress regarding the approximation, implementation and enforcement of legislation shall be assessed under all subject matters. The subcommittees shall examine any problems that may arise in their relevant sectors and shall suggest possible steps to be taken.</w:t>
      </w:r>
    </w:p>
    <w:p>
      <w:pPr>
        <w:rPr>
          <w:noProof/>
        </w:rPr>
      </w:pPr>
      <w:r>
        <w:rPr>
          <w:noProof/>
        </w:rPr>
        <w:t xml:space="preserve">The subcommittees shall also serve as fora for the further clarification of the </w:t>
      </w:r>
      <w:r>
        <w:rPr>
          <w:i/>
          <w:noProof/>
        </w:rPr>
        <w:t>acquis</w:t>
      </w:r>
      <w:r>
        <w:rPr>
          <w:noProof/>
        </w:rPr>
        <w:t xml:space="preserve"> and shall review progress made by Bosnia and Herzegovina in conforming to the </w:t>
      </w:r>
      <w:r>
        <w:rPr>
          <w:i/>
          <w:noProof/>
        </w:rPr>
        <w:t>acquis</w:t>
      </w:r>
      <w:r>
        <w:rPr>
          <w:noProof/>
        </w:rPr>
        <w:t xml:space="preserve"> in line with commitments taken under the SAA.</w:t>
      </w:r>
    </w:p>
    <w:p>
      <w:pPr>
        <w:rPr>
          <w:noProof/>
        </w:rPr>
      </w:pPr>
      <w:r>
        <w:rPr>
          <w:noProof/>
        </w:rPr>
        <w:t>The special group on PAR shall discuss issues related to public administration reform and suggest possible steps to be taken.</w:t>
      </w:r>
    </w:p>
    <w:p>
      <w:pPr>
        <w:spacing w:before="240"/>
        <w:rPr>
          <w:b/>
          <w:noProof/>
        </w:rPr>
      </w:pPr>
      <w:r>
        <w:rPr>
          <w:b/>
          <w:noProof/>
        </w:rPr>
        <w:t>Minutes</w:t>
      </w:r>
    </w:p>
    <w:p>
      <w:pPr>
        <w:rPr>
          <w:noProof/>
        </w:rPr>
      </w:pPr>
      <w:r>
        <w:rPr>
          <w:noProof/>
        </w:rPr>
        <w:t>Minutes shall be taken for and agreed after each meeting. A copy of the minutes shall be forwarded by the secretary of the subcommittee or the special group on PAR to the Secretary of the Stabilisation and Association Committee.</w:t>
      </w:r>
    </w:p>
    <w:p>
      <w:pPr>
        <w:spacing w:before="240"/>
        <w:rPr>
          <w:b/>
          <w:noProof/>
        </w:rPr>
      </w:pPr>
      <w:r>
        <w:rPr>
          <w:b/>
          <w:noProof/>
        </w:rPr>
        <w:t>Publicity</w:t>
      </w:r>
    </w:p>
    <w:p>
      <w:pPr>
        <w:rPr>
          <w:noProof/>
        </w:rPr>
      </w:pPr>
      <w:r>
        <w:rPr>
          <w:noProof/>
        </w:rPr>
        <w:t xml:space="preserve">Unless otherwise decided, the meetings of the subcommittees and of special group on PAR shall not be public.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purposes of implementing Protocol 3 to the SAA, this sub-committee shall act as the special sub-committee mentioned in Article 21 of this Protocol.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8EAD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7C6C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4C33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50CF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8243B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90C2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9A46D98"/>
    <w:lvl w:ilvl="0">
      <w:start w:val="1"/>
      <w:numFmt w:val="decimal"/>
      <w:pStyle w:val="ListNumber"/>
      <w:lvlText w:val="%1."/>
      <w:lvlJc w:val="left"/>
      <w:pPr>
        <w:tabs>
          <w:tab w:val="num" w:pos="360"/>
        </w:tabs>
        <w:ind w:left="360" w:hanging="360"/>
      </w:pPr>
    </w:lvl>
  </w:abstractNum>
  <w:abstractNum w:abstractNumId="7">
    <w:nsid w:val="FFFFFF89"/>
    <w:multiLevelType w:val="singleLevel"/>
    <w:tmpl w:val="81144C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9: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79360FCEA0E54BC08F405DE4E2205926"/>
    <w:docVar w:name="LW_CROSSREFERENCE" w:val="&lt;UNUSED&gt;"/>
    <w:docVar w:name="LW_DocType" w:val="ANNEX"/>
    <w:docVar w:name="LW_EMISSION" w:val="29.7.2015"/>
    <w:docVar w:name="LW_EMISSION_ISODATE" w:val="2015-07-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concerning a Decision of the Stabilisation and Association Council adopting its rules of procedure "/>
    <w:docVar w:name="LW_PART_NBR" w:val="1"/>
    <w:docVar w:name="LW_PART_NBR_TOTAL" w:val="1"/>
    <w:docVar w:name="LW_REF.INST.NEW" w:val="COM"/>
    <w:docVar w:name="LW_REF.INST.NEW_ADOPTED" w:val="final"/>
    <w:docVar w:name="LW_REF.INST.NEW_TEXT" w:val="(2015) 368"/>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1105</Words>
  <Characters>6181</Characters>
  <Application>Microsoft Office Word</Application>
  <DocSecurity>0</DocSecurity>
  <Lines>325</Lines>
  <Paragraphs>208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7</cp:revision>
  <cp:lastPrinted>2015-05-28T16:11:00Z</cp:lastPrinted>
  <dcterms:created xsi:type="dcterms:W3CDTF">2015-06-04T13:03:00Z</dcterms:created>
  <dcterms:modified xsi:type="dcterms:W3CDTF">2015-07-28T14:19:00Z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