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0D409D805144093A3333A3AAF475615" style="width:450.2pt;height:425.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after="360"/>
        <w:jc w:val="center"/>
        <w:rPr>
          <w:b/>
          <w:smallCaps/>
          <w:noProof/>
        </w:rPr>
      </w:pPr>
      <w:bookmarkStart w:id="0" w:name="_GoBack"/>
      <w:bookmarkEnd w:id="0"/>
      <w:r>
        <w:rPr>
          <w:b/>
          <w:smallCaps/>
          <w:noProof/>
        </w:rPr>
        <w:lastRenderedPageBreak/>
        <w:t>Uniquement pour l’information du Conseil</w:t>
      </w:r>
    </w:p>
    <w:p>
      <w:pPr>
        <w:jc w:val="center"/>
        <w:rPr>
          <w:b/>
          <w:noProof/>
        </w:rPr>
      </w:pPr>
      <w:r>
        <w:rPr>
          <w:b/>
          <w:noProof/>
        </w:rPr>
        <w:t>PROJET DE</w:t>
      </w:r>
      <w:r>
        <w:rPr>
          <w:b/>
          <w:noProof/>
        </w:rPr>
        <w:br/>
      </w:r>
      <w:r>
        <w:rPr>
          <w:b/>
          <w:noProof/>
        </w:rPr>
        <w:br/>
        <w:t>décision n° 1/2015 du comité de stabilisation et d'association UE</w:t>
      </w:r>
      <w:r>
        <w:rPr>
          <w:b/>
          <w:noProof/>
        </w:rPr>
        <w:noBreakHyphen/>
        <w:t>Bosnie</w:t>
      </w:r>
      <w:r>
        <w:rPr>
          <w:b/>
          <w:noProof/>
        </w:rPr>
        <w:noBreakHyphen/>
        <w:t>Herzégovine du [jour] [mois] 2015 instituant des sous</w:t>
      </w:r>
      <w:r>
        <w:rPr>
          <w:b/>
          <w:noProof/>
        </w:rPr>
        <w:noBreakHyphen/>
        <w:t>comités et des groupes spéciaux</w:t>
      </w:r>
    </w:p>
    <w:p>
      <w:pPr>
        <w:rPr>
          <w:caps/>
          <w:noProof/>
        </w:rPr>
      </w:pPr>
    </w:p>
    <w:p>
      <w:pPr>
        <w:rPr>
          <w:caps/>
          <w:noProof/>
        </w:rPr>
      </w:pPr>
      <w:r>
        <w:rPr>
          <w:caps/>
          <w:noProof/>
        </w:rPr>
        <w:t>LE COMITÉ DE STABILISATION ET D'ASSOCIATION,</w:t>
      </w:r>
    </w:p>
    <w:p>
      <w:pPr>
        <w:rPr>
          <w:noProof/>
        </w:rPr>
      </w:pPr>
      <w:r>
        <w:rPr>
          <w:noProof/>
        </w:rPr>
        <w:t>vu l'accord de stabilisation et d'association entre les Communautés européennes et leurs États membres, d'une part, et la Bosnie-Herzégovine, d'autre part, et notamment son article 119,</w:t>
      </w:r>
    </w:p>
    <w:p>
      <w:pPr>
        <w:rPr>
          <w:noProof/>
        </w:rPr>
      </w:pPr>
      <w:r>
        <w:rPr>
          <w:noProof/>
        </w:rPr>
        <w:t>vu son règlement intérieur, et notamment son article 10,</w:t>
      </w:r>
    </w:p>
    <w:p>
      <w:pPr>
        <w:rPr>
          <w:noProof/>
        </w:rPr>
      </w:pPr>
      <w:r>
        <w:rPr>
          <w:noProof/>
        </w:rPr>
        <w:t xml:space="preserve">DÉCIDE: </w:t>
      </w:r>
    </w:p>
    <w:p>
      <w:pPr>
        <w:jc w:val="center"/>
        <w:rPr>
          <w:i/>
          <w:noProof/>
        </w:rPr>
      </w:pPr>
      <w:r>
        <w:rPr>
          <w:i/>
          <w:noProof/>
        </w:rPr>
        <w:t>Article unique</w:t>
      </w:r>
    </w:p>
    <w:p>
      <w:pPr>
        <w:rPr>
          <w:noProof/>
        </w:rPr>
      </w:pPr>
      <w:r>
        <w:rPr>
          <w:noProof/>
        </w:rPr>
        <w:t>Les sous-comités et groupes de travail spécifiques énumérés à l'annexe I sont créés. Le mandat de ceux-ci figure à l’annexe II.</w:t>
      </w:r>
    </w:p>
    <w:p>
      <w:pPr>
        <w:rPr>
          <w:noProof/>
        </w:rPr>
      </w:pPr>
      <w:r>
        <w:rPr>
          <w:noProof/>
        </w:rPr>
        <w:t xml:space="preserve">Fait à </w:t>
      </w:r>
      <w:r>
        <w:rPr>
          <w:noProof/>
          <w:highlight w:val="green"/>
        </w:rPr>
        <w:t>………….</w:t>
      </w:r>
      <w:r>
        <w:rPr>
          <w:noProof/>
        </w:rPr>
        <w:t>, le [jour] [mois] 2015.</w:t>
      </w:r>
    </w:p>
    <w:p>
      <w:pPr>
        <w:rPr>
          <w:i/>
          <w:noProof/>
        </w:rPr>
      </w:pPr>
      <w:r>
        <w:rPr>
          <w:i/>
          <w:noProof/>
        </w:rPr>
        <w:t>Par le comité de stabilisation et d’association</w:t>
      </w:r>
    </w:p>
    <w:p>
      <w:pPr>
        <w:rPr>
          <w:noProof/>
        </w:rPr>
      </w:pPr>
      <w:r>
        <w:rPr>
          <w:i/>
          <w:noProof/>
        </w:rPr>
        <w:t>Le président</w:t>
      </w:r>
    </w:p>
    <w:p>
      <w:pPr>
        <w:rPr>
          <w:noProof/>
        </w:rPr>
      </w:pPr>
      <w:r>
        <w:rPr>
          <w:noProof/>
        </w:rPr>
        <w:tab/>
      </w:r>
    </w:p>
    <w:p>
      <w:pPr>
        <w:jc w:val="center"/>
        <w:rPr>
          <w:b/>
          <w:noProof/>
          <w:u w:val="single"/>
        </w:rPr>
      </w:pPr>
      <w:r>
        <w:rPr>
          <w:noProof/>
        </w:rPr>
        <w:br w:type="page"/>
      </w:r>
      <w:r>
        <w:rPr>
          <w:b/>
          <w:noProof/>
          <w:u w:val="single"/>
        </w:rPr>
        <w:lastRenderedPageBreak/>
        <w:t>Annexe I</w:t>
      </w:r>
    </w:p>
    <w:p>
      <w:pPr>
        <w:jc w:val="center"/>
        <w:rPr>
          <w:b/>
          <w:noProof/>
        </w:rPr>
      </w:pPr>
      <w:r>
        <w:rPr>
          <w:b/>
          <w:noProof/>
        </w:rPr>
        <w:t xml:space="preserve">ACCORD DE STABILISATION ET D’ASSOCIATION UE </w:t>
      </w:r>
      <w:r>
        <w:rPr>
          <w:b/>
          <w:noProof/>
        </w:rPr>
        <w:noBreakHyphen/>
        <w:t xml:space="preserve"> BOSNIE</w:t>
      </w:r>
      <w:r>
        <w:rPr>
          <w:b/>
          <w:noProof/>
        </w:rPr>
        <w:noBreakHyphen/>
        <w:t>HERZÉGOVINE</w:t>
      </w:r>
    </w:p>
    <w:p>
      <w:pPr>
        <w:jc w:val="center"/>
        <w:rPr>
          <w:b/>
          <w:noProof/>
        </w:rPr>
      </w:pPr>
      <w:r>
        <w:rPr>
          <w:b/>
          <w:noProof/>
        </w:rPr>
        <w:t>Structure des sous-comités multidisciplinaires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600"/>
        <w:gridCol w:w="1533"/>
      </w:tblGrid>
      <w:tr>
        <w:trPr>
          <w:jc w:val="center"/>
        </w:trPr>
        <w:tc>
          <w:tcPr>
            <w:tcW w:w="3078" w:type="dxa"/>
            <w:shd w:val="clear" w:color="auto" w:fill="auto"/>
          </w:tcPr>
          <w:p>
            <w:pPr>
              <w:rPr>
                <w:noProof/>
              </w:rPr>
            </w:pPr>
            <w:r>
              <w:rPr>
                <w:noProof/>
              </w:rPr>
              <w:t>Intitulé</w:t>
            </w:r>
          </w:p>
        </w:tc>
        <w:tc>
          <w:tcPr>
            <w:tcW w:w="3600" w:type="dxa"/>
            <w:shd w:val="clear" w:color="auto" w:fill="auto"/>
          </w:tcPr>
          <w:p>
            <w:pPr>
              <w:rPr>
                <w:noProof/>
              </w:rPr>
            </w:pPr>
            <w:r>
              <w:rPr>
                <w:noProof/>
              </w:rPr>
              <w:t>Questions</w:t>
            </w:r>
          </w:p>
        </w:tc>
        <w:tc>
          <w:tcPr>
            <w:tcW w:w="1533" w:type="dxa"/>
            <w:shd w:val="clear" w:color="auto" w:fill="auto"/>
          </w:tcPr>
          <w:p>
            <w:pPr>
              <w:rPr>
                <w:noProof/>
              </w:rPr>
            </w:pPr>
            <w:r>
              <w:rPr>
                <w:noProof/>
              </w:rPr>
              <w:t>Article de l'ASA</w:t>
            </w:r>
          </w:p>
        </w:tc>
      </w:tr>
      <w:tr>
        <w:trPr>
          <w:trHeight w:val="498"/>
          <w:jc w:val="center"/>
        </w:trPr>
        <w:tc>
          <w:tcPr>
            <w:tcW w:w="3078" w:type="dxa"/>
            <w:vMerge w:val="restart"/>
            <w:shd w:val="clear" w:color="auto" w:fill="auto"/>
          </w:tcPr>
          <w:p>
            <w:pPr>
              <w:rPr>
                <w:noProof/>
                <w:sz w:val="20"/>
              </w:rPr>
            </w:pPr>
            <w:r>
              <w:rPr>
                <w:noProof/>
                <w:sz w:val="20"/>
              </w:rPr>
              <w:t>1. Commerce, industrie, douanes et fiscalité</w:t>
            </w:r>
          </w:p>
        </w:tc>
        <w:tc>
          <w:tcPr>
            <w:tcW w:w="3600" w:type="dxa"/>
            <w:shd w:val="clear" w:color="auto" w:fill="auto"/>
          </w:tcPr>
          <w:p>
            <w:pPr>
              <w:rPr>
                <w:noProof/>
                <w:sz w:val="20"/>
              </w:rPr>
            </w:pPr>
            <w:r>
              <w:rPr>
                <w:noProof/>
                <w:sz w:val="20"/>
              </w:rPr>
              <w:t>Libre circulation des marchandises</w:t>
            </w:r>
          </w:p>
        </w:tc>
        <w:tc>
          <w:tcPr>
            <w:tcW w:w="1533" w:type="dxa"/>
            <w:shd w:val="clear" w:color="auto" w:fill="auto"/>
          </w:tcPr>
          <w:p>
            <w:pPr>
              <w:rPr>
                <w:noProof/>
                <w:sz w:val="20"/>
              </w:rPr>
            </w:pPr>
            <w:r>
              <w:rPr>
                <w:noProof/>
                <w:sz w:val="20"/>
              </w:rPr>
              <w:t>Article 18</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Produits industriels</w:t>
            </w:r>
          </w:p>
        </w:tc>
        <w:tc>
          <w:tcPr>
            <w:tcW w:w="1533" w:type="dxa"/>
            <w:shd w:val="clear" w:color="auto" w:fill="auto"/>
          </w:tcPr>
          <w:p>
            <w:pPr>
              <w:rPr>
                <w:noProof/>
                <w:sz w:val="20"/>
              </w:rPr>
            </w:pPr>
            <w:r>
              <w:rPr>
                <w:noProof/>
                <w:sz w:val="20"/>
              </w:rPr>
              <w:t>Art. 19-23</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Questions commerciales</w:t>
            </w:r>
          </w:p>
        </w:tc>
        <w:tc>
          <w:tcPr>
            <w:tcW w:w="1533" w:type="dxa"/>
            <w:shd w:val="clear" w:color="auto" w:fill="auto"/>
          </w:tcPr>
          <w:p>
            <w:pPr>
              <w:rPr>
                <w:noProof/>
                <w:sz w:val="20"/>
              </w:rPr>
            </w:pPr>
            <w:r>
              <w:rPr>
                <w:noProof/>
                <w:sz w:val="20"/>
              </w:rPr>
              <w:t>Art. 32-46</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Normalisation, métrologie, accréditation, certification, évaluation de la conformité et surveillance du marché</w:t>
            </w:r>
          </w:p>
        </w:tc>
        <w:tc>
          <w:tcPr>
            <w:tcW w:w="1533" w:type="dxa"/>
            <w:shd w:val="clear" w:color="auto" w:fill="auto"/>
          </w:tcPr>
          <w:p>
            <w:pPr>
              <w:rPr>
                <w:noProof/>
                <w:sz w:val="20"/>
              </w:rPr>
            </w:pPr>
            <w:r>
              <w:rPr>
                <w:noProof/>
                <w:sz w:val="20"/>
              </w:rPr>
              <w:t>Article 75</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Coopération industrielle</w:t>
            </w:r>
          </w:p>
        </w:tc>
        <w:tc>
          <w:tcPr>
            <w:tcW w:w="1533" w:type="dxa"/>
            <w:shd w:val="clear" w:color="auto" w:fill="auto"/>
          </w:tcPr>
          <w:p>
            <w:pPr>
              <w:rPr>
                <w:noProof/>
                <w:sz w:val="20"/>
              </w:rPr>
            </w:pPr>
            <w:r>
              <w:rPr>
                <w:noProof/>
                <w:sz w:val="20"/>
              </w:rPr>
              <w:t>Article 92</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PME</w:t>
            </w:r>
          </w:p>
        </w:tc>
        <w:tc>
          <w:tcPr>
            <w:tcW w:w="1533" w:type="dxa"/>
            <w:shd w:val="clear" w:color="auto" w:fill="auto"/>
          </w:tcPr>
          <w:p>
            <w:pPr>
              <w:rPr>
                <w:noProof/>
                <w:sz w:val="20"/>
              </w:rPr>
            </w:pPr>
            <w:r>
              <w:rPr>
                <w:noProof/>
                <w:sz w:val="20"/>
              </w:rPr>
              <w:t>Article 93</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Tourisme</w:t>
            </w:r>
          </w:p>
        </w:tc>
        <w:tc>
          <w:tcPr>
            <w:tcW w:w="1533" w:type="dxa"/>
            <w:shd w:val="clear" w:color="auto" w:fill="auto"/>
          </w:tcPr>
          <w:p>
            <w:pPr>
              <w:rPr>
                <w:noProof/>
                <w:sz w:val="20"/>
              </w:rPr>
            </w:pPr>
            <w:r>
              <w:rPr>
                <w:noProof/>
                <w:sz w:val="20"/>
              </w:rPr>
              <w:t>Article 94</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Douanes</w:t>
            </w:r>
          </w:p>
        </w:tc>
        <w:tc>
          <w:tcPr>
            <w:tcW w:w="1533" w:type="dxa"/>
            <w:shd w:val="clear" w:color="auto" w:fill="auto"/>
          </w:tcPr>
          <w:p>
            <w:pPr>
              <w:rPr>
                <w:noProof/>
                <w:sz w:val="20"/>
              </w:rPr>
            </w:pPr>
            <w:r>
              <w:rPr>
                <w:noProof/>
                <w:sz w:val="20"/>
              </w:rPr>
              <w:t>Article 97</w:t>
            </w:r>
          </w:p>
        </w:tc>
      </w:tr>
      <w:tr>
        <w:trPr>
          <w:trHeight w:val="357"/>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Fiscalité</w:t>
            </w:r>
          </w:p>
        </w:tc>
        <w:tc>
          <w:tcPr>
            <w:tcW w:w="1533" w:type="dxa"/>
            <w:shd w:val="clear" w:color="auto" w:fill="auto"/>
          </w:tcPr>
          <w:p>
            <w:pPr>
              <w:rPr>
                <w:noProof/>
                <w:sz w:val="20"/>
              </w:rPr>
            </w:pPr>
            <w:r>
              <w:rPr>
                <w:noProof/>
                <w:sz w:val="20"/>
              </w:rPr>
              <w:t>Article 98</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Règles d’origine</w:t>
            </w:r>
          </w:p>
        </w:tc>
        <w:tc>
          <w:tcPr>
            <w:tcW w:w="1533" w:type="dxa"/>
            <w:shd w:val="clear" w:color="auto" w:fill="auto"/>
          </w:tcPr>
          <w:p>
            <w:pPr>
              <w:rPr>
                <w:noProof/>
                <w:sz w:val="20"/>
              </w:rPr>
            </w:pPr>
            <w:r>
              <w:rPr>
                <w:noProof/>
                <w:sz w:val="20"/>
              </w:rPr>
              <w:t>Protocole n° 2</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Assistance administrative en matière douanière</w:t>
            </w:r>
          </w:p>
        </w:tc>
        <w:tc>
          <w:tcPr>
            <w:tcW w:w="1533" w:type="dxa"/>
            <w:shd w:val="clear" w:color="auto" w:fill="auto"/>
          </w:tcPr>
          <w:p>
            <w:pPr>
              <w:jc w:val="left"/>
              <w:rPr>
                <w:noProof/>
                <w:sz w:val="20"/>
              </w:rPr>
            </w:pPr>
            <w:r>
              <w:rPr>
                <w:noProof/>
                <w:sz w:val="20"/>
              </w:rPr>
              <w:t>Protocole n° 5</w:t>
            </w:r>
          </w:p>
        </w:tc>
      </w:tr>
      <w:tr>
        <w:trPr>
          <w:trHeight w:val="493"/>
          <w:jc w:val="center"/>
        </w:trPr>
        <w:tc>
          <w:tcPr>
            <w:tcW w:w="3078" w:type="dxa"/>
            <w:vMerge w:val="restart"/>
            <w:shd w:val="clear" w:color="auto" w:fill="auto"/>
          </w:tcPr>
          <w:p>
            <w:pPr>
              <w:rPr>
                <w:noProof/>
                <w:sz w:val="20"/>
              </w:rPr>
            </w:pPr>
            <w:r>
              <w:rPr>
                <w:noProof/>
                <w:sz w:val="20"/>
              </w:rPr>
              <w:t>2. Agriculture et pêche</w:t>
            </w:r>
          </w:p>
        </w:tc>
        <w:tc>
          <w:tcPr>
            <w:tcW w:w="3600" w:type="dxa"/>
            <w:shd w:val="clear" w:color="auto" w:fill="auto"/>
          </w:tcPr>
          <w:p>
            <w:pPr>
              <w:rPr>
                <w:noProof/>
                <w:sz w:val="20"/>
              </w:rPr>
            </w:pPr>
            <w:r>
              <w:rPr>
                <w:noProof/>
                <w:sz w:val="20"/>
              </w:rPr>
              <w:t>Produits agricoles lato sensu</w:t>
            </w:r>
          </w:p>
        </w:tc>
        <w:tc>
          <w:tcPr>
            <w:tcW w:w="1533" w:type="dxa"/>
            <w:shd w:val="clear" w:color="auto" w:fill="auto"/>
          </w:tcPr>
          <w:p>
            <w:pPr>
              <w:rPr>
                <w:noProof/>
                <w:sz w:val="20"/>
                <w:lang w:val="da-DK"/>
              </w:rPr>
            </w:pPr>
            <w:r>
              <w:rPr>
                <w:noProof/>
                <w:sz w:val="20"/>
                <w:lang w:val="da-DK"/>
              </w:rPr>
              <w:t>Art. 24, art. 26, paragraphes 1 et 2, art. 29, art. 30 et art. 33</w:t>
            </w:r>
          </w:p>
        </w:tc>
      </w:tr>
      <w:tr>
        <w:trPr>
          <w:trHeight w:val="493"/>
          <w:jc w:val="center"/>
        </w:trPr>
        <w:tc>
          <w:tcPr>
            <w:tcW w:w="3078" w:type="dxa"/>
            <w:vMerge/>
            <w:shd w:val="clear" w:color="auto" w:fill="auto"/>
          </w:tcPr>
          <w:p>
            <w:pPr>
              <w:rPr>
                <w:noProof/>
                <w:sz w:val="20"/>
                <w:lang w:val="da-DK"/>
              </w:rPr>
            </w:pPr>
          </w:p>
        </w:tc>
        <w:tc>
          <w:tcPr>
            <w:tcW w:w="3600" w:type="dxa"/>
            <w:shd w:val="clear" w:color="auto" w:fill="auto"/>
          </w:tcPr>
          <w:p>
            <w:pPr>
              <w:rPr>
                <w:noProof/>
                <w:sz w:val="20"/>
              </w:rPr>
            </w:pPr>
            <w:r>
              <w:rPr>
                <w:noProof/>
                <w:sz w:val="20"/>
              </w:rPr>
              <w:t>Produits agricoles stricto sensu</w:t>
            </w:r>
          </w:p>
        </w:tc>
        <w:tc>
          <w:tcPr>
            <w:tcW w:w="1533" w:type="dxa"/>
            <w:shd w:val="clear" w:color="auto" w:fill="auto"/>
          </w:tcPr>
          <w:p>
            <w:pPr>
              <w:rPr>
                <w:noProof/>
                <w:sz w:val="20"/>
              </w:rPr>
            </w:pPr>
            <w:r>
              <w:rPr>
                <w:noProof/>
                <w:sz w:val="20"/>
              </w:rPr>
              <w:t>Art. 27, paragraphes 1, 2 et 4</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Produits de la pêche</w:t>
            </w:r>
          </w:p>
        </w:tc>
        <w:tc>
          <w:tcPr>
            <w:tcW w:w="1533" w:type="dxa"/>
            <w:shd w:val="clear" w:color="auto" w:fill="auto"/>
          </w:tcPr>
          <w:p>
            <w:pPr>
              <w:rPr>
                <w:noProof/>
                <w:sz w:val="20"/>
              </w:rPr>
            </w:pPr>
            <w:r>
              <w:rPr>
                <w:noProof/>
                <w:sz w:val="20"/>
              </w:rPr>
              <w:t>Art. 26 et 28</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Produits agricoles transformés</w:t>
            </w:r>
          </w:p>
        </w:tc>
        <w:tc>
          <w:tcPr>
            <w:tcW w:w="1533" w:type="dxa"/>
            <w:shd w:val="clear" w:color="auto" w:fill="auto"/>
          </w:tcPr>
          <w:p>
            <w:pPr>
              <w:rPr>
                <w:noProof/>
                <w:sz w:val="20"/>
              </w:rPr>
            </w:pPr>
            <w:r>
              <w:rPr>
                <w:noProof/>
                <w:sz w:val="20"/>
              </w:rPr>
              <w:t>Art. 25 et protocole n° 1</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Vin</w:t>
            </w:r>
          </w:p>
        </w:tc>
        <w:tc>
          <w:tcPr>
            <w:tcW w:w="1533" w:type="dxa"/>
            <w:shd w:val="clear" w:color="auto" w:fill="auto"/>
          </w:tcPr>
          <w:p>
            <w:pPr>
              <w:rPr>
                <w:noProof/>
                <w:sz w:val="20"/>
              </w:rPr>
            </w:pPr>
            <w:r>
              <w:rPr>
                <w:noProof/>
                <w:sz w:val="20"/>
              </w:rPr>
              <w:t>Art. 27, paragraphe 5, et protocole n° 7</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Protection des indications géographiques des produits agricoles, des produits de la pêche et des denrées alimentaires autres </w:t>
            </w:r>
            <w:r>
              <w:rPr>
                <w:noProof/>
                <w:sz w:val="20"/>
              </w:rPr>
              <w:lastRenderedPageBreak/>
              <w:t>que les vins et les boissons spiritueuses</w:t>
            </w:r>
          </w:p>
        </w:tc>
        <w:tc>
          <w:tcPr>
            <w:tcW w:w="1533" w:type="dxa"/>
            <w:shd w:val="clear" w:color="auto" w:fill="auto"/>
          </w:tcPr>
          <w:p>
            <w:pPr>
              <w:rPr>
                <w:noProof/>
                <w:sz w:val="20"/>
              </w:rPr>
            </w:pPr>
            <w:r>
              <w:rPr>
                <w:noProof/>
                <w:sz w:val="20"/>
              </w:rPr>
              <w:lastRenderedPageBreak/>
              <w:t>Article 31</w:t>
            </w:r>
          </w:p>
        </w:tc>
      </w:tr>
      <w:tr>
        <w:trPr>
          <w:trHeight w:val="578"/>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Agriculture et secteur agro-industriel, questions vétérinaires et phytosanitaires</w:t>
            </w:r>
          </w:p>
        </w:tc>
        <w:tc>
          <w:tcPr>
            <w:tcW w:w="1533" w:type="dxa"/>
            <w:shd w:val="clear" w:color="auto" w:fill="auto"/>
          </w:tcPr>
          <w:p>
            <w:pPr>
              <w:rPr>
                <w:noProof/>
                <w:sz w:val="20"/>
              </w:rPr>
            </w:pPr>
            <w:r>
              <w:rPr>
                <w:noProof/>
                <w:sz w:val="20"/>
              </w:rPr>
              <w:t>Article 95</w:t>
            </w:r>
          </w:p>
        </w:tc>
      </w:tr>
      <w:tr>
        <w:trPr>
          <w:trHeight w:val="471"/>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Coopération dans le domaine de la pêche</w:t>
            </w:r>
          </w:p>
        </w:tc>
        <w:tc>
          <w:tcPr>
            <w:tcW w:w="1533" w:type="dxa"/>
            <w:shd w:val="clear" w:color="auto" w:fill="auto"/>
          </w:tcPr>
          <w:p>
            <w:pPr>
              <w:rPr>
                <w:noProof/>
                <w:sz w:val="20"/>
              </w:rPr>
            </w:pPr>
            <w:r>
              <w:rPr>
                <w:noProof/>
                <w:sz w:val="20"/>
              </w:rPr>
              <w:t>Article 96</w:t>
            </w:r>
          </w:p>
        </w:tc>
      </w:tr>
      <w:tr>
        <w:trPr>
          <w:trHeight w:val="35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Sécurité alimentaire</w:t>
            </w:r>
          </w:p>
        </w:tc>
        <w:tc>
          <w:tcPr>
            <w:tcW w:w="1533" w:type="dxa"/>
            <w:shd w:val="clear" w:color="auto" w:fill="auto"/>
          </w:tcPr>
          <w:p>
            <w:pPr>
              <w:rPr>
                <w:noProof/>
                <w:sz w:val="20"/>
              </w:rPr>
            </w:pPr>
            <w:r>
              <w:rPr>
                <w:noProof/>
                <w:sz w:val="20"/>
              </w:rPr>
              <w:t>Article 95</w:t>
            </w:r>
          </w:p>
        </w:tc>
      </w:tr>
      <w:tr>
        <w:trPr>
          <w:trHeight w:val="620"/>
          <w:jc w:val="center"/>
        </w:trPr>
        <w:tc>
          <w:tcPr>
            <w:tcW w:w="3078" w:type="dxa"/>
            <w:vMerge w:val="restart"/>
            <w:shd w:val="clear" w:color="auto" w:fill="auto"/>
          </w:tcPr>
          <w:p>
            <w:pPr>
              <w:rPr>
                <w:noProof/>
                <w:sz w:val="20"/>
              </w:rPr>
            </w:pPr>
            <w:r>
              <w:rPr>
                <w:noProof/>
                <w:sz w:val="20"/>
              </w:rPr>
              <w:t>3. Marché intérieur et concurrence</w:t>
            </w:r>
          </w:p>
        </w:tc>
        <w:tc>
          <w:tcPr>
            <w:tcW w:w="3600" w:type="dxa"/>
            <w:shd w:val="clear" w:color="auto" w:fill="auto"/>
          </w:tcPr>
          <w:p>
            <w:pPr>
              <w:rPr>
                <w:noProof/>
                <w:sz w:val="20"/>
              </w:rPr>
            </w:pPr>
            <w:r>
              <w:rPr>
                <w:noProof/>
                <w:sz w:val="20"/>
              </w:rPr>
              <w:t>Droit d’établissement</w:t>
            </w:r>
          </w:p>
        </w:tc>
        <w:tc>
          <w:tcPr>
            <w:tcW w:w="1533" w:type="dxa"/>
            <w:shd w:val="clear" w:color="auto" w:fill="auto"/>
          </w:tcPr>
          <w:p>
            <w:pPr>
              <w:jc w:val="left"/>
              <w:rPr>
                <w:noProof/>
                <w:sz w:val="20"/>
              </w:rPr>
            </w:pPr>
            <w:r>
              <w:rPr>
                <w:noProof/>
                <w:sz w:val="20"/>
              </w:rPr>
              <w:t xml:space="preserve">Art. 50-56 </w:t>
            </w:r>
          </w:p>
        </w:tc>
      </w:tr>
      <w:tr>
        <w:trPr>
          <w:trHeight w:val="62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Prestations de services</w:t>
            </w:r>
          </w:p>
        </w:tc>
        <w:tc>
          <w:tcPr>
            <w:tcW w:w="1533" w:type="dxa"/>
            <w:shd w:val="clear" w:color="auto" w:fill="auto"/>
          </w:tcPr>
          <w:p>
            <w:pPr>
              <w:rPr>
                <w:noProof/>
                <w:sz w:val="20"/>
              </w:rPr>
            </w:pPr>
            <w:r>
              <w:rPr>
                <w:noProof/>
                <w:sz w:val="20"/>
              </w:rPr>
              <w:t>Art. 57-59</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Autres questions relatives au titre V de l’ASA</w:t>
            </w:r>
          </w:p>
        </w:tc>
        <w:tc>
          <w:tcPr>
            <w:tcW w:w="1533" w:type="dxa"/>
            <w:shd w:val="clear" w:color="auto" w:fill="auto"/>
          </w:tcPr>
          <w:p>
            <w:pPr>
              <w:rPr>
                <w:noProof/>
                <w:sz w:val="20"/>
              </w:rPr>
            </w:pPr>
            <w:r>
              <w:rPr>
                <w:noProof/>
                <w:sz w:val="20"/>
              </w:rPr>
              <w:t>Art. 63-69</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Rapprochement des législations et application de la loi</w:t>
            </w:r>
          </w:p>
        </w:tc>
        <w:tc>
          <w:tcPr>
            <w:tcW w:w="1533" w:type="dxa"/>
            <w:shd w:val="clear" w:color="auto" w:fill="auto"/>
          </w:tcPr>
          <w:p>
            <w:pPr>
              <w:rPr>
                <w:noProof/>
                <w:sz w:val="20"/>
              </w:rPr>
            </w:pPr>
            <w:r>
              <w:rPr>
                <w:noProof/>
                <w:sz w:val="20"/>
              </w:rPr>
              <w:t>Article 70</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Concurrence</w:t>
            </w:r>
          </w:p>
        </w:tc>
        <w:tc>
          <w:tcPr>
            <w:tcW w:w="1533" w:type="dxa"/>
            <w:shd w:val="clear" w:color="auto" w:fill="auto"/>
          </w:tcPr>
          <w:p>
            <w:pPr>
              <w:spacing w:after="0"/>
              <w:rPr>
                <w:noProof/>
                <w:sz w:val="20"/>
              </w:rPr>
            </w:pPr>
            <w:r>
              <w:rPr>
                <w:noProof/>
                <w:sz w:val="20"/>
              </w:rPr>
              <w:t>Art. 71-72,</w:t>
            </w:r>
          </w:p>
          <w:p>
            <w:pPr>
              <w:spacing w:after="0"/>
              <w:rPr>
                <w:noProof/>
                <w:sz w:val="20"/>
              </w:rPr>
            </w:pPr>
            <w:r>
              <w:rPr>
                <w:noProof/>
                <w:sz w:val="20"/>
              </w:rPr>
              <w:t>protocole n° 4</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Propriété intellectuelle, industrielle et commerciale</w:t>
            </w:r>
          </w:p>
        </w:tc>
        <w:tc>
          <w:tcPr>
            <w:tcW w:w="1533" w:type="dxa"/>
            <w:shd w:val="clear" w:color="auto" w:fill="auto"/>
          </w:tcPr>
          <w:p>
            <w:pPr>
              <w:rPr>
                <w:noProof/>
                <w:sz w:val="20"/>
              </w:rPr>
            </w:pPr>
            <w:r>
              <w:rPr>
                <w:noProof/>
                <w:sz w:val="20"/>
              </w:rPr>
              <w:t>Article 73</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Marchés publics</w:t>
            </w:r>
          </w:p>
        </w:tc>
        <w:tc>
          <w:tcPr>
            <w:tcW w:w="1533" w:type="dxa"/>
            <w:shd w:val="clear" w:color="auto" w:fill="auto"/>
          </w:tcPr>
          <w:p>
            <w:pPr>
              <w:rPr>
                <w:noProof/>
                <w:sz w:val="20"/>
              </w:rPr>
            </w:pPr>
            <w:r>
              <w:rPr>
                <w:noProof/>
                <w:sz w:val="20"/>
              </w:rPr>
              <w:t>Article 74</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Services bancaires, assurances et autres services financiers</w:t>
            </w:r>
          </w:p>
        </w:tc>
        <w:tc>
          <w:tcPr>
            <w:tcW w:w="1533" w:type="dxa"/>
            <w:shd w:val="clear" w:color="auto" w:fill="auto"/>
          </w:tcPr>
          <w:p>
            <w:pPr>
              <w:rPr>
                <w:noProof/>
                <w:sz w:val="20"/>
              </w:rPr>
            </w:pPr>
            <w:r>
              <w:rPr>
                <w:noProof/>
                <w:sz w:val="20"/>
              </w:rPr>
              <w:t>Article 89</w:t>
            </w:r>
          </w:p>
        </w:tc>
      </w:tr>
      <w:tr>
        <w:trPr>
          <w:trHeight w:val="31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Protection des consommateurs</w:t>
            </w:r>
          </w:p>
        </w:tc>
        <w:tc>
          <w:tcPr>
            <w:tcW w:w="1533" w:type="dxa"/>
            <w:shd w:val="clear" w:color="auto" w:fill="auto"/>
          </w:tcPr>
          <w:p>
            <w:pPr>
              <w:rPr>
                <w:noProof/>
                <w:sz w:val="20"/>
              </w:rPr>
            </w:pPr>
            <w:r>
              <w:rPr>
                <w:noProof/>
                <w:sz w:val="20"/>
              </w:rPr>
              <w:t>Article 76</w:t>
            </w:r>
          </w:p>
        </w:tc>
      </w:tr>
      <w:tr>
        <w:trPr>
          <w:trHeight w:val="31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Santé publique</w:t>
            </w:r>
          </w:p>
        </w:tc>
        <w:tc>
          <w:tcPr>
            <w:tcW w:w="1533" w:type="dxa"/>
            <w:shd w:val="clear" w:color="auto" w:fill="auto"/>
          </w:tcPr>
          <w:p>
            <w:pPr>
              <w:rPr>
                <w:noProof/>
                <w:sz w:val="20"/>
              </w:rPr>
            </w:pPr>
          </w:p>
        </w:tc>
      </w:tr>
      <w:tr>
        <w:trPr>
          <w:trHeight w:val="508"/>
          <w:jc w:val="center"/>
        </w:trPr>
        <w:tc>
          <w:tcPr>
            <w:tcW w:w="3078" w:type="dxa"/>
            <w:vMerge w:val="restart"/>
            <w:shd w:val="clear" w:color="auto" w:fill="auto"/>
          </w:tcPr>
          <w:p>
            <w:pPr>
              <w:rPr>
                <w:noProof/>
                <w:sz w:val="20"/>
              </w:rPr>
            </w:pPr>
            <w:r>
              <w:rPr>
                <w:noProof/>
                <w:sz w:val="20"/>
              </w:rPr>
              <w:t>4. Questions et statistiques économiques et financières</w:t>
            </w:r>
          </w:p>
        </w:tc>
        <w:tc>
          <w:tcPr>
            <w:tcW w:w="3600" w:type="dxa"/>
            <w:shd w:val="clear" w:color="auto" w:fill="auto"/>
          </w:tcPr>
          <w:p>
            <w:pPr>
              <w:rPr>
                <w:noProof/>
                <w:sz w:val="20"/>
              </w:rPr>
            </w:pPr>
            <w:r>
              <w:rPr>
                <w:noProof/>
                <w:sz w:val="20"/>
              </w:rPr>
              <w:t>Mouvements de capitaux et paiements</w:t>
            </w:r>
          </w:p>
        </w:tc>
        <w:tc>
          <w:tcPr>
            <w:tcW w:w="1533" w:type="dxa"/>
            <w:shd w:val="clear" w:color="auto" w:fill="auto"/>
          </w:tcPr>
          <w:p>
            <w:pPr>
              <w:rPr>
                <w:noProof/>
                <w:sz w:val="20"/>
              </w:rPr>
            </w:pPr>
            <w:r>
              <w:rPr>
                <w:noProof/>
                <w:sz w:val="20"/>
              </w:rPr>
              <w:t>Art. 60-62</w:t>
            </w:r>
          </w:p>
        </w:tc>
      </w:tr>
      <w:tr>
        <w:trPr>
          <w:trHeight w:val="502"/>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Politique économique</w:t>
            </w:r>
          </w:p>
        </w:tc>
        <w:tc>
          <w:tcPr>
            <w:tcW w:w="1533" w:type="dxa"/>
            <w:shd w:val="clear" w:color="auto" w:fill="auto"/>
          </w:tcPr>
          <w:p>
            <w:pPr>
              <w:rPr>
                <w:noProof/>
                <w:sz w:val="20"/>
              </w:rPr>
            </w:pPr>
            <w:r>
              <w:rPr>
                <w:noProof/>
                <w:sz w:val="20"/>
              </w:rPr>
              <w:t>Article 87</w:t>
            </w:r>
          </w:p>
        </w:tc>
      </w:tr>
      <w:tr>
        <w:trPr>
          <w:trHeight w:val="502"/>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Coopération dans le domaine des statistiques</w:t>
            </w:r>
          </w:p>
        </w:tc>
        <w:tc>
          <w:tcPr>
            <w:tcW w:w="1533" w:type="dxa"/>
            <w:shd w:val="clear" w:color="auto" w:fill="auto"/>
          </w:tcPr>
          <w:p>
            <w:pPr>
              <w:rPr>
                <w:noProof/>
                <w:sz w:val="20"/>
              </w:rPr>
            </w:pPr>
            <w:r>
              <w:rPr>
                <w:noProof/>
                <w:sz w:val="20"/>
              </w:rPr>
              <w:t>Article 88</w:t>
            </w:r>
          </w:p>
        </w:tc>
      </w:tr>
      <w:tr>
        <w:trPr>
          <w:trHeight w:val="502"/>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Promotion et protection des investissements</w:t>
            </w:r>
          </w:p>
        </w:tc>
        <w:tc>
          <w:tcPr>
            <w:tcW w:w="1533" w:type="dxa"/>
            <w:shd w:val="clear" w:color="auto" w:fill="auto"/>
          </w:tcPr>
          <w:p>
            <w:pPr>
              <w:rPr>
                <w:noProof/>
                <w:sz w:val="20"/>
              </w:rPr>
            </w:pPr>
            <w:r>
              <w:rPr>
                <w:noProof/>
                <w:sz w:val="20"/>
              </w:rPr>
              <w:t>Article 91</w:t>
            </w:r>
          </w:p>
        </w:tc>
      </w:tr>
      <w:tr>
        <w:trPr>
          <w:trHeight w:val="502"/>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Coopération financière</w:t>
            </w:r>
          </w:p>
        </w:tc>
        <w:tc>
          <w:tcPr>
            <w:tcW w:w="1533" w:type="dxa"/>
            <w:shd w:val="clear" w:color="auto" w:fill="auto"/>
          </w:tcPr>
          <w:p>
            <w:pPr>
              <w:rPr>
                <w:noProof/>
                <w:sz w:val="20"/>
              </w:rPr>
            </w:pPr>
            <w:r>
              <w:rPr>
                <w:noProof/>
                <w:sz w:val="20"/>
              </w:rPr>
              <w:t>Art. 112-114</w:t>
            </w:r>
          </w:p>
        </w:tc>
      </w:tr>
      <w:tr>
        <w:trPr>
          <w:trHeight w:val="510"/>
          <w:jc w:val="center"/>
        </w:trPr>
        <w:tc>
          <w:tcPr>
            <w:tcW w:w="3078" w:type="dxa"/>
            <w:vMerge w:val="restart"/>
            <w:shd w:val="clear" w:color="auto" w:fill="auto"/>
          </w:tcPr>
          <w:p>
            <w:pPr>
              <w:rPr>
                <w:noProof/>
                <w:sz w:val="20"/>
              </w:rPr>
            </w:pPr>
            <w:r>
              <w:rPr>
                <w:noProof/>
                <w:sz w:val="20"/>
              </w:rPr>
              <w:t>5. Justice, liberté et sécurité</w:t>
            </w:r>
          </w:p>
        </w:tc>
        <w:tc>
          <w:tcPr>
            <w:tcW w:w="3600" w:type="dxa"/>
            <w:shd w:val="clear" w:color="auto" w:fill="auto"/>
          </w:tcPr>
          <w:p>
            <w:pPr>
              <w:rPr>
                <w:noProof/>
                <w:sz w:val="20"/>
              </w:rPr>
            </w:pPr>
            <w:r>
              <w:rPr>
                <w:noProof/>
                <w:sz w:val="20"/>
              </w:rPr>
              <w:t xml:space="preserve">Appareil judiciaire et droits fondamentaux, y compris lutte contre la discrimination </w:t>
            </w:r>
          </w:p>
        </w:tc>
        <w:tc>
          <w:tcPr>
            <w:tcW w:w="1533" w:type="dxa"/>
            <w:shd w:val="clear" w:color="auto" w:fill="auto"/>
          </w:tcPr>
          <w:p>
            <w:pPr>
              <w:rPr>
                <w:noProof/>
                <w:sz w:val="20"/>
              </w:rPr>
            </w:pPr>
            <w:r>
              <w:rPr>
                <w:noProof/>
                <w:sz w:val="20"/>
              </w:rPr>
              <w:t>Article 78</w:t>
            </w:r>
          </w:p>
        </w:tc>
      </w:tr>
      <w:tr>
        <w:trPr>
          <w:trHeight w:val="51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Police et coopération judiciaire</w:t>
            </w:r>
          </w:p>
        </w:tc>
        <w:tc>
          <w:tcPr>
            <w:tcW w:w="1533" w:type="dxa"/>
            <w:shd w:val="clear" w:color="auto" w:fill="auto"/>
          </w:tcPr>
          <w:p>
            <w:pPr>
              <w:rPr>
                <w:noProof/>
                <w:sz w:val="20"/>
              </w:rPr>
            </w:pPr>
            <w:r>
              <w:rPr>
                <w:noProof/>
                <w:sz w:val="20"/>
              </w:rPr>
              <w:t>Article 78</w:t>
            </w:r>
          </w:p>
        </w:tc>
      </w:tr>
      <w:tr>
        <w:trPr>
          <w:trHeight w:val="51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État de droit</w:t>
            </w:r>
          </w:p>
        </w:tc>
        <w:tc>
          <w:tcPr>
            <w:tcW w:w="1533" w:type="dxa"/>
            <w:shd w:val="clear" w:color="auto" w:fill="auto"/>
          </w:tcPr>
          <w:p>
            <w:pPr>
              <w:rPr>
                <w:noProof/>
                <w:sz w:val="20"/>
              </w:rPr>
            </w:pPr>
            <w:r>
              <w:rPr>
                <w:noProof/>
                <w:sz w:val="20"/>
              </w:rPr>
              <w:t>Article 78</w:t>
            </w:r>
          </w:p>
        </w:tc>
      </w:tr>
      <w:tr>
        <w:trPr>
          <w:trHeight w:val="51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Protection des données</w:t>
            </w:r>
          </w:p>
        </w:tc>
        <w:tc>
          <w:tcPr>
            <w:tcW w:w="1533" w:type="dxa"/>
            <w:shd w:val="clear" w:color="auto" w:fill="auto"/>
          </w:tcPr>
          <w:p>
            <w:pPr>
              <w:rPr>
                <w:noProof/>
                <w:sz w:val="20"/>
              </w:rPr>
            </w:pPr>
            <w:r>
              <w:rPr>
                <w:noProof/>
                <w:sz w:val="20"/>
              </w:rPr>
              <w:t>Article 79</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Visas, contrôle aux frontières, asile et migration</w:t>
            </w:r>
          </w:p>
        </w:tc>
        <w:tc>
          <w:tcPr>
            <w:tcW w:w="1533" w:type="dxa"/>
            <w:shd w:val="clear" w:color="auto" w:fill="auto"/>
          </w:tcPr>
          <w:p>
            <w:pPr>
              <w:rPr>
                <w:noProof/>
                <w:sz w:val="20"/>
              </w:rPr>
            </w:pPr>
            <w:r>
              <w:rPr>
                <w:noProof/>
                <w:sz w:val="20"/>
              </w:rPr>
              <w:t>Article 80</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Immigration clandestine et réadmission</w:t>
            </w:r>
          </w:p>
        </w:tc>
        <w:tc>
          <w:tcPr>
            <w:tcW w:w="1533" w:type="dxa"/>
            <w:shd w:val="clear" w:color="auto" w:fill="auto"/>
          </w:tcPr>
          <w:p>
            <w:pPr>
              <w:rPr>
                <w:noProof/>
                <w:sz w:val="20"/>
              </w:rPr>
            </w:pPr>
            <w:r>
              <w:rPr>
                <w:noProof/>
                <w:sz w:val="20"/>
              </w:rPr>
              <w:t>Article 81</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Blanchiment de capitaux</w:t>
            </w:r>
          </w:p>
        </w:tc>
        <w:tc>
          <w:tcPr>
            <w:tcW w:w="1533" w:type="dxa"/>
            <w:shd w:val="clear" w:color="auto" w:fill="auto"/>
          </w:tcPr>
          <w:p>
            <w:pPr>
              <w:rPr>
                <w:noProof/>
                <w:sz w:val="20"/>
              </w:rPr>
            </w:pPr>
            <w:r>
              <w:rPr>
                <w:noProof/>
                <w:sz w:val="20"/>
              </w:rPr>
              <w:t>Article 82</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Stupéfiants </w:t>
            </w:r>
          </w:p>
        </w:tc>
        <w:tc>
          <w:tcPr>
            <w:tcW w:w="1533" w:type="dxa"/>
            <w:shd w:val="clear" w:color="auto" w:fill="auto"/>
          </w:tcPr>
          <w:p>
            <w:pPr>
              <w:rPr>
                <w:noProof/>
                <w:sz w:val="20"/>
              </w:rPr>
            </w:pPr>
            <w:r>
              <w:rPr>
                <w:noProof/>
                <w:sz w:val="20"/>
              </w:rPr>
              <w:t>Article 83</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Lutte antiterroriste </w:t>
            </w:r>
          </w:p>
        </w:tc>
        <w:tc>
          <w:tcPr>
            <w:tcW w:w="1533" w:type="dxa"/>
            <w:shd w:val="clear" w:color="auto" w:fill="auto"/>
          </w:tcPr>
          <w:p>
            <w:pPr>
              <w:rPr>
                <w:noProof/>
                <w:sz w:val="20"/>
              </w:rPr>
            </w:pPr>
            <w:r>
              <w:rPr>
                <w:noProof/>
                <w:sz w:val="20"/>
              </w:rPr>
              <w:t>Article 85</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Criminalité et autres activités illégales</w:t>
            </w:r>
          </w:p>
        </w:tc>
        <w:tc>
          <w:tcPr>
            <w:tcW w:w="1533" w:type="dxa"/>
            <w:shd w:val="clear" w:color="auto" w:fill="auto"/>
          </w:tcPr>
          <w:p>
            <w:pPr>
              <w:rPr>
                <w:noProof/>
                <w:sz w:val="20"/>
              </w:rPr>
            </w:pPr>
            <w:r>
              <w:rPr>
                <w:noProof/>
                <w:sz w:val="20"/>
              </w:rPr>
              <w:t>Article 84</w:t>
            </w:r>
          </w:p>
        </w:tc>
      </w:tr>
      <w:tr>
        <w:trPr>
          <w:trHeight w:val="585"/>
          <w:jc w:val="center"/>
        </w:trPr>
        <w:tc>
          <w:tcPr>
            <w:tcW w:w="3078" w:type="dxa"/>
            <w:vMerge w:val="restart"/>
            <w:shd w:val="clear" w:color="auto" w:fill="auto"/>
          </w:tcPr>
          <w:p>
            <w:pPr>
              <w:rPr>
                <w:noProof/>
                <w:sz w:val="20"/>
              </w:rPr>
            </w:pPr>
            <w:r>
              <w:rPr>
                <w:noProof/>
                <w:sz w:val="20"/>
              </w:rPr>
              <w:t>6. Innovation, société de l'information et politique sociale</w:t>
            </w:r>
          </w:p>
        </w:tc>
        <w:tc>
          <w:tcPr>
            <w:tcW w:w="3600" w:type="dxa"/>
            <w:shd w:val="clear" w:color="auto" w:fill="auto"/>
          </w:tcPr>
          <w:p>
            <w:pPr>
              <w:rPr>
                <w:noProof/>
                <w:sz w:val="20"/>
              </w:rPr>
            </w:pPr>
            <w:r>
              <w:rPr>
                <w:noProof/>
                <w:sz w:val="20"/>
              </w:rPr>
              <w:t>Circulation des travailleurs</w:t>
            </w:r>
          </w:p>
        </w:tc>
        <w:tc>
          <w:tcPr>
            <w:tcW w:w="1533" w:type="dxa"/>
            <w:shd w:val="clear" w:color="auto" w:fill="auto"/>
          </w:tcPr>
          <w:p>
            <w:pPr>
              <w:rPr>
                <w:noProof/>
                <w:sz w:val="20"/>
              </w:rPr>
            </w:pPr>
            <w:r>
              <w:rPr>
                <w:noProof/>
                <w:sz w:val="20"/>
              </w:rPr>
              <w:t>Art. 47-49</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Conditions de travail et égalité des chances </w:t>
            </w:r>
          </w:p>
        </w:tc>
        <w:tc>
          <w:tcPr>
            <w:tcW w:w="1533" w:type="dxa"/>
            <w:shd w:val="clear" w:color="auto" w:fill="auto"/>
          </w:tcPr>
          <w:p>
            <w:pPr>
              <w:rPr>
                <w:noProof/>
                <w:sz w:val="20"/>
              </w:rPr>
            </w:pPr>
            <w:r>
              <w:rPr>
                <w:noProof/>
                <w:sz w:val="20"/>
              </w:rPr>
              <w:t>Article 77</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Coopération en matière sociale </w:t>
            </w:r>
          </w:p>
        </w:tc>
        <w:tc>
          <w:tcPr>
            <w:tcW w:w="1533" w:type="dxa"/>
            <w:shd w:val="clear" w:color="auto" w:fill="auto"/>
          </w:tcPr>
          <w:p>
            <w:pPr>
              <w:rPr>
                <w:noProof/>
                <w:sz w:val="20"/>
              </w:rPr>
            </w:pPr>
            <w:r>
              <w:rPr>
                <w:noProof/>
                <w:sz w:val="20"/>
              </w:rPr>
              <w:t>Article 99</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Enseignement et formation </w:t>
            </w:r>
          </w:p>
        </w:tc>
        <w:tc>
          <w:tcPr>
            <w:tcW w:w="1533" w:type="dxa"/>
            <w:shd w:val="clear" w:color="auto" w:fill="auto"/>
          </w:tcPr>
          <w:p>
            <w:pPr>
              <w:rPr>
                <w:noProof/>
                <w:sz w:val="20"/>
              </w:rPr>
            </w:pPr>
            <w:r>
              <w:rPr>
                <w:noProof/>
                <w:sz w:val="20"/>
              </w:rPr>
              <w:t>Article 100</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Coopération culturelle</w:t>
            </w:r>
          </w:p>
        </w:tc>
        <w:tc>
          <w:tcPr>
            <w:tcW w:w="1533" w:type="dxa"/>
            <w:shd w:val="clear" w:color="auto" w:fill="auto"/>
          </w:tcPr>
          <w:p>
            <w:pPr>
              <w:rPr>
                <w:noProof/>
                <w:sz w:val="20"/>
              </w:rPr>
            </w:pPr>
            <w:r>
              <w:rPr>
                <w:noProof/>
                <w:sz w:val="20"/>
              </w:rPr>
              <w:t>Article 101</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Information et communication</w:t>
            </w:r>
          </w:p>
        </w:tc>
        <w:tc>
          <w:tcPr>
            <w:tcW w:w="1533" w:type="dxa"/>
            <w:shd w:val="clear" w:color="auto" w:fill="auto"/>
          </w:tcPr>
          <w:p>
            <w:pPr>
              <w:rPr>
                <w:noProof/>
                <w:sz w:val="20"/>
              </w:rPr>
            </w:pPr>
            <w:r>
              <w:rPr>
                <w:noProof/>
                <w:sz w:val="20"/>
              </w:rPr>
              <w:t>Article 105</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Coopération dans le domaine audiovisuel</w:t>
            </w:r>
          </w:p>
        </w:tc>
        <w:tc>
          <w:tcPr>
            <w:tcW w:w="1533" w:type="dxa"/>
            <w:shd w:val="clear" w:color="auto" w:fill="auto"/>
          </w:tcPr>
          <w:p>
            <w:pPr>
              <w:rPr>
                <w:noProof/>
                <w:sz w:val="20"/>
              </w:rPr>
            </w:pPr>
            <w:r>
              <w:rPr>
                <w:noProof/>
                <w:sz w:val="20"/>
              </w:rPr>
              <w:t>Article 102</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Réseaux et services de communications électroniques</w:t>
            </w:r>
          </w:p>
        </w:tc>
        <w:tc>
          <w:tcPr>
            <w:tcW w:w="1533" w:type="dxa"/>
            <w:shd w:val="clear" w:color="auto" w:fill="auto"/>
          </w:tcPr>
          <w:p>
            <w:pPr>
              <w:rPr>
                <w:noProof/>
                <w:sz w:val="20"/>
              </w:rPr>
            </w:pPr>
            <w:r>
              <w:rPr>
                <w:noProof/>
                <w:sz w:val="20"/>
              </w:rPr>
              <w:t>Article 104</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Société de l’information</w:t>
            </w:r>
          </w:p>
        </w:tc>
        <w:tc>
          <w:tcPr>
            <w:tcW w:w="1533" w:type="dxa"/>
            <w:shd w:val="clear" w:color="auto" w:fill="auto"/>
          </w:tcPr>
          <w:p>
            <w:pPr>
              <w:rPr>
                <w:noProof/>
                <w:sz w:val="20"/>
              </w:rPr>
            </w:pPr>
            <w:r>
              <w:rPr>
                <w:noProof/>
                <w:sz w:val="20"/>
              </w:rPr>
              <w:t>Article 103</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Recherche et développement technologique</w:t>
            </w:r>
          </w:p>
        </w:tc>
        <w:tc>
          <w:tcPr>
            <w:tcW w:w="1533" w:type="dxa"/>
            <w:shd w:val="clear" w:color="auto" w:fill="auto"/>
          </w:tcPr>
          <w:p>
            <w:pPr>
              <w:rPr>
                <w:noProof/>
                <w:sz w:val="20"/>
              </w:rPr>
            </w:pPr>
            <w:r>
              <w:rPr>
                <w:noProof/>
                <w:sz w:val="20"/>
              </w:rPr>
              <w:t>Article 109</w:t>
            </w:r>
          </w:p>
        </w:tc>
      </w:tr>
      <w:tr>
        <w:trPr>
          <w:trHeight w:val="230"/>
          <w:jc w:val="center"/>
        </w:trPr>
        <w:tc>
          <w:tcPr>
            <w:tcW w:w="3078" w:type="dxa"/>
            <w:vMerge w:val="restart"/>
            <w:shd w:val="clear" w:color="auto" w:fill="auto"/>
          </w:tcPr>
          <w:p>
            <w:pPr>
              <w:rPr>
                <w:noProof/>
                <w:sz w:val="20"/>
              </w:rPr>
            </w:pPr>
            <w:r>
              <w:rPr>
                <w:noProof/>
                <w:sz w:val="20"/>
              </w:rPr>
              <w:t>7. Transports, énergie, environnement et développement régional</w:t>
            </w:r>
            <w:r>
              <w:rPr>
                <w:rStyle w:val="FootnoteReference"/>
                <w:noProof/>
              </w:rPr>
              <w:footnoteReference w:id="1"/>
            </w:r>
          </w:p>
        </w:tc>
        <w:tc>
          <w:tcPr>
            <w:tcW w:w="3600" w:type="dxa"/>
            <w:shd w:val="clear" w:color="auto" w:fill="auto"/>
          </w:tcPr>
          <w:p>
            <w:pPr>
              <w:rPr>
                <w:noProof/>
                <w:sz w:val="20"/>
              </w:rPr>
            </w:pPr>
            <w:r>
              <w:rPr>
                <w:noProof/>
                <w:sz w:val="20"/>
              </w:rPr>
              <w:t>Transports</w:t>
            </w:r>
          </w:p>
        </w:tc>
        <w:tc>
          <w:tcPr>
            <w:tcW w:w="1533" w:type="dxa"/>
            <w:shd w:val="clear" w:color="auto" w:fill="auto"/>
          </w:tcPr>
          <w:p>
            <w:pPr>
              <w:rPr>
                <w:noProof/>
                <w:sz w:val="20"/>
              </w:rPr>
            </w:pPr>
            <w:r>
              <w:rPr>
                <w:noProof/>
                <w:sz w:val="20"/>
              </w:rPr>
              <w:t>Art. 53, 59 et 106 et protocole n° 3</w:t>
            </w:r>
          </w:p>
        </w:tc>
      </w:tr>
      <w:tr>
        <w:trPr>
          <w:trHeight w:val="23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Énergie</w:t>
            </w:r>
          </w:p>
        </w:tc>
        <w:tc>
          <w:tcPr>
            <w:tcW w:w="1533" w:type="dxa"/>
            <w:shd w:val="clear" w:color="auto" w:fill="auto"/>
          </w:tcPr>
          <w:p>
            <w:pPr>
              <w:rPr>
                <w:noProof/>
                <w:sz w:val="20"/>
              </w:rPr>
            </w:pPr>
            <w:r>
              <w:rPr>
                <w:noProof/>
                <w:sz w:val="20"/>
              </w:rPr>
              <w:t>Article 107</w:t>
            </w:r>
          </w:p>
        </w:tc>
      </w:tr>
      <w:tr>
        <w:trPr>
          <w:trHeight w:val="46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Sûreté nucléaire</w:t>
            </w:r>
          </w:p>
        </w:tc>
        <w:tc>
          <w:tcPr>
            <w:tcW w:w="1533" w:type="dxa"/>
            <w:shd w:val="clear" w:color="auto" w:fill="auto"/>
          </w:tcPr>
          <w:p>
            <w:pPr>
              <w:rPr>
                <w:noProof/>
                <w:sz w:val="20"/>
              </w:rPr>
            </w:pPr>
            <w:r>
              <w:rPr>
                <w:noProof/>
                <w:sz w:val="20"/>
              </w:rPr>
              <w:t>Article 107</w:t>
            </w:r>
          </w:p>
        </w:tc>
      </w:tr>
      <w:tr>
        <w:trPr>
          <w:trHeight w:val="46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Environnement </w:t>
            </w:r>
          </w:p>
        </w:tc>
        <w:tc>
          <w:tcPr>
            <w:tcW w:w="1533" w:type="dxa"/>
            <w:shd w:val="clear" w:color="auto" w:fill="auto"/>
          </w:tcPr>
          <w:p>
            <w:pPr>
              <w:rPr>
                <w:noProof/>
                <w:sz w:val="20"/>
              </w:rPr>
            </w:pPr>
            <w:r>
              <w:rPr>
                <w:noProof/>
                <w:sz w:val="20"/>
              </w:rPr>
              <w:t>Article 108</w:t>
            </w:r>
          </w:p>
        </w:tc>
      </w:tr>
      <w:tr>
        <w:trPr>
          <w:trHeight w:val="46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Changements climatiques</w:t>
            </w:r>
          </w:p>
        </w:tc>
        <w:tc>
          <w:tcPr>
            <w:tcW w:w="1533" w:type="dxa"/>
            <w:shd w:val="clear" w:color="auto" w:fill="auto"/>
          </w:tcPr>
          <w:p>
            <w:pPr>
              <w:rPr>
                <w:noProof/>
                <w:sz w:val="20"/>
              </w:rPr>
            </w:pPr>
            <w:r>
              <w:rPr>
                <w:noProof/>
                <w:sz w:val="20"/>
              </w:rPr>
              <w:t>Article 108</w:t>
            </w:r>
          </w:p>
        </w:tc>
      </w:tr>
      <w:tr>
        <w:trPr>
          <w:trHeight w:val="46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Protection civile</w:t>
            </w:r>
          </w:p>
        </w:tc>
        <w:tc>
          <w:tcPr>
            <w:tcW w:w="1533" w:type="dxa"/>
            <w:shd w:val="clear" w:color="auto" w:fill="auto"/>
          </w:tcPr>
          <w:p>
            <w:pPr>
              <w:rPr>
                <w:noProof/>
                <w:sz w:val="20"/>
              </w:rPr>
            </w:pPr>
            <w:r>
              <w:rPr>
                <w:noProof/>
                <w:sz w:val="20"/>
              </w:rPr>
              <w:t>Article 108</w:t>
            </w:r>
          </w:p>
        </w:tc>
      </w:tr>
      <w:tr>
        <w:trPr>
          <w:trHeight w:val="46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Développement régional et local</w:t>
            </w:r>
          </w:p>
        </w:tc>
        <w:tc>
          <w:tcPr>
            <w:tcW w:w="1533" w:type="dxa"/>
            <w:shd w:val="clear" w:color="auto" w:fill="auto"/>
          </w:tcPr>
          <w:p>
            <w:pPr>
              <w:rPr>
                <w:noProof/>
                <w:sz w:val="20"/>
              </w:rPr>
            </w:pPr>
            <w:r>
              <w:rPr>
                <w:noProof/>
                <w:sz w:val="20"/>
              </w:rPr>
              <w:t>110</w:t>
            </w:r>
          </w:p>
        </w:tc>
      </w:tr>
    </w:tbl>
    <w:p>
      <w:pPr>
        <w:jc w:val="center"/>
        <w:rPr>
          <w:noProof/>
        </w:rPr>
      </w:pPr>
    </w:p>
    <w:p>
      <w:pPr>
        <w:jc w:val="center"/>
        <w:rPr>
          <w:b/>
          <w:noProof/>
        </w:rPr>
      </w:pPr>
      <w:r>
        <w:rPr>
          <w:b/>
          <w:noProof/>
        </w:rPr>
        <w:t>Structure des groupes de travail spécifiques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600"/>
        <w:gridCol w:w="1583"/>
      </w:tblGrid>
      <w:tr>
        <w:trPr>
          <w:jc w:val="center"/>
        </w:trPr>
        <w:tc>
          <w:tcPr>
            <w:tcW w:w="3078" w:type="dxa"/>
            <w:shd w:val="clear" w:color="auto" w:fill="auto"/>
          </w:tcPr>
          <w:p>
            <w:pPr>
              <w:rPr>
                <w:noProof/>
              </w:rPr>
            </w:pPr>
            <w:r>
              <w:rPr>
                <w:noProof/>
              </w:rPr>
              <w:t>Intitulé</w:t>
            </w:r>
          </w:p>
        </w:tc>
        <w:tc>
          <w:tcPr>
            <w:tcW w:w="3600" w:type="dxa"/>
            <w:shd w:val="clear" w:color="auto" w:fill="auto"/>
          </w:tcPr>
          <w:p>
            <w:pPr>
              <w:rPr>
                <w:noProof/>
              </w:rPr>
            </w:pPr>
            <w:r>
              <w:rPr>
                <w:noProof/>
              </w:rPr>
              <w:t>Questions</w:t>
            </w:r>
          </w:p>
        </w:tc>
        <w:tc>
          <w:tcPr>
            <w:tcW w:w="1533" w:type="dxa"/>
            <w:shd w:val="clear" w:color="auto" w:fill="auto"/>
          </w:tcPr>
          <w:p>
            <w:pPr>
              <w:rPr>
                <w:noProof/>
              </w:rPr>
            </w:pPr>
            <w:r>
              <w:rPr>
                <w:noProof/>
              </w:rPr>
              <w:t>Article de l'ASA</w:t>
            </w:r>
          </w:p>
        </w:tc>
      </w:tr>
      <w:tr>
        <w:trPr>
          <w:trHeight w:val="230"/>
          <w:jc w:val="center"/>
        </w:trPr>
        <w:tc>
          <w:tcPr>
            <w:tcW w:w="3078" w:type="dxa"/>
            <w:shd w:val="clear" w:color="auto" w:fill="auto"/>
          </w:tcPr>
          <w:p>
            <w:pPr>
              <w:rPr>
                <w:noProof/>
                <w:sz w:val="20"/>
              </w:rPr>
            </w:pPr>
            <w:r>
              <w:rPr>
                <w:noProof/>
                <w:sz w:val="20"/>
              </w:rPr>
              <w:t>Groupe de travail spécifique pour la réforme de l’administration publique</w:t>
            </w:r>
          </w:p>
        </w:tc>
        <w:tc>
          <w:tcPr>
            <w:tcW w:w="3600" w:type="dxa"/>
            <w:shd w:val="clear" w:color="auto" w:fill="auto"/>
          </w:tcPr>
          <w:p>
            <w:pPr>
              <w:rPr>
                <w:noProof/>
                <w:sz w:val="20"/>
              </w:rPr>
            </w:pPr>
            <w:r>
              <w:rPr>
                <w:noProof/>
                <w:sz w:val="20"/>
              </w:rPr>
              <w:t>Réforme de l’administration publique</w:t>
            </w:r>
          </w:p>
        </w:tc>
        <w:tc>
          <w:tcPr>
            <w:tcW w:w="1533" w:type="dxa"/>
            <w:shd w:val="clear" w:color="auto" w:fill="auto"/>
          </w:tcPr>
          <w:p>
            <w:pPr>
              <w:rPr>
                <w:noProof/>
                <w:sz w:val="20"/>
              </w:rPr>
            </w:pPr>
            <w:r>
              <w:rPr>
                <w:noProof/>
                <w:sz w:val="20"/>
              </w:rPr>
              <w:t>Titre VI «Rapprochement des législations et application de la loi», art. 70 et titre VII «Justice et affaires intérieures», art. 78 et 111</w:t>
            </w:r>
          </w:p>
        </w:tc>
      </w:tr>
    </w:tbl>
    <w:p>
      <w:pPr>
        <w:jc w:val="center"/>
        <w:rPr>
          <w:b/>
          <w:caps/>
          <w:noProof/>
          <w:u w:val="single"/>
        </w:rPr>
      </w:pPr>
      <w:r>
        <w:rPr>
          <w:noProof/>
        </w:rPr>
        <w:br w:type="page"/>
      </w:r>
      <w:r>
        <w:rPr>
          <w:b/>
          <w:caps/>
          <w:noProof/>
          <w:u w:val="single"/>
        </w:rPr>
        <w:lastRenderedPageBreak/>
        <w:t>A</w:t>
      </w:r>
      <w:r>
        <w:rPr>
          <w:b/>
          <w:noProof/>
          <w:u w:val="single"/>
        </w:rPr>
        <w:t>nnexe</w:t>
      </w:r>
      <w:r>
        <w:rPr>
          <w:b/>
          <w:caps/>
          <w:noProof/>
          <w:u w:val="single"/>
        </w:rPr>
        <w:t xml:space="preserve"> II</w:t>
      </w:r>
    </w:p>
    <w:p>
      <w:pPr>
        <w:jc w:val="center"/>
        <w:rPr>
          <w:noProof/>
        </w:rPr>
      </w:pPr>
      <w:r>
        <w:rPr>
          <w:b/>
          <w:noProof/>
        </w:rPr>
        <w:t>Mandat des sous-comités et des groupes de travail spécifiques UE-Bosnie-Herzégovine</w:t>
      </w:r>
    </w:p>
    <w:p>
      <w:pPr>
        <w:rPr>
          <w:b/>
          <w:noProof/>
        </w:rPr>
      </w:pPr>
      <w:r>
        <w:rPr>
          <w:b/>
          <w:noProof/>
        </w:rPr>
        <w:t>Composition et présidence</w:t>
      </w:r>
    </w:p>
    <w:p>
      <w:pPr>
        <w:rPr>
          <w:noProof/>
        </w:rPr>
      </w:pPr>
      <w:r>
        <w:rPr>
          <w:noProof/>
        </w:rPr>
        <w:t>Les sous-comités et le groupe de travail spécifique pour la réforme de l’administration publique (ci-après «RAP») se composent de représentants de la Commission européenne et de représentants du gouvernement de Bosnie-Herzégovine. Ils sont présidés à tour de rôle par les deux parties. Les États membres sont informés des réunions des sous-comités et du groupe de travail spécifique pour la RAP et y sont invités.</w:t>
      </w:r>
    </w:p>
    <w:p>
      <w:pPr>
        <w:spacing w:before="240"/>
        <w:rPr>
          <w:b/>
          <w:noProof/>
        </w:rPr>
      </w:pPr>
      <w:r>
        <w:rPr>
          <w:b/>
          <w:noProof/>
        </w:rPr>
        <w:t>Secrétariat</w:t>
      </w:r>
    </w:p>
    <w:p>
      <w:pPr>
        <w:rPr>
          <w:noProof/>
        </w:rPr>
      </w:pPr>
      <w:r>
        <w:rPr>
          <w:noProof/>
        </w:rPr>
        <w:t>Un fonctionnaire de la Commission européenne et un fonctionnaire du gouvernement de Bosnie-Herzégovine exercent conjointement les fonctions de secrétaires de chacun des sous</w:t>
      </w:r>
      <w:r>
        <w:rPr>
          <w:noProof/>
        </w:rPr>
        <w:noBreakHyphen/>
        <w:t>comités et du groupe de travail spécifique pour la RAP.</w:t>
      </w:r>
    </w:p>
    <w:p>
      <w:pPr>
        <w:rPr>
          <w:noProof/>
        </w:rPr>
      </w:pPr>
      <w:r>
        <w:rPr>
          <w:noProof/>
        </w:rPr>
        <w:t>Toutes les communications concernant les sous-comités sont transmises aux secrétaires du sous-comité concerné et du groupe de travail spécifique pour la RAP.</w:t>
      </w:r>
    </w:p>
    <w:p>
      <w:pPr>
        <w:spacing w:before="240"/>
        <w:rPr>
          <w:b/>
          <w:noProof/>
        </w:rPr>
      </w:pPr>
      <w:r>
        <w:rPr>
          <w:b/>
          <w:noProof/>
        </w:rPr>
        <w:t>Réunions</w:t>
      </w:r>
    </w:p>
    <w:p>
      <w:pPr>
        <w:rPr>
          <w:noProof/>
        </w:rPr>
      </w:pPr>
      <w:r>
        <w:rPr>
          <w:noProof/>
        </w:rPr>
        <w:t>Les sous-comités et le groupe de travail spécifique pour la RAP se réunissent lorsque les circonstances l’exigent, avec l’accord des deux parties. Chaque réunion d’un sous-comité ou du groupe de travail spécifique pour la RAP se tient à une date et en un lieu convenus par les deux parties.</w:t>
      </w:r>
    </w:p>
    <w:p>
      <w:pPr>
        <w:rPr>
          <w:noProof/>
        </w:rPr>
      </w:pPr>
      <w:r>
        <w:rPr>
          <w:noProof/>
        </w:rPr>
        <w:t>Sous réserve de l’accord des deux parties, les sous</w:t>
      </w:r>
      <w:r>
        <w:rPr>
          <w:noProof/>
        </w:rPr>
        <w:noBreakHyphen/>
        <w:t>comités et le groupe de travail spécifique pour la RAP peuvent inviter des experts à leurs réunions pour que ceux-ci leur fournissent les informations spécifiques demandées.</w:t>
      </w:r>
    </w:p>
    <w:p>
      <w:pPr>
        <w:spacing w:before="240"/>
        <w:rPr>
          <w:b/>
          <w:noProof/>
        </w:rPr>
      </w:pPr>
      <w:r>
        <w:rPr>
          <w:b/>
          <w:noProof/>
        </w:rPr>
        <w:t>Ordre du jour et documents y afférents</w:t>
      </w:r>
    </w:p>
    <w:p>
      <w:pPr>
        <w:spacing w:before="0" w:after="200"/>
        <w:rPr>
          <w:rFonts w:eastAsia="Calibri"/>
          <w:noProof/>
          <w:szCs w:val="24"/>
        </w:rPr>
      </w:pPr>
      <w:r>
        <w:rPr>
          <w:noProof/>
        </w:rPr>
        <w:t>Le président et les secrétaires établissent l’ordre du jour provisoire de chaque réunion au plus tard trente jours ouvrables avant le début de la réunion.</w:t>
      </w:r>
    </w:p>
    <w:p>
      <w:pPr>
        <w:spacing w:before="0" w:after="200"/>
        <w:rPr>
          <w:rFonts w:eastAsia="Calibri"/>
          <w:noProof/>
          <w:szCs w:val="24"/>
        </w:rPr>
      </w:pPr>
      <w:r>
        <w:rPr>
          <w:noProof/>
        </w:rPr>
        <w:t>L’ordre du jour provisoire comporte les points dont l’inscription à l’ordre du jour a été demandée aux secrétaires au plus tard trente-cinq jours avant le début de la réunion.</w:t>
      </w:r>
    </w:p>
    <w:p>
      <w:pPr>
        <w:spacing w:before="0" w:after="200"/>
        <w:rPr>
          <w:rFonts w:eastAsia="Calibri"/>
          <w:noProof/>
          <w:szCs w:val="24"/>
        </w:rPr>
      </w:pPr>
      <w:r>
        <w:rPr>
          <w:noProof/>
        </w:rPr>
        <w:t xml:space="preserve">Suite à l'adoption de l'ordre du jour provisoire pour chaque réunion et au plus tard dix jours ouvrables avant le début de la réunion, le secrétaire pour la Bosnie-Herzégovine soumet au secrétaire pour la Commission européenne les documents écrits nécessaires en fonction des points inscrits à l'ordre du jour provisoire. </w:t>
      </w:r>
    </w:p>
    <w:p>
      <w:pPr>
        <w:spacing w:before="0" w:after="200"/>
        <w:rPr>
          <w:rFonts w:eastAsia="Calibri"/>
          <w:noProof/>
          <w:szCs w:val="24"/>
        </w:rPr>
      </w:pPr>
      <w:r>
        <w:rPr>
          <w:noProof/>
        </w:rPr>
        <w:t>En cas de non-respect du délai mentionné au paragraphe 3, la réunion est automatiquement annulée sans préavis.</w:t>
      </w:r>
    </w:p>
    <w:p>
      <w:pPr>
        <w:spacing w:before="240"/>
        <w:rPr>
          <w:b/>
          <w:noProof/>
        </w:rPr>
      </w:pPr>
      <w:r>
        <w:rPr>
          <w:b/>
          <w:noProof/>
        </w:rPr>
        <w:t>Sujets</w:t>
      </w:r>
    </w:p>
    <w:p>
      <w:pPr>
        <w:rPr>
          <w:noProof/>
        </w:rPr>
      </w:pPr>
      <w:r>
        <w:rPr>
          <w:noProof/>
        </w:rPr>
        <w:t>Les sous-comités discutent des questions liées aux domaines de l'ASA énumérées dans la structure des sous-comités multidisciplinaires. Les progrès liés au rapprochement, à la mise en œuvre et à l'application de la législation sont évalués pour tous les sujets. Les sous-comités examinent tout problème susceptible de survenir dans leurs domaines de compétence et suggèrent les mesures qu’il serait possible de prendre.</w:t>
      </w:r>
    </w:p>
    <w:p>
      <w:pPr>
        <w:rPr>
          <w:noProof/>
        </w:rPr>
      </w:pPr>
      <w:r>
        <w:rPr>
          <w:noProof/>
        </w:rPr>
        <w:lastRenderedPageBreak/>
        <w:t>Les sous-comités servent aussi d’enceintes dans le cadre desquelles il est possible d’apporter de nouveaux éclaircissements concernant l’acquis et d’évaluer les progrès réalisés par la Bosnie-Herzégovine en matière d’alignement sur l’acquis, conformément aux engagements pris dans le cadre de l’ASA.</w:t>
      </w:r>
    </w:p>
    <w:p>
      <w:pPr>
        <w:rPr>
          <w:noProof/>
        </w:rPr>
      </w:pPr>
      <w:r>
        <w:rPr>
          <w:noProof/>
        </w:rPr>
        <w:t>Le groupe de travail spécifique pour la RAP examine les questions liées à la réforme de l’administration publique et suggère les mesures qu’il serait possible de prendre.</w:t>
      </w:r>
    </w:p>
    <w:p>
      <w:pPr>
        <w:spacing w:before="240"/>
        <w:rPr>
          <w:b/>
          <w:noProof/>
        </w:rPr>
      </w:pPr>
      <w:r>
        <w:rPr>
          <w:b/>
          <w:noProof/>
        </w:rPr>
        <w:t>Procès-verbal</w:t>
      </w:r>
    </w:p>
    <w:p>
      <w:pPr>
        <w:rPr>
          <w:noProof/>
        </w:rPr>
      </w:pPr>
      <w:r>
        <w:rPr>
          <w:noProof/>
        </w:rPr>
        <w:t>Un procès-verbal est rédigé et approuvé après chaque réunion. Le secrétaire du sous-comité ou du groupe de travail spécifique pour la RAP en transmet une copie au secrétaire du comité de stabilisation et d’association.</w:t>
      </w:r>
    </w:p>
    <w:p>
      <w:pPr>
        <w:spacing w:before="240"/>
        <w:rPr>
          <w:b/>
          <w:noProof/>
        </w:rPr>
      </w:pPr>
      <w:r>
        <w:rPr>
          <w:b/>
          <w:noProof/>
        </w:rPr>
        <w:t>Publicité</w:t>
      </w:r>
    </w:p>
    <w:p>
      <w:pPr>
        <w:rPr>
          <w:noProof/>
        </w:rPr>
      </w:pPr>
      <w:r>
        <w:rPr>
          <w:noProof/>
        </w:rPr>
        <w:t xml:space="preserve">Sauf décision contraire, les réunions des sous-comités et du groupe de travail spécifique pour la RAP ne sont pas publiques.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Aux fins de la mise en œuvre du protocole n° 3 de l’ASA, ce sous-comité agit en tant que sous-comité spécial visé à l’article 21 de ce protocole.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8EAD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7C6C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4C33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50CF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243B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0C2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A46D98"/>
    <w:lvl w:ilvl="0">
      <w:start w:val="1"/>
      <w:numFmt w:val="decimal"/>
      <w:pStyle w:val="ListNumber"/>
      <w:lvlText w:val="%1."/>
      <w:lvlJc w:val="left"/>
      <w:pPr>
        <w:tabs>
          <w:tab w:val="num" w:pos="360"/>
        </w:tabs>
        <w:ind w:left="360" w:hanging="360"/>
      </w:pPr>
    </w:lvl>
  </w:abstractNum>
  <w:abstractNum w:abstractNumId="7">
    <w:nsid w:val="FFFFFF89"/>
    <w:multiLevelType w:val="singleLevel"/>
    <w:tmpl w:val="81144C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8 16:19: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50D409D805144093A3333A3AAF475615"/>
    <w:docVar w:name="LW_CROSSREFERENCE" w:val="&lt;UNUSED&gt;"/>
    <w:docVar w:name="LW_DocType" w:val="ANNEX"/>
    <w:docVar w:name="LW_EMISSION" w:val="29.7.2015"/>
    <w:docVar w:name="LW_EMISSION_ISODATE" w:val="2015-07-2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définissant la position à prendre, au nom de l\u8217?Union européenne, au sein du conseil de stabilisation et d\u8217?association institué par l\u8217?accord de stabilisation et d\u8217?association entre les Communautés européennes et leurs États membres, d\u8217?une part, et la Bosnie-Herzégovine, d\u8217?autre part, concernant une décision de ce conseil portant adoption de son règlement intérieur"/>
    <w:docVar w:name="LW_PART_NBR" w:val="1"/>
    <w:docVar w:name="LW_PART_NBR_TOTAL" w:val="1"/>
    <w:docVar w:name="LW_REF.INST.NEW" w:val="COM"/>
    <w:docVar w:name="LW_REF.INST.NEW_ADOPTED" w:val="final"/>
    <w:docVar w:name="LW_REF.INST.NEW_TEXT" w:val="(2015) 368"/>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8</Pages>
  <Words>1181</Words>
  <Characters>6946</Characters>
  <Application>Microsoft Office Word</Application>
  <DocSecurity>0</DocSecurity>
  <Lines>330</Lines>
  <Paragraphs>208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DIGIT/A3</cp:lastModifiedBy>
  <cp:revision>7</cp:revision>
  <cp:lastPrinted>2015-06-26T10:08:00Z</cp:lastPrinted>
  <dcterms:created xsi:type="dcterms:W3CDTF">2015-06-26T15:04:00Z</dcterms:created>
  <dcterms:modified xsi:type="dcterms:W3CDTF">2015-07-28T14:19:00Z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