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78AF57A737F4ACB8A3872B17C022F05" style="width:450.5pt;height:438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after="360"/>
        <w:jc w:val="center"/>
        <w:rPr>
          <w:b/>
          <w:smallCaps/>
          <w:noProof/>
        </w:rPr>
      </w:pPr>
      <w:bookmarkStart w:id="0" w:name="_GoBack"/>
      <w:bookmarkEnd w:id="0"/>
      <w:r>
        <w:rPr>
          <w:b/>
          <w:smallCaps/>
          <w:noProof/>
        </w:rPr>
        <w:lastRenderedPageBreak/>
        <w:t>Само за информация на Съвета</w:t>
      </w:r>
    </w:p>
    <w:p>
      <w:pPr>
        <w:jc w:val="center"/>
        <w:rPr>
          <w:b/>
          <w:noProof/>
        </w:rPr>
      </w:pPr>
      <w:r>
        <w:rPr>
          <w:b/>
          <w:noProof/>
        </w:rPr>
        <w:t>ПРОЕКТ</w:t>
      </w:r>
      <w:r>
        <w:rPr>
          <w:noProof/>
        </w:rPr>
        <w:t xml:space="preserve"> </w:t>
      </w:r>
      <w:r>
        <w:rPr>
          <w:b/>
          <w:noProof/>
        </w:rPr>
        <w:t>НА</w:t>
      </w:r>
      <w:r>
        <w:rPr>
          <w:noProof/>
        </w:rPr>
        <w:br/>
      </w:r>
      <w:r>
        <w:rPr>
          <w:b/>
          <w:noProof/>
        </w:rPr>
        <w:t>Решение № 1/2015 на Комитета за стабилизиране и асоцииране ЕС — Босна и Херцеговина от ден месец 2015 година за създаване на подкомитети и специални групи</w:t>
      </w:r>
    </w:p>
    <w:p>
      <w:pPr>
        <w:rPr>
          <w:caps/>
          <w:noProof/>
        </w:rPr>
      </w:pPr>
    </w:p>
    <w:p>
      <w:pPr>
        <w:rPr>
          <w:caps/>
          <w:noProof/>
        </w:rPr>
      </w:pPr>
      <w:r>
        <w:rPr>
          <w:caps/>
          <w:noProof/>
        </w:rPr>
        <w:t>Комитетът за стабилизиране и асоцииране,</w:t>
      </w:r>
    </w:p>
    <w:p>
      <w:pPr>
        <w:rPr>
          <w:noProof/>
        </w:rPr>
      </w:pPr>
      <w:r>
        <w:rPr>
          <w:noProof/>
        </w:rPr>
        <w:t>като взе предвид Споразумението за стабилизиране и асоцииране между Европейските общности и техните държави членки, от една страна, и Босна и Херцеговина, от друга страна, и по-специално член 119 от него,</w:t>
      </w:r>
    </w:p>
    <w:p>
      <w:pPr>
        <w:rPr>
          <w:noProof/>
        </w:rPr>
      </w:pPr>
      <w:r>
        <w:rPr>
          <w:noProof/>
        </w:rPr>
        <w:t>като взе предвид своя процедурен правилник, и по-специално член 10 от него,</w:t>
      </w:r>
    </w:p>
    <w:p>
      <w:pPr>
        <w:rPr>
          <w:noProof/>
        </w:rPr>
      </w:pPr>
      <w:r>
        <w:rPr>
          <w:noProof/>
        </w:rPr>
        <w:t xml:space="preserve">РЕШИ: </w:t>
      </w:r>
    </w:p>
    <w:p>
      <w:pPr>
        <w:jc w:val="center"/>
        <w:rPr>
          <w:i/>
          <w:noProof/>
        </w:rPr>
      </w:pPr>
      <w:r>
        <w:rPr>
          <w:i/>
          <w:noProof/>
        </w:rPr>
        <w:t>Член единствен</w:t>
      </w:r>
    </w:p>
    <w:p>
      <w:pPr>
        <w:rPr>
          <w:noProof/>
        </w:rPr>
      </w:pPr>
      <w:r>
        <w:rPr>
          <w:noProof/>
        </w:rPr>
        <w:t>С настоящото се създават подкомитетите и специалните групи, изброени в приложение I. Техните мандати са определени в приложение II.</w:t>
      </w:r>
    </w:p>
    <w:p>
      <w:pPr>
        <w:rPr>
          <w:noProof/>
        </w:rPr>
      </w:pPr>
      <w:r>
        <w:rPr>
          <w:noProof/>
        </w:rPr>
        <w:t xml:space="preserve">Съставено в </w:t>
      </w:r>
      <w:r>
        <w:rPr>
          <w:noProof/>
          <w:highlight w:val="green"/>
        </w:rPr>
        <w:t>………….</w:t>
      </w:r>
      <w:r>
        <w:rPr>
          <w:noProof/>
        </w:rPr>
        <w:t xml:space="preserve"> на ден месец 2015 година.</w:t>
      </w:r>
    </w:p>
    <w:p>
      <w:pPr>
        <w:rPr>
          <w:i/>
          <w:noProof/>
        </w:rPr>
      </w:pPr>
      <w:r>
        <w:rPr>
          <w:i/>
          <w:noProof/>
        </w:rPr>
        <w:t>За Комитета за стабилизиране и асоцииране</w:t>
      </w:r>
    </w:p>
    <w:p>
      <w:pPr>
        <w:rPr>
          <w:noProof/>
        </w:rPr>
      </w:pPr>
      <w:r>
        <w:rPr>
          <w:i/>
          <w:noProof/>
        </w:rPr>
        <w:t>Председател</w:t>
      </w:r>
    </w:p>
    <w:p>
      <w:pPr>
        <w:rPr>
          <w:noProof/>
        </w:rPr>
      </w:pPr>
      <w:r>
        <w:rPr>
          <w:noProof/>
        </w:rPr>
        <w:tab/>
      </w:r>
    </w:p>
    <w:p>
      <w:pPr>
        <w:jc w:val="center"/>
        <w:rPr>
          <w:b/>
          <w:noProof/>
          <w:u w:val="single"/>
        </w:rPr>
      </w:pPr>
      <w:r>
        <w:rPr>
          <w:noProof/>
        </w:rPr>
        <w:br w:type="page"/>
      </w:r>
      <w:r>
        <w:rPr>
          <w:b/>
          <w:noProof/>
          <w:u w:val="single"/>
        </w:rPr>
        <w:lastRenderedPageBreak/>
        <w:t>Приложение I</w:t>
      </w:r>
    </w:p>
    <w:p>
      <w:pPr>
        <w:jc w:val="center"/>
        <w:rPr>
          <w:b/>
          <w:noProof/>
        </w:rPr>
      </w:pPr>
      <w:r>
        <w:rPr>
          <w:b/>
          <w:noProof/>
        </w:rPr>
        <w:t>СПОРАЗУМЕНИЕ ЗА СТАБИЛИЗИРАНЕ И АСОЦИИРАНЕ ЕС — БОСНА И ХЕРЦЕГОВИНА</w:t>
      </w:r>
    </w:p>
    <w:p>
      <w:pPr>
        <w:jc w:val="center"/>
        <w:rPr>
          <w:b/>
          <w:noProof/>
        </w:rPr>
      </w:pPr>
      <w:r>
        <w:rPr>
          <w:b/>
          <w:noProof/>
        </w:rPr>
        <w:t>Структура на мултидисциплинарния подкомитет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600"/>
        <w:gridCol w:w="1533"/>
      </w:tblGrid>
      <w:tr>
        <w:trPr>
          <w:jc w:val="center"/>
        </w:trPr>
        <w:tc>
          <w:tcPr>
            <w:tcW w:w="3078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Наименование</w:t>
            </w: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Въпроси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Член от ССА</w:t>
            </w:r>
          </w:p>
        </w:tc>
      </w:tr>
      <w:tr>
        <w:trPr>
          <w:trHeight w:val="498"/>
          <w:jc w:val="center"/>
        </w:trPr>
        <w:tc>
          <w:tcPr>
            <w:tcW w:w="3078" w:type="dxa"/>
            <w:vMerge w:val="restart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1. Търговия, промишленост, митници и данъчно облагане</w:t>
            </w: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Свободно движение на стоки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18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Промишлени продукти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Членове 19—23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Търговски въпроси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Членове 32—46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Стандартизация, метрология, акредитация, сертифициране, оценка на съответствието и наблюдение на пазара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75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Сътрудничество в областта на промишлеността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92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МСП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93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Туризъм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94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Митници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97</w:t>
            </w:r>
          </w:p>
        </w:tc>
      </w:tr>
      <w:tr>
        <w:trPr>
          <w:trHeight w:val="357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Данъчно облагане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98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Правила за произход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Протокол 2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Административна помощ по митнически въпроси</w:t>
            </w:r>
          </w:p>
        </w:tc>
        <w:tc>
          <w:tcPr>
            <w:tcW w:w="1533" w:type="dxa"/>
            <w:shd w:val="clear" w:color="auto" w:fill="auto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Протокол 5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 w:val="restart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2. Селско стопанство и рибарство</w:t>
            </w: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Селскостопански продукти </w:t>
            </w:r>
            <w:r>
              <w:rPr>
                <w:i/>
                <w:noProof/>
                <w:sz w:val="20"/>
              </w:rPr>
              <w:t>sensu lato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Член24, член 26, параграф 1, член 26, параграф 2, членове 29, 30 и 33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Селскостопански продукти </w:t>
            </w:r>
            <w:r>
              <w:rPr>
                <w:i/>
                <w:noProof/>
                <w:sz w:val="20"/>
              </w:rPr>
              <w:t>sensu stricto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 27, параграфи 1 и 2 и член 27, параграф 4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Продукти на рибарството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Членове 26 и 28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Преработени селскостопански продукти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 25, Протокол 1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Вино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27, параграф 5 и Протокол 7</w:t>
            </w:r>
          </w:p>
        </w:tc>
      </w:tr>
      <w:tr>
        <w:trPr>
          <w:trHeight w:val="493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Защита на географските означения за селскостопански, рибни продукти и хранителни продукти, различни от вино и спиртни напитки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31</w:t>
            </w:r>
          </w:p>
        </w:tc>
      </w:tr>
      <w:tr>
        <w:trPr>
          <w:trHeight w:val="578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Селско стопанство и селскостопанско-промишлен сектор, ветеринарни и фитосанитарни въпроси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95</w:t>
            </w:r>
          </w:p>
        </w:tc>
      </w:tr>
      <w:tr>
        <w:trPr>
          <w:trHeight w:val="471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Сътрудничество в областта на рибарството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96</w:t>
            </w:r>
          </w:p>
        </w:tc>
      </w:tr>
      <w:tr>
        <w:trPr>
          <w:trHeight w:val="35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Безопасност на храните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95</w:t>
            </w:r>
          </w:p>
        </w:tc>
      </w:tr>
      <w:tr>
        <w:trPr>
          <w:trHeight w:val="620"/>
          <w:jc w:val="center"/>
        </w:trPr>
        <w:tc>
          <w:tcPr>
            <w:tcW w:w="3078" w:type="dxa"/>
            <w:vMerge w:val="restart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3. Вътрешен пазар и конкуренция</w:t>
            </w: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Право на установяване</w:t>
            </w:r>
          </w:p>
        </w:tc>
        <w:tc>
          <w:tcPr>
            <w:tcW w:w="1533" w:type="dxa"/>
            <w:shd w:val="clear" w:color="auto" w:fill="auto"/>
          </w:tcPr>
          <w:p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Членове 50—56 </w:t>
            </w:r>
          </w:p>
        </w:tc>
      </w:tr>
      <w:tr>
        <w:trPr>
          <w:trHeight w:val="620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Предоставяне на услуги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Членове 57—59</w:t>
            </w:r>
          </w:p>
        </w:tc>
      </w:tr>
      <w:tr>
        <w:trPr>
          <w:trHeight w:val="61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Други въпроси, свързани с дял V на ССА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Членове 63—69</w:t>
            </w:r>
          </w:p>
        </w:tc>
      </w:tr>
      <w:tr>
        <w:trPr>
          <w:trHeight w:val="61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Сближаване на законодателството и правоприлагане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70</w:t>
            </w:r>
          </w:p>
        </w:tc>
      </w:tr>
      <w:tr>
        <w:trPr>
          <w:trHeight w:val="61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Конкуренция</w:t>
            </w:r>
          </w:p>
        </w:tc>
        <w:tc>
          <w:tcPr>
            <w:tcW w:w="1533" w:type="dxa"/>
            <w:shd w:val="clear" w:color="auto" w:fill="auto"/>
          </w:tcPr>
          <w:p>
            <w:pPr>
              <w:spacing w:after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Членове 71—72,</w:t>
            </w:r>
          </w:p>
          <w:p>
            <w:pPr>
              <w:spacing w:after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Протокол 4</w:t>
            </w:r>
          </w:p>
        </w:tc>
      </w:tr>
      <w:tr>
        <w:trPr>
          <w:trHeight w:val="61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Интелектуална, индустриална и търговска собственост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73</w:t>
            </w:r>
          </w:p>
        </w:tc>
      </w:tr>
      <w:tr>
        <w:trPr>
          <w:trHeight w:val="61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Обществени поръчки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74</w:t>
            </w:r>
          </w:p>
        </w:tc>
      </w:tr>
      <w:tr>
        <w:trPr>
          <w:trHeight w:val="61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Банково дело, застраховане и други финансови услуги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89</w:t>
            </w:r>
          </w:p>
        </w:tc>
      </w:tr>
      <w:tr>
        <w:trPr>
          <w:trHeight w:val="310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Защита на потребителите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76</w:t>
            </w:r>
          </w:p>
        </w:tc>
      </w:tr>
      <w:tr>
        <w:trPr>
          <w:trHeight w:val="310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Обществено здравеопазване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</w:tr>
      <w:tr>
        <w:trPr>
          <w:trHeight w:val="508"/>
          <w:jc w:val="center"/>
        </w:trPr>
        <w:tc>
          <w:tcPr>
            <w:tcW w:w="3078" w:type="dxa"/>
            <w:vMerge w:val="restart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4. Икономически и финансови въпроси и статистика</w:t>
            </w: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Движение на капитали и плащания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Членове 60—62</w:t>
            </w:r>
          </w:p>
        </w:tc>
      </w:tr>
      <w:tr>
        <w:trPr>
          <w:trHeight w:val="502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Икономическа политика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87</w:t>
            </w:r>
          </w:p>
        </w:tc>
      </w:tr>
      <w:tr>
        <w:trPr>
          <w:trHeight w:val="502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Сътрудничество в областта на статистиката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88</w:t>
            </w:r>
          </w:p>
        </w:tc>
      </w:tr>
      <w:tr>
        <w:trPr>
          <w:trHeight w:val="502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Насърчаване и защита на инвестициите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91</w:t>
            </w:r>
          </w:p>
        </w:tc>
      </w:tr>
      <w:tr>
        <w:trPr>
          <w:trHeight w:val="502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Финансово сътрудничество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Членове 112—114</w:t>
            </w:r>
          </w:p>
        </w:tc>
      </w:tr>
      <w:tr>
        <w:trPr>
          <w:trHeight w:val="510"/>
          <w:jc w:val="center"/>
        </w:trPr>
        <w:tc>
          <w:tcPr>
            <w:tcW w:w="3078" w:type="dxa"/>
            <w:vMerge w:val="restart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5. Правосъдие, свобода и сигурност</w:t>
            </w: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Съдебна власт и основни права, включително борба срещу дискриминацията 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78</w:t>
            </w:r>
          </w:p>
        </w:tc>
      </w:tr>
      <w:tr>
        <w:trPr>
          <w:trHeight w:val="510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Полицейско сътрудничество и съдебно сътрудничество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78</w:t>
            </w:r>
          </w:p>
        </w:tc>
      </w:tr>
      <w:tr>
        <w:trPr>
          <w:trHeight w:val="510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Върховенство на закона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78</w:t>
            </w:r>
          </w:p>
        </w:tc>
      </w:tr>
      <w:tr>
        <w:trPr>
          <w:trHeight w:val="510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Защита на данните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79</w:t>
            </w:r>
          </w:p>
        </w:tc>
      </w:tr>
      <w:tr>
        <w:trPr>
          <w:trHeight w:val="50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Визи, граничен контрол, убежище и миграция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80</w:t>
            </w:r>
          </w:p>
        </w:tc>
      </w:tr>
      <w:tr>
        <w:trPr>
          <w:trHeight w:val="50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Незаконна имиграция и обратно приемане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81</w:t>
            </w:r>
          </w:p>
        </w:tc>
      </w:tr>
      <w:tr>
        <w:trPr>
          <w:trHeight w:val="50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Изпиране на пари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82</w:t>
            </w:r>
          </w:p>
        </w:tc>
      </w:tr>
      <w:tr>
        <w:trPr>
          <w:trHeight w:val="50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Наркотици 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83</w:t>
            </w:r>
          </w:p>
        </w:tc>
      </w:tr>
      <w:tr>
        <w:trPr>
          <w:trHeight w:val="50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Борба с тероризма 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85</w:t>
            </w:r>
          </w:p>
        </w:tc>
      </w:tr>
      <w:tr>
        <w:trPr>
          <w:trHeight w:val="50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Престъпност и други незаконни дейности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84</w:t>
            </w:r>
          </w:p>
        </w:tc>
      </w:tr>
      <w:tr>
        <w:trPr>
          <w:trHeight w:val="585"/>
          <w:jc w:val="center"/>
        </w:trPr>
        <w:tc>
          <w:tcPr>
            <w:tcW w:w="3078" w:type="dxa"/>
            <w:vMerge w:val="restart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6. Иновация, информационно общество и социална политика</w:t>
            </w: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Движение на работниците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Членове 47—49</w:t>
            </w:r>
          </w:p>
        </w:tc>
      </w:tr>
      <w:tr>
        <w:trPr>
          <w:trHeight w:val="585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Условия на работа и равни възможности 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77</w:t>
            </w:r>
          </w:p>
        </w:tc>
      </w:tr>
      <w:tr>
        <w:trPr>
          <w:trHeight w:val="585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Сътрудничество в социалната област 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99</w:t>
            </w:r>
          </w:p>
        </w:tc>
      </w:tr>
      <w:tr>
        <w:trPr>
          <w:trHeight w:val="585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Образование и обучение 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100</w:t>
            </w:r>
          </w:p>
        </w:tc>
      </w:tr>
      <w:tr>
        <w:trPr>
          <w:trHeight w:val="585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Културно сътрудничество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101</w:t>
            </w:r>
          </w:p>
        </w:tc>
      </w:tr>
      <w:tr>
        <w:trPr>
          <w:trHeight w:val="585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Информация и комуникация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105</w:t>
            </w:r>
          </w:p>
        </w:tc>
      </w:tr>
      <w:tr>
        <w:trPr>
          <w:trHeight w:val="585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Сътрудничество в аудио-визуалния сектор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102</w:t>
            </w:r>
          </w:p>
        </w:tc>
      </w:tr>
      <w:tr>
        <w:trPr>
          <w:trHeight w:val="585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Електронни комуникационни мрежи и услуги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104</w:t>
            </w:r>
          </w:p>
        </w:tc>
      </w:tr>
      <w:tr>
        <w:trPr>
          <w:trHeight w:val="585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Информационно общество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103</w:t>
            </w:r>
          </w:p>
        </w:tc>
      </w:tr>
      <w:tr>
        <w:trPr>
          <w:trHeight w:val="585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Изследвания и развитие на </w:t>
            </w:r>
            <w:r>
              <w:rPr>
                <w:noProof/>
                <w:sz w:val="20"/>
              </w:rPr>
              <w:lastRenderedPageBreak/>
              <w:t>технологиите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Член 109</w:t>
            </w:r>
          </w:p>
        </w:tc>
      </w:tr>
      <w:tr>
        <w:trPr>
          <w:trHeight w:val="230"/>
          <w:jc w:val="center"/>
        </w:trPr>
        <w:tc>
          <w:tcPr>
            <w:tcW w:w="3078" w:type="dxa"/>
            <w:vMerge w:val="restart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7. Транспорт, енергетика, околна среда и регионално развитие</w:t>
            </w:r>
            <w:r>
              <w:rPr>
                <w:rStyle w:val="FootnoteReference"/>
                <w:noProof/>
              </w:rPr>
              <w:footnoteReference w:id="1"/>
            </w: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Транспорт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pacing w:val="-2"/>
                <w:sz w:val="20"/>
              </w:rPr>
            </w:pPr>
            <w:r>
              <w:rPr>
                <w:noProof/>
                <w:spacing w:val="-2"/>
                <w:sz w:val="20"/>
              </w:rPr>
              <w:t>Членове 53, 59, 106 и Протокол 3</w:t>
            </w:r>
          </w:p>
        </w:tc>
      </w:tr>
      <w:tr>
        <w:trPr>
          <w:trHeight w:val="230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Енергетика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107</w:t>
            </w:r>
          </w:p>
        </w:tc>
      </w:tr>
      <w:tr>
        <w:trPr>
          <w:trHeight w:val="46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Ядрена безопасност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107</w:t>
            </w:r>
          </w:p>
        </w:tc>
      </w:tr>
      <w:tr>
        <w:trPr>
          <w:trHeight w:val="46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Околна среда 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108</w:t>
            </w:r>
          </w:p>
        </w:tc>
      </w:tr>
      <w:tr>
        <w:trPr>
          <w:trHeight w:val="46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Изменение на климата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108</w:t>
            </w:r>
          </w:p>
        </w:tc>
      </w:tr>
      <w:tr>
        <w:trPr>
          <w:trHeight w:val="46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Гражданска защита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Член 108</w:t>
            </w:r>
          </w:p>
        </w:tc>
      </w:tr>
      <w:tr>
        <w:trPr>
          <w:trHeight w:val="466"/>
          <w:jc w:val="center"/>
        </w:trPr>
        <w:tc>
          <w:tcPr>
            <w:tcW w:w="3078" w:type="dxa"/>
            <w:vMerge/>
            <w:shd w:val="clear" w:color="auto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Регионално и местно развитие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110</w:t>
            </w:r>
          </w:p>
        </w:tc>
      </w:tr>
    </w:tbl>
    <w:p>
      <w:pPr>
        <w:jc w:val="center"/>
        <w:rPr>
          <w:noProof/>
        </w:rPr>
      </w:pPr>
    </w:p>
    <w:p>
      <w:pPr>
        <w:jc w:val="center"/>
        <w:rPr>
          <w:b/>
          <w:noProof/>
        </w:rPr>
      </w:pPr>
      <w:r>
        <w:rPr>
          <w:b/>
          <w:noProof/>
        </w:rPr>
        <w:t>Структура на специалните групи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600"/>
        <w:gridCol w:w="1626"/>
      </w:tblGrid>
      <w:tr>
        <w:trPr>
          <w:jc w:val="center"/>
        </w:trPr>
        <w:tc>
          <w:tcPr>
            <w:tcW w:w="3078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Наименование</w:t>
            </w: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Въпроси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</w:rPr>
            </w:pPr>
            <w:r>
              <w:rPr>
                <w:noProof/>
              </w:rPr>
              <w:t>Член от ССА</w:t>
            </w:r>
          </w:p>
        </w:tc>
      </w:tr>
      <w:tr>
        <w:trPr>
          <w:trHeight w:val="230"/>
          <w:jc w:val="center"/>
        </w:trPr>
        <w:tc>
          <w:tcPr>
            <w:tcW w:w="3078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Специална група за реформа на публичната администрация</w:t>
            </w:r>
          </w:p>
        </w:tc>
        <w:tc>
          <w:tcPr>
            <w:tcW w:w="3600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Реформа на публичната администрация</w:t>
            </w:r>
          </w:p>
        </w:tc>
        <w:tc>
          <w:tcPr>
            <w:tcW w:w="1533" w:type="dxa"/>
            <w:shd w:val="clear" w:color="auto" w:fill="auto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Дял VІ, Правно сближаване и правоприлагане, член 70 и Дял VІІ, Правосъдие и вътрешни работи, член 78, член 111</w:t>
            </w:r>
          </w:p>
        </w:tc>
      </w:tr>
    </w:tbl>
    <w:p>
      <w:pPr>
        <w:jc w:val="center"/>
        <w:rPr>
          <w:b/>
          <w:caps/>
          <w:noProof/>
          <w:u w:val="single"/>
        </w:rPr>
      </w:pPr>
      <w:r>
        <w:rPr>
          <w:noProof/>
        </w:rPr>
        <w:br w:type="page"/>
      </w:r>
      <w:r>
        <w:rPr>
          <w:b/>
          <w:noProof/>
          <w:u w:val="single"/>
        </w:rPr>
        <w:lastRenderedPageBreak/>
        <w:t>Приложение</w:t>
      </w:r>
      <w:r>
        <w:rPr>
          <w:b/>
          <w:caps/>
          <w:noProof/>
          <w:u w:val="single"/>
        </w:rPr>
        <w:t xml:space="preserve"> II</w:t>
      </w:r>
    </w:p>
    <w:p>
      <w:pPr>
        <w:jc w:val="center"/>
        <w:rPr>
          <w:noProof/>
        </w:rPr>
      </w:pPr>
      <w:r>
        <w:rPr>
          <w:b/>
          <w:noProof/>
        </w:rPr>
        <w:t>Мандати на подкомитетите и специалните групи ЕС — Босна и Херцеговина</w:t>
      </w:r>
    </w:p>
    <w:p>
      <w:pPr>
        <w:rPr>
          <w:b/>
          <w:noProof/>
        </w:rPr>
      </w:pPr>
      <w:r>
        <w:rPr>
          <w:b/>
          <w:noProof/>
        </w:rPr>
        <w:t>Състав и председателство</w:t>
      </w:r>
    </w:p>
    <w:p>
      <w:pPr>
        <w:rPr>
          <w:noProof/>
        </w:rPr>
      </w:pPr>
      <w:r>
        <w:rPr>
          <w:noProof/>
        </w:rPr>
        <w:t>Подкомитетите и специалната група за реформа на публичната администрация („РПА“) са съставени от представители на Европейската комисия и представители на правителството на Босна и Херцеговина. Те се председателстват от двете страни на ротационен принцип. Държавите членки се уведомяват и канят на заседанията на подкомитетите и на специалната група за РПА.</w:t>
      </w:r>
    </w:p>
    <w:p>
      <w:pPr>
        <w:spacing w:before="240"/>
        <w:rPr>
          <w:b/>
          <w:noProof/>
        </w:rPr>
      </w:pPr>
      <w:r>
        <w:rPr>
          <w:b/>
          <w:noProof/>
        </w:rPr>
        <w:t>Секретариат</w:t>
      </w:r>
    </w:p>
    <w:p>
      <w:pPr>
        <w:rPr>
          <w:noProof/>
        </w:rPr>
      </w:pPr>
      <w:r>
        <w:rPr>
          <w:noProof/>
        </w:rPr>
        <w:t>Длъжностно лице от Европейската комисия и длъжностно лице от правителството на Босна и Херцеговина действат съвместно като секретари на всеки един от подкомитетите и на специалната група за РПА.</w:t>
      </w:r>
    </w:p>
    <w:p>
      <w:pPr>
        <w:rPr>
          <w:noProof/>
        </w:rPr>
      </w:pPr>
      <w:r>
        <w:rPr>
          <w:noProof/>
        </w:rPr>
        <w:t>Всички съобщения, засягащи подкомитетите, се препращат на секретарите на съответния подкомитет и на специалната група за РПА.</w:t>
      </w:r>
    </w:p>
    <w:p>
      <w:pPr>
        <w:spacing w:before="240"/>
        <w:rPr>
          <w:b/>
          <w:noProof/>
        </w:rPr>
      </w:pPr>
      <w:r>
        <w:rPr>
          <w:b/>
          <w:noProof/>
        </w:rPr>
        <w:t>Заседания</w:t>
      </w:r>
    </w:p>
    <w:p>
      <w:pPr>
        <w:rPr>
          <w:noProof/>
        </w:rPr>
      </w:pPr>
      <w:r>
        <w:rPr>
          <w:noProof/>
        </w:rPr>
        <w:t>Подкомитетите и специалната група за РПА заседават винаги когато обстоятелствата го налагат, със съгласието на двете страни. Всяко заседание на подкомитета и на специалната група за РПА се провежда на дата и място, договорени между двете страни.</w:t>
      </w:r>
    </w:p>
    <w:p>
      <w:pPr>
        <w:rPr>
          <w:noProof/>
        </w:rPr>
      </w:pPr>
      <w:r>
        <w:rPr>
          <w:noProof/>
        </w:rPr>
        <w:t>При наличие на съгласие на двете страни подкомитетът и специалната група за РПА могат да поканят на заседанията си експерти, които да предоставят поисканата специфична информация.</w:t>
      </w:r>
    </w:p>
    <w:p>
      <w:pPr>
        <w:spacing w:before="240"/>
        <w:rPr>
          <w:b/>
          <w:noProof/>
        </w:rPr>
      </w:pPr>
      <w:r>
        <w:rPr>
          <w:b/>
          <w:noProof/>
        </w:rPr>
        <w:t>Дневен ред и съпътстваща документация</w:t>
      </w:r>
    </w:p>
    <w:p>
      <w:pPr>
        <w:spacing w:before="0" w:after="200"/>
        <w:rPr>
          <w:rFonts w:eastAsia="Calibri"/>
          <w:noProof/>
          <w:szCs w:val="24"/>
        </w:rPr>
      </w:pPr>
      <w:r>
        <w:rPr>
          <w:noProof/>
        </w:rPr>
        <w:t>Председателят и секретарите съставят предварителен дневен ред за всяко заседание не по-късно от 30 работни дни преди започване на заседанието.</w:t>
      </w:r>
    </w:p>
    <w:p>
      <w:pPr>
        <w:spacing w:before="0" w:after="200"/>
        <w:rPr>
          <w:rFonts w:eastAsia="Calibri"/>
          <w:noProof/>
          <w:szCs w:val="24"/>
        </w:rPr>
      </w:pPr>
      <w:r>
        <w:rPr>
          <w:noProof/>
        </w:rPr>
        <w:t>Предварителният дневен ред обхваща теми, за които секретарите са получили искане да бъдат включени в дневния ред не по-късно от 35 работни дни преди началото на заседанието.</w:t>
      </w:r>
    </w:p>
    <w:p>
      <w:pPr>
        <w:spacing w:before="0" w:after="200"/>
        <w:rPr>
          <w:rFonts w:eastAsia="Calibri"/>
          <w:noProof/>
          <w:szCs w:val="24"/>
        </w:rPr>
      </w:pPr>
      <w:r>
        <w:rPr>
          <w:noProof/>
        </w:rPr>
        <w:t>След приемането на предварителния дневен ред за всяко заседание и не по-късно от 10 работни дни преди началото на заседанието, секретарят от името на Босна и Херцеговина предоставя на секретаря от името на Европейската комисия необходимата документация в съответствие с точките, договорени в предварителния дневен ред.</w:t>
      </w:r>
    </w:p>
    <w:p>
      <w:pPr>
        <w:spacing w:before="0" w:after="200"/>
        <w:rPr>
          <w:rFonts w:eastAsia="Calibri"/>
          <w:noProof/>
          <w:szCs w:val="24"/>
        </w:rPr>
      </w:pPr>
      <w:r>
        <w:rPr>
          <w:noProof/>
        </w:rPr>
        <w:t>В случай че крайният срок, посочен в алинея 3, не е спазен, заседанието се отменя автоматично без допълнително известие.</w:t>
      </w:r>
    </w:p>
    <w:p>
      <w:pPr>
        <w:spacing w:before="240"/>
        <w:rPr>
          <w:b/>
          <w:noProof/>
        </w:rPr>
      </w:pPr>
      <w:r>
        <w:rPr>
          <w:b/>
          <w:noProof/>
        </w:rPr>
        <w:t>Обсъждани теми</w:t>
      </w:r>
    </w:p>
    <w:p>
      <w:pPr>
        <w:rPr>
          <w:noProof/>
        </w:rPr>
      </w:pPr>
      <w:r>
        <w:rPr>
          <w:noProof/>
        </w:rPr>
        <w:t>Подкомитетите обсъждат въпроси, свързани със сферите на ССА, както са изброени в структурата на мултидисциплинарния подкомитет. Напредъкът по отношение на сближаването, изпълнението и прилагането на законодателството се оценява по всички обсъждани теми. Подкомитетите разглеждат всички проблеми, които могат да възникнат в областите, за които отговарят, и предлагат предприемането на евентуални мерки.</w:t>
      </w:r>
    </w:p>
    <w:p>
      <w:pPr>
        <w:rPr>
          <w:noProof/>
        </w:rPr>
      </w:pPr>
      <w:r>
        <w:rPr>
          <w:noProof/>
        </w:rPr>
        <w:t>Подкомитетите служат също така за форуми за по-нататъшно изясняване на достиженията на правото на ЕС и правят преглед на напредъка на Босна и Херцеговина в постигането на съответствие с достиженията на правото на ЕС съгласно ангажиментите, поети по ССА.</w:t>
      </w:r>
    </w:p>
    <w:p>
      <w:pPr>
        <w:rPr>
          <w:noProof/>
        </w:rPr>
      </w:pPr>
      <w:r>
        <w:rPr>
          <w:noProof/>
        </w:rPr>
        <w:t>Специалната група за РПА разглежда въпроси, свързани с реформата на публичната администрация, и предлага предприемането на евентуални мерки.</w:t>
      </w:r>
    </w:p>
    <w:p>
      <w:pPr>
        <w:spacing w:before="240"/>
        <w:rPr>
          <w:b/>
          <w:noProof/>
        </w:rPr>
      </w:pPr>
      <w:r>
        <w:rPr>
          <w:b/>
          <w:noProof/>
        </w:rPr>
        <w:t>Протокол</w:t>
      </w:r>
    </w:p>
    <w:p>
      <w:pPr>
        <w:rPr>
          <w:noProof/>
        </w:rPr>
      </w:pPr>
      <w:r>
        <w:rPr>
          <w:noProof/>
        </w:rPr>
        <w:t>За всяко заседание се води и впоследствие се одобрява протокол. Копие от протокола се изпраща от секретаря на подкомитета или на специалната група за РПА до секретаря на Комитета за стабилизиране и асоцииране.</w:t>
      </w:r>
    </w:p>
    <w:p>
      <w:pPr>
        <w:spacing w:before="240"/>
        <w:rPr>
          <w:b/>
          <w:noProof/>
        </w:rPr>
      </w:pPr>
      <w:r>
        <w:rPr>
          <w:b/>
          <w:noProof/>
        </w:rPr>
        <w:t>Публичност</w:t>
      </w:r>
    </w:p>
    <w:p>
      <w:pPr>
        <w:rPr>
          <w:noProof/>
        </w:rPr>
      </w:pPr>
      <w:r>
        <w:rPr>
          <w:noProof/>
        </w:rPr>
        <w:t xml:space="preserve">Освен ако не е взето друго решение, заседанията на подкомитетите и на специалната група за РПА не са публични. 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За целите на изпълнението на протокол 3 към ССА този подкомитет действа като специалния подкомитет, посочен в член 21 от този протокол.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8EAD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37C6C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94C33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A50CF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8243B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90C20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9A46D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1144C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28 16:20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278AF57A737F4ACB8A3872B17C022F05"/>
    <w:docVar w:name="LW_CROSSREFERENCE" w:val="&lt;UNUSED&gt;"/>
    <w:docVar w:name="LW_DocType" w:val="ANNEX"/>
    <w:docVar w:name="LW_EMISSION" w:val="29.7.2015"/>
    <w:docVar w:name="LW_EMISSION_ISODATE" w:val="2015-07-29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91?\u1089?\u1090?\u1072?\u1085?\u1086?\u1074?\u1103?\u1074?\u1072?\u1085?\u1077? \u1085?\u1072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79?\u1072? \u1089?\u1090?\u1072?\u1073?\u1080?\u1083?\u1080?\u1079?\u1080?\u1088?\u1072?\u1085?\u1077? \u1080? \u1072?\u1089?\u1086?\u1094?\u1080?\u1080?\u1088?\u1072?\u1085?\u1077?, \u1089?\u1098?\u1079?\u1076?\u1072?\u1076?\u1077?\u1085? \u1089?\u1098?\u1089? \u1057?\u1087?\u1086?\u1088?\u1072?\u1079?\u1091?\u1084?\u1077?\u1085?\u1080?\u1077?\u1090?\u1086? \u1079?\u1072? \u1089?\u1090?\u1072?\u1073?\u1080?\u1083?\u1080?\u1079?\u1080?\u1088?\u1072?\u1085?\u1077? \u1080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41?\u1086?\u1089?\u1085?\u1072? \u1080? \u1061?\u1077?\u1088?\u1094?\u1077?\u1075?\u1086?\u1074?\u1080?\u1085?\u1072?, \u1086?\u1090? \u1076?\u1088?\u1091?\u1075?\u1072? \u1089?\u1090?\u1088?\u1072?\u1085?\u1072?, \u1087?\u1086? \u1086?\u1090?\u1085?\u1086?\u1096?\u1077?\u1085?\u1080?\u1077? \u1085?\u1072? \u1088?\u1077?\u1096?\u1077?\u1085?\u1080?\u1077? \u1085?\u1072? \u1057?\u1098?\u1074?\u1077?\u1090?\u1072? \u1079?\u1072? \u1089?\u1090?\u1072?\u1073?\u1080?\u1083?\u1080?\u1079?\u1080?\u1088?\u1072?\u1085?\u1077? \u1080? \u1072?\u1089?\u1086?\u1094?\u1080?\u1080?\u1088?\u1072?\u1085?\u1077? \u1079?\u1072? \u1087?\u1088?\u1080?\u1077?\u1084?\u1072?\u1085?\u1077? \u1085?\u1072? \u1085?\u1077?\u1075?\u1086?\u1074?\u1080?\u1103? \u1087?\u1088?\u1086?\u1094?\u1077?\u1076?\u1091?\u1088?\u1077?\u1085? \u1087?\u1088?\u1072?\u1074?\u1080?\u1083?\u1085?\u1080?\u1082?"/>
    <w:docVar w:name="LW_PART_NBR" w:val="1"/>
    <w:docVar w:name="LW_PART_NBR_TOTAL" w:val="1"/>
    <w:docVar w:name="LW_REF.INST.NEW" w:val="COM"/>
    <w:docVar w:name="LW_REF.INST.NEW_ADOPTED" w:val="final"/>
    <w:docVar w:name="LW_REF.INST.NEW_TEXT" w:val="(2015) 368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56?\u1045?\u1044?\u1051?\u1054?\u1046?\u1045?\u1053?\u1048?\u1045? \u1047?\u1040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B9CC-B3FD-42B6-997A-5E216F87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8</Pages>
  <Words>1103</Words>
  <Characters>6446</Characters>
  <Application>Microsoft Office Word</Application>
  <DocSecurity>0</DocSecurity>
  <Lines>358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VERMAELEN Hilde (SG)</dc:creator>
  <cp:lastModifiedBy>DIGIT/A3</cp:lastModifiedBy>
  <cp:revision>7</cp:revision>
  <cp:lastPrinted>2015-05-28T16:11:00Z</cp:lastPrinted>
  <dcterms:created xsi:type="dcterms:W3CDTF">2015-07-03T07:41:00Z</dcterms:created>
  <dcterms:modified xsi:type="dcterms:W3CDTF">2015-07-28T14:20:00Z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