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F9" w:rsidRDefault="00A61D97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AA1C9EBB5BC4100B5653A05BDEE5FA2" style="width:450.75pt;height:334.5pt">
            <v:imagedata r:id="rId9" o:title=""/>
          </v:shape>
        </w:pict>
      </w:r>
    </w:p>
    <w:bookmarkEnd w:id="0"/>
    <w:p w:rsidR="008809F9" w:rsidRDefault="008809F9">
      <w:pPr>
        <w:rPr>
          <w:noProof/>
        </w:rPr>
        <w:sectPr w:rsidR="008809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8809F9" w:rsidRDefault="00A61D97">
      <w:pPr>
        <w:keepNext/>
        <w:spacing w:after="24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</w:rPr>
      </w:pPr>
      <w:bookmarkStart w:id="1" w:name="_Toc388010799"/>
      <w:bookmarkStart w:id="2" w:name="_Toc421025229"/>
      <w:r>
        <w:rPr>
          <w:rFonts w:ascii="Times New Roman" w:hAnsi="Times New Roman"/>
          <w:b/>
          <w:smallCaps/>
          <w:noProof/>
          <w:sz w:val="24"/>
        </w:rPr>
        <w:lastRenderedPageBreak/>
        <w:t>1. Въведение</w:t>
      </w:r>
      <w:bookmarkEnd w:id="1"/>
      <w:bookmarkEnd w:id="2"/>
    </w:p>
    <w:p w:rsidR="008809F9" w:rsidRDefault="008809F9">
      <w:pPr>
        <w:keepNext/>
        <w:spacing w:after="24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</w:rPr>
      </w:pPr>
    </w:p>
    <w:p w:rsidR="008809F9" w:rsidRDefault="00A6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Алпийският регион е един от най-богатите региони в света и от икономическа гледна точка сред най-динамичните, иновативни и конкурентоспособни области в Европа с уникални географски и природни характеристики. Въпреки това регионът е изправен пред важни пред</w:t>
      </w:r>
      <w:r>
        <w:rPr>
          <w:rFonts w:ascii="Times New Roman" w:hAnsi="Times New Roman"/>
          <w:noProof/>
          <w:sz w:val="24"/>
        </w:rPr>
        <w:t xml:space="preserve">извикателства, изискващи съвместни действия: </w:t>
      </w:r>
    </w:p>
    <w:p w:rsidR="008809F9" w:rsidRDefault="00A61D9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икономическата глобализация, която изисква територията да се отличи като конкурентоспособна и иновативна;</w:t>
      </w:r>
    </w:p>
    <w:p w:rsidR="008809F9" w:rsidRDefault="00A61D9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демографските тенденции, които се характеризират най-вече с комбинираното въздействие на застаряването н</w:t>
      </w:r>
      <w:r>
        <w:rPr>
          <w:rFonts w:ascii="Times New Roman" w:hAnsi="Times New Roman"/>
          <w:noProof/>
          <w:sz w:val="24"/>
        </w:rPr>
        <w:t xml:space="preserve">а населението, ниската гъстота на населението в планинските райони и новите миграционни модели; </w:t>
      </w:r>
    </w:p>
    <w:p w:rsidR="008809F9" w:rsidRDefault="00A61D9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високата степен на уязвимост спрямо изменението на климата и неговото предвидимо въздействие върху околната среда, биологичното разнообразие и условията на жив</w:t>
      </w:r>
      <w:r>
        <w:rPr>
          <w:rFonts w:ascii="Times New Roman" w:hAnsi="Times New Roman"/>
          <w:noProof/>
          <w:sz w:val="24"/>
        </w:rPr>
        <w:t xml:space="preserve">от на населението; </w:t>
      </w:r>
    </w:p>
    <w:p w:rsidR="008809F9" w:rsidRDefault="00A61D9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предизвикателството в областта на енергетиката по отношение на управлението и удовлетворяването на търсенето по един устойчив, надежден и разходоефективен начин;</w:t>
      </w:r>
    </w:p>
    <w:p w:rsidR="008809F9" w:rsidRDefault="00A61D9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специфичното му географско положение в Европа като транзитен регион; </w:t>
      </w:r>
    </w:p>
    <w:p w:rsidR="008809F9" w:rsidRDefault="00A61D9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високата степен на сезонност, особено в някои туристически райони. </w:t>
      </w:r>
    </w:p>
    <w:p w:rsidR="008809F9" w:rsidRDefault="0088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Продължават да съществуват и значителни различия между отделните територии в региона (например между планинските райони и в Предалпите).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Европейският съвет от 19—20 декември 2013 г. прик</w:t>
      </w:r>
      <w:r>
        <w:rPr>
          <w:rFonts w:ascii="Times New Roman" w:hAnsi="Times New Roman"/>
          <w:noProof/>
          <w:sz w:val="24"/>
        </w:rPr>
        <w:t>ани Комисията, съвместно с държавите членки да разработи до юни 2015 г. стратегия на ЕС за Алпийския регион (EUSALP), която се основава на тясното сътрудничество в региона. Стратегията ще засегне около 80 млн. души, живеещи в 48 региона (виж картата в прил</w:t>
      </w:r>
      <w:r>
        <w:rPr>
          <w:rFonts w:ascii="Times New Roman" w:hAnsi="Times New Roman"/>
          <w:noProof/>
          <w:sz w:val="24"/>
        </w:rPr>
        <w:t>ожението) в седем държави, пет от които са държави — членки на ЕС (Австрия, Франция, Германия, Италия и Словения), а две са държави извън ЕС (Швейцария и Лихтенщайн). Предложеният географски район, обхванат от регионалната стратегия на макро равнище, е осо</w:t>
      </w:r>
      <w:r>
        <w:rPr>
          <w:rFonts w:ascii="Times New Roman" w:hAnsi="Times New Roman"/>
          <w:noProof/>
          <w:sz w:val="24"/>
        </w:rPr>
        <w:t>бено подходящ за устойчивото развитие на Алпийския регион, което ще насърчава растежа в Европа и взаимната солидарност между планинските територии и подножието на Алпите.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Стратегията ще обхване следните тематични области на политиката: 1) икономически рас</w:t>
      </w:r>
      <w:r>
        <w:rPr>
          <w:rFonts w:ascii="Times New Roman" w:hAnsi="Times New Roman"/>
          <w:noProof/>
          <w:sz w:val="24"/>
        </w:rPr>
        <w:t>теж и иновации; 2) мобилност и свързаност; и 3) околна среда и енергетика.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3" w:name="_Toc382248910"/>
      <w:bookmarkStart w:id="4" w:name="_Toc382248991"/>
      <w:r>
        <w:rPr>
          <w:rFonts w:ascii="Times New Roman" w:hAnsi="Times New Roman"/>
          <w:noProof/>
          <w:sz w:val="24"/>
        </w:rPr>
        <w:t xml:space="preserve">Стратегията ще извлече ползи от </w:t>
      </w:r>
      <w:bookmarkEnd w:id="3"/>
      <w:bookmarkEnd w:id="4"/>
      <w:r>
        <w:rPr>
          <w:rFonts w:ascii="Times New Roman" w:hAnsi="Times New Roman"/>
          <w:noProof/>
          <w:sz w:val="24"/>
        </w:rPr>
        <w:t>активната роля на Алпийския регион с подкрепата на държавите членки и от опита на много организации за сътрудничество, които вече работят в региона,</w:t>
      </w:r>
      <w:r>
        <w:rPr>
          <w:rFonts w:ascii="Times New Roman" w:hAnsi="Times New Roman"/>
          <w:noProof/>
          <w:sz w:val="24"/>
        </w:rPr>
        <w:t xml:space="preserve"> и ще продължи дейностите, започнали преди Комисията да започне изготвянето на стратегията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noProof/>
        </w:rPr>
        <w:t>.</w:t>
      </w:r>
    </w:p>
    <w:p w:rsidR="008809F9" w:rsidRDefault="008809F9">
      <w:pPr>
        <w:keepNext/>
        <w:spacing w:after="24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</w:rPr>
      </w:pPr>
      <w:bookmarkStart w:id="5" w:name="_Toc373312368"/>
      <w:bookmarkStart w:id="6" w:name="_Toc388010800"/>
    </w:p>
    <w:p w:rsidR="008809F9" w:rsidRDefault="00A61D97">
      <w:pPr>
        <w:keepNext/>
        <w:spacing w:after="24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</w:rPr>
      </w:pPr>
      <w:bookmarkStart w:id="7" w:name="_Toc421025230"/>
      <w:r>
        <w:rPr>
          <w:rFonts w:ascii="Times New Roman" w:hAnsi="Times New Roman"/>
          <w:b/>
          <w:smallCaps/>
          <w:noProof/>
          <w:sz w:val="24"/>
        </w:rPr>
        <w:t xml:space="preserve">2. Предизвикателства и </w:t>
      </w:r>
      <w:bookmarkEnd w:id="5"/>
      <w:r>
        <w:rPr>
          <w:rFonts w:ascii="Times New Roman" w:hAnsi="Times New Roman"/>
          <w:b/>
          <w:smallCaps/>
          <w:noProof/>
          <w:sz w:val="24"/>
        </w:rPr>
        <w:t>възможности</w:t>
      </w:r>
      <w:bookmarkEnd w:id="6"/>
      <w:bookmarkEnd w:id="7"/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Подготвителната работа, посочена по-горе, помогна да бъдат набелязани основните предизвикателства, при които би могъл да се </w:t>
      </w:r>
      <w:r>
        <w:rPr>
          <w:rFonts w:ascii="Times New Roman" w:hAnsi="Times New Roman"/>
          <w:noProof/>
          <w:sz w:val="24"/>
        </w:rPr>
        <w:t xml:space="preserve">приложи макрорегионален подход. Партньорите в стратегията могат да се възползват от възможностите, предоставени от икономическата динамика и конкурентоспособност на региона, високата стойност на </w:t>
      </w:r>
      <w:r>
        <w:rPr>
          <w:rFonts w:ascii="Times New Roman" w:hAnsi="Times New Roman"/>
          <w:noProof/>
          <w:sz w:val="24"/>
        </w:rPr>
        <w:lastRenderedPageBreak/>
        <w:t xml:space="preserve">неговите природни и културни ресурси, както и дългогодишната </w:t>
      </w:r>
      <w:r>
        <w:rPr>
          <w:rFonts w:ascii="Times New Roman" w:hAnsi="Times New Roman"/>
          <w:noProof/>
          <w:sz w:val="24"/>
        </w:rPr>
        <w:t>му традиция в областта на сътрудничеството.</w:t>
      </w:r>
    </w:p>
    <w:p w:rsidR="008809F9" w:rsidRDefault="008809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Иновация и МСП</w:t>
      </w:r>
      <w:r>
        <w:rPr>
          <w:rFonts w:ascii="Times New Roman" w:hAnsi="Times New Roman"/>
          <w:noProof/>
          <w:sz w:val="24"/>
        </w:rPr>
        <w:t xml:space="preserve">: Регионът е изправен пред някои ограничения, свързани с: </w:t>
      </w:r>
    </w:p>
    <w:p w:rsidR="008809F9" w:rsidRDefault="00A61D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сътрудничеството в областта на научните изследвания и иновациите в алпийския регион; </w:t>
      </w:r>
    </w:p>
    <w:p w:rsidR="008809F9" w:rsidRDefault="00A61D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прилагане на съществуващите резултати от научни изсл</w:t>
      </w:r>
      <w:r>
        <w:rPr>
          <w:rFonts w:ascii="Times New Roman" w:hAnsi="Times New Roman"/>
          <w:noProof/>
          <w:sz w:val="24"/>
        </w:rPr>
        <w:t xml:space="preserve">едвания и иновации; </w:t>
      </w:r>
    </w:p>
    <w:p w:rsidR="008809F9" w:rsidRDefault="00A61D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пространствено фрагментирани местни пазари; </w:t>
      </w:r>
    </w:p>
    <w:p w:rsidR="008809F9" w:rsidRDefault="00A61D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социални различия в областта на иновациите; </w:t>
      </w:r>
    </w:p>
    <w:p w:rsidR="008809F9" w:rsidRDefault="00A61D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възможности за финансиране; </w:t>
      </w:r>
    </w:p>
    <w:p w:rsidR="008809F9" w:rsidRDefault="00A61D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информационни и комуникационни технологии (ИКТ) и услуги от общ интерес; </w:t>
      </w:r>
    </w:p>
    <w:p w:rsidR="008809F9" w:rsidRDefault="00A61D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засилена миграция от селските райони поради недостатъчна инфраструктура; както и </w:t>
      </w:r>
    </w:p>
    <w:p w:rsidR="008809F9" w:rsidRDefault="00A61D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капитализация на резултатите от приложните научни изследвания.</w:t>
      </w:r>
    </w:p>
    <w:p w:rsidR="008809F9" w:rsidRDefault="00A61D9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 </w:t>
      </w: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Въпреки това в този регион са разположени  ключови участници в областта на научните изследвания и иновациите,</w:t>
      </w:r>
      <w:r>
        <w:rPr>
          <w:rFonts w:ascii="Times New Roman" w:hAnsi="Times New Roman"/>
          <w:noProof/>
          <w:sz w:val="24"/>
        </w:rPr>
        <w:t xml:space="preserve"> които притежават голям потенциал за по-нататъшно развитие в световен мащаб. Съществуват значителни концентрации на малки и средни предприятия (МСП) в различни части на региона, като много от тях са организирани в клъстери, изграждайки териториална икономи</w:t>
      </w:r>
      <w:r>
        <w:rPr>
          <w:rFonts w:ascii="Times New Roman" w:hAnsi="Times New Roman"/>
          <w:noProof/>
          <w:sz w:val="24"/>
        </w:rPr>
        <w:t>ка, която предоставя солидна основа за иновации въз основа на стратегии за интелигентно специализиране и позволява на дружествата да станат по-конкурентоспособни в сфери от особено значение за региона (като например енергетика и екологосъобразни технологии</w:t>
      </w:r>
      <w:r>
        <w:rPr>
          <w:rFonts w:ascii="Times New Roman" w:hAnsi="Times New Roman"/>
          <w:noProof/>
          <w:sz w:val="24"/>
        </w:rPr>
        <w:t>, мехатроника и инженерство, химия и нови материали или информационни и комуникационни технологии).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Селско и горско стопанство</w:t>
      </w:r>
      <w:r>
        <w:rPr>
          <w:rFonts w:ascii="Times New Roman" w:hAnsi="Times New Roman"/>
          <w:noProof/>
          <w:sz w:val="24"/>
        </w:rPr>
        <w:t xml:space="preserve"> Продуктите, включително продуктите от планинските райони и други висококачествени продукти, както и услугите на селското и горск</w:t>
      </w:r>
      <w:r>
        <w:rPr>
          <w:rFonts w:ascii="Times New Roman" w:hAnsi="Times New Roman"/>
          <w:noProof/>
          <w:sz w:val="24"/>
        </w:rPr>
        <w:t>ото стопанство, осигуряват значителен потенциал (например за биоикономиката) по цялата верига на стойността (включително например фармацевтичния сектор и сектора на дървеното строителство). Придвижването по-нагоре по веригата на стойността предлага възможн</w:t>
      </w:r>
      <w:r>
        <w:rPr>
          <w:rFonts w:ascii="Times New Roman" w:hAnsi="Times New Roman"/>
          <w:noProof/>
          <w:sz w:val="24"/>
        </w:rPr>
        <w:t>ости за селските и градските райони на този регион да работят заедно. Земеделските стопани допринасят за устойчивото управление на земите и предоставят „екосистемни услуги“.</w:t>
      </w: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  </w:t>
      </w: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Туризъм</w:t>
      </w:r>
      <w:r>
        <w:rPr>
          <w:rFonts w:ascii="Times New Roman" w:hAnsi="Times New Roman"/>
          <w:noProof/>
          <w:sz w:val="24"/>
        </w:rPr>
        <w:t>: Регионът е основна дестинация за туризъм, особено през зимата, но тури</w:t>
      </w:r>
      <w:r>
        <w:rPr>
          <w:rFonts w:ascii="Times New Roman" w:hAnsi="Times New Roman"/>
          <w:noProof/>
          <w:sz w:val="24"/>
        </w:rPr>
        <w:t>стите са много неравномерно разпределени.  Това би могло да се подобри посредством съгласуван подход за устойчив и достъпен туризъм, който включва по-специално научни изследвания и иновации, МСП и обучение на работната сила. По този начин би могло да се по</w:t>
      </w:r>
      <w:r>
        <w:rPr>
          <w:rFonts w:ascii="Times New Roman" w:hAnsi="Times New Roman"/>
          <w:noProof/>
          <w:sz w:val="24"/>
        </w:rPr>
        <w:t>добри географското и сезонното разпределение на туристическия пазар в региона, като в същото време се създават растеж и работни места.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Транспорт и свързаност</w:t>
      </w:r>
      <w:r>
        <w:rPr>
          <w:rFonts w:ascii="Times New Roman" w:hAnsi="Times New Roman"/>
          <w:noProof/>
          <w:sz w:val="24"/>
        </w:rPr>
        <w:t>: Регионът е разположен на основен европейски кръстопът и представлява транзитна зона, която затру</w:t>
      </w:r>
      <w:r>
        <w:rPr>
          <w:rFonts w:ascii="Times New Roman" w:hAnsi="Times New Roman"/>
          <w:noProof/>
          <w:sz w:val="24"/>
        </w:rPr>
        <w:t xml:space="preserve">днява европейската транспортна мрежа. Капацитетът на различни коридори на пътната мрежа е почти напълно изчерпан и това води до сериозни здравни проблеми (шумово замърсяване и замърсяване на въздуха). Основните предизвикателства включват: </w:t>
      </w:r>
    </w:p>
    <w:p w:rsidR="008809F9" w:rsidRDefault="00A61D9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увеличаващ се об</w:t>
      </w:r>
      <w:r>
        <w:rPr>
          <w:rFonts w:ascii="Times New Roman" w:hAnsi="Times New Roman"/>
          <w:noProof/>
          <w:sz w:val="24"/>
        </w:rPr>
        <w:t xml:space="preserve">ем на трафика; </w:t>
      </w:r>
    </w:p>
    <w:p w:rsidR="008809F9" w:rsidRDefault="00A61D9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липсата на хармонизирано регулиране на транспортните политики за превоза на товари; както и </w:t>
      </w:r>
    </w:p>
    <w:p w:rsidR="008809F9" w:rsidRDefault="00A61D9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големият дял на автомобилния товарен транспорт. </w:t>
      </w:r>
    </w:p>
    <w:p w:rsidR="008809F9" w:rsidRDefault="008809F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Освен това, тъй като качеството на въздуха е влошено в много райони, би било полезно транспортнит</w:t>
      </w:r>
      <w:r>
        <w:rPr>
          <w:rFonts w:ascii="Times New Roman" w:hAnsi="Times New Roman"/>
          <w:noProof/>
          <w:sz w:val="24"/>
        </w:rPr>
        <w:t>е мерки да бъдат приведени в съответствие с регионалните планове за устойчива мобилност, регионалните планове за качеството на въздуха и националните програми за контрол на замърсяването на въздуха с цел подобряване на съгласуваността между тях и увеличава</w:t>
      </w:r>
      <w:r>
        <w:rPr>
          <w:rFonts w:ascii="Times New Roman" w:hAnsi="Times New Roman"/>
          <w:noProof/>
          <w:sz w:val="24"/>
        </w:rPr>
        <w:t>не на нивото на взаимодействие. Достъпността на отдалечените и обезлюдяващите се райони също представлява предизвикателство на много места, където общественият транспорт (главно местни железопътни линии) трябва да бъде модернизиран. Трябва да бъде постигна</w:t>
      </w:r>
      <w:r>
        <w:rPr>
          <w:rFonts w:ascii="Times New Roman" w:hAnsi="Times New Roman"/>
          <w:noProof/>
          <w:sz w:val="24"/>
        </w:rPr>
        <w:t>т баланс между свързаност и разумно използване на земите. Насърчаването и улесняването на проекти в областта на устойчивия транспорт може да създаде връзки между централната алпийска зона и заобикалящите я региони, което ще бъде от полза и за двете страни.</w:t>
      </w:r>
      <w:r>
        <w:rPr>
          <w:rFonts w:ascii="Times New Roman" w:hAnsi="Times New Roman"/>
          <w:noProof/>
          <w:sz w:val="24"/>
        </w:rPr>
        <w:t xml:space="preserve"> Електронната свързаност (особено чрез високоскоростен интернет) в макрорегионален мащаб ще създаде също така нови технологични възможности за разработване на услуги и децентрализация на предприятията.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Околна среда и културно наследство</w:t>
      </w:r>
      <w:r>
        <w:rPr>
          <w:rFonts w:ascii="Times New Roman" w:hAnsi="Times New Roman"/>
          <w:noProof/>
          <w:sz w:val="24"/>
        </w:rPr>
        <w:t>: Алпите са вторият</w:t>
      </w:r>
      <w:r>
        <w:rPr>
          <w:rFonts w:ascii="Times New Roman" w:hAnsi="Times New Roman"/>
          <w:noProof/>
          <w:sz w:val="24"/>
        </w:rPr>
        <w:t xml:space="preserve"> по големина резервоар на биологичното разнообразие в Европа след Средиземно море и една от най-важните водни кули на Европа. Културното и историческото наследство на региона също така е едно от най-големите му предимства. Тези ресурси се използват широко </w:t>
      </w:r>
      <w:r>
        <w:rPr>
          <w:rFonts w:ascii="Times New Roman" w:hAnsi="Times New Roman"/>
          <w:noProof/>
          <w:sz w:val="24"/>
        </w:rPr>
        <w:t xml:space="preserve">и има силна конкуренция за използването на земя и вода за различни цели, включително за производството на електроенергия, за домакинствата, туризма, селското стопанство, горското стопанство и промишлеността. Това несъмнено представлява предизвикателство в </w:t>
      </w:r>
      <w:r>
        <w:rPr>
          <w:rFonts w:ascii="Times New Roman" w:hAnsi="Times New Roman"/>
          <w:noProof/>
          <w:sz w:val="24"/>
        </w:rPr>
        <w:t>търсенето на модели за устойчиво развитие и може да окаже въздействие върху екосистемите. Интензивното използване на земята има отрицателно въздействие върху околната среда, а намаляването на населението в отдалечените райони оказва драстично въздействие в</w:t>
      </w:r>
      <w:r>
        <w:rPr>
          <w:rFonts w:ascii="Times New Roman" w:hAnsi="Times New Roman"/>
          <w:noProof/>
          <w:sz w:val="24"/>
        </w:rPr>
        <w:t>ърху устойчивостта на почвата, опазването на биологичното разнообразие и на културата. С оглед на въздействието на изменението на климата върху алпийските водни резерви, е необходимо значително да увеличат дейностите в тази област.</w:t>
      </w:r>
    </w:p>
    <w:p w:rsidR="008809F9" w:rsidRDefault="008809F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 xml:space="preserve">Изменение на климата и </w:t>
      </w:r>
      <w:r>
        <w:rPr>
          <w:rFonts w:ascii="Times New Roman" w:hAnsi="Times New Roman"/>
          <w:b/>
          <w:noProof/>
          <w:sz w:val="24"/>
        </w:rPr>
        <w:t>предотвратяване на риска</w:t>
      </w:r>
      <w:r>
        <w:rPr>
          <w:rFonts w:ascii="Times New Roman" w:hAnsi="Times New Roman"/>
          <w:noProof/>
          <w:sz w:val="24"/>
        </w:rPr>
        <w:t>: Регионът е силно уязвим по отношение на неблагоприятното въздействие на изменението на климата и е изправен пред особено висок риск от наводнения, свлачища и промени във водните ресурси. Туризмът, селското и горското стопанство са</w:t>
      </w:r>
      <w:r>
        <w:rPr>
          <w:rFonts w:ascii="Times New Roman" w:hAnsi="Times New Roman"/>
          <w:noProof/>
          <w:sz w:val="24"/>
        </w:rPr>
        <w:t xml:space="preserve"> сред най-уязвимите сектори, пряко засегнати от глобалното затопляне и екстремните метеорологични събития. По-добрата координация на европейските, националните и регионалните политики, както и ранното прилагане на действия, координирани на макрорегионално </w:t>
      </w:r>
      <w:r>
        <w:rPr>
          <w:rFonts w:ascii="Times New Roman" w:hAnsi="Times New Roman"/>
          <w:noProof/>
          <w:sz w:val="24"/>
        </w:rPr>
        <w:t>равнище, биха могли да намалят тези рискове.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Енергия</w:t>
      </w:r>
      <w:r>
        <w:rPr>
          <w:rFonts w:ascii="Times New Roman" w:hAnsi="Times New Roman"/>
          <w:noProof/>
          <w:sz w:val="24"/>
        </w:rPr>
        <w:t xml:space="preserve">: Схемите за подпомагане и европейските, националните и регионалните политики по отношение на нефинансовите препятствия пред енергията от възобновяеми източници и енергийната ефективност се различават в </w:t>
      </w:r>
      <w:r>
        <w:rPr>
          <w:rFonts w:ascii="Times New Roman" w:hAnsi="Times New Roman"/>
          <w:noProof/>
          <w:sz w:val="24"/>
        </w:rPr>
        <w:t>отделните държави и трябва да бъдат по-добре съгласувани. Ефективността на съществуващите водноелектрически централи може да бъде увеличена, както и да се разгледа възможността за други възобновяеми енергийни източници. Енергийната ефективност предлага въз</w:t>
      </w:r>
      <w:r>
        <w:rPr>
          <w:rFonts w:ascii="Times New Roman" w:hAnsi="Times New Roman"/>
          <w:noProof/>
          <w:sz w:val="24"/>
        </w:rPr>
        <w:t>можности за инвестиции в сферата на технологиите и консултациите/инженеринга, свързани с нисковъглеродните услуги, което ще помогне на региона да заеме водеща позиция по отношение на научноизследователската и развойната дейност и възобновяемите енергийни р</w:t>
      </w:r>
      <w:r>
        <w:rPr>
          <w:rFonts w:ascii="Times New Roman" w:hAnsi="Times New Roman"/>
          <w:noProof/>
          <w:sz w:val="24"/>
        </w:rPr>
        <w:t>есурси. Това е свързано с увеличаването на мерките за опазване на климата в подкрепа на преминаването към нисковъглеродни технологии. Засиленото сътрудничество може да спомогне за създаването на бъдещи възможности за региона като място за съхраняване на ен</w:t>
      </w:r>
      <w:r>
        <w:rPr>
          <w:rFonts w:ascii="Times New Roman" w:hAnsi="Times New Roman"/>
          <w:noProof/>
          <w:sz w:val="24"/>
        </w:rPr>
        <w:t>ергия, която да се ползва по време на върхово натоварване, както и за разработването на инструменти и процедури за постигане на равновесие между устойчивото производство на енергия и другите видове земеползване и функции по опазването на земята.</w:t>
      </w:r>
    </w:p>
    <w:p w:rsidR="008809F9" w:rsidRDefault="008809F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Институционални въпроси</w:t>
      </w:r>
      <w:r>
        <w:rPr>
          <w:rFonts w:ascii="Times New Roman" w:hAnsi="Times New Roman"/>
          <w:noProof/>
          <w:sz w:val="24"/>
        </w:rPr>
        <w:t>: Дългата традиция на сътрудничество е довела до създаването на голям брой структури в региона, които имат различен географски и тематичен обхват, както и различни системи на управление. Следователно би било полезно да се подобри коо</w:t>
      </w:r>
      <w:r>
        <w:rPr>
          <w:rFonts w:ascii="Times New Roman" w:hAnsi="Times New Roman"/>
          <w:noProof/>
          <w:sz w:val="24"/>
        </w:rPr>
        <w:t>рдинацията между участниците, да се осигури съгласуваност между съществуващите инициативи, да се попълнят пропуските, като се избягва дублиране и се съгласува финансирането, включително финансовите инструменти. Този подход следва да насърчава участниците д</w:t>
      </w:r>
      <w:r>
        <w:rPr>
          <w:rFonts w:ascii="Times New Roman" w:hAnsi="Times New Roman"/>
          <w:noProof/>
          <w:sz w:val="24"/>
        </w:rPr>
        <w:t>а прекрачват националните граници, както и секторните и културните бариери, което ще приближи секторните политики, отделните участници и различните равнища на управление.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keepNext/>
        <w:spacing w:after="24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</w:rPr>
      </w:pPr>
      <w:bookmarkStart w:id="8" w:name="_Toc388010803"/>
      <w:bookmarkStart w:id="9" w:name="_Toc421025231"/>
      <w:r>
        <w:rPr>
          <w:rFonts w:ascii="Times New Roman" w:hAnsi="Times New Roman"/>
          <w:b/>
          <w:smallCaps/>
          <w:noProof/>
          <w:sz w:val="24"/>
        </w:rPr>
        <w:t>3. Реакция: изработване на план за действие</w:t>
      </w:r>
      <w:bookmarkEnd w:id="8"/>
      <w:bookmarkEnd w:id="9"/>
    </w:p>
    <w:p w:rsidR="008809F9" w:rsidRDefault="008809F9">
      <w:pPr>
        <w:tabs>
          <w:tab w:val="left" w:pos="-1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tabs>
          <w:tab w:val="left" w:pos="-1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Макрорегионалните стратегии могат да от</w:t>
      </w:r>
      <w:r>
        <w:rPr>
          <w:rFonts w:ascii="Times New Roman" w:hAnsi="Times New Roman"/>
          <w:noProof/>
          <w:sz w:val="24"/>
        </w:rPr>
        <w:t>говорят на тези предизвикателства и възможности чрез осигуряване на рамка за съвместни или комбинирани дейности, които обединяват регионални действия и участници за генерирането на по-висока добавена стойност. В доклада си относно добавената стойност на ма</w:t>
      </w:r>
      <w:r>
        <w:rPr>
          <w:rFonts w:ascii="Times New Roman" w:hAnsi="Times New Roman"/>
          <w:noProof/>
          <w:sz w:val="24"/>
        </w:rPr>
        <w:t>крорегионалните стратегии</w:t>
      </w:r>
      <w:r>
        <w:rPr>
          <w:rStyle w:val="FootnoteReference"/>
          <w:noProof/>
        </w:rPr>
        <w:footnoteReference w:id="2"/>
      </w:r>
      <w:r>
        <w:rPr>
          <w:rFonts w:ascii="Times New Roman" w:hAnsi="Times New Roman"/>
          <w:noProof/>
          <w:sz w:val="24"/>
        </w:rPr>
        <w:t xml:space="preserve"> Комисията препоръча новите макрорегионални стратегии да бъдат съсредоточени върху ограничен брой добре формулирани цели, които да съответстват на конкретните стратегически нужди на региона от подобрено сътрудничество на високо ра</w:t>
      </w:r>
      <w:r>
        <w:rPr>
          <w:rFonts w:ascii="Times New Roman" w:hAnsi="Times New Roman"/>
          <w:noProof/>
          <w:sz w:val="24"/>
        </w:rPr>
        <w:t>внище. Това е подход, който трябва да се използва само когато участието на ЕС е уместно, а ролята на съществуващите междусекторни политики на ЕС може да бъде увеличена.</w:t>
      </w:r>
    </w:p>
    <w:p w:rsidR="008809F9" w:rsidRDefault="008809F9">
      <w:pPr>
        <w:tabs>
          <w:tab w:val="left" w:pos="-1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tabs>
          <w:tab w:val="left" w:pos="-1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 тази цел ще бъде приложен текущ план за действие (подлежащ на актуализация и прегле</w:t>
      </w:r>
      <w:r>
        <w:rPr>
          <w:rFonts w:ascii="Times New Roman" w:hAnsi="Times New Roman"/>
          <w:noProof/>
          <w:sz w:val="24"/>
        </w:rPr>
        <w:t>д, ако е необходимо), придружаващ настоящото съобщение. Планът е структуриран около три взаимосвързани тематични цели, които са насочени към осигуряване на:</w:t>
      </w:r>
    </w:p>
    <w:p w:rsidR="008809F9" w:rsidRDefault="008809F9">
      <w:pPr>
        <w:tabs>
          <w:tab w:val="left" w:pos="-1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tabs>
          <w:tab w:val="left" w:pos="-12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справедлив достъп до възможности за работа въз основа на високата конкурентоспособност на регио</w:t>
      </w:r>
      <w:r>
        <w:rPr>
          <w:rFonts w:ascii="Times New Roman" w:hAnsi="Times New Roman"/>
          <w:noProof/>
          <w:sz w:val="24"/>
        </w:rPr>
        <w:t>на;</w:t>
      </w:r>
    </w:p>
    <w:p w:rsidR="008809F9" w:rsidRDefault="00A61D97">
      <w:pPr>
        <w:tabs>
          <w:tab w:val="left" w:pos="-12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устойчива вътрешна и външна достъпност;</w:t>
      </w:r>
    </w:p>
    <w:p w:rsidR="008809F9" w:rsidRDefault="00A61D97">
      <w:pPr>
        <w:tabs>
          <w:tab w:val="left" w:pos="-120"/>
        </w:tabs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3.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по-приобщаваща рамка за околната среда и възобновяеми и надеждни енергийни решения за бъдещето.</w:t>
      </w:r>
    </w:p>
    <w:p w:rsidR="008809F9" w:rsidRDefault="008809F9">
      <w:pPr>
        <w:tabs>
          <w:tab w:val="left" w:pos="-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tabs>
          <w:tab w:val="left" w:pos="-1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Той включва и междусекторна цел за създаването на:</w:t>
      </w:r>
    </w:p>
    <w:p w:rsidR="008809F9" w:rsidRDefault="008809F9">
      <w:pPr>
        <w:tabs>
          <w:tab w:val="left" w:pos="-1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tabs>
          <w:tab w:val="left" w:pos="-120"/>
        </w:tabs>
        <w:spacing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4.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стабилен макрорегионален модел на управление за </w:t>
      </w:r>
      <w:r>
        <w:rPr>
          <w:rFonts w:ascii="Times New Roman" w:hAnsi="Times New Roman"/>
          <w:noProof/>
          <w:sz w:val="24"/>
        </w:rPr>
        <w:t>региона с цел подобряване на сътрудничеството и координацията на действията.</w:t>
      </w:r>
    </w:p>
    <w:p w:rsidR="008809F9" w:rsidRDefault="008809F9">
      <w:pPr>
        <w:tabs>
          <w:tab w:val="left" w:pos="-120"/>
        </w:tabs>
        <w:spacing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tabs>
          <w:tab w:val="left" w:pos="-1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рамките на всяка цел са посочени определени действия. Те подкрепят целите на политиката на ЕС, включително тези с териториално измерение.</w:t>
      </w:r>
    </w:p>
    <w:p w:rsidR="008809F9" w:rsidRDefault="008809F9">
      <w:pPr>
        <w:tabs>
          <w:tab w:val="left" w:pos="-1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tabs>
          <w:tab w:val="left" w:pos="-1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Целите и действията за всяка област н</w:t>
      </w:r>
      <w:r>
        <w:rPr>
          <w:rFonts w:ascii="Times New Roman" w:hAnsi="Times New Roman"/>
          <w:noProof/>
          <w:sz w:val="24"/>
        </w:rPr>
        <w:t>а политиката са изложени по-долу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noProof/>
        </w:rPr>
        <w:t>.</w:t>
      </w:r>
    </w:p>
    <w:p w:rsidR="008809F9" w:rsidRDefault="00A61D97">
      <w:pPr>
        <w:pStyle w:val="ManualHeading2"/>
        <w:rPr>
          <w:rFonts w:eastAsia="Times New Roman"/>
          <w:bCs/>
          <w:smallCaps/>
          <w:noProof/>
          <w:szCs w:val="24"/>
        </w:rPr>
      </w:pPr>
      <w:bookmarkStart w:id="10" w:name="_Toc421025232"/>
      <w:r>
        <w:tab/>
      </w:r>
      <w:r>
        <w:rPr>
          <w:noProof/>
        </w:rPr>
        <w:t>3.1. Справедлив достъп до възможности за работа въз основа на високата конкурентоспособност</w:t>
      </w:r>
      <w:bookmarkEnd w:id="10"/>
      <w:r>
        <w:rPr>
          <w:noProof/>
        </w:rPr>
        <w:t xml:space="preserve"> на региона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Тази цел е свързана с подобряването на конкурентоспособността, просперитета и сближаването в рамките на Алпийския ре</w:t>
      </w:r>
      <w:r>
        <w:rPr>
          <w:rFonts w:ascii="Times New Roman" w:hAnsi="Times New Roman"/>
          <w:noProof/>
          <w:sz w:val="24"/>
        </w:rPr>
        <w:t xml:space="preserve">гион.  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Основните действия са: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9516" w:type="dxa"/>
        <w:tblInd w:w="-54" w:type="dxa"/>
        <w:tblLook w:val="0000" w:firstRow="0" w:lastRow="0" w:firstColumn="0" w:lastColumn="0" w:noHBand="0" w:noVBand="0"/>
      </w:tblPr>
      <w:tblGrid>
        <w:gridCol w:w="9516"/>
      </w:tblGrid>
      <w:tr w:rsidR="008809F9">
        <w:trPr>
          <w:trHeight w:val="425"/>
        </w:trPr>
        <w:tc>
          <w:tcPr>
            <w:tcW w:w="9516" w:type="dxa"/>
          </w:tcPr>
          <w:p w:rsidR="008809F9" w:rsidRDefault="00A61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noProof/>
                <w:sz w:val="24"/>
                <w:u w:val="single"/>
              </w:rPr>
              <w:t>1) Действие 1: Създаване на ефективна научноизследователска и иновационна екосистема</w:t>
            </w:r>
          </w:p>
          <w:p w:rsidR="008809F9" w:rsidRDefault="00A61D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Според сравнителния анализ на иновациите в Съюза някои от държавите и регионите в областта показват висока степен на иновации  и повечето </w:t>
            </w:r>
            <w:r>
              <w:rPr>
                <w:rFonts w:ascii="Times New Roman" w:hAnsi="Times New Roman"/>
                <w:noProof/>
                <w:sz w:val="24"/>
              </w:rPr>
              <w:t>от тях са разработили стратегии за интелигентна специализация. Това е добра отправна точка за разработване на система с акцент върху тематични въпроси от особено значение за региона (като например селско и горско стопанство, туризъм и др.) и за създаване н</w:t>
            </w:r>
            <w:r>
              <w:rPr>
                <w:rFonts w:ascii="Times New Roman" w:hAnsi="Times New Roman"/>
                <w:noProof/>
                <w:sz w:val="24"/>
              </w:rPr>
              <w:t>а връзки между допълващите се предимства на региона.</w:t>
            </w:r>
          </w:p>
          <w:p w:rsidR="008809F9" w:rsidRDefault="008809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809F9" w:rsidRDefault="00A61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noProof/>
                <w:sz w:val="24"/>
                <w:u w:val="single"/>
              </w:rPr>
              <w:t>2) Действие 2: Повишаване на икономическия потенциал на стратегическите сектори</w:t>
            </w:r>
          </w:p>
          <w:p w:rsidR="008809F9" w:rsidRDefault="00A61D97">
            <w:pPr>
              <w:spacing w:after="0" w:line="240" w:lineRule="auto"/>
              <w:ind w:right="121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МСП са важна част от икономиката и пазара на труда в Алпийския регион. Необходима е постоянна работа за адаптация към </w:t>
            </w:r>
            <w:r>
              <w:rPr>
                <w:rFonts w:ascii="Times New Roman" w:hAnsi="Times New Roman"/>
                <w:noProof/>
                <w:sz w:val="24"/>
              </w:rPr>
              <w:t>променящите се рамкови условия, поддържане на иновативността и запазване на конкурентно предимство чрез осигуряване на устойчиво развитие. Продуктите и услугите на селското и горското стопанство по цялата верига на стойността, както и създаването на нови в</w:t>
            </w:r>
            <w:r>
              <w:rPr>
                <w:rFonts w:ascii="Times New Roman" w:hAnsi="Times New Roman"/>
                <w:noProof/>
                <w:sz w:val="24"/>
              </w:rPr>
              <w:t>ериги на стойността в сферата на биоикономиката и продуктите на биологична основа, туризма, енергетиката, сектора на здравеопазването и сектора на високите технологии са специфични и от стратегическо значение за Алпийския регион. Това са секторите, в които</w:t>
            </w:r>
            <w:r>
              <w:rPr>
                <w:rFonts w:ascii="Times New Roman" w:hAnsi="Times New Roman"/>
                <w:noProof/>
                <w:sz w:val="24"/>
              </w:rPr>
              <w:t xml:space="preserve"> МСП биха могли да станат по-конкурентоспособни и устойчиви.</w:t>
            </w:r>
          </w:p>
          <w:p w:rsidR="008809F9" w:rsidRDefault="008809F9">
            <w:pPr>
              <w:spacing w:after="0" w:line="240" w:lineRule="auto"/>
              <w:ind w:right="121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809F9" w:rsidRDefault="00A61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noProof/>
                <w:sz w:val="24"/>
                <w:u w:val="single"/>
              </w:rPr>
              <w:t>3) Действие 3: Подобряване на адекватността на пазара на труда, образованието и обучението в стратегическите сектори</w:t>
            </w:r>
          </w:p>
          <w:p w:rsidR="008809F9" w:rsidRDefault="00A61D97">
            <w:pPr>
              <w:spacing w:after="120" w:line="24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 сравнение с останалата част на Европа много райони от Алпийския регион пред</w:t>
            </w:r>
            <w:r>
              <w:rPr>
                <w:rFonts w:ascii="Times New Roman" w:hAnsi="Times New Roman"/>
                <w:noProof/>
                <w:sz w:val="24"/>
              </w:rPr>
              <w:t>лагат благоприятни условия на пазара на труда, с високо ниво на заетост. Стратегията, обаче, би могла да помогне на големи части от региона да подобрят в намирането на квалифицирана работна ръка с подходяща компетентност, както и да се справят с „изтичанет</w:t>
            </w:r>
            <w:r>
              <w:rPr>
                <w:rFonts w:ascii="Times New Roman" w:hAnsi="Times New Roman"/>
                <w:noProof/>
                <w:sz w:val="24"/>
              </w:rPr>
              <w:t>о на мозъци“ в отдалечените райони, които страдат от обезлюдяване. Тя би могла да помогне и на младите хора да получат достъп до възможности за работа. Предпоставка за тези ползи е  поддържането на свободното движение на хора.</w:t>
            </w:r>
          </w:p>
        </w:tc>
      </w:tr>
    </w:tbl>
    <w:p w:rsidR="008809F9" w:rsidRDefault="00A61D97">
      <w:pPr>
        <w:pStyle w:val="ManualHeading2"/>
        <w:rPr>
          <w:rFonts w:eastAsia="Times New Roman"/>
          <w:noProof/>
          <w:szCs w:val="24"/>
        </w:rPr>
      </w:pPr>
      <w:bookmarkStart w:id="11" w:name="_Toc421025233"/>
      <w:bookmarkStart w:id="12" w:name="_Toc382330992"/>
      <w:bookmarkStart w:id="13" w:name="_Toc388010805"/>
      <w:r>
        <w:tab/>
      </w:r>
    </w:p>
    <w:p w:rsidR="000D7C62" w:rsidRPr="000D7C62" w:rsidRDefault="00A61D97">
      <w:pPr>
        <w:pStyle w:val="ManualHeading2"/>
      </w:pPr>
      <w:r>
        <w:tab/>
      </w:r>
    </w:p>
    <w:p w:rsidR="000D7C62" w:rsidRPr="000D7C62" w:rsidRDefault="000D7C62">
      <w:pPr>
        <w:pStyle w:val="ManualHeading2"/>
      </w:pPr>
    </w:p>
    <w:p w:rsidR="008809F9" w:rsidRDefault="000D7C62">
      <w:pPr>
        <w:pStyle w:val="ManualHeading2"/>
        <w:rPr>
          <w:rFonts w:eastAsia="Times New Roman"/>
          <w:bCs/>
          <w:smallCaps/>
          <w:noProof/>
          <w:szCs w:val="24"/>
        </w:rPr>
      </w:pPr>
      <w:r>
        <w:rPr>
          <w:lang w:val="fr-BE"/>
        </w:rPr>
        <w:tab/>
      </w:r>
      <w:r w:rsidR="00A61D97">
        <w:rPr>
          <w:smallCaps/>
          <w:noProof/>
        </w:rPr>
        <w:t xml:space="preserve">3.2. </w:t>
      </w:r>
      <w:r w:rsidR="00A61D97">
        <w:rPr>
          <w:noProof/>
        </w:rPr>
        <w:t>Устойчива вътрешна и</w:t>
      </w:r>
      <w:r w:rsidR="00A61D97">
        <w:rPr>
          <w:noProof/>
        </w:rPr>
        <w:t xml:space="preserve"> външна достъпност</w:t>
      </w:r>
      <w:bookmarkEnd w:id="11"/>
      <w:bookmarkEnd w:id="12"/>
      <w:bookmarkEnd w:id="13"/>
    </w:p>
    <w:p w:rsidR="008809F9" w:rsidRDefault="008809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Тази цел се стреми към подобряване на устойчивостта на транспортните връзки в региона и с останалата част от Европа. За развитието на региона са необходими взаимосвързани и устойчиви транспортни и широколентови мрежи. По-засиленото сътр</w:t>
      </w:r>
      <w:r>
        <w:rPr>
          <w:rFonts w:ascii="Times New Roman" w:hAnsi="Times New Roman"/>
          <w:noProof/>
          <w:sz w:val="24"/>
        </w:rPr>
        <w:t xml:space="preserve">удничество може да намали местата с недостатъчна пропускателна способност и да помогне за усъвършенстването на инфраструктурни мрежи и регулаторни рамки. Координираният мониторинг на трафика и мултимодалния транспорт може да увеличи конкурентоспособността </w:t>
      </w:r>
      <w:r>
        <w:rPr>
          <w:rFonts w:ascii="Times New Roman" w:hAnsi="Times New Roman"/>
          <w:noProof/>
          <w:sz w:val="24"/>
        </w:rPr>
        <w:t>и да подобри благосъстоянието на хората в региона.</w:t>
      </w:r>
    </w:p>
    <w:p w:rsidR="008809F9" w:rsidRDefault="008809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Основните действия са:</w:t>
      </w:r>
    </w:p>
    <w:p w:rsidR="008809F9" w:rsidRDefault="008809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/>
          <w:i/>
          <w:noProof/>
          <w:sz w:val="24"/>
          <w:u w:val="single"/>
        </w:rPr>
        <w:t>1) Действие 4: Насърчаване на интермодалността и оперативната съвместимост в транспорта на пътници и товари</w:t>
      </w:r>
    </w:p>
    <w:p w:rsidR="008809F9" w:rsidRDefault="00A61D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Основната цел за намаляване на въздействието на транспорта върху околнат</w:t>
      </w:r>
      <w:r>
        <w:rPr>
          <w:rFonts w:ascii="Times New Roman" w:hAnsi="Times New Roman"/>
          <w:noProof/>
          <w:sz w:val="24"/>
        </w:rPr>
        <w:t>а среда в Алпите трябва да бъде съчетана с добра свързаност на местно равнище, за да се гарантира балансирано икономическо и демографско развитие на целия регион. Освен да се улесни постигането на целите на трансевропейската транспортна мрежа и тези на под</w:t>
      </w:r>
      <w:r>
        <w:rPr>
          <w:rFonts w:ascii="Times New Roman" w:hAnsi="Times New Roman"/>
          <w:noProof/>
          <w:sz w:val="24"/>
        </w:rPr>
        <w:t>обни проекти за преминаване от пътен към железопътен транспорт, е от решаващо значение да се предприемат допълнителни мерки, които да гарантират, че връзките в трансевропейската транспортна мрежа (включително трансгранични) са от полза и за региона.</w:t>
      </w:r>
    </w:p>
    <w:p w:rsidR="008809F9" w:rsidRDefault="008809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</w:rPr>
      </w:pPr>
      <w:r>
        <w:rPr>
          <w:rFonts w:ascii="Times New Roman" w:hAnsi="Times New Roman"/>
          <w:i/>
          <w:noProof/>
          <w:sz w:val="24"/>
          <w:u w:val="single"/>
        </w:rPr>
        <w:t xml:space="preserve">2) </w:t>
      </w:r>
      <w:r>
        <w:rPr>
          <w:rFonts w:ascii="Times New Roman" w:hAnsi="Times New Roman"/>
          <w:i/>
          <w:noProof/>
          <w:sz w:val="24"/>
          <w:u w:val="single"/>
        </w:rPr>
        <w:t>Действие 5: Свързване на хората по електронен път и насърчаване на достъпа до обществени услуги</w:t>
      </w:r>
    </w:p>
    <w:p w:rsidR="008809F9" w:rsidRDefault="00A61D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Алпийският регион се характеризира с наличието на слабо населени общности в отдалечени райони, където липсата на инвестиции в наземните широколентови връзки има</w:t>
      </w:r>
      <w:r>
        <w:rPr>
          <w:rFonts w:ascii="Times New Roman" w:hAnsi="Times New Roman"/>
          <w:noProof/>
          <w:sz w:val="24"/>
        </w:rPr>
        <w:t xml:space="preserve"> изключително неблагоприятно въздействие върху предлаганите услуги и е довела до по-нататъшното обезлюдяване на тези райони. Технологиите предлагат решения, като например сателитна широколентова връзка. За да бъдат ефективни, обаче, тези решения трябва да </w:t>
      </w:r>
      <w:r>
        <w:rPr>
          <w:rFonts w:ascii="Times New Roman" w:hAnsi="Times New Roman"/>
          <w:noProof/>
          <w:sz w:val="24"/>
        </w:rPr>
        <w:t>бъдат внедрени в достатъчно голям мащаб.</w:t>
      </w:r>
    </w:p>
    <w:p w:rsidR="008809F9" w:rsidRDefault="00A61D97">
      <w:pPr>
        <w:pStyle w:val="ManualHeading2"/>
        <w:rPr>
          <w:rFonts w:eastAsia="Times New Roman"/>
          <w:noProof/>
          <w:szCs w:val="24"/>
        </w:rPr>
      </w:pPr>
      <w:bookmarkStart w:id="14" w:name="_Toc421025234"/>
      <w:r>
        <w:tab/>
      </w:r>
      <w:r>
        <w:rPr>
          <w:noProof/>
        </w:rPr>
        <w:t>3.3. По-приобщаваща рамка за околната среда и възобновяеми и надеждни енергийни решения за бъдещето</w:t>
      </w:r>
      <w:bookmarkEnd w:id="14"/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Като цяло тази цел би трябвало да доведе до: </w:t>
      </w:r>
    </w:p>
    <w:p w:rsidR="008809F9" w:rsidRDefault="00A61D9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запазване на екологичното наследство на Алпите;</w:t>
      </w:r>
    </w:p>
    <w:p w:rsidR="008809F9" w:rsidRDefault="00A61D9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подпомагане на реги</w:t>
      </w:r>
      <w:r>
        <w:rPr>
          <w:rFonts w:ascii="Times New Roman" w:hAnsi="Times New Roman"/>
          <w:noProof/>
          <w:sz w:val="24"/>
        </w:rPr>
        <w:t>она да се възползва от своите ресурси по различни начини, включително чрез производството на енергия; както и</w:t>
      </w:r>
    </w:p>
    <w:p w:rsidR="008809F9" w:rsidRDefault="00A61D9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адаптиране към очакваните промени, дължащи се на изменението на климата, включително предотвратяване на сериозни рискове от природни бедствия.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D7C62" w:rsidRDefault="000D7C62">
      <w:pPr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br w:type="page"/>
      </w: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</w:t>
      </w:r>
      <w:r>
        <w:rPr>
          <w:rFonts w:ascii="Times New Roman" w:hAnsi="Times New Roman"/>
          <w:noProof/>
          <w:sz w:val="24"/>
        </w:rPr>
        <w:t>новните действия са: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9176" w:type="dxa"/>
        <w:tblInd w:w="-39" w:type="dxa"/>
        <w:tblLook w:val="04A0" w:firstRow="1" w:lastRow="0" w:firstColumn="1" w:lastColumn="0" w:noHBand="0" w:noVBand="1"/>
      </w:tblPr>
      <w:tblGrid>
        <w:gridCol w:w="9176"/>
      </w:tblGrid>
      <w:tr w:rsidR="008809F9">
        <w:trPr>
          <w:trHeight w:val="397"/>
        </w:trPr>
        <w:tc>
          <w:tcPr>
            <w:tcW w:w="8941" w:type="dxa"/>
          </w:tcPr>
          <w:p w:rsidR="008809F9" w:rsidRDefault="00A61D97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noProof/>
                <w:sz w:val="24"/>
                <w:u w:val="single"/>
              </w:rPr>
              <w:t>1) Действие 6: Опазване и остойностяване на природните ресурси, включително на водата, както и на културните ресурси</w:t>
            </w:r>
          </w:p>
          <w:p w:rsidR="008809F9" w:rsidRDefault="00A61D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Околната среда на Алпийския регион е изключително уязвима към последиците от изменението на климата. Ресурсите трябва</w:t>
            </w:r>
            <w:r>
              <w:rPr>
                <w:rFonts w:ascii="Times New Roman" w:hAnsi="Times New Roman"/>
                <w:noProof/>
                <w:sz w:val="24"/>
              </w:rPr>
              <w:t xml:space="preserve"> да се използват пропорционално. Това действие има две основни цели:</w:t>
            </w:r>
          </w:p>
          <w:p w:rsidR="008809F9" w:rsidRDefault="00A61D9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да засили ролята на алпийските природни и културни ресурси като предимства за район с високо качество на живота; както и</w:t>
            </w:r>
          </w:p>
          <w:p w:rsidR="008809F9" w:rsidRDefault="00A61D9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да гарантира по-ефикасното използване на съществуващите природни и</w:t>
            </w:r>
            <w:r>
              <w:rPr>
                <w:rFonts w:ascii="Times New Roman" w:hAnsi="Times New Roman"/>
                <w:noProof/>
                <w:sz w:val="24"/>
              </w:rPr>
              <w:t xml:space="preserve"> културни ресурси.</w:t>
            </w:r>
          </w:p>
          <w:p w:rsidR="008809F9" w:rsidRDefault="008809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809F9" w:rsidRDefault="00A61D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noProof/>
                <w:sz w:val="24"/>
                <w:u w:val="single"/>
              </w:rPr>
              <w:t>2) Действие 7: Създаване на свързаност между екосистемите на цялата територия в рамките на EUSALP</w:t>
            </w:r>
          </w:p>
          <w:p w:rsidR="008809F9" w:rsidRDefault="00A61D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Целостта и функционирането на екосистемите, включително опазването на биологичното разнообразие и предоставянето на екосистемни услуги, до</w:t>
            </w:r>
            <w:r>
              <w:rPr>
                <w:rFonts w:ascii="Times New Roman" w:hAnsi="Times New Roman"/>
                <w:noProof/>
                <w:sz w:val="24"/>
              </w:rPr>
              <w:t xml:space="preserve"> голяма степен зависят от съществуването на ефективна свързаност между екосистемите. Понастоящем почти не се насърчават екологичните коридори и екологосъобразната инфраструктура, включително в незащитените зони.</w:t>
            </w:r>
          </w:p>
          <w:p w:rsidR="008809F9" w:rsidRDefault="008809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809F9" w:rsidRDefault="00A61D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noProof/>
                <w:sz w:val="24"/>
                <w:u w:val="single"/>
              </w:rPr>
              <w:t xml:space="preserve">3) Действие 8: Подобряване на управлението </w:t>
            </w:r>
            <w:r>
              <w:rPr>
                <w:rFonts w:ascii="Times New Roman" w:hAnsi="Times New Roman"/>
                <w:i/>
                <w:noProof/>
                <w:sz w:val="24"/>
                <w:u w:val="single"/>
              </w:rPr>
              <w:t>на риска и на мерките за справяне с изменението на климата, включително предотвратяване на сериозните рискове от природни бедствия</w:t>
            </w:r>
          </w:p>
          <w:p w:rsidR="008809F9" w:rsidRDefault="00A61D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 геоморфологични причини Алпийският регион е много уязвим по отношение на екологичните бедствия и изменението на климата. Щ</w:t>
            </w:r>
            <w:r>
              <w:rPr>
                <w:rFonts w:ascii="Times New Roman" w:hAnsi="Times New Roman"/>
                <w:noProof/>
                <w:sz w:val="24"/>
              </w:rPr>
              <w:t>о се отнася до екологичните бедствия, това действие ще се съсредоточи върху извършването на подходяща и всеобхватна оценка на риска и прилагането на политика за управление на риска от бедствия на регионално равнище. Във връзка с изменението на климата вним</w:t>
            </w:r>
            <w:r>
              <w:rPr>
                <w:rFonts w:ascii="Times New Roman" w:hAnsi="Times New Roman"/>
                <w:noProof/>
                <w:sz w:val="24"/>
              </w:rPr>
              <w:t>анието ще бъде насочено по-специално към извършване на всеобхватна оценка на уязвимостта на секторите и системите, които има вероятност да бъдат засегнати от изменението на климата, и разработване на регионална стратегия за адаптиране към изменението на кл</w:t>
            </w:r>
            <w:r>
              <w:rPr>
                <w:rFonts w:ascii="Times New Roman" w:hAnsi="Times New Roman"/>
                <w:noProof/>
                <w:sz w:val="24"/>
              </w:rPr>
              <w:t>имата.</w:t>
            </w:r>
          </w:p>
          <w:p w:rsidR="008809F9" w:rsidRDefault="008809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8809F9" w:rsidRDefault="00A61D97">
            <w:pPr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noProof/>
                <w:sz w:val="24"/>
                <w:u w:val="single"/>
              </w:rPr>
              <w:t>4) Действие 9: Превръщане на територията на региона в модел за енергийна ефективност и енергия от възобновяеми източници</w:t>
            </w:r>
          </w:p>
          <w:p w:rsidR="008809F9" w:rsidRDefault="00A61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Работата по това действие се съсредоточава върху насърчаването на енергийната ефективност и производството и използването на ен</w:t>
            </w:r>
            <w:r>
              <w:rPr>
                <w:rFonts w:ascii="Times New Roman" w:hAnsi="Times New Roman"/>
                <w:noProof/>
                <w:sz w:val="24"/>
              </w:rPr>
              <w:t>ергия от възобновяеми източници в Алпийския регион, в съответствие с рамката на ЕС в областта на енергийната ефективност и Пакета за енергиен съюз. Енергийната политика в региона се занимава основно с енергийната ефективност в публичния и частния сектор. Б</w:t>
            </w:r>
            <w:r>
              <w:rPr>
                <w:rFonts w:ascii="Times New Roman" w:hAnsi="Times New Roman"/>
                <w:noProof/>
                <w:sz w:val="24"/>
              </w:rPr>
              <w:t xml:space="preserve">и могло да се постигне значително намаляване на енергопотреблението, по-специално в жилищния сектор. В Алпийския регион има съществен потенциал за производство на възобновяема енергия, който трябва да се развива по балансиран начин, като се вземат предвид </w:t>
            </w:r>
            <w:r>
              <w:rPr>
                <w:rFonts w:ascii="Times New Roman" w:hAnsi="Times New Roman"/>
                <w:noProof/>
                <w:sz w:val="24"/>
              </w:rPr>
              <w:t>екологичните и икономическите проблеми и проблемите, свързани със земеползването, както и да се отчетат  компромисните решения за обществото.</w:t>
            </w:r>
            <w:bookmarkStart w:id="15" w:name="_GoBack"/>
            <w:bookmarkEnd w:id="15"/>
          </w:p>
        </w:tc>
      </w:tr>
    </w:tbl>
    <w:p w:rsidR="008809F9" w:rsidRDefault="00A61D97">
      <w:pPr>
        <w:pStyle w:val="ManualHeading2"/>
        <w:rPr>
          <w:rFonts w:eastAsia="Times New Roman"/>
          <w:bCs/>
          <w:smallCaps/>
          <w:noProof/>
          <w:szCs w:val="24"/>
        </w:rPr>
      </w:pPr>
      <w:bookmarkStart w:id="16" w:name="_Toc421025235"/>
      <w:bookmarkStart w:id="17" w:name="_Toc388010808"/>
      <w:bookmarkStart w:id="18" w:name="_Toc382330995"/>
      <w:r>
        <w:tab/>
      </w:r>
      <w:r>
        <w:rPr>
          <w:smallCaps/>
          <w:noProof/>
        </w:rPr>
        <w:t xml:space="preserve">3.4. </w:t>
      </w:r>
      <w:r>
        <w:rPr>
          <w:noProof/>
        </w:rPr>
        <w:t>Стабилен макрорегионален модел на управление за региона (с цел подобряване на сътрудничеството и координаци</w:t>
      </w:r>
      <w:r>
        <w:rPr>
          <w:noProof/>
        </w:rPr>
        <w:t>ята на действията)</w:t>
      </w:r>
      <w:bookmarkEnd w:id="16"/>
      <w:r>
        <w:rPr>
          <w:noProof/>
        </w:rPr>
        <w:t xml:space="preserve">  </w:t>
      </w:r>
      <w:bookmarkEnd w:id="17"/>
    </w:p>
    <w:p w:rsidR="008809F9" w:rsidRDefault="00A61D9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Прилагането на стратегията налага следното: </w:t>
      </w:r>
    </w:p>
    <w:p w:rsidR="008809F9" w:rsidRDefault="00A61D97">
      <w:pPr>
        <w:pStyle w:val="ListParagraph"/>
        <w:numPr>
          <w:ilvl w:val="0"/>
          <w:numId w:val="2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създаване на ефикасен модел на управление, включващ участниците в прилагането и укрепващ сътрудничеството и координацията между съответните други институции и заинтересовани страни</w:t>
      </w:r>
      <w:r>
        <w:rPr>
          <w:rStyle w:val="FootnoteReference"/>
          <w:noProof/>
          <w:sz w:val="24"/>
        </w:rPr>
        <w:footnoteReference w:id="4"/>
      </w:r>
      <w:r>
        <w:rPr>
          <w:rFonts w:ascii="Times New Roman" w:hAnsi="Times New Roman"/>
          <w:noProof/>
          <w:sz w:val="24"/>
        </w:rPr>
        <w:t xml:space="preserve"> в региона; както и </w:t>
      </w:r>
    </w:p>
    <w:p w:rsidR="008809F9" w:rsidRDefault="00A61D97">
      <w:pPr>
        <w:pStyle w:val="ListParagraph"/>
        <w:numPr>
          <w:ilvl w:val="0"/>
          <w:numId w:val="2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промяна на процеса на вземане на решения, като се избягва фрагментираното управление, увеличава се споделянето на знания и координацията както между различни равнища на управление, така и между местните правителствени организации на съ</w:t>
      </w:r>
      <w:r>
        <w:rPr>
          <w:rFonts w:ascii="Times New Roman" w:hAnsi="Times New Roman"/>
          <w:noProof/>
          <w:sz w:val="24"/>
        </w:rPr>
        <w:t>щото равнище.</w:t>
      </w:r>
    </w:p>
    <w:p w:rsidR="008809F9" w:rsidRDefault="008809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Досегашният опит с макрорегионалните стратегии показва, че рационализираните механизми за управление са решаващи за ефективното прилагане. Опитът показва също така, че ефективните системи за трансгранично управление са сложни и че процесът н</w:t>
      </w:r>
      <w:r>
        <w:rPr>
          <w:rFonts w:ascii="Times New Roman" w:hAnsi="Times New Roman"/>
          <w:noProof/>
          <w:sz w:val="24"/>
        </w:rPr>
        <w:t>а създаването им е задължително поетапен. В доклада на Комисията за управлението от май 2014 г.</w:t>
      </w:r>
      <w:r>
        <w:rPr>
          <w:rStyle w:val="FootnoteReference"/>
          <w:noProof/>
        </w:rPr>
        <w:footnoteReference w:id="5"/>
      </w:r>
      <w:r>
        <w:rPr>
          <w:rFonts w:ascii="Times New Roman" w:hAnsi="Times New Roman"/>
          <w:noProof/>
          <w:sz w:val="24"/>
        </w:rPr>
        <w:t xml:space="preserve"> се установяват три основни изисквания: силно политическо лидерство, ефективен процес на вземане на решения и добра организация.</w:t>
      </w:r>
    </w:p>
    <w:p w:rsidR="008809F9" w:rsidRDefault="008809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Доброто управление изисква същ</w:t>
      </w:r>
      <w:r>
        <w:rPr>
          <w:rFonts w:ascii="Times New Roman" w:hAnsi="Times New Roman"/>
          <w:noProof/>
          <w:sz w:val="24"/>
        </w:rPr>
        <w:t>о така ролите да са ясно определени на ранен етап: как и от кого ще се прилага стратегията, и как и от кого  ще бъдат предприети и финансирани съвместните действия. Управлението трябва да има както политическо, така и оперативно измерение, като ресорните м</w:t>
      </w:r>
      <w:r>
        <w:rPr>
          <w:rFonts w:ascii="Times New Roman" w:hAnsi="Times New Roman"/>
          <w:noProof/>
          <w:sz w:val="24"/>
        </w:rPr>
        <w:t>инистерства и изпълнителните органи определят и изпълняват стратегическите съвместни цели. Стратегията няма за цел да замени съществуващите структури, а да осигури по-добра координация и по-тясно сътрудничество за по-добри резултати.</w:t>
      </w:r>
    </w:p>
    <w:p w:rsidR="008809F9" w:rsidRDefault="008809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Основата на системата</w:t>
      </w:r>
      <w:r>
        <w:rPr>
          <w:rFonts w:ascii="Times New Roman" w:hAnsi="Times New Roman"/>
          <w:noProof/>
          <w:sz w:val="24"/>
        </w:rPr>
        <w:t xml:space="preserve"> за управление на стратегията е определена в Декларацията от Милано на алпийските държави и региони в съответствие с Политическата резолюция от Гренобъл, с доклада на Комисията за управлението на макрорегионалните стратегии</w:t>
      </w:r>
      <w:r>
        <w:rPr>
          <w:rStyle w:val="FootnoteReference"/>
          <w:noProof/>
          <w:sz w:val="24"/>
        </w:rPr>
        <w:footnoteReference w:id="6"/>
      </w:r>
      <w:r>
        <w:rPr>
          <w:rFonts w:ascii="Times New Roman" w:hAnsi="Times New Roman"/>
          <w:noProof/>
          <w:sz w:val="24"/>
        </w:rPr>
        <w:t>, както и със заключенията на Съ</w:t>
      </w:r>
      <w:r>
        <w:rPr>
          <w:rFonts w:ascii="Times New Roman" w:hAnsi="Times New Roman"/>
          <w:noProof/>
          <w:sz w:val="24"/>
        </w:rPr>
        <w:t>вета от 21 октомври 2014 г. Тя се състои от три взаимосвързани равнища: 1) политическо ръководство и ангажираност; 2) координация; и 3) изпълнение. Различните участници на всяко равнище от участващите държави и региони са представлявани в Общо събрание, Из</w:t>
      </w:r>
      <w:r>
        <w:rPr>
          <w:rFonts w:ascii="Times New Roman" w:hAnsi="Times New Roman"/>
          <w:noProof/>
          <w:sz w:val="24"/>
        </w:rPr>
        <w:t>пълнителен съвет и в изпълнителните органи.</w:t>
      </w:r>
    </w:p>
    <w:p w:rsidR="008809F9" w:rsidRDefault="008809F9">
      <w:p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Комисията ще действа като независим посредник и ще участва активно в цялостната координация на стратегията, но успехът на стратегията ще зависи от стабилния и траен ангажимент от страна на основните заинтересова</w:t>
      </w:r>
      <w:r>
        <w:rPr>
          <w:rFonts w:ascii="Times New Roman" w:hAnsi="Times New Roman"/>
          <w:noProof/>
          <w:sz w:val="24"/>
        </w:rPr>
        <w:t>ни лица и партньори. Планът за действие към тази стратегия предоставя повече подробности за основните ръководни принципи на правилата за управление на стратегията.</w:t>
      </w:r>
      <w:bookmarkEnd w:id="18"/>
    </w:p>
    <w:p w:rsidR="008809F9" w:rsidRDefault="008809F9">
      <w:pPr>
        <w:spacing w:before="240" w:after="12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809F9" w:rsidRDefault="00A61D97">
      <w:pPr>
        <w:keepNext/>
        <w:spacing w:after="24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</w:rPr>
      </w:pPr>
      <w:bookmarkStart w:id="19" w:name="_Toc421025236"/>
      <w:r>
        <w:rPr>
          <w:rFonts w:ascii="Times New Roman" w:hAnsi="Times New Roman"/>
          <w:b/>
          <w:smallCaps/>
          <w:noProof/>
          <w:sz w:val="24"/>
        </w:rPr>
        <w:t>4. ФИНАНСИРАНЕ</w:t>
      </w:r>
      <w:bookmarkEnd w:id="19"/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Тъй като стратегията не разполага със собствено финансиране, тя ще се </w:t>
      </w:r>
      <w:r>
        <w:rPr>
          <w:rFonts w:ascii="Times New Roman" w:hAnsi="Times New Roman"/>
          <w:noProof/>
          <w:sz w:val="24"/>
        </w:rPr>
        <w:t xml:space="preserve">прилага основно чрез мобилизиране и съгласуване на съществуващото европейско и национално финансиране, което има отношение към целите и действията. Държавите и регионите, обхванати от тази стратегия, следва да се ангажират да оползотворят това финансиране </w:t>
      </w:r>
      <w:r>
        <w:rPr>
          <w:rFonts w:ascii="Times New Roman" w:hAnsi="Times New Roman"/>
          <w:noProof/>
          <w:sz w:val="24"/>
        </w:rPr>
        <w:t>за изпълнението на плана за действие. По-специално, по съответните специфични за всяка държава, трансгранични и транснационални програми на Европейските структурни и инвестиционни фондове (ЕСИФ) за периода 2014—2020 г. могат да се осигурят значителни ресур</w:t>
      </w:r>
      <w:r>
        <w:rPr>
          <w:rFonts w:ascii="Times New Roman" w:hAnsi="Times New Roman"/>
          <w:noProof/>
          <w:sz w:val="24"/>
        </w:rPr>
        <w:t>си и широк набор от инструменти и технически възможности в подкрепа на стратегията. Транснационалната програма „Алпийско пространство“ ще предостави финансова подкрепа за разработването на правила за управление на стратегията.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Ако се прилага подход в рамк</w:t>
      </w:r>
      <w:r>
        <w:rPr>
          <w:rFonts w:ascii="Times New Roman" w:hAnsi="Times New Roman"/>
          <w:noProof/>
          <w:sz w:val="24"/>
        </w:rPr>
        <w:t xml:space="preserve">ите на политиката на сближаване, основан на териториалния принцип по държави и региони, съществува риск в граничните райони да се наблюдава: </w:t>
      </w:r>
    </w:p>
    <w:p w:rsidR="008809F9" w:rsidRDefault="00A61D97">
      <w:pPr>
        <w:pStyle w:val="ListParagraph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разпокъсаност на усилията (напр. части от инфраструктурата са изградени, но не носят максимални ползи, тъй като ли</w:t>
      </w:r>
      <w:r>
        <w:rPr>
          <w:rFonts w:ascii="Times New Roman" w:hAnsi="Times New Roman"/>
          <w:noProof/>
          <w:sz w:val="24"/>
        </w:rPr>
        <w:t xml:space="preserve">псват други части от тях); </w:t>
      </w:r>
    </w:p>
    <w:p w:rsidR="008809F9" w:rsidRDefault="00A61D97">
      <w:pPr>
        <w:pStyle w:val="ListParagraph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пренасищане с инвестиции (напр. летища); </w:t>
      </w:r>
    </w:p>
    <w:p w:rsidR="008809F9" w:rsidRDefault="00A61D97">
      <w:pPr>
        <w:pStyle w:val="ListParagraph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недостатъчна степен на взаимодействие между сходни дейности; както и </w:t>
      </w:r>
    </w:p>
    <w:p w:rsidR="008809F9" w:rsidRDefault="00A61D97">
      <w:pPr>
        <w:pStyle w:val="ListParagraph"/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липса на внимание по отношение на трансграничните проблеми (напр. замърсяването на въздуха). </w:t>
      </w:r>
    </w:p>
    <w:p w:rsidR="008809F9" w:rsidRDefault="00A61D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Следователно </w:t>
      </w:r>
      <w:r>
        <w:rPr>
          <w:rFonts w:ascii="Times New Roman" w:hAnsi="Times New Roman"/>
          <w:noProof/>
          <w:sz w:val="24"/>
        </w:rPr>
        <w:t>стратегията следва да се съсредоточи върху действия за определяне на приоритетите на наднационално равнище при избора на инвестиционни проекти, които биха могли да се възползват от съвместното програмно планиране и трансграничната координация в региона.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</w:t>
      </w:r>
      <w:r>
        <w:rPr>
          <w:rFonts w:ascii="Times New Roman" w:hAnsi="Times New Roman"/>
          <w:noProof/>
          <w:sz w:val="24"/>
        </w:rPr>
        <w:t xml:space="preserve">ъществуват и други фондове и инструменти на ЕС, имащи отношение към целите на стратегията, като може да се осъществи взаимодействие и допълване с финансиране от ЕСИФ, по-специално по линия на: </w:t>
      </w:r>
    </w:p>
    <w:p w:rsidR="008809F9" w:rsidRDefault="00A61D9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програма „Хоризонт 2020“ (за всички цели); </w:t>
      </w:r>
    </w:p>
    <w:p w:rsidR="008809F9" w:rsidRDefault="00A61D9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програма COSME (за</w:t>
      </w:r>
      <w:r>
        <w:rPr>
          <w:rFonts w:ascii="Times New Roman" w:hAnsi="Times New Roman"/>
          <w:noProof/>
          <w:sz w:val="24"/>
        </w:rPr>
        <w:t xml:space="preserve"> цел 1); </w:t>
      </w:r>
    </w:p>
    <w:p w:rsidR="008809F9" w:rsidRDefault="00A61D9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Механизъм за свързване на Европа (за цел 2) и </w:t>
      </w:r>
    </w:p>
    <w:p w:rsidR="008809F9" w:rsidRDefault="00A61D9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програма LIFE (за цел 3). </w:t>
      </w:r>
    </w:p>
    <w:p w:rsidR="008809F9" w:rsidRDefault="008809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На разположение е и друго финансиране, по-специално от Европейския фонд за стратегически инвестиции, от Европейската инвестиционна банка и други международни финансови инс</w:t>
      </w:r>
      <w:r>
        <w:rPr>
          <w:rFonts w:ascii="Times New Roman" w:hAnsi="Times New Roman"/>
          <w:noProof/>
          <w:sz w:val="24"/>
        </w:rPr>
        <w:t>титуции. В допълнение, националните и регионалните бюджетни ресурси също ще бъдат мобилизирани, по-специално в страни извън ЕС, обхванати от стратегията, тъй като те не получават финансиране от ЕС.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Тези фондове и инструменти следва да създават значителен </w:t>
      </w:r>
      <w:r>
        <w:rPr>
          <w:rFonts w:ascii="Times New Roman" w:hAnsi="Times New Roman"/>
          <w:noProof/>
          <w:sz w:val="24"/>
        </w:rPr>
        <w:t>ефект на лоста и да привличат финансиране от частни инвеститори. Стратегията също така трябва да се ползва от работата, извършена във връзка с другите макрорегионални стратегии за иновативно финансиране.</w:t>
      </w:r>
    </w:p>
    <w:p w:rsidR="008809F9" w:rsidRDefault="008809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809F9" w:rsidRDefault="00A61D97">
      <w:pPr>
        <w:keepNext/>
        <w:spacing w:after="24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</w:rPr>
      </w:pPr>
      <w:bookmarkStart w:id="20" w:name="_Toc421025237"/>
      <w:r>
        <w:rPr>
          <w:rFonts w:ascii="Times New Roman" w:hAnsi="Times New Roman"/>
          <w:b/>
          <w:smallCaps/>
          <w:noProof/>
          <w:sz w:val="24"/>
        </w:rPr>
        <w:t>5. ДОКЛАДВАНЕ И ОЦЕНКА</w:t>
      </w:r>
      <w:bookmarkEnd w:id="20"/>
    </w:p>
    <w:p w:rsidR="008809F9" w:rsidRDefault="008809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Тъй като стратегиите нямат </w:t>
      </w:r>
      <w:r>
        <w:rPr>
          <w:rFonts w:ascii="Times New Roman" w:hAnsi="Times New Roman"/>
          <w:noProof/>
          <w:sz w:val="24"/>
        </w:rPr>
        <w:t>собствено финансиране, те могат единствено да оказват влияние върху политиките и начина, по който те се прилагат на практика. За да се установи ефекта на промените, произтичащи от прилагането на тази стратегия, могат да бъдат използвани два вида показатели</w:t>
      </w:r>
      <w:r>
        <w:rPr>
          <w:rFonts w:ascii="Times New Roman" w:hAnsi="Times New Roman"/>
          <w:noProof/>
          <w:sz w:val="24"/>
        </w:rPr>
        <w:t>:</w:t>
      </w:r>
    </w:p>
    <w:p w:rsidR="008809F9" w:rsidRDefault="00A61D97">
      <w:pPr>
        <w:spacing w:before="120" w:after="12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•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показатели за резултатите</w:t>
      </w:r>
      <w:r>
        <w:rPr>
          <w:rFonts w:ascii="Times New Roman" w:hAnsi="Times New Roman"/>
          <w:noProof/>
          <w:sz w:val="24"/>
        </w:rPr>
        <w:t>, с които се измерва сътрудничеството и по-специално промените в начина, по който партньорите работят заедно, например по-добре координирани европейски и национални политики/инструменти в целия регион;</w:t>
      </w:r>
    </w:p>
    <w:p w:rsidR="008809F9" w:rsidRDefault="00A61D97">
      <w:pPr>
        <w:spacing w:before="120" w:after="12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•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 xml:space="preserve">показатели за </w:t>
      </w:r>
      <w:r>
        <w:rPr>
          <w:rFonts w:ascii="Times New Roman" w:hAnsi="Times New Roman"/>
          <w:b/>
          <w:noProof/>
          <w:sz w:val="24"/>
        </w:rPr>
        <w:t>политиката</w:t>
      </w:r>
      <w:r>
        <w:rPr>
          <w:rFonts w:ascii="Times New Roman" w:hAnsi="Times New Roman"/>
          <w:noProof/>
          <w:sz w:val="24"/>
        </w:rPr>
        <w:t xml:space="preserve"> за отразяване на аспектите на политиката и по-специално промените в управлението, социално-икономическото положение и състоянието на околната среда в Алпийския регион (където се наблюдава по-голямо сътрудничество).</w:t>
      </w:r>
    </w:p>
    <w:p w:rsidR="008809F9" w:rsidRDefault="008809F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Ще бъде необходима стабилна с</w:t>
      </w:r>
      <w:r>
        <w:rPr>
          <w:rFonts w:ascii="Times New Roman" w:hAnsi="Times New Roman"/>
          <w:noProof/>
          <w:sz w:val="24"/>
        </w:rPr>
        <w:t>истема за мониторинг и оценка, за да се проверява дали изпълнението на стратегията върви по план, и да се оценява степента, до която стратегията постига своите цели. Това ще бъде една от първите задачи за партньорите по стратегията, когато е необходимо — с</w:t>
      </w:r>
      <w:r>
        <w:rPr>
          <w:rFonts w:ascii="Times New Roman" w:hAnsi="Times New Roman"/>
          <w:noProof/>
          <w:sz w:val="24"/>
        </w:rPr>
        <w:t xml:space="preserve"> подкрепата на Европейската комисия, външни експерти и програмата „Алпийско пространство“. Системата ще се основава на набор от регионални показатели, които ще бъдат събрани, валидирани и предоставени от Евростат.</w:t>
      </w:r>
    </w:p>
    <w:p w:rsidR="008809F9" w:rsidRDefault="00A61D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Оценката ще се основава на работата на коо</w:t>
      </w:r>
      <w:r>
        <w:rPr>
          <w:rFonts w:ascii="Times New Roman" w:hAnsi="Times New Roman"/>
          <w:noProof/>
          <w:sz w:val="24"/>
        </w:rPr>
        <w:t>рдинаторите на целите и ръководителите на групите по действията, които ще трябва да докладват относно напредъка по постигането на договорените цели.</w:t>
      </w:r>
    </w:p>
    <w:p w:rsidR="008809F9" w:rsidRDefault="00A61D9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Въпреки че основният показател за успех е изпълнението на плана за действие, трябва незабавно да бъдат разр</w:t>
      </w:r>
      <w:r>
        <w:rPr>
          <w:rFonts w:ascii="Times New Roman" w:hAnsi="Times New Roman"/>
          <w:noProof/>
          <w:sz w:val="24"/>
        </w:rPr>
        <w:t>аботени и по-точни показатели.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sz w:val="24"/>
        </w:rPr>
        <w:t>Те следва да бъдат в състояние да уловят промените, които стратегията се очаква да донесе.</w:t>
      </w:r>
    </w:p>
    <w:p w:rsidR="008809F9" w:rsidRDefault="00A61D97">
      <w:pPr>
        <w:tabs>
          <w:tab w:val="left" w:pos="709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Държавите и регионите в обхвата на тази стратегия ще организират годишен форум за оценка на резултатите, на който ще се консултират по</w:t>
      </w:r>
      <w:r>
        <w:rPr>
          <w:rFonts w:ascii="Times New Roman" w:hAnsi="Times New Roman"/>
          <w:noProof/>
          <w:sz w:val="24"/>
        </w:rPr>
        <w:t xml:space="preserve"> преразгледаните действия и, ако е необходимо, ще разработват нови подходи.</w:t>
      </w:r>
    </w:p>
    <w:p w:rsidR="008809F9" w:rsidRDefault="00A61D97">
      <w:pPr>
        <w:pStyle w:val="Heading1"/>
        <w:spacing w:line="240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bookmarkStart w:id="21" w:name="_Toc421025238"/>
      <w:r>
        <w:rPr>
          <w:rFonts w:ascii="Times New Roman" w:hAnsi="Times New Roman"/>
          <w:noProof/>
          <w:color w:val="auto"/>
          <w:sz w:val="24"/>
        </w:rPr>
        <w:t>6. ВРЪЗКИ С ПОЛИТИКИТЕ НА ЕС</w:t>
      </w:r>
      <w:bookmarkEnd w:id="21"/>
    </w:p>
    <w:p w:rsidR="008809F9" w:rsidRDefault="008809F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Без да налага изменения в законодателството на ЕС, настоящата стратегия цели да укрепи политиките на ЕС, свързани с региона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В нея се подкрепя по-строгото спазване на задълженията, произтичащи от законодателството на ЕС, като се обръща внимание на пропуските и практическите затруднения, водещи до забавяния, по-специално по отношение на единния пазар и околната среда</w:t>
      </w:r>
      <w:r>
        <w:rPr>
          <w:rStyle w:val="FootnoteReference"/>
          <w:noProof/>
        </w:rPr>
        <w:footnoteReference w:id="8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Стратегия</w:t>
      </w:r>
      <w:r>
        <w:rPr>
          <w:rFonts w:ascii="Times New Roman" w:hAnsi="Times New Roman"/>
          <w:noProof/>
          <w:sz w:val="24"/>
        </w:rPr>
        <w:t>та поставя акцент върху интегриран подход, обединяващ различни области на политиката с цел съгласувано в териториално отношение прилагане на политиките на ЕС. Така се засилват връзките между политиките и програмите на ЕС, включително стратегиите на ЕС за ц</w:t>
      </w:r>
      <w:r>
        <w:rPr>
          <w:rFonts w:ascii="Times New Roman" w:hAnsi="Times New Roman"/>
          <w:noProof/>
          <w:sz w:val="24"/>
        </w:rPr>
        <w:t>ифровия единен пазар</w:t>
      </w:r>
      <w:r>
        <w:rPr>
          <w:rStyle w:val="FootnoteReference"/>
          <w:noProof/>
          <w:sz w:val="24"/>
        </w:rPr>
        <w:footnoteReference w:id="9"/>
      </w:r>
      <w:r>
        <w:rPr>
          <w:rFonts w:ascii="Times New Roman" w:hAnsi="Times New Roman"/>
          <w:noProof/>
          <w:sz w:val="24"/>
        </w:rPr>
        <w:t>, биологичното разнообразие</w:t>
      </w:r>
      <w:r>
        <w:rPr>
          <w:rStyle w:val="FootnoteReference"/>
          <w:noProof/>
        </w:rPr>
        <w:footnoteReference w:id="10"/>
      </w:r>
      <w:r>
        <w:rPr>
          <w:rFonts w:ascii="Times New Roman" w:hAnsi="Times New Roman"/>
          <w:noProof/>
          <w:sz w:val="24"/>
        </w:rPr>
        <w:t>, горите</w:t>
      </w:r>
      <w:r>
        <w:rPr>
          <w:rStyle w:val="FootnoteReference"/>
          <w:noProof/>
          <w:sz w:val="24"/>
        </w:rPr>
        <w:footnoteReference w:id="11"/>
      </w:r>
      <w:r>
        <w:rPr>
          <w:rFonts w:ascii="Times New Roman" w:hAnsi="Times New Roman"/>
          <w:noProof/>
          <w:sz w:val="24"/>
        </w:rPr>
        <w:t>, адаптирането към изменението на климата</w:t>
      </w:r>
      <w:r>
        <w:rPr>
          <w:rStyle w:val="FootnoteReference"/>
          <w:noProof/>
        </w:rPr>
        <w:footnoteReference w:id="12"/>
      </w:r>
      <w:r>
        <w:rPr>
          <w:rFonts w:ascii="Times New Roman" w:hAnsi="Times New Roman"/>
          <w:noProof/>
          <w:sz w:val="24"/>
        </w:rPr>
        <w:t xml:space="preserve"> и рамковите програми за научноизследователска дейност и програмите за развитие на селските райони на ЕС. Прилагането на стратегията ще трябва да се координ</w:t>
      </w:r>
      <w:r>
        <w:rPr>
          <w:rFonts w:ascii="Times New Roman" w:hAnsi="Times New Roman"/>
          <w:noProof/>
          <w:sz w:val="24"/>
        </w:rPr>
        <w:t>ира с работата по прилагането на паралелните стратегии на ЕС за региона на река Дунав и за региона на Адриатическо и Йонийско море. Програмата INTERACT може да има основна роля в това отношение. Ще се търсят полезни взаимодействия и с други междуправителст</w:t>
      </w:r>
      <w:r>
        <w:rPr>
          <w:rFonts w:ascii="Times New Roman" w:hAnsi="Times New Roman"/>
          <w:noProof/>
          <w:sz w:val="24"/>
        </w:rPr>
        <w:t>вени органи, които имат същата териториална насоченост и обхват като този на стратегията.</w:t>
      </w:r>
    </w:p>
    <w:p w:rsidR="008809F9" w:rsidRDefault="00A61D97">
      <w:pPr>
        <w:pStyle w:val="Heading1"/>
        <w:spacing w:line="240" w:lineRule="auto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bookmarkStart w:id="22" w:name="_Toc421025239"/>
      <w:r>
        <w:rPr>
          <w:rFonts w:ascii="Times New Roman" w:hAnsi="Times New Roman"/>
          <w:noProof/>
          <w:color w:val="auto"/>
          <w:sz w:val="24"/>
        </w:rPr>
        <w:t>7. КАКВИ ПОЛЗИ ЩЕ ИМА ЗА НАСЕЛЕНИЕТО ОТ СТРАТЕГИЯТА?</w:t>
      </w:r>
      <w:bookmarkEnd w:id="22"/>
    </w:p>
    <w:p w:rsidR="008809F9" w:rsidRDefault="008809F9">
      <w:pPr>
        <w:pStyle w:val="Default"/>
        <w:jc w:val="both"/>
        <w:rPr>
          <w:rFonts w:ascii="Times New Roman" w:eastAsia="Times New Roman" w:hAnsi="Times New Roman" w:cs="Times New Roman"/>
          <w:noProof/>
          <w:color w:val="auto"/>
        </w:rPr>
      </w:pPr>
    </w:p>
    <w:p w:rsidR="008809F9" w:rsidRDefault="00A61D97">
      <w:pPr>
        <w:pStyle w:val="Default"/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hAnsi="Times New Roman"/>
          <w:noProof/>
          <w:color w:val="auto"/>
        </w:rPr>
        <w:t xml:space="preserve">Целите на стратегията са избрани, за да допринесат за промени в икономическия просперитет и благосъстоянието на </w:t>
      </w:r>
      <w:r>
        <w:rPr>
          <w:rFonts w:ascii="Times New Roman" w:hAnsi="Times New Roman"/>
          <w:noProof/>
          <w:color w:val="auto"/>
        </w:rPr>
        <w:t>хората и организациите в Алпийския регион:</w:t>
      </w:r>
    </w:p>
    <w:p w:rsidR="008809F9" w:rsidRDefault="008809F9">
      <w:pPr>
        <w:pStyle w:val="Default"/>
        <w:jc w:val="both"/>
        <w:rPr>
          <w:rFonts w:ascii="Times New Roman" w:eastAsia="Times New Roman" w:hAnsi="Times New Roman" w:cs="Times New Roman"/>
          <w:noProof/>
          <w:color w:val="auto"/>
        </w:rPr>
      </w:pPr>
    </w:p>
    <w:p w:rsidR="008809F9" w:rsidRDefault="00A61D9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Хора</w:t>
      </w:r>
      <w:r>
        <w:rPr>
          <w:rFonts w:ascii="Times New Roman" w:hAnsi="Times New Roman"/>
          <w:noProof/>
          <w:sz w:val="24"/>
        </w:rPr>
        <w:t xml:space="preserve">. Дългосрочното въздействие върху хората в региона е видно: по-здравословни условия в по-добре съхранена екологична рамка, благодарение на по-внимателно обмислени и по-добре координирани политики, които имат </w:t>
      </w:r>
      <w:r>
        <w:rPr>
          <w:rFonts w:ascii="Times New Roman" w:hAnsi="Times New Roman"/>
          <w:noProof/>
          <w:sz w:val="24"/>
        </w:rPr>
        <w:t>за цел да разработят устойчиви съвместни решения за транспорта, енергетиката, природното и културното наследство. Тези политики се очаква също така да предоставят повече възможности за работа в региона, особено във връзка с по-добрите транспортни връзки, к</w:t>
      </w:r>
      <w:r>
        <w:rPr>
          <w:rFonts w:ascii="Times New Roman" w:hAnsi="Times New Roman"/>
          <w:noProof/>
          <w:sz w:val="24"/>
        </w:rPr>
        <w:t>оито ще позволят на хората да останат или да се върнат в отдалечените райони. Тези предимства произтичат от ползите от свободното движение на хора.</w:t>
      </w:r>
    </w:p>
    <w:p w:rsidR="008809F9" w:rsidRDefault="00A61D9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Публични институции и организации</w:t>
      </w:r>
      <w:r>
        <w:rPr>
          <w:rFonts w:ascii="Times New Roman" w:hAnsi="Times New Roman"/>
          <w:noProof/>
          <w:sz w:val="24"/>
        </w:rPr>
        <w:t xml:space="preserve"> (включително академични/научноизследователски институции). Тези организаци</w:t>
      </w:r>
      <w:r>
        <w:rPr>
          <w:rFonts w:ascii="Times New Roman" w:hAnsi="Times New Roman"/>
          <w:noProof/>
          <w:sz w:val="24"/>
        </w:rPr>
        <w:t>и участват в тясно, макар и сложно, сътрудничество. По този начин те ясно показват намерението си да подобрят своята ефективност при прилагането на политиките и действията чрез по-тясно сътрудничество (включително спестяване на средства чрез вземане на по-</w:t>
      </w:r>
      <w:r>
        <w:rPr>
          <w:rFonts w:ascii="Times New Roman" w:hAnsi="Times New Roman"/>
          <w:noProof/>
          <w:sz w:val="24"/>
        </w:rPr>
        <w:t>добре информирани и съгласувани решения).</w:t>
      </w:r>
    </w:p>
    <w:p w:rsidR="008809F9" w:rsidRDefault="00A61D9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Икономически/бизнес сектор</w:t>
      </w:r>
      <w:r>
        <w:rPr>
          <w:rFonts w:ascii="Times New Roman" w:hAnsi="Times New Roman"/>
          <w:noProof/>
          <w:sz w:val="24"/>
        </w:rPr>
        <w:t>. Този сектор ще се възползва от същите предимства като останалата част от населението. За сектора ще има ползи и от по-динамичната икономическа среда, дължаща се на развитието на нови дей</w:t>
      </w:r>
      <w:r>
        <w:rPr>
          <w:rFonts w:ascii="Times New Roman" w:hAnsi="Times New Roman"/>
          <w:noProof/>
          <w:sz w:val="24"/>
        </w:rPr>
        <w:t>ности в неразработени области, в които целенасоченото сътрудничество с други партньори в региона (асоциирани изследователски центрове, обучителни и образователни организации, клъстери и др.) е вероятно значително да повиши производителността и позициониран</w:t>
      </w:r>
      <w:r>
        <w:rPr>
          <w:rFonts w:ascii="Times New Roman" w:hAnsi="Times New Roman"/>
          <w:noProof/>
          <w:sz w:val="24"/>
        </w:rPr>
        <w:t>ето на предприятията от частния сектор в региона.</w:t>
      </w:r>
    </w:p>
    <w:p w:rsidR="008809F9" w:rsidRDefault="00A61D97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Граждански организации</w:t>
      </w:r>
      <w:r>
        <w:rPr>
          <w:noProof/>
        </w:rPr>
        <w:t>,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свързани с областите на политиката. Новият модел на управление, който предизвика широки консултации при изготвянето на стратегията, ще бъде продължен на етапа на нейното изпълнение и</w:t>
      </w:r>
      <w:r>
        <w:rPr>
          <w:rFonts w:ascii="Times New Roman" w:hAnsi="Times New Roman"/>
          <w:noProof/>
          <w:sz w:val="24"/>
        </w:rPr>
        <w:t xml:space="preserve"> ще увеличи чувството на ангажираност за действията и проектите, които подкрепят целите на стратегията.</w:t>
      </w:r>
    </w:p>
    <w:p w:rsidR="008809F9" w:rsidRDefault="008809F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Като осигурява цялостна, устойчива, дългосрочна рамка за координиране на политиките, засилва териториалното сътрудничество и изпълнява действия за пост</w:t>
      </w:r>
      <w:r>
        <w:rPr>
          <w:rFonts w:ascii="Times New Roman" w:hAnsi="Times New Roman"/>
          <w:noProof/>
          <w:sz w:val="24"/>
        </w:rPr>
        <w:t>игане на договорените цели, стратегията ще превърне региона в по-добро място за живеене, работа и отдих, ще го подготви за предизвикателствата и възможностите на 21-ви век.</w:t>
      </w:r>
    </w:p>
    <w:p w:rsidR="008809F9" w:rsidRDefault="008809F9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09F9" w:rsidRDefault="00A61D97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Поради това Комисията приканва Съвета да одобри настоящото съобщение. Европейският</w:t>
      </w:r>
      <w:r>
        <w:rPr>
          <w:rFonts w:ascii="Times New Roman" w:hAnsi="Times New Roman"/>
          <w:noProof/>
          <w:sz w:val="24"/>
        </w:rPr>
        <w:t xml:space="preserve"> парламент, Комитетът на регионите и Европейският икономически и социален комитет също се приканват да разгледат настоящия документ.</w:t>
      </w:r>
    </w:p>
    <w:p w:rsidR="008809F9" w:rsidRDefault="00A61D97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  <w:sectPr w:rsidR="008809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  <w:r>
        <w:rPr>
          <w:noProof/>
        </w:rPr>
        <w:br w:type="page"/>
      </w:r>
    </w:p>
    <w:p w:rsidR="008809F9" w:rsidRDefault="00A61D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 w:bidi="ar-SA"/>
        </w:rPr>
        <w:drawing>
          <wp:inline distT="0" distB="0" distL="0" distR="0">
            <wp:extent cx="8892540" cy="5618567"/>
            <wp:effectExtent l="0" t="0" r="3810" b="1270"/>
            <wp:docPr id="3" name="Picture 3" descr="C:\Users\ehmfrit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mfrit\Desktop\Captur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1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9F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9" w:rsidRDefault="00A61D97">
      <w:pPr>
        <w:spacing w:after="0" w:line="240" w:lineRule="auto"/>
      </w:pPr>
      <w:r>
        <w:separator/>
      </w:r>
    </w:p>
  </w:endnote>
  <w:endnote w:type="continuationSeparator" w:id="0">
    <w:p w:rsidR="008809F9" w:rsidRDefault="00A6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97" w:rsidRDefault="00A61D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9" w:rsidRDefault="00A61D97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97" w:rsidRDefault="00A61D9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9" w:rsidRDefault="008809F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34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809F9" w:rsidRDefault="00A61D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страница</w:t>
        </w:r>
      </w:p>
    </w:sdtContent>
  </w:sdt>
  <w:p w:rsidR="008809F9" w:rsidRDefault="008809F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9" w:rsidRDefault="008809F9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9" w:rsidRDefault="008809F9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232673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809F9" w:rsidRDefault="00A61D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страница</w:t>
        </w:r>
      </w:p>
    </w:sdtContent>
  </w:sdt>
  <w:p w:rsidR="008809F9" w:rsidRDefault="008809F9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9" w:rsidRDefault="00880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9" w:rsidRDefault="00A61D97">
      <w:pPr>
        <w:spacing w:after="0" w:line="240" w:lineRule="auto"/>
      </w:pPr>
      <w:r>
        <w:separator/>
      </w:r>
    </w:p>
  </w:footnote>
  <w:footnote w:type="continuationSeparator" w:id="0">
    <w:p w:rsidR="008809F9" w:rsidRDefault="00A61D97">
      <w:pPr>
        <w:spacing w:after="0" w:line="240" w:lineRule="auto"/>
      </w:pPr>
      <w:r>
        <w:continuationSeparator/>
      </w:r>
    </w:p>
  </w:footnote>
  <w:footnote w:id="1">
    <w:p w:rsidR="008809F9" w:rsidRDefault="00A61D97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Виж въведението към плана за действие.</w:t>
      </w:r>
    </w:p>
  </w:footnote>
  <w:footnote w:id="2">
    <w:p w:rsidR="008809F9" w:rsidRDefault="00A61D97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COM(2013) 468 final, 27.6.2013 г.</w:t>
      </w:r>
    </w:p>
  </w:footnote>
  <w:footnote w:id="3">
    <w:p w:rsidR="008809F9" w:rsidRDefault="00A61D97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Дейностите и целите са определени по-подробно в придружаващия работен документ на службите на Комисията.</w:t>
      </w:r>
    </w:p>
  </w:footnote>
  <w:footnote w:id="4">
    <w:p w:rsidR="008809F9" w:rsidRDefault="00A61D97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rFonts w:ascii="Times New Roman" w:hAnsi="Times New Roman"/>
          <w:sz w:val="18"/>
        </w:rPr>
        <w:t xml:space="preserve"> Вж. Европейски парламент — Тематичен отдел Б: Structural and Cohesion Policies: new role of macro-regions in Europen Territorial Cooperation, PE 540.349 (януари 2015 г.).</w:t>
      </w:r>
    </w:p>
  </w:footnote>
  <w:footnote w:id="5">
    <w:p w:rsidR="008809F9" w:rsidRDefault="00A61D97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rFonts w:ascii="Times New Roman" w:hAnsi="Times New Roman"/>
          <w:sz w:val="18"/>
        </w:rPr>
        <w:t xml:space="preserve"> Доклад на Комисията относно управлението на макрорегионалните стратегии, COM(2014)</w:t>
      </w:r>
      <w:r>
        <w:rPr>
          <w:rFonts w:ascii="Times New Roman" w:hAnsi="Times New Roman"/>
          <w:sz w:val="18"/>
        </w:rPr>
        <w:t> 284 от 20 май 2014 г.</w:t>
      </w:r>
    </w:p>
  </w:footnote>
  <w:footnote w:id="6">
    <w:p w:rsidR="008809F9" w:rsidRDefault="00A61D97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rFonts w:ascii="Times New Roman" w:hAnsi="Times New Roman"/>
          <w:sz w:val="18"/>
        </w:rPr>
        <w:t xml:space="preserve"> COM(2014) 284 final от 20.5.2014 г.</w:t>
      </w:r>
    </w:p>
  </w:footnote>
  <w:footnote w:id="7">
    <w:p w:rsidR="008809F9" w:rsidRDefault="00A61D97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rFonts w:ascii="Times New Roman" w:hAnsi="Times New Roman"/>
          <w:sz w:val="18"/>
        </w:rPr>
        <w:t xml:space="preserve"> Например политиката на ЕС за управление на риска от бедствия, трансевропейските мрежи (транспорт и енергетика), бъдещите транспортни общности, вторият стълб на Общата селскостопанска политика и</w:t>
      </w:r>
      <w:r>
        <w:rPr>
          <w:rFonts w:ascii="Times New Roman" w:hAnsi="Times New Roman"/>
          <w:sz w:val="18"/>
        </w:rPr>
        <w:t xml:space="preserve"> др.</w:t>
      </w:r>
    </w:p>
  </w:footnote>
  <w:footnote w:id="8">
    <w:p w:rsidR="008809F9" w:rsidRDefault="00A61D97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rFonts w:ascii="Times New Roman" w:hAnsi="Times New Roman"/>
          <w:sz w:val="18"/>
        </w:rPr>
        <w:t xml:space="preserve"> По-специално рамковите директиви за птиците и местообитанията, за водите, за морска стратегия, за нитратите, за качеството на атмосферния въздух, за националните тавани за емисии и за отпадъците.</w:t>
      </w:r>
    </w:p>
  </w:footnote>
  <w:footnote w:id="9">
    <w:p w:rsidR="008809F9" w:rsidRDefault="00A61D97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rFonts w:ascii="Times New Roman" w:hAnsi="Times New Roman"/>
          <w:sz w:val="18"/>
        </w:rPr>
        <w:t xml:space="preserve"> </w:t>
      </w:r>
      <w:hyperlink r:id="rId1" w:history="1">
        <w:r>
          <w:rPr>
            <w:rStyle w:val="Hyperlink"/>
            <w:rFonts w:ascii="Times New Roman" w:hAnsi="Times New Roman"/>
            <w:sz w:val="18"/>
          </w:rPr>
          <w:t>http://europa.eu/rapid/press-release_IP-15-4919_bg.htm</w:t>
        </w:r>
      </w:hyperlink>
      <w:r>
        <w:t>.</w:t>
      </w:r>
      <w:r>
        <w:rPr>
          <w:rFonts w:ascii="Times New Roman" w:hAnsi="Times New Roman"/>
          <w:sz w:val="18"/>
        </w:rPr>
        <w:t xml:space="preserve"> .</w:t>
      </w:r>
    </w:p>
  </w:footnote>
  <w:footnote w:id="10">
    <w:p w:rsidR="008809F9" w:rsidRDefault="00A61D97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pt-PT"/>
        </w:rPr>
      </w:pPr>
      <w:r>
        <w:rPr>
          <w:rStyle w:val="FootnoteReference"/>
          <w:sz w:val="18"/>
        </w:rPr>
        <w:footnoteRef/>
      </w:r>
      <w:r>
        <w:rPr>
          <w:rFonts w:ascii="Times New Roman" w:hAnsi="Times New Roman"/>
          <w:sz w:val="18"/>
        </w:rPr>
        <w:t xml:space="preserve"> COM(2011) 244 (http://eur-lex.europa.eu/legal-content/BG/TXT/PDF/?uri=CELEX:52011DC0244&amp;from=EN).</w:t>
      </w:r>
    </w:p>
  </w:footnote>
  <w:footnote w:id="11">
    <w:p w:rsidR="008809F9" w:rsidRDefault="00A61D97">
      <w:pPr>
        <w:pStyle w:val="FootnoteText"/>
        <w:rPr>
          <w:rFonts w:ascii="Times New Roman" w:hAnsi="Times New Roman" w:cs="Times New Roman"/>
          <w:sz w:val="18"/>
          <w:szCs w:val="18"/>
          <w:lang w:val="pt-PT"/>
        </w:rPr>
      </w:pPr>
      <w:r>
        <w:rPr>
          <w:rStyle w:val="FootnoteReference"/>
          <w:sz w:val="18"/>
        </w:rPr>
        <w:footnoteRef/>
      </w:r>
      <w:r>
        <w:rPr>
          <w:rFonts w:ascii="Times New Roman" w:hAnsi="Times New Roman"/>
          <w:sz w:val="18"/>
        </w:rPr>
        <w:t xml:space="preserve"> COM(2013) 659 (http://ec.europa.eu/agriculture/forest/strategy/index_en.htm)</w:t>
      </w:r>
      <w:r>
        <w:rPr>
          <w:rFonts w:ascii="Times New Roman" w:hAnsi="Times New Roman"/>
          <w:sz w:val="18"/>
        </w:rPr>
        <w:t>.</w:t>
      </w:r>
    </w:p>
  </w:footnote>
  <w:footnote w:id="12">
    <w:p w:rsidR="008809F9" w:rsidRDefault="00A61D97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rFonts w:ascii="Times New Roman" w:hAnsi="Times New Roman"/>
          <w:sz w:val="18"/>
        </w:rPr>
        <w:t xml:space="preserve"> COM(2013)216.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97" w:rsidRDefault="00A61D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97" w:rsidRDefault="00A61D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97" w:rsidRDefault="00A61D9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9" w:rsidRDefault="008809F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9" w:rsidRDefault="008809F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9" w:rsidRDefault="008809F9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9" w:rsidRDefault="008809F9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9" w:rsidRDefault="008809F9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9" w:rsidRDefault="008809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26C"/>
    <w:multiLevelType w:val="hybridMultilevel"/>
    <w:tmpl w:val="AD70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17E1"/>
    <w:multiLevelType w:val="hybridMultilevel"/>
    <w:tmpl w:val="FD4C0188"/>
    <w:lvl w:ilvl="0" w:tplc="CE18E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772D"/>
    <w:multiLevelType w:val="multilevel"/>
    <w:tmpl w:val="663ECA76"/>
    <w:lvl w:ilvl="0">
      <w:start w:val="1"/>
      <w:numFmt w:val="decimal"/>
      <w:lvlText w:val="2.%1"/>
      <w:lvlJc w:val="left"/>
      <w:pPr>
        <w:tabs>
          <w:tab w:val="num" w:pos="1985"/>
        </w:tabs>
        <w:ind w:left="1985" w:hanging="85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1985"/>
        </w:tabs>
        <w:ind w:left="1985" w:hanging="850"/>
      </w:pPr>
      <w:rPr>
        <w:rFonts w:cs="Times New Roman" w:hint="default"/>
        <w:lang w:val="en"/>
      </w:rPr>
    </w:lvl>
    <w:lvl w:ilvl="2">
      <w:start w:val="1"/>
      <w:numFmt w:val="decimal"/>
      <w:lvlText w:val="%1.%2"/>
      <w:lvlJc w:val="left"/>
      <w:pPr>
        <w:tabs>
          <w:tab w:val="num" w:pos="1985"/>
        </w:tabs>
        <w:ind w:left="1985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935"/>
        </w:tabs>
        <w:ind w:left="2935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95"/>
        </w:tabs>
        <w:ind w:left="329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55"/>
        </w:tabs>
        <w:ind w:left="36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015"/>
        </w:tabs>
        <w:ind w:left="4015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75"/>
        </w:tabs>
        <w:ind w:left="4375" w:hanging="360"/>
      </w:pPr>
      <w:rPr>
        <w:rFonts w:cs="Times New Roman" w:hint="default"/>
      </w:rPr>
    </w:lvl>
  </w:abstractNum>
  <w:abstractNum w:abstractNumId="3">
    <w:nsid w:val="18227DDF"/>
    <w:multiLevelType w:val="hybridMultilevel"/>
    <w:tmpl w:val="69B81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C319B"/>
    <w:multiLevelType w:val="hybridMultilevel"/>
    <w:tmpl w:val="66901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B6647"/>
    <w:multiLevelType w:val="hybridMultilevel"/>
    <w:tmpl w:val="E632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F5851"/>
    <w:multiLevelType w:val="hybridMultilevel"/>
    <w:tmpl w:val="60A4E0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B52C4"/>
    <w:multiLevelType w:val="hybridMultilevel"/>
    <w:tmpl w:val="DD021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E5BC4"/>
    <w:multiLevelType w:val="hybridMultilevel"/>
    <w:tmpl w:val="6A52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47177"/>
    <w:multiLevelType w:val="hybridMultilevel"/>
    <w:tmpl w:val="6D9E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D1568"/>
    <w:multiLevelType w:val="hybridMultilevel"/>
    <w:tmpl w:val="EBD27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A4BF3"/>
    <w:multiLevelType w:val="multilevel"/>
    <w:tmpl w:val="4FC4A5A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lang w:val="e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404E2B4C"/>
    <w:multiLevelType w:val="hybridMultilevel"/>
    <w:tmpl w:val="5FE2D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87B7C"/>
    <w:multiLevelType w:val="hybridMultilevel"/>
    <w:tmpl w:val="86CCA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B31553"/>
    <w:multiLevelType w:val="multilevel"/>
    <w:tmpl w:val="185A81D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64A54D7"/>
    <w:multiLevelType w:val="hybridMultilevel"/>
    <w:tmpl w:val="73FABBB2"/>
    <w:lvl w:ilvl="0" w:tplc="503C7C04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F0448"/>
    <w:multiLevelType w:val="hybridMultilevel"/>
    <w:tmpl w:val="E3EC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81754"/>
    <w:multiLevelType w:val="hybridMultilevel"/>
    <w:tmpl w:val="2E361EAE"/>
    <w:lvl w:ilvl="0" w:tplc="503C7C04">
      <w:start w:val="1"/>
      <w:numFmt w:val="bullet"/>
      <w:lvlText w:val="−"/>
      <w:lvlJc w:val="left"/>
      <w:pPr>
        <w:ind w:left="36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CB74B4"/>
    <w:multiLevelType w:val="multilevel"/>
    <w:tmpl w:val="4FC4A5AE"/>
    <w:name w:val="Tiret 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lang w:val="e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D375D9A"/>
    <w:multiLevelType w:val="hybridMultilevel"/>
    <w:tmpl w:val="6560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00B12"/>
    <w:multiLevelType w:val="hybridMultilevel"/>
    <w:tmpl w:val="E0582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42307"/>
    <w:multiLevelType w:val="hybridMultilevel"/>
    <w:tmpl w:val="67E2BE4C"/>
    <w:lvl w:ilvl="0" w:tplc="503C7C04">
      <w:start w:val="1"/>
      <w:numFmt w:val="bullet"/>
      <w:lvlText w:val="−"/>
      <w:lvlJc w:val="left"/>
      <w:pPr>
        <w:ind w:left="502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C21225"/>
    <w:multiLevelType w:val="hybridMultilevel"/>
    <w:tmpl w:val="E882612E"/>
    <w:lvl w:ilvl="0" w:tplc="3A565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62602D"/>
    <w:multiLevelType w:val="hybridMultilevel"/>
    <w:tmpl w:val="F2EA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0181D"/>
    <w:multiLevelType w:val="hybridMultilevel"/>
    <w:tmpl w:val="8E1A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0357B"/>
    <w:multiLevelType w:val="hybridMultilevel"/>
    <w:tmpl w:val="D3783E0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5"/>
  </w:num>
  <w:num w:numId="4">
    <w:abstractNumId w:val="4"/>
  </w:num>
  <w:num w:numId="5">
    <w:abstractNumId w:val="2"/>
  </w:num>
  <w:num w:numId="6">
    <w:abstractNumId w:val="15"/>
  </w:num>
  <w:num w:numId="7">
    <w:abstractNumId w:val="21"/>
  </w:num>
  <w:num w:numId="8">
    <w:abstractNumId w:val="17"/>
  </w:num>
  <w:num w:numId="9">
    <w:abstractNumId w:val="12"/>
  </w:num>
  <w:num w:numId="10">
    <w:abstractNumId w:val="11"/>
  </w:num>
  <w:num w:numId="11">
    <w:abstractNumId w:val="22"/>
  </w:num>
  <w:num w:numId="12">
    <w:abstractNumId w:val="14"/>
  </w:num>
  <w:num w:numId="13">
    <w:abstractNumId w:val="9"/>
  </w:num>
  <w:num w:numId="14">
    <w:abstractNumId w:val="10"/>
  </w:num>
  <w:num w:numId="15">
    <w:abstractNumId w:val="13"/>
  </w:num>
  <w:num w:numId="16">
    <w:abstractNumId w:val="19"/>
  </w:num>
  <w:num w:numId="17">
    <w:abstractNumId w:val="7"/>
  </w:num>
  <w:num w:numId="18">
    <w:abstractNumId w:val="0"/>
  </w:num>
  <w:num w:numId="19">
    <w:abstractNumId w:val="16"/>
  </w:num>
  <w:num w:numId="20">
    <w:abstractNumId w:val="3"/>
  </w:num>
  <w:num w:numId="21">
    <w:abstractNumId w:val="20"/>
  </w:num>
  <w:num w:numId="22">
    <w:abstractNumId w:val="6"/>
  </w:num>
  <w:num w:numId="23">
    <w:abstractNumId w:val="8"/>
  </w:num>
  <w:num w:numId="24">
    <w:abstractNumId w:val="5"/>
  </w:num>
  <w:num w:numId="25">
    <w:abstractNumId w:val="24"/>
  </w:num>
  <w:num w:numId="26">
    <w:abstractNumId w:val="23"/>
  </w:num>
  <w:num w:numId="27">
    <w:abstractNumId w:val="5"/>
  </w:num>
  <w:num w:numId="28">
    <w:abstractNumId w:val="24"/>
  </w:num>
  <w:num w:numId="29">
    <w:abstractNumId w:val="23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1AA1C9EBB5BC4100B5653A05BDEE5FA2"/>
    <w:docVar w:name="LW_CROSSREFERENCE" w:val="{SWD(2015) 147 final}"/>
    <w:docVar w:name="LW_DocType" w:val="NORMAL"/>
    <w:docVar w:name="LW_EMISSION" w:val="28.7.2015"/>
    <w:docVar w:name="LW_EMISSION_ISODATE" w:val="2015-07-28"/>
    <w:docVar w:name="LW_EMISSION_LOCATION" w:val="BRX"/>
    <w:docVar w:name="LW_EMISSION_PREFIX" w:val="Брюксел, "/>
    <w:docVar w:name="LW_EMISSION_SUFFIX" w:val=" \u1075?."/>
    <w:docVar w:name="LW_ID_DOCTYPE_NONLW" w:val="CP-014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366"/>
    <w:docVar w:name="LW_REF.INTERNE" w:val="&lt;UNUSED&gt;"/>
    <w:docVar w:name="LW_SOUS.TITRE.OBJ.CP" w:val="&lt;UNUSED&gt;"/>
    <w:docVar w:name="LW_SUPERTITRE" w:val="&lt;UNUSED&gt;"/>
    <w:docVar w:name="LW_TITRE.OBJ.CP" w:val="\u1086?\u1090?\u1085?\u1086?\u1089?\u1085?\u1086? \u1089?\u1090?\u1088?\u1072?\u1090?\u1077?\u1075?\u1080?\u1103?\u1090?\u1072? \u1085?\u1072? \u1045?\u1074?\u1088?\u1086?\u1087?\u1077?\u1081?\u1089?\u1082?\u1080?\u1103? \u1089?\u1098?\u1102?\u1079? \u1079?\u1072? \u1040?\u1083?\u1087?\u1080?\u1081?\u1089?\u1082?\u1080?\u1103? \u1088?\u1077?\u1075?\u1080?\u1086?\u1085?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  <w:docVar w:name="LW_TYPE.DOC.CP.USERTEXT" w:val="&lt;EMPTY&gt;"/>
    <w:docVar w:name="Stamp" w:val="\\dossiers.dgt.cec.eu.int\dossiers\REGIO\REGIO-2015-00399\REGIO-2015-00399-00-00-EN-REV-00.DOCX"/>
  </w:docVars>
  <w:rsids>
    <w:rsidRoot w:val="008809F9"/>
    <w:rsid w:val="000D7C62"/>
    <w:rsid w:val="008809F9"/>
    <w:rsid w:val="00A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ootnote text Char,Testo nota a piè di pagina_Rientro Char,stile 1 Char,Footnote1 Char,Footnote2 Char,Footnote3 Char,Footnote4 Char,Footnote5 Char,Footnote6 Char,Footnote7 Char,Footnote8 Char,Footnote9 Char,ft Char"/>
    <w:basedOn w:val="DefaultParagraphFont"/>
    <w:uiPriority w:val="99"/>
    <w:rPr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Voetnootverwijzing,Times 10 Point,Exposant 3 Point,note TESI,number"/>
    <w:uiPriority w:val="99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Calibri" w:hAnsi="Times New Roman" w:cs="Times New Roman"/>
      <w:b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contextualSpacing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contextualSpacing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ootnote text Char,Testo nota a piè di pagina_Rientro Char,stile 1 Char,Footnote1 Char,Footnote2 Char,Footnote3 Char,Footnote4 Char,Footnote5 Char,Footnote6 Char,Footnote7 Char,Footnote8 Char,Footnote9 Char,ft Char"/>
    <w:basedOn w:val="DefaultParagraphFont"/>
    <w:uiPriority w:val="99"/>
    <w:rPr>
      <w:sz w:val="20"/>
      <w:szCs w:val="20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Voetnootverwijzing,Times 10 Point,Exposant 3 Point,note TESI,number"/>
    <w:uiPriority w:val="99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Calibri" w:hAnsi="Times New Roman" w:cs="Times New Roman"/>
      <w:b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contextualSpacing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contextualSpacing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472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136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image" Target="media/image2.png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.eu/rapid/press-release_IP-15-4919_b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4E23-0089-4215-9E53-B0829FCF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4165</Words>
  <Characters>26076</Characters>
  <Application>Microsoft Office Word</Application>
  <DocSecurity>0</DocSecurity>
  <Lines>217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LAGES CARVALHO Patrick (SG)</cp:lastModifiedBy>
  <cp:revision>19</cp:revision>
  <cp:lastPrinted>2015-06-25T08:00:00Z</cp:lastPrinted>
  <dcterms:created xsi:type="dcterms:W3CDTF">2015-06-26T06:38:00Z</dcterms:created>
  <dcterms:modified xsi:type="dcterms:W3CDTF">2015-07-25T08:54:00Z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