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D0BA47618FD47659C2B9110CA2107FB" style="width:450.75pt;height:379.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Споразумението между Европейския съюз и Република Армения за улесняване на издаването на визи влезе в сила на 1 януари 2014 г. Със Споразумението бяха установени въз основа на принципа за реципрочност правно обвързващи права и задължения с цел да се улеснят процедурите за издаване на визи за арменските граждани.  С член 12 от това споразумение се учредява Съвместен комитет, който има за задача да наблюдава прилагането на Споразумението. Съгласно параграф 4 от тази разпоредба Комитетът утвърждава своя процедурен правилник.</w:t>
      </w:r>
    </w:p>
    <w:p>
      <w:pPr>
        <w:spacing w:before="0"/>
        <w:rPr>
          <w:rFonts w:eastAsia="Times New Roman"/>
          <w:noProof/>
          <w:szCs w:val="24"/>
        </w:rPr>
      </w:pPr>
      <w:r>
        <w:rPr>
          <w:noProof/>
        </w:rPr>
        <w:t>В процедурния правилник се уточняват организационните аспекти, свързани със заседанията на Комитета и с неговата работа.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КОНСУЛТАЦИИТЕ СЪС ЗАИНТЕРЕСОВАНИТЕ СТРАНИ И ОЦЕНКИ НА ВЪЗДЕЙСТВИЕТО</w:t>
      </w:r>
    </w:p>
    <w:p>
      <w:pPr>
        <w:rPr>
          <w:noProof/>
          <w:highlight w:val="yellow"/>
        </w:rPr>
      </w:pPr>
      <w:r>
        <w:rPr>
          <w:noProof/>
        </w:rPr>
        <w:t>Процедурният правилник, приложен към настоящото предложение за решение на Съвета, беше договорен с арменската страна по време на първото заседание на Комитета. На 10 ноември 2014 г. Комисията официално се консултира с работна група „Визи“ относно проекта на процедурен правилник на Съвместния комитет, създаден със Споразумението между Европейския съюз и Армения за улесняване на издаването на визи, която не направи забележки. Текстът на процедурния правилник беше изготвен въз основа на сходни документи, вече приети от Комисията в контекста на други действащи споразумения на ЕС за улесняване на издаването на визи (по-специално с Русия, Украйна, Молдова и Грузия).</w:t>
      </w:r>
    </w:p>
    <w:p>
      <w:pPr>
        <w:rPr>
          <w:b/>
          <w:smallCaps/>
          <w:noProof/>
        </w:rPr>
      </w:pPr>
    </w:p>
    <w:p>
      <w:pPr>
        <w:pStyle w:val="ManualHeading1"/>
        <w:rPr>
          <w:noProof/>
        </w:rPr>
      </w:pPr>
      <w:r>
        <w:rPr>
          <w:noProof/>
        </w:rPr>
        <w:t xml:space="preserve">3. </w:t>
      </w:r>
      <w:r>
        <w:rPr>
          <w:noProof/>
        </w:rPr>
        <w:tab/>
        <w:t>ФИНАСОВО ОТРАЖЕНИЕ И ОТРАЖЕНИЕ ВЪРХУ БЮДЖЕТА</w:t>
      </w:r>
    </w:p>
    <w:p>
      <w:pPr>
        <w:rPr>
          <w:noProof/>
        </w:rPr>
      </w:pPr>
      <w:r>
        <w:rPr>
          <w:noProof/>
        </w:rPr>
        <w:t>Настоящото предложение няма отражение върху бюджета на ЕС.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2015/0164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определяне на позицията на Европейския съюз относно решение на Съвместния комитет, създаден със Споразумението между Европейския съюз и Република Армения за улесняване на издаването на визи, във връзка с приемането на процедурния правилник на Съвместния комитет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77, параграф 2, буква а) във връзка с член 218, параграф 9</w:t>
      </w:r>
      <w:r>
        <w:t xml:space="preserve"> </w:t>
      </w:r>
      <w:r>
        <w:rPr>
          <w:noProof/>
        </w:rPr>
        <w:t xml:space="preserve"> от него, </w:t>
      </w:r>
    </w:p>
    <w:p>
      <w:pPr>
        <w:rPr>
          <w:noProof/>
        </w:rPr>
      </w:pPr>
      <w:r>
        <w:rPr>
          <w:noProof/>
        </w:rPr>
        <w:t>като взе предвид Решение 2013/628/ЕС на Съвета от 22 октомври 2013 г. за сключване на Споразумението между Европейския съюз и Република Армения за улесняване на издаването на визи</w:t>
      </w:r>
      <w:r>
        <w:rPr>
          <w:rStyle w:val="FootnoteReference"/>
          <w:noProof/>
        </w:rPr>
        <w:footnoteReference w:id="1"/>
      </w:r>
      <w:r>
        <w:rPr>
          <w:noProof/>
        </w:rPr>
        <w:t>;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между Европейския съюз и Република Армения за улесняване на издаването на визи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(наричано по-нататък „Споразумението“) влезе в сила на 1 януари 2014 г.;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 12 от Споразумението се създава Съвместен комитет (наричан по-нататък „Комитетът“);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В член 12, параграф 4 от Споразумението се посочва, че Комитетът утвърждава своя процедурен правилник;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Следователно е целесъобразно да се определи позицията на Съюза  относно процедурния правилник, който предстои да бъде приет от Комитета,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24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1. Позицията на Европейския съюз в рамките на Комитета, създаден с член 12 от Споразумението между Европейския съюз и Република Армения за улесняване на издаването на визи, във връзка с приемането на процедурния правилник е проектът на решение на Съвместния комитет, приложен към настоящото решение.</w:t>
      </w:r>
    </w:p>
    <w:p>
      <w:pPr>
        <w:rPr>
          <w:noProof/>
        </w:rPr>
      </w:pPr>
      <w:r>
        <w:rPr>
          <w:noProof/>
        </w:rPr>
        <w:t>2. Незначителни технически поправки в проекта на решение могат да бъдат ряни от представителите на Съюза в Съвместния комитет, без да е необходимо допълнително решение на Съвета.</w:t>
      </w:r>
    </w:p>
    <w:p>
      <w:pPr>
        <w:pStyle w:val="Titrearticle"/>
        <w:spacing w:before="240"/>
        <w:rPr>
          <w:noProof/>
        </w:rPr>
      </w:pPr>
      <w:r>
        <w:rPr>
          <w:noProof/>
        </w:rPr>
        <w:lastRenderedPageBreak/>
        <w:t>Член 2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в деня на публикуването му в</w:t>
      </w:r>
      <w:r>
        <w:rPr>
          <w:i/>
          <w:noProof/>
        </w:rPr>
        <w:t xml:space="preserve"> Официален вестник на Европейския съюз.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 L 289, 31.10.2013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289, 31.10.2013 г., стр.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6880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7489E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58A4C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35C9E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94A4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1FE94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E6E1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5980D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7-23 10:36:2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6D0BA47618FD47659C2B9110CA2107FB"/>
    <w:docVar w:name="LW_CROSSREFERENCE" w:val="&lt;UNUSED&gt;"/>
    <w:docVar w:name="LW_DocType" w:val="COM"/>
    <w:docVar w:name="LW_EMISSION" w:val="31.7.2015"/>
    <w:docVar w:name="LW_EMISSION_ISODATE" w:val="2015-07-3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64"/>
    <w:docVar w:name="LW_REF.II.NEW.CP_YEAR" w:val="2015"/>
    <w:docVar w:name="LW_REF.INST.NEW" w:val="COM"/>
    <w:docVar w:name="LW_REF.INST.NEW_ADOPTED" w:val="final"/>
    <w:docVar w:name="LW_REF.INST.NEW_TEXT" w:val="(2015) 37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7?\u1076?\u1077?\u1083?\u1103?\u1085?\u1077? \u1085?\u1072? \u1087?\u1086?\u1079?\u1080?\u1094?\u1080?\u1103?\u1090?\u1072? \u1085?\u1072? \u1045?\u1074?\u1088?\u1086?\u1087?\u1077?\u1081?\u1089?\u1082?\u1080?\u1103? \u1089?\u1098?\u1102?\u1079? \u1086?\u1090?\u1085?\u1086?\u1089?\u1085?\u1086? \u1088?\u1077?\u1096?\u1077?\u1085?\u1080?\u1077? \u1085?\u1072? \u1057?\u1098?\u1074?\u1084?\u1077?\u1089?\u1090?\u1085?\u1080?\u1103? \u1082?\u1086?\u1084?\u1080?\u1090?\u1077?\u1090?, \u1089?\u1098?\u1079?\u1076?\u1072?\u1076?\u1077?\u1085? \u1089?\u1098?\u1089? \u1057?\u1087?\u1086?\u1088?\u1072?\u1079?\u1091?\u1084?\u1077?\u1085?\u1080?\u1077?\u1090?\u1086? \u1084?\u1077?\u1078?\u1076?\u1091? \u1045?\u1074?\u1088?\u1086?\u1087?\u1077?\u1081?\u1089?\u1082?\u1080?\u1103? \u1089?\u1098?\u1102?\u1079? \u1080? \u1056?\u1077?\u1087?\u1091?\u1073?\u1083?\u1080?\u1082?\u1072? \u1040?\u1088?\u1084?\u1077?\u1085?\u1080?\u1103? \u1079?\u1072? \u1091?\u1083?\u1077?\u1089?\u1085?\u1103?\u1074?\u1072?\u1085?\u1077? \u1085?\u1072? \u1080?\u1079?\u1076?\u1072?\u1074?\u1072?\u1085?\u1077?\u1090?\u1086? \u1085?\u1072? \u1074?\u1080?\u1079?\u1080?, \u1074?\u1098?\u1074? \u1074?\u1088?\u1098?\u1079?\u1082?\u1072? \u1089? \u1087?\u1088?\u1080?\u1077?\u1084?\u1072?\u1085?\u1077?\u1090?\u1086? \u1085?\u1072? \u1087?\u1088?\u1086?\u1094?\u1077?\u1076?\u1091?\u1088?\u1085?\u1080?\u1103? \u1087?\u1088?\u1072?\u1074?\u1080?\u1083?\u1085?\u1080?\u1082? \u1085?\u1072? \u1057?\u1098?\u1074?\u1084?\u1077?\u1089?\u1090?\u1085?\u1080?\u1103? \u1082?\u1086?\u1084?\u1080?\u1090?\u1077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5E19-4D21-4C76-A510-E02E772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517</Words>
  <Characters>3000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2015-04-24T10:48:00Z</cp:lastPrinted>
  <dcterms:created xsi:type="dcterms:W3CDTF">2015-06-08T12:21:00Z</dcterms:created>
  <dcterms:modified xsi:type="dcterms:W3CDTF">2015-07-23T08:36:00Z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