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85B" w:rsidRDefault="00140B3D" w:rsidP="00140B3D">
      <w:pPr>
        <w:pStyle w:val="Pagedecouverture"/>
        <w:rPr>
          <w:noProof/>
        </w:rPr>
      </w:pPr>
      <w:bookmarkStart w:id="0" w:name="LW_BM_COVERPAGE"/>
      <w:r>
        <w:rPr>
          <w:noProof/>
          <w:lang w:val="en-GB" w:eastAsia="en-GB" w:bidi="ar-SA"/>
        </w:rPr>
        <w:drawing>
          <wp:inline distT="0" distB="0" distL="0" distR="0">
            <wp:extent cx="5720715" cy="5339715"/>
            <wp:effectExtent l="0" t="0" r="0" b="0"/>
            <wp:docPr id="9" name="Picture 9" descr="CC79A9CAE5164BFDBB1592195463C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C79A9CAE5164BFDBB1592195463C2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0715" cy="5339715"/>
                    </a:xfrm>
                    <a:prstGeom prst="rect">
                      <a:avLst/>
                    </a:prstGeom>
                    <a:noFill/>
                    <a:ln>
                      <a:noFill/>
                    </a:ln>
                  </pic:spPr>
                </pic:pic>
              </a:graphicData>
            </a:graphic>
          </wp:inline>
        </w:drawing>
      </w:r>
    </w:p>
    <w:bookmarkEnd w:id="0"/>
    <w:p w:rsidR="00ED685B" w:rsidRDefault="00ED685B">
      <w:pPr>
        <w:rPr>
          <w:noProof/>
        </w:rPr>
        <w:sectPr w:rsidR="00ED685B" w:rsidSect="00140B3D">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ED685B" w:rsidRDefault="00140B3D">
      <w:pPr>
        <w:pStyle w:val="Annexetitre"/>
        <w:rPr>
          <w:noProof/>
        </w:rPr>
      </w:pPr>
      <w:bookmarkStart w:id="1" w:name="_GoBack"/>
      <w:bookmarkEnd w:id="1"/>
      <w:r>
        <w:rPr>
          <w:noProof/>
        </w:rPr>
        <w:lastRenderedPageBreak/>
        <w:t>ANNEXE</w:t>
      </w:r>
    </w:p>
    <w:p w:rsidR="00ED685B" w:rsidRDefault="00140B3D">
      <w:pPr>
        <w:spacing w:before="360"/>
        <w:jc w:val="center"/>
        <w:rPr>
          <w:rFonts w:ascii="Times New Roman" w:hAnsi="Times New Roman"/>
          <w:b/>
          <w:noProof/>
          <w:sz w:val="24"/>
          <w:szCs w:val="24"/>
        </w:rPr>
      </w:pPr>
      <w:r>
        <w:rPr>
          <w:rFonts w:ascii="Times New Roman" w:hAnsi="Times New Roman"/>
          <w:b/>
          <w:noProof/>
          <w:sz w:val="24"/>
        </w:rPr>
        <w:t>DÉCISION N° .../2015 DU COMITÉ MIXTE SUR LA FACILITATION DE LA DÉLIVRANCE DE VISAS</w:t>
      </w:r>
      <w:r>
        <w:rPr>
          <w:noProof/>
        </w:rPr>
        <w:br/>
      </w:r>
      <w:r>
        <w:rPr>
          <w:rFonts w:ascii="Times New Roman" w:hAnsi="Times New Roman"/>
          <w:b/>
          <w:noProof/>
          <w:sz w:val="24"/>
        </w:rPr>
        <w:t xml:space="preserve">ÉTABLI PAR </w:t>
      </w:r>
      <w:r>
        <w:rPr>
          <w:noProof/>
        </w:rPr>
        <w:br/>
      </w:r>
      <w:r>
        <w:rPr>
          <w:rFonts w:ascii="Times New Roman" w:hAnsi="Times New Roman"/>
          <w:b/>
          <w:noProof/>
          <w:sz w:val="24"/>
        </w:rPr>
        <w:t>L'accord entre l’Union européenne et la République d’Arménie visant à faciliter la délivrance de visas</w:t>
      </w:r>
    </w:p>
    <w:p w:rsidR="00ED685B" w:rsidRDefault="00140B3D">
      <w:pPr>
        <w:spacing w:before="140" w:after="140"/>
        <w:jc w:val="center"/>
        <w:rPr>
          <w:rFonts w:ascii="Times New Roman" w:hAnsi="Times New Roman"/>
          <w:b/>
          <w:noProof/>
          <w:sz w:val="24"/>
          <w:szCs w:val="24"/>
        </w:rPr>
      </w:pPr>
      <w:r>
        <w:rPr>
          <w:rFonts w:ascii="Times New Roman" w:hAnsi="Times New Roman"/>
          <w:b/>
          <w:noProof/>
          <w:sz w:val="24"/>
        </w:rPr>
        <w:t>du …… 2015</w:t>
      </w:r>
    </w:p>
    <w:p w:rsidR="00ED685B" w:rsidRDefault="00140B3D">
      <w:pPr>
        <w:spacing w:before="140" w:after="140"/>
        <w:jc w:val="center"/>
        <w:rPr>
          <w:rFonts w:ascii="Times New Roman" w:hAnsi="Times New Roman"/>
          <w:b/>
          <w:noProof/>
          <w:sz w:val="24"/>
          <w:szCs w:val="24"/>
        </w:rPr>
      </w:pPr>
      <w:r>
        <w:rPr>
          <w:rFonts w:ascii="Times New Roman" w:hAnsi="Times New Roman"/>
          <w:b/>
          <w:noProof/>
          <w:sz w:val="24"/>
        </w:rPr>
        <w:t>portant adoption de son règlement intérieur</w:t>
      </w:r>
    </w:p>
    <w:p w:rsidR="00ED685B" w:rsidRDefault="00140B3D">
      <w:pPr>
        <w:jc w:val="center"/>
        <w:rPr>
          <w:rFonts w:eastAsia="Times New Roman"/>
          <w:b/>
          <w:bCs/>
          <w:noProof/>
          <w:szCs w:val="24"/>
        </w:rPr>
      </w:pPr>
      <w:r>
        <w:rPr>
          <w:b/>
          <w:noProof/>
        </w:rPr>
        <w:t>(</w:t>
      </w:r>
      <w:r>
        <w:rPr>
          <w:noProof/>
        </w:rPr>
        <w:t>…/…/…</w:t>
      </w:r>
      <w:r>
        <w:rPr>
          <w:b/>
          <w:noProof/>
        </w:rPr>
        <w:t>)</w:t>
      </w:r>
    </w:p>
    <w:p w:rsidR="00ED685B" w:rsidRDefault="00ED685B">
      <w:pPr>
        <w:spacing w:before="140" w:after="140"/>
        <w:outlineLvl w:val="0"/>
        <w:rPr>
          <w:rFonts w:ascii="Times New Roman" w:hAnsi="Times New Roman"/>
          <w:noProof/>
          <w:sz w:val="24"/>
          <w:szCs w:val="24"/>
        </w:rPr>
      </w:pPr>
    </w:p>
    <w:p w:rsidR="00ED685B" w:rsidRDefault="00140B3D">
      <w:pPr>
        <w:spacing w:before="140" w:after="140"/>
        <w:outlineLvl w:val="0"/>
        <w:rPr>
          <w:rFonts w:ascii="Times New Roman" w:hAnsi="Times New Roman"/>
          <w:noProof/>
          <w:sz w:val="24"/>
          <w:szCs w:val="24"/>
        </w:rPr>
      </w:pPr>
      <w:r>
        <w:rPr>
          <w:rFonts w:ascii="Times New Roman" w:hAnsi="Times New Roman"/>
          <w:noProof/>
          <w:sz w:val="24"/>
        </w:rPr>
        <w:t>LE COMITÉ,</w:t>
      </w:r>
    </w:p>
    <w:p w:rsidR="00ED685B" w:rsidRDefault="00140B3D">
      <w:pPr>
        <w:spacing w:before="140" w:after="140"/>
        <w:rPr>
          <w:rFonts w:ascii="Times New Roman" w:hAnsi="Times New Roman"/>
          <w:noProof/>
          <w:sz w:val="24"/>
          <w:szCs w:val="24"/>
        </w:rPr>
      </w:pPr>
      <w:r>
        <w:rPr>
          <w:rFonts w:ascii="Times New Roman" w:hAnsi="Times New Roman"/>
          <w:noProof/>
          <w:sz w:val="24"/>
        </w:rPr>
        <w:t xml:space="preserve">vu l'accord conclu entre l'Union européenne et la République </w:t>
      </w:r>
      <w:r>
        <w:rPr>
          <w:rFonts w:ascii="Times New Roman" w:hAnsi="Times New Roman"/>
          <w:noProof/>
          <w:sz w:val="24"/>
        </w:rPr>
        <w:t>d'Arménie visant à faciliter la délivrance de visas (ci-après «l'accord»), et notamment son article 12, paragraphe 4,</w:t>
      </w:r>
    </w:p>
    <w:p w:rsidR="00ED685B" w:rsidRDefault="00140B3D">
      <w:pPr>
        <w:spacing w:before="140" w:after="140"/>
        <w:rPr>
          <w:rFonts w:ascii="Times New Roman" w:hAnsi="Times New Roman"/>
          <w:noProof/>
          <w:sz w:val="24"/>
          <w:szCs w:val="24"/>
        </w:rPr>
      </w:pPr>
      <w:r>
        <w:rPr>
          <w:rFonts w:ascii="Times New Roman" w:hAnsi="Times New Roman"/>
          <w:noProof/>
          <w:sz w:val="24"/>
        </w:rPr>
        <w:t>considérant que cet accord est entré en vigueur le 1er janvier 2014,</w:t>
      </w:r>
    </w:p>
    <w:p w:rsidR="00ED685B" w:rsidRDefault="00140B3D">
      <w:pPr>
        <w:spacing w:before="140" w:after="140"/>
        <w:rPr>
          <w:rFonts w:ascii="Times New Roman" w:hAnsi="Times New Roman"/>
          <w:noProof/>
          <w:sz w:val="24"/>
          <w:szCs w:val="24"/>
        </w:rPr>
      </w:pPr>
      <w:r>
        <w:rPr>
          <w:rFonts w:ascii="Times New Roman" w:hAnsi="Times New Roman"/>
          <w:noProof/>
          <w:sz w:val="24"/>
        </w:rPr>
        <w:t>A DÉCIDÉ D’ADOPTER LE RÈGLEMENT INTÉRIEUR SUIVANT:</w:t>
      </w:r>
    </w:p>
    <w:p w:rsidR="00ED685B" w:rsidRDefault="00140B3D">
      <w:pPr>
        <w:pStyle w:val="Titrearticle"/>
        <w:rPr>
          <w:noProof/>
        </w:rPr>
      </w:pPr>
      <w:r>
        <w:rPr>
          <w:noProof/>
        </w:rPr>
        <w:t>Article premier</w:t>
      </w:r>
    </w:p>
    <w:p w:rsidR="00ED685B" w:rsidRDefault="00140B3D">
      <w:pPr>
        <w:spacing w:before="160" w:after="160"/>
        <w:jc w:val="center"/>
        <w:rPr>
          <w:rFonts w:ascii="Times New Roman" w:hAnsi="Times New Roman"/>
          <w:b/>
          <w:noProof/>
          <w:sz w:val="24"/>
          <w:szCs w:val="24"/>
        </w:rPr>
      </w:pPr>
      <w:r>
        <w:rPr>
          <w:rFonts w:ascii="Times New Roman" w:hAnsi="Times New Roman"/>
          <w:b/>
          <w:noProof/>
          <w:sz w:val="24"/>
        </w:rPr>
        <w:t>Pr</w:t>
      </w:r>
      <w:r>
        <w:rPr>
          <w:rFonts w:ascii="Times New Roman" w:hAnsi="Times New Roman"/>
          <w:b/>
          <w:noProof/>
          <w:sz w:val="24"/>
        </w:rPr>
        <w:t>ésidence</w:t>
      </w:r>
    </w:p>
    <w:p w:rsidR="00ED685B" w:rsidRDefault="00140B3D">
      <w:pPr>
        <w:spacing w:before="140" w:after="140"/>
        <w:rPr>
          <w:rFonts w:ascii="Times New Roman" w:hAnsi="Times New Roman"/>
          <w:noProof/>
          <w:sz w:val="24"/>
          <w:szCs w:val="24"/>
        </w:rPr>
      </w:pPr>
      <w:r>
        <w:rPr>
          <w:rFonts w:ascii="Times New Roman" w:hAnsi="Times New Roman"/>
          <w:noProof/>
          <w:sz w:val="24"/>
        </w:rPr>
        <w:t>La présidence du comité mixte sur la facilitation de la délivrance des visas est exercée conjointement par un représentant de l'Union européenne et par un représentant de la République d'Arménie.</w:t>
      </w:r>
    </w:p>
    <w:p w:rsidR="00ED685B" w:rsidRDefault="00140B3D">
      <w:pPr>
        <w:pStyle w:val="Titrearticle"/>
        <w:rPr>
          <w:noProof/>
        </w:rPr>
      </w:pPr>
      <w:r>
        <w:rPr>
          <w:noProof/>
        </w:rPr>
        <w:t>Article 2</w:t>
      </w:r>
    </w:p>
    <w:p w:rsidR="00ED685B" w:rsidRDefault="00140B3D">
      <w:pPr>
        <w:spacing w:before="160" w:after="160"/>
        <w:jc w:val="center"/>
        <w:rPr>
          <w:rFonts w:ascii="Times New Roman" w:hAnsi="Times New Roman"/>
          <w:b/>
          <w:noProof/>
          <w:sz w:val="24"/>
          <w:szCs w:val="24"/>
        </w:rPr>
      </w:pPr>
      <w:r>
        <w:rPr>
          <w:rFonts w:ascii="Times New Roman" w:hAnsi="Times New Roman"/>
          <w:b/>
          <w:noProof/>
          <w:sz w:val="24"/>
        </w:rPr>
        <w:t>Tâches du comité mixte</w:t>
      </w:r>
    </w:p>
    <w:p w:rsidR="00ED685B" w:rsidRDefault="00140B3D">
      <w:pPr>
        <w:pStyle w:val="ManualNumPar1"/>
        <w:spacing w:before="140" w:after="140"/>
        <w:rPr>
          <w:noProof/>
        </w:rPr>
      </w:pPr>
      <w:r>
        <w:rPr>
          <w:noProof/>
        </w:rPr>
        <w:t>1)</w:t>
      </w:r>
      <w:r>
        <w:rPr>
          <w:noProof/>
        </w:rPr>
        <w:tab/>
        <w:t xml:space="preserve">En vertu de </w:t>
      </w:r>
      <w:r>
        <w:rPr>
          <w:noProof/>
        </w:rPr>
        <w:t>l’article 12, paragraphe 2, de l’accord, le comité mixte sur la facilitation de la délivrance des visas est notamment chargé des tâches suivantes:</w:t>
      </w:r>
    </w:p>
    <w:p w:rsidR="00ED685B" w:rsidRDefault="00140B3D">
      <w:pPr>
        <w:pStyle w:val="Point1"/>
        <w:spacing w:before="140" w:after="140"/>
        <w:rPr>
          <w:noProof/>
        </w:rPr>
      </w:pPr>
      <w:r>
        <w:rPr>
          <w:noProof/>
        </w:rPr>
        <w:t>a)</w:t>
      </w:r>
      <w:r>
        <w:rPr>
          <w:noProof/>
        </w:rPr>
        <w:tab/>
        <w:t>suivre la mise en œuvre du présent accord;</w:t>
      </w:r>
    </w:p>
    <w:p w:rsidR="00ED685B" w:rsidRDefault="00140B3D">
      <w:pPr>
        <w:pStyle w:val="Point1"/>
        <w:spacing w:before="140" w:after="140"/>
        <w:rPr>
          <w:noProof/>
        </w:rPr>
      </w:pPr>
      <w:r>
        <w:rPr>
          <w:noProof/>
        </w:rPr>
        <w:t>b)</w:t>
      </w:r>
      <w:r>
        <w:rPr>
          <w:noProof/>
        </w:rPr>
        <w:tab/>
        <w:t>proposer des modifications ou des ajouts à l’accord;</w:t>
      </w:r>
    </w:p>
    <w:p w:rsidR="00ED685B" w:rsidRDefault="00140B3D">
      <w:pPr>
        <w:pStyle w:val="Point1"/>
        <w:spacing w:before="140" w:after="140"/>
        <w:rPr>
          <w:noProof/>
        </w:rPr>
      </w:pPr>
      <w:r>
        <w:rPr>
          <w:noProof/>
        </w:rPr>
        <w:t>c)</w:t>
      </w:r>
      <w:r>
        <w:rPr>
          <w:noProof/>
        </w:rPr>
        <w:tab/>
        <w:t>réso</w:t>
      </w:r>
      <w:r>
        <w:rPr>
          <w:noProof/>
        </w:rPr>
        <w:t>udre les litiges liés à l'interprétation ou à l'application des dispositions du présent accord.</w:t>
      </w:r>
    </w:p>
    <w:p w:rsidR="00ED685B" w:rsidRDefault="00140B3D">
      <w:pPr>
        <w:pStyle w:val="ManualNumPar1"/>
        <w:spacing w:before="140" w:after="140"/>
        <w:rPr>
          <w:noProof/>
        </w:rPr>
      </w:pPr>
      <w:r>
        <w:rPr>
          <w:noProof/>
        </w:rPr>
        <w:t>2)</w:t>
      </w:r>
      <w:r>
        <w:rPr>
          <w:noProof/>
        </w:rPr>
        <w:tab/>
        <w:t>Le comité mixte sur la facilitation de la délivrance des visas peut se mettre d’accord sur des recommandations contenant des lignes directrices ou des «meill</w:t>
      </w:r>
      <w:r>
        <w:rPr>
          <w:noProof/>
        </w:rPr>
        <w:t>eures pratiques» destinées à favoriser la mise en œuvre de l’accord.</w:t>
      </w:r>
    </w:p>
    <w:p w:rsidR="00ED685B" w:rsidRDefault="00ED685B">
      <w:pPr>
        <w:pStyle w:val="Titrearticle"/>
        <w:rPr>
          <w:noProof/>
        </w:rPr>
      </w:pPr>
    </w:p>
    <w:p w:rsidR="00ED685B" w:rsidRDefault="00140B3D">
      <w:pPr>
        <w:pStyle w:val="Titrearticle"/>
        <w:rPr>
          <w:noProof/>
        </w:rPr>
      </w:pPr>
      <w:r>
        <w:rPr>
          <w:noProof/>
        </w:rPr>
        <w:t>Article 3</w:t>
      </w:r>
    </w:p>
    <w:p w:rsidR="00ED685B" w:rsidRDefault="00140B3D">
      <w:pPr>
        <w:spacing w:before="160" w:after="160"/>
        <w:jc w:val="center"/>
        <w:rPr>
          <w:rFonts w:ascii="Times New Roman" w:hAnsi="Times New Roman"/>
          <w:b/>
          <w:noProof/>
          <w:sz w:val="24"/>
          <w:szCs w:val="24"/>
        </w:rPr>
      </w:pPr>
      <w:r>
        <w:rPr>
          <w:rFonts w:ascii="Times New Roman" w:hAnsi="Times New Roman"/>
          <w:b/>
          <w:noProof/>
          <w:sz w:val="24"/>
        </w:rPr>
        <w:t>Réunions</w:t>
      </w:r>
    </w:p>
    <w:p w:rsidR="00ED685B" w:rsidRDefault="00140B3D">
      <w:pPr>
        <w:pStyle w:val="ManualNumPar1"/>
        <w:spacing w:before="140" w:after="140"/>
        <w:ind w:left="851" w:hanging="851"/>
        <w:rPr>
          <w:noProof/>
        </w:rPr>
      </w:pPr>
      <w:r>
        <w:rPr>
          <w:noProof/>
        </w:rPr>
        <w:t>1)</w:t>
      </w:r>
      <w:r>
        <w:rPr>
          <w:noProof/>
        </w:rPr>
        <w:tab/>
        <w:t>Le comité mixte sur la facilitation de la délivrance des visas se réunit chaque fois que nécessaire, à la demande des parties, et au moins une fois par an.</w:t>
      </w:r>
    </w:p>
    <w:p w:rsidR="00ED685B" w:rsidRDefault="00140B3D">
      <w:pPr>
        <w:pStyle w:val="ManualNumPar1"/>
        <w:spacing w:before="140" w:after="140"/>
        <w:ind w:left="851" w:hanging="851"/>
        <w:rPr>
          <w:noProof/>
        </w:rPr>
      </w:pPr>
      <w:r>
        <w:rPr>
          <w:noProof/>
        </w:rPr>
        <w:t>2)</w:t>
      </w:r>
      <w:r>
        <w:rPr>
          <w:noProof/>
        </w:rPr>
        <w:tab/>
        <w:t xml:space="preserve">Sauf </w:t>
      </w:r>
      <w:r>
        <w:rPr>
          <w:noProof/>
        </w:rPr>
        <w:t xml:space="preserve">accord contraire, les parties accueillent les réunions à tour de rôle. </w:t>
      </w:r>
    </w:p>
    <w:p w:rsidR="00ED685B" w:rsidRDefault="00140B3D">
      <w:pPr>
        <w:pStyle w:val="ManualNumPar1"/>
        <w:spacing w:before="140" w:after="140"/>
        <w:ind w:left="851" w:hanging="851"/>
        <w:rPr>
          <w:noProof/>
        </w:rPr>
      </w:pPr>
      <w:r>
        <w:rPr>
          <w:noProof/>
        </w:rPr>
        <w:t>3)</w:t>
      </w:r>
      <w:r>
        <w:rPr>
          <w:noProof/>
        </w:rPr>
        <w:tab/>
        <w:t xml:space="preserve">Les réunions du comité mixte sur la facilitation de la délivrance des visas sont convoquées par les coprésidents. </w:t>
      </w:r>
    </w:p>
    <w:p w:rsidR="00ED685B" w:rsidRDefault="00140B3D">
      <w:pPr>
        <w:pStyle w:val="ManualNumPar1"/>
        <w:spacing w:before="140" w:after="140"/>
        <w:ind w:left="851" w:hanging="851"/>
        <w:rPr>
          <w:noProof/>
        </w:rPr>
      </w:pPr>
      <w:r>
        <w:rPr>
          <w:noProof/>
        </w:rPr>
        <w:t>4)</w:t>
      </w:r>
      <w:r>
        <w:rPr>
          <w:noProof/>
        </w:rPr>
        <w:tab/>
        <w:t>Les coprésidents fixent une date pour la réunion et s’échangent</w:t>
      </w:r>
      <w:r>
        <w:rPr>
          <w:noProof/>
        </w:rPr>
        <w:t xml:space="preserve"> en temps utile tous documents nécessaires à une préparation correcte, si possible quatorze jours avant la réunion.</w:t>
      </w:r>
    </w:p>
    <w:p w:rsidR="00ED685B" w:rsidRDefault="00140B3D">
      <w:pPr>
        <w:pStyle w:val="ManualNumPar1"/>
        <w:spacing w:before="140" w:after="140"/>
        <w:ind w:left="851" w:hanging="851"/>
        <w:rPr>
          <w:noProof/>
        </w:rPr>
      </w:pPr>
      <w:r>
        <w:rPr>
          <w:noProof/>
        </w:rPr>
        <w:t>5)</w:t>
      </w:r>
      <w:r>
        <w:rPr>
          <w:noProof/>
        </w:rPr>
        <w:tab/>
        <w:t>La partie hôte se charge des aspects pratiques.</w:t>
      </w:r>
    </w:p>
    <w:p w:rsidR="00ED685B" w:rsidRDefault="00140B3D">
      <w:pPr>
        <w:pStyle w:val="Titrearticle"/>
        <w:rPr>
          <w:noProof/>
        </w:rPr>
      </w:pPr>
      <w:r>
        <w:rPr>
          <w:noProof/>
        </w:rPr>
        <w:t>Article 4</w:t>
      </w:r>
    </w:p>
    <w:p w:rsidR="00ED685B" w:rsidRDefault="00140B3D">
      <w:pPr>
        <w:spacing w:before="160" w:after="160"/>
        <w:jc w:val="center"/>
        <w:rPr>
          <w:rFonts w:ascii="Times New Roman" w:hAnsi="Times New Roman"/>
          <w:b/>
          <w:noProof/>
          <w:sz w:val="24"/>
          <w:szCs w:val="24"/>
        </w:rPr>
      </w:pPr>
      <w:r>
        <w:rPr>
          <w:rFonts w:ascii="Times New Roman" w:hAnsi="Times New Roman"/>
          <w:b/>
          <w:noProof/>
          <w:sz w:val="24"/>
        </w:rPr>
        <w:t>Délégations</w:t>
      </w:r>
    </w:p>
    <w:p w:rsidR="00ED685B" w:rsidRDefault="00140B3D">
      <w:pPr>
        <w:pStyle w:val="ManualNumPar1"/>
        <w:spacing w:before="140" w:after="140"/>
        <w:ind w:left="851" w:hanging="851"/>
        <w:rPr>
          <w:noProof/>
        </w:rPr>
      </w:pPr>
      <w:r>
        <w:rPr>
          <w:noProof/>
        </w:rPr>
        <w:t>1)</w:t>
      </w:r>
      <w:r>
        <w:rPr>
          <w:noProof/>
        </w:rPr>
        <w:tab/>
        <w:t>Les parties se notifient, au moins sept jours avant une réunion,</w:t>
      </w:r>
      <w:r>
        <w:rPr>
          <w:noProof/>
        </w:rPr>
        <w:t xml:space="preserve"> la composition prévue de leur délégation. </w:t>
      </w:r>
    </w:p>
    <w:p w:rsidR="00ED685B" w:rsidRDefault="00140B3D">
      <w:pPr>
        <w:pStyle w:val="ManualNumPar1"/>
        <w:spacing w:before="140" w:after="140"/>
        <w:ind w:left="851" w:hanging="851"/>
        <w:rPr>
          <w:noProof/>
        </w:rPr>
      </w:pPr>
      <w:r>
        <w:rPr>
          <w:noProof/>
        </w:rPr>
        <w:t>2)</w:t>
      </w:r>
      <w:r>
        <w:rPr>
          <w:noProof/>
        </w:rPr>
        <w:tab/>
        <w:t>L'Union européenne est représentée par la Commission européenne, assistée d’experts des États membres.</w:t>
      </w:r>
    </w:p>
    <w:p w:rsidR="00ED685B" w:rsidRDefault="00140B3D">
      <w:pPr>
        <w:pStyle w:val="Titrearticle"/>
        <w:rPr>
          <w:noProof/>
        </w:rPr>
      </w:pPr>
      <w:r>
        <w:rPr>
          <w:noProof/>
        </w:rPr>
        <w:t>Article 5</w:t>
      </w:r>
    </w:p>
    <w:p w:rsidR="00ED685B" w:rsidRDefault="00140B3D">
      <w:pPr>
        <w:spacing w:before="160" w:after="160"/>
        <w:jc w:val="center"/>
        <w:rPr>
          <w:rFonts w:ascii="Times New Roman" w:hAnsi="Times New Roman"/>
          <w:b/>
          <w:noProof/>
          <w:sz w:val="24"/>
          <w:szCs w:val="24"/>
        </w:rPr>
      </w:pPr>
      <w:r>
        <w:rPr>
          <w:rFonts w:ascii="Times New Roman" w:hAnsi="Times New Roman"/>
          <w:b/>
          <w:noProof/>
          <w:sz w:val="24"/>
        </w:rPr>
        <w:t>Ordre du jour des réunions</w:t>
      </w:r>
    </w:p>
    <w:p w:rsidR="00ED685B" w:rsidRDefault="00140B3D">
      <w:pPr>
        <w:pStyle w:val="ManualNumPar1"/>
        <w:spacing w:before="140" w:after="140"/>
        <w:ind w:left="851" w:hanging="851"/>
        <w:rPr>
          <w:noProof/>
        </w:rPr>
      </w:pPr>
      <w:r>
        <w:rPr>
          <w:noProof/>
        </w:rPr>
        <w:t>1)</w:t>
      </w:r>
      <w:r>
        <w:rPr>
          <w:noProof/>
        </w:rPr>
        <w:tab/>
        <w:t>Les coprésidents établissent un ordre du jour provisoire de chaque</w:t>
      </w:r>
      <w:r>
        <w:rPr>
          <w:noProof/>
        </w:rPr>
        <w:t xml:space="preserve"> réunion, au plus tard quatorze jours avant celle-ci. L’ordre du jour provisoire comporte les points dont la demande d’inscription à l’ordre du jour a été reçue par l’un ou l’autre des coprésidents au plus tard quatorze jours avant la réunion.</w:t>
      </w:r>
    </w:p>
    <w:p w:rsidR="00ED685B" w:rsidRDefault="00140B3D">
      <w:pPr>
        <w:pStyle w:val="ManualNumPar1"/>
        <w:spacing w:before="140" w:after="140"/>
        <w:ind w:left="851" w:hanging="851"/>
        <w:rPr>
          <w:noProof/>
        </w:rPr>
      </w:pPr>
      <w:r>
        <w:rPr>
          <w:noProof/>
        </w:rPr>
        <w:t>2)</w:t>
      </w:r>
      <w:r>
        <w:rPr>
          <w:noProof/>
        </w:rPr>
        <w:tab/>
        <w:t>Chaque pa</w:t>
      </w:r>
      <w:r>
        <w:rPr>
          <w:noProof/>
        </w:rPr>
        <w:t xml:space="preserve">rtie peut ajouter des points à l’ordre du jour provisoire à tout moment avant la réunion, avec l’accord de l’autre partie. Les demandes introduites à cet effet sont présentées par écrit et prises en considération dans la mesure du possible. </w:t>
      </w:r>
    </w:p>
    <w:p w:rsidR="00ED685B" w:rsidRDefault="00140B3D">
      <w:pPr>
        <w:pStyle w:val="ManualNumPar1"/>
        <w:spacing w:before="140" w:after="140"/>
        <w:ind w:left="851" w:hanging="851"/>
        <w:rPr>
          <w:noProof/>
        </w:rPr>
      </w:pPr>
      <w:r>
        <w:rPr>
          <w:noProof/>
        </w:rPr>
        <w:t>3)</w:t>
      </w:r>
      <w:r>
        <w:rPr>
          <w:noProof/>
        </w:rPr>
        <w:tab/>
        <w:t xml:space="preserve">L’ordre du </w:t>
      </w:r>
      <w:r>
        <w:rPr>
          <w:noProof/>
        </w:rPr>
        <w:t>jour définitif est arrêté par les coprésidents au début de chaque réunion. Un point ne figurant pas à l’ordre du jour provisoire peut être ajouté avec l’accord des deux parties et est pris en considération dans la mesure du possible.</w:t>
      </w:r>
    </w:p>
    <w:p w:rsidR="00ED685B" w:rsidRDefault="00140B3D">
      <w:pPr>
        <w:pStyle w:val="Titrearticle"/>
        <w:rPr>
          <w:noProof/>
        </w:rPr>
      </w:pPr>
      <w:r>
        <w:rPr>
          <w:noProof/>
        </w:rPr>
        <w:br w:type="page"/>
      </w:r>
      <w:r>
        <w:rPr>
          <w:noProof/>
        </w:rPr>
        <w:lastRenderedPageBreak/>
        <w:t>Article 6</w:t>
      </w:r>
    </w:p>
    <w:p w:rsidR="00ED685B" w:rsidRDefault="00140B3D">
      <w:pPr>
        <w:spacing w:before="160" w:after="160"/>
        <w:jc w:val="center"/>
        <w:rPr>
          <w:rFonts w:ascii="Times New Roman" w:hAnsi="Times New Roman"/>
          <w:b/>
          <w:noProof/>
          <w:sz w:val="24"/>
          <w:szCs w:val="24"/>
        </w:rPr>
      </w:pPr>
      <w:r>
        <w:rPr>
          <w:rFonts w:ascii="Times New Roman" w:hAnsi="Times New Roman"/>
          <w:b/>
          <w:noProof/>
          <w:sz w:val="24"/>
        </w:rPr>
        <w:t>Compte rend</w:t>
      </w:r>
      <w:r>
        <w:rPr>
          <w:rFonts w:ascii="Times New Roman" w:hAnsi="Times New Roman"/>
          <w:b/>
          <w:noProof/>
          <w:sz w:val="24"/>
        </w:rPr>
        <w:t>u</w:t>
      </w:r>
    </w:p>
    <w:p w:rsidR="00ED685B" w:rsidRDefault="00140B3D">
      <w:pPr>
        <w:pStyle w:val="ManualNumPar1"/>
        <w:spacing w:before="140" w:after="140"/>
        <w:rPr>
          <w:noProof/>
        </w:rPr>
      </w:pPr>
      <w:r>
        <w:rPr>
          <w:noProof/>
        </w:rPr>
        <w:t>1)</w:t>
      </w:r>
      <w:r>
        <w:rPr>
          <w:noProof/>
        </w:rPr>
        <w:tab/>
        <w:t>Un projet de compte rendu est établi dès que possible par le coprésident de la délégation hôte.</w:t>
      </w:r>
    </w:p>
    <w:p w:rsidR="00ED685B" w:rsidRDefault="00140B3D">
      <w:pPr>
        <w:pStyle w:val="ManualNumPar1"/>
        <w:spacing w:before="140" w:after="140"/>
        <w:rPr>
          <w:noProof/>
        </w:rPr>
      </w:pPr>
      <w:r>
        <w:rPr>
          <w:noProof/>
        </w:rPr>
        <w:t>2)</w:t>
      </w:r>
      <w:r>
        <w:rPr>
          <w:noProof/>
        </w:rPr>
        <w:tab/>
        <w:t>Le compte rendu indique, en règle générale, pour chaque point de l’ordre du jour:</w:t>
      </w:r>
    </w:p>
    <w:p w:rsidR="00ED685B" w:rsidRDefault="00140B3D">
      <w:pPr>
        <w:pStyle w:val="Point1"/>
        <w:spacing w:before="140" w:after="140"/>
        <w:rPr>
          <w:noProof/>
        </w:rPr>
      </w:pPr>
      <w:r>
        <w:rPr>
          <w:noProof/>
        </w:rPr>
        <w:t>a)</w:t>
      </w:r>
      <w:r>
        <w:rPr>
          <w:noProof/>
        </w:rPr>
        <w:tab/>
        <w:t>les documents soumis au comité mixte sur la facilitation de la déli</w:t>
      </w:r>
      <w:r>
        <w:rPr>
          <w:noProof/>
        </w:rPr>
        <w:t>vrance des visas;</w:t>
      </w:r>
    </w:p>
    <w:p w:rsidR="00ED685B" w:rsidRDefault="00140B3D">
      <w:pPr>
        <w:pStyle w:val="Point1"/>
        <w:spacing w:before="140" w:after="140"/>
        <w:rPr>
          <w:noProof/>
        </w:rPr>
      </w:pPr>
      <w:r>
        <w:rPr>
          <w:noProof/>
        </w:rPr>
        <w:t>b)</w:t>
      </w:r>
      <w:r>
        <w:rPr>
          <w:noProof/>
        </w:rPr>
        <w:tab/>
        <w:t>les déclarations dont une partie a demandé l’inscription, et:</w:t>
      </w:r>
    </w:p>
    <w:p w:rsidR="00ED685B" w:rsidRDefault="00140B3D">
      <w:pPr>
        <w:pStyle w:val="Point1"/>
        <w:spacing w:before="140" w:after="140"/>
        <w:rPr>
          <w:noProof/>
        </w:rPr>
      </w:pPr>
      <w:r>
        <w:rPr>
          <w:noProof/>
        </w:rPr>
        <w:t>c)</w:t>
      </w:r>
      <w:r>
        <w:rPr>
          <w:noProof/>
        </w:rPr>
        <w:tab/>
        <w:t>les décisions prises, les recommandations émises et les conclusions adoptées sur un point spécifique.</w:t>
      </w:r>
    </w:p>
    <w:p w:rsidR="00ED685B" w:rsidRDefault="00140B3D">
      <w:pPr>
        <w:pStyle w:val="ManualNumPar1"/>
        <w:spacing w:before="140" w:after="140"/>
        <w:rPr>
          <w:noProof/>
        </w:rPr>
      </w:pPr>
      <w:r>
        <w:rPr>
          <w:noProof/>
        </w:rPr>
        <w:t>3)</w:t>
      </w:r>
      <w:r>
        <w:rPr>
          <w:noProof/>
        </w:rPr>
        <w:tab/>
        <w:t>Le compte rendu comprend également la liste des participants de c</w:t>
      </w:r>
      <w:r>
        <w:rPr>
          <w:noProof/>
        </w:rPr>
        <w:t>haque délégation, avec indication du ministère, de l’organisme ou de l’institution qu’ils représentent.</w:t>
      </w:r>
    </w:p>
    <w:p w:rsidR="00ED685B" w:rsidRDefault="00140B3D">
      <w:pPr>
        <w:pStyle w:val="ManualNumPar1"/>
        <w:spacing w:before="140" w:after="140"/>
        <w:rPr>
          <w:noProof/>
        </w:rPr>
      </w:pPr>
      <w:r>
        <w:rPr>
          <w:noProof/>
        </w:rPr>
        <w:t>4)</w:t>
      </w:r>
      <w:r>
        <w:rPr>
          <w:noProof/>
        </w:rPr>
        <w:tab/>
        <w:t>Le compte rendu est approuvé par le comité mixte sur la facilitation de la délivrance des visas lors de sa réunion suivante.</w:t>
      </w:r>
    </w:p>
    <w:p w:rsidR="00ED685B" w:rsidRDefault="00140B3D">
      <w:pPr>
        <w:pStyle w:val="Titrearticle"/>
        <w:rPr>
          <w:noProof/>
        </w:rPr>
      </w:pPr>
      <w:r>
        <w:rPr>
          <w:noProof/>
        </w:rPr>
        <w:t>Article 7</w:t>
      </w:r>
    </w:p>
    <w:p w:rsidR="00ED685B" w:rsidRDefault="00140B3D">
      <w:pPr>
        <w:spacing w:before="160" w:after="160"/>
        <w:jc w:val="center"/>
        <w:rPr>
          <w:rFonts w:ascii="Times New Roman" w:hAnsi="Times New Roman"/>
          <w:b/>
          <w:noProof/>
          <w:sz w:val="24"/>
          <w:szCs w:val="24"/>
        </w:rPr>
      </w:pPr>
      <w:r>
        <w:rPr>
          <w:rFonts w:ascii="Times New Roman" w:hAnsi="Times New Roman"/>
          <w:b/>
          <w:noProof/>
          <w:sz w:val="24"/>
        </w:rPr>
        <w:t>Décisions et r</w:t>
      </w:r>
      <w:r>
        <w:rPr>
          <w:rFonts w:ascii="Times New Roman" w:hAnsi="Times New Roman"/>
          <w:b/>
          <w:noProof/>
          <w:sz w:val="24"/>
        </w:rPr>
        <w:t>ecommandations du comité mixte sur la facilitation de la délivrance des visas</w:t>
      </w:r>
    </w:p>
    <w:p w:rsidR="00ED685B" w:rsidRDefault="00140B3D">
      <w:pPr>
        <w:pStyle w:val="ManualNumPar1"/>
        <w:spacing w:before="140" w:after="140"/>
        <w:ind w:left="851" w:hanging="851"/>
        <w:rPr>
          <w:noProof/>
        </w:rPr>
      </w:pPr>
      <w:r>
        <w:rPr>
          <w:noProof/>
        </w:rPr>
        <w:t>1)</w:t>
      </w:r>
      <w:r>
        <w:rPr>
          <w:noProof/>
        </w:rPr>
        <w:tab/>
        <w:t>Les décisions du comité mixte sur la facilitation de la délivrance des visas se prennent de commun accord.</w:t>
      </w:r>
    </w:p>
    <w:p w:rsidR="00ED685B" w:rsidRDefault="00140B3D">
      <w:pPr>
        <w:pStyle w:val="ManualNumPar1"/>
        <w:spacing w:before="140" w:after="140"/>
        <w:ind w:left="851" w:hanging="851"/>
        <w:rPr>
          <w:noProof/>
        </w:rPr>
      </w:pPr>
      <w:r>
        <w:rPr>
          <w:noProof/>
        </w:rPr>
        <w:t>2)</w:t>
      </w:r>
      <w:r>
        <w:rPr>
          <w:noProof/>
        </w:rPr>
        <w:tab/>
        <w:t>Les décisions du comité mixte sur la facilitation de la délivranc</w:t>
      </w:r>
      <w:r>
        <w:rPr>
          <w:noProof/>
        </w:rPr>
        <w:t xml:space="preserve">e des visas portent l’intitulé «décision» suivi d’un numéro d’ordre et d’une description de leur objet. La date d’effet est également indiquée. Les décisions sont signées par les représentants du comité mixte sur la facilitation de la délivrance des visas </w:t>
      </w:r>
      <w:r>
        <w:rPr>
          <w:noProof/>
        </w:rPr>
        <w:t>autorisés à agir au nom des parties. Elles sont établies en double exemplaire, chaque texte faisant également foi.</w:t>
      </w:r>
    </w:p>
    <w:p w:rsidR="00ED685B" w:rsidRDefault="00140B3D">
      <w:pPr>
        <w:pStyle w:val="ManualNumPar1"/>
        <w:spacing w:before="140" w:after="140"/>
        <w:ind w:left="851" w:hanging="851"/>
        <w:rPr>
          <w:noProof/>
        </w:rPr>
      </w:pPr>
      <w:r>
        <w:rPr>
          <w:noProof/>
        </w:rPr>
        <w:t>3)</w:t>
      </w:r>
      <w:r>
        <w:rPr>
          <w:noProof/>
        </w:rPr>
        <w:tab/>
        <w:t>Les paragraphes 1 et 2 s’appliquent mutatis mutandis aux recommandations du comité mixte sur la facilitation de la délivrance des visas.</w:t>
      </w:r>
    </w:p>
    <w:p w:rsidR="00ED685B" w:rsidRDefault="00140B3D">
      <w:pPr>
        <w:pStyle w:val="Titrearticle"/>
        <w:rPr>
          <w:noProof/>
        </w:rPr>
      </w:pPr>
      <w:r>
        <w:rPr>
          <w:noProof/>
        </w:rPr>
        <w:t>A</w:t>
      </w:r>
      <w:r>
        <w:rPr>
          <w:noProof/>
        </w:rPr>
        <w:t>rticle 8</w:t>
      </w:r>
    </w:p>
    <w:p w:rsidR="00ED685B" w:rsidRDefault="00140B3D">
      <w:pPr>
        <w:spacing w:before="160" w:after="160"/>
        <w:jc w:val="center"/>
        <w:rPr>
          <w:rFonts w:ascii="Times New Roman" w:hAnsi="Times New Roman"/>
          <w:b/>
          <w:noProof/>
          <w:sz w:val="24"/>
          <w:szCs w:val="24"/>
        </w:rPr>
      </w:pPr>
      <w:r>
        <w:rPr>
          <w:rFonts w:ascii="Times New Roman" w:hAnsi="Times New Roman"/>
          <w:b/>
          <w:noProof/>
          <w:sz w:val="24"/>
        </w:rPr>
        <w:t>Charges</w:t>
      </w:r>
    </w:p>
    <w:p w:rsidR="00ED685B" w:rsidRDefault="00140B3D">
      <w:pPr>
        <w:pStyle w:val="ManualNumPar1"/>
        <w:spacing w:before="140" w:after="140"/>
        <w:ind w:left="851" w:hanging="851"/>
        <w:rPr>
          <w:noProof/>
        </w:rPr>
      </w:pPr>
      <w:r>
        <w:rPr>
          <w:noProof/>
        </w:rPr>
        <w:t>1)</w:t>
      </w:r>
      <w:r>
        <w:rPr>
          <w:noProof/>
        </w:rPr>
        <w:tab/>
        <w:t>Chaque partie prend en charge les dépenses qu’elle expose en raison de sa participation aux réunions du comité mixte sur la facilitation de la délivrance des visas, en ce qui concerne notamment les frais de personnel, de voyage et de sé</w:t>
      </w:r>
      <w:r>
        <w:rPr>
          <w:noProof/>
        </w:rPr>
        <w:t>jour ainsi que les dépenses relatives au courrier postal et aux télécommunications.</w:t>
      </w:r>
    </w:p>
    <w:p w:rsidR="00ED685B" w:rsidRDefault="00140B3D">
      <w:pPr>
        <w:pStyle w:val="ManualNumPar1"/>
        <w:spacing w:before="140" w:after="140"/>
        <w:ind w:left="851" w:hanging="851"/>
        <w:rPr>
          <w:noProof/>
        </w:rPr>
      </w:pPr>
      <w:r>
        <w:rPr>
          <w:noProof/>
        </w:rPr>
        <w:t>2)</w:t>
      </w:r>
      <w:r>
        <w:rPr>
          <w:noProof/>
        </w:rPr>
        <w:tab/>
        <w:t>Les autres dépenses afférentes à l’organisation des réunions sont normalement prises en charge par la partie hôte.</w:t>
      </w:r>
    </w:p>
    <w:p w:rsidR="00ED685B" w:rsidRDefault="00ED685B">
      <w:pPr>
        <w:pStyle w:val="Titrearticle"/>
        <w:rPr>
          <w:noProof/>
        </w:rPr>
      </w:pPr>
    </w:p>
    <w:p w:rsidR="00ED685B" w:rsidRDefault="00140B3D">
      <w:pPr>
        <w:pStyle w:val="Titrearticle"/>
        <w:rPr>
          <w:noProof/>
        </w:rPr>
      </w:pPr>
      <w:r>
        <w:rPr>
          <w:noProof/>
        </w:rPr>
        <w:t>Article 9</w:t>
      </w:r>
    </w:p>
    <w:p w:rsidR="00ED685B" w:rsidRDefault="00140B3D">
      <w:pPr>
        <w:spacing w:before="160" w:after="160"/>
        <w:jc w:val="center"/>
        <w:rPr>
          <w:rFonts w:ascii="Times New Roman" w:hAnsi="Times New Roman"/>
          <w:b/>
          <w:noProof/>
          <w:sz w:val="24"/>
          <w:szCs w:val="24"/>
        </w:rPr>
      </w:pPr>
      <w:r>
        <w:rPr>
          <w:rFonts w:ascii="Times New Roman" w:hAnsi="Times New Roman"/>
          <w:b/>
          <w:noProof/>
          <w:sz w:val="24"/>
        </w:rPr>
        <w:t>Procédures administratives</w:t>
      </w:r>
    </w:p>
    <w:p w:rsidR="00ED685B" w:rsidRDefault="00140B3D">
      <w:pPr>
        <w:pStyle w:val="ManualNumPar1"/>
        <w:spacing w:before="140" w:after="140"/>
        <w:ind w:left="851" w:hanging="851"/>
        <w:rPr>
          <w:noProof/>
        </w:rPr>
      </w:pPr>
      <w:r>
        <w:rPr>
          <w:noProof/>
        </w:rPr>
        <w:t>1)</w:t>
      </w:r>
      <w:r>
        <w:rPr>
          <w:noProof/>
        </w:rPr>
        <w:tab/>
        <w:t>Sauf décision</w:t>
      </w:r>
      <w:r>
        <w:rPr>
          <w:noProof/>
        </w:rPr>
        <w:t xml:space="preserve"> contraire, les réunions du comité mixte sur la facilitation de la délivrance des visas ne sont pas publiques.</w:t>
      </w:r>
    </w:p>
    <w:p w:rsidR="00ED685B" w:rsidRDefault="00140B3D">
      <w:pPr>
        <w:pStyle w:val="ManualNumPar1"/>
        <w:spacing w:before="140" w:after="140"/>
        <w:ind w:left="851" w:hanging="851"/>
        <w:rPr>
          <w:noProof/>
        </w:rPr>
      </w:pPr>
      <w:r>
        <w:rPr>
          <w:noProof/>
        </w:rPr>
        <w:t>2)</w:t>
      </w:r>
      <w:r>
        <w:rPr>
          <w:noProof/>
        </w:rPr>
        <w:tab/>
        <w:t>Les comptes rendus et les autres documents du comité mixte sur la facilitation de la délivrance des visas sont traités confidentiellement.</w:t>
      </w:r>
    </w:p>
    <w:p w:rsidR="00ED685B" w:rsidRDefault="00140B3D">
      <w:pPr>
        <w:pStyle w:val="ManualNumPar1"/>
        <w:spacing w:before="140" w:after="140"/>
        <w:ind w:left="851" w:hanging="851"/>
        <w:rPr>
          <w:noProof/>
        </w:rPr>
      </w:pPr>
      <w:r>
        <w:rPr>
          <w:noProof/>
        </w:rPr>
        <w:t>3)</w:t>
      </w:r>
      <w:r>
        <w:rPr>
          <w:noProof/>
        </w:rPr>
        <w:tab/>
      </w:r>
      <w:r>
        <w:rPr>
          <w:noProof/>
        </w:rPr>
        <w:t>Des participants autres que des fonctionnaires des parties et des États membres peuvent être invités avec l’accord des deux coprésidents et sont soumis aux mêmes exigences de confidentialité.</w:t>
      </w:r>
    </w:p>
    <w:p w:rsidR="00ED685B" w:rsidRDefault="00140B3D">
      <w:pPr>
        <w:pStyle w:val="ManualNumPar1"/>
        <w:spacing w:before="140" w:after="140"/>
        <w:ind w:left="851" w:hanging="851"/>
        <w:rPr>
          <w:noProof/>
        </w:rPr>
      </w:pPr>
      <w:r>
        <w:rPr>
          <w:noProof/>
        </w:rPr>
        <w:t>4)</w:t>
      </w:r>
      <w:r>
        <w:rPr>
          <w:noProof/>
        </w:rPr>
        <w:tab/>
        <w:t>Les parties peuvent organiser des séances d’information publi</w:t>
      </w:r>
      <w:r>
        <w:rPr>
          <w:noProof/>
        </w:rPr>
        <w:t>ques ou communiquer de toute autre manière au public intéressé les résultats des réunions du comité mixte.</w:t>
      </w:r>
    </w:p>
    <w:p w:rsidR="00ED685B" w:rsidRDefault="00140B3D">
      <w:pPr>
        <w:tabs>
          <w:tab w:val="left" w:pos="5529"/>
        </w:tabs>
        <w:spacing w:before="360"/>
        <w:rPr>
          <w:rFonts w:ascii="Times New Roman" w:hAnsi="Times New Roman"/>
          <w:noProof/>
          <w:sz w:val="24"/>
          <w:szCs w:val="24"/>
        </w:rPr>
      </w:pPr>
      <w:r>
        <w:rPr>
          <w:rFonts w:ascii="Times New Roman" w:hAnsi="Times New Roman"/>
          <w:i/>
          <w:noProof/>
          <w:sz w:val="24"/>
        </w:rPr>
        <w:t>Pour l'Union européenne</w:t>
      </w:r>
      <w:r>
        <w:rPr>
          <w:noProof/>
        </w:rPr>
        <w:tab/>
      </w:r>
      <w:r>
        <w:rPr>
          <w:rFonts w:ascii="Times New Roman" w:hAnsi="Times New Roman"/>
          <w:i/>
          <w:noProof/>
          <w:sz w:val="24"/>
        </w:rPr>
        <w:t>Pour la République d’Arménie</w:t>
      </w:r>
    </w:p>
    <w:p w:rsidR="00ED685B" w:rsidRDefault="00140B3D">
      <w:pPr>
        <w:jc w:val="center"/>
        <w:rPr>
          <w:rFonts w:ascii="Times New Roman" w:hAnsi="Times New Roman"/>
          <w:noProof/>
          <w:sz w:val="24"/>
          <w:szCs w:val="24"/>
        </w:rPr>
      </w:pPr>
      <w:r>
        <w:rPr>
          <w:noProof/>
        </w:rPr>
        <w:br w:type="page"/>
      </w:r>
      <w:r>
        <w:rPr>
          <w:rFonts w:ascii="Times New Roman" w:hAnsi="Times New Roman"/>
          <w:b/>
          <w:noProof/>
          <w:sz w:val="24"/>
        </w:rPr>
        <w:t>DÉCLARATION COMMUNE ANNEXÉE AU RÈGLEMENT INTÉRIEUR DU COMITÉ MIXTE DE GESTION DE L’ACCORD ENTRE</w:t>
      </w:r>
      <w:r>
        <w:rPr>
          <w:rFonts w:ascii="Times New Roman" w:hAnsi="Times New Roman"/>
          <w:b/>
          <w:noProof/>
          <w:sz w:val="24"/>
        </w:rPr>
        <w:t xml:space="preserve"> L’UNION EUROPÉENNE ET LA RÉPUBLIQUE D'ARMÉNIE VISANT À FACILITER LA DÉLIVRANCE DES VISAS</w:t>
      </w:r>
    </w:p>
    <w:p w:rsidR="00ED685B" w:rsidRDefault="00140B3D">
      <w:pPr>
        <w:rPr>
          <w:rFonts w:ascii="Times New Roman" w:hAnsi="Times New Roman"/>
          <w:noProof/>
          <w:sz w:val="24"/>
          <w:szCs w:val="24"/>
        </w:rPr>
      </w:pPr>
      <w:r>
        <w:rPr>
          <w:rFonts w:ascii="Times New Roman" w:hAnsi="Times New Roman"/>
          <w:noProof/>
          <w:sz w:val="24"/>
        </w:rPr>
        <w:t>Afin d’assurer la mise en œuvre ininterrompue, correcte et harmonisée de l’accord, la République d'Arménie, la Commission européenne et les États membres s’engagent à</w:t>
      </w:r>
      <w:r>
        <w:rPr>
          <w:rFonts w:ascii="Times New Roman" w:hAnsi="Times New Roman"/>
          <w:noProof/>
          <w:sz w:val="24"/>
        </w:rPr>
        <w:t xml:space="preserve"> se contacter de manière informelle lorsque des questions urgentes doivent être réglées entre les réunions officielles du comité mixte. Lors de la réunion suivante dudit comité, il sera rendu compte de ces questions et des contacts informels auxquels elles</w:t>
      </w:r>
      <w:r>
        <w:rPr>
          <w:rFonts w:ascii="Times New Roman" w:hAnsi="Times New Roman"/>
          <w:noProof/>
          <w:sz w:val="24"/>
        </w:rPr>
        <w:t xml:space="preserve"> auront donné lieu.</w:t>
      </w:r>
    </w:p>
    <w:p w:rsidR="00ED685B" w:rsidRDefault="00ED685B">
      <w:pPr>
        <w:rPr>
          <w:rFonts w:ascii="Times New Roman" w:hAnsi="Times New Roman"/>
          <w:noProof/>
          <w:sz w:val="24"/>
          <w:szCs w:val="24"/>
        </w:rPr>
      </w:pPr>
    </w:p>
    <w:p w:rsidR="00ED685B" w:rsidRDefault="00ED685B">
      <w:pPr>
        <w:rPr>
          <w:rFonts w:ascii="Times New Roman" w:hAnsi="Times New Roman"/>
          <w:noProof/>
          <w:sz w:val="24"/>
          <w:szCs w:val="24"/>
        </w:rPr>
      </w:pPr>
    </w:p>
    <w:sectPr w:rsidR="00ED685B">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85B" w:rsidRDefault="00140B3D">
      <w:pPr>
        <w:spacing w:after="0" w:line="240" w:lineRule="auto"/>
      </w:pPr>
      <w:r>
        <w:separator/>
      </w:r>
    </w:p>
  </w:endnote>
  <w:endnote w:type="continuationSeparator" w:id="0">
    <w:p w:rsidR="00ED685B" w:rsidRDefault="00140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B3D" w:rsidRPr="00140B3D" w:rsidRDefault="00140B3D" w:rsidP="00140B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B3D" w:rsidRPr="00140B3D" w:rsidRDefault="00140B3D" w:rsidP="00140B3D">
    <w:pPr>
      <w:pStyle w:val="FooterCoverPage"/>
      <w:rPr>
        <w:rFonts w:ascii="Arial" w:hAnsi="Arial" w:cs="Arial"/>
        <w:b/>
        <w:sz w:val="48"/>
      </w:rPr>
    </w:pPr>
    <w:r w:rsidRPr="00140B3D">
      <w:rPr>
        <w:rFonts w:ascii="Arial" w:hAnsi="Arial" w:cs="Arial"/>
        <w:b/>
        <w:sz w:val="48"/>
      </w:rPr>
      <w:t>FR</w:t>
    </w:r>
    <w:r w:rsidRPr="00140B3D">
      <w:rPr>
        <w:rFonts w:ascii="Arial" w:hAnsi="Arial" w:cs="Arial"/>
        <w:b/>
        <w:sz w:val="48"/>
      </w:rPr>
      <w:tab/>
    </w:r>
    <w:r w:rsidRPr="00140B3D">
      <w:rPr>
        <w:rFonts w:ascii="Arial" w:hAnsi="Arial" w:cs="Arial"/>
        <w:b/>
        <w:sz w:val="48"/>
      </w:rPr>
      <w:tab/>
    </w:r>
    <w:fldSimple w:instr=" DOCVARIABLE &quot;LW_Confidence&quot; \* MERGEFORMAT ">
      <w:r>
        <w:t xml:space="preserve"> </w:t>
      </w:r>
    </w:fldSimple>
    <w:r w:rsidRPr="00140B3D">
      <w:tab/>
    </w:r>
    <w:r w:rsidRPr="00140B3D">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B3D" w:rsidRPr="00140B3D" w:rsidRDefault="00140B3D" w:rsidP="00140B3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85B" w:rsidRDefault="00ED685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85B" w:rsidRDefault="00140B3D">
    <w:pPr>
      <w:pStyle w:val="Footer"/>
      <w:jc w:val="center"/>
    </w:pPr>
    <w:r>
      <w:fldChar w:fldCharType="begin"/>
    </w:r>
    <w:r>
      <w:instrText xml:space="preserve"> PAGE   \* MERGEFORMAT </w:instrText>
    </w:r>
    <w:r>
      <w:fldChar w:fldCharType="separate"/>
    </w:r>
    <w:r>
      <w:rPr>
        <w:noProof/>
      </w:rPr>
      <w:t>6</w:t>
    </w:r>
    <w:r>
      <w:rPr>
        <w:noProof/>
      </w:rPr>
      <w:fldChar w:fldCharType="end"/>
    </w:r>
  </w:p>
  <w:p w:rsidR="00ED685B" w:rsidRDefault="00ED685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85B" w:rsidRDefault="00140B3D">
    <w:pPr>
      <w:pStyle w:val="Footer"/>
      <w:jc w:val="center"/>
    </w:pPr>
    <w:r>
      <w:fldChar w:fldCharType="begin"/>
    </w:r>
    <w:r>
      <w:instrText xml:space="preserve"> PAGE   \* MERGEFORMAT </w:instrText>
    </w:r>
    <w:r>
      <w:fldChar w:fldCharType="separate"/>
    </w:r>
    <w:r>
      <w:rPr>
        <w:noProof/>
      </w:rPr>
      <w:t>2</w:t>
    </w:r>
    <w:r>
      <w:rPr>
        <w:noProof/>
      </w:rPr>
      <w:fldChar w:fldCharType="end"/>
    </w:r>
  </w:p>
  <w:p w:rsidR="00ED685B" w:rsidRDefault="00ED6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85B" w:rsidRDefault="00140B3D">
      <w:pPr>
        <w:spacing w:after="0" w:line="240" w:lineRule="auto"/>
      </w:pPr>
      <w:r>
        <w:separator/>
      </w:r>
    </w:p>
  </w:footnote>
  <w:footnote w:type="continuationSeparator" w:id="0">
    <w:p w:rsidR="00ED685B" w:rsidRDefault="00140B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B3D" w:rsidRPr="00140B3D" w:rsidRDefault="00140B3D" w:rsidP="00140B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B3D" w:rsidRPr="00140B3D" w:rsidRDefault="00140B3D" w:rsidP="00140B3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B3D" w:rsidRPr="00140B3D" w:rsidRDefault="00140B3D" w:rsidP="00140B3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85B" w:rsidRDefault="00ED685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85B" w:rsidRDefault="00ED685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85B" w:rsidRDefault="00ED68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proposition de"/>
    <w:docVar w:name="LW_ANNEX_NBR_FIRST" w:val="1"/>
    <w:docVar w:name="LW_ANNEX_NBR_LAST" w:val="1"/>
    <w:docVar w:name="LW_CONFIDENCE" w:val=" "/>
    <w:docVar w:name="LW_CONST_RESTREINT_UE" w:val="RESTREINT UE/EU RESTRICTED"/>
    <w:docVar w:name="LW_CORRIGENDUM" w:val="&lt;UNUSED&gt;"/>
    <w:docVar w:name="LW_COVERPAGE_GUID" w:val="CC79A9CAE5164BFDBB1592195463C266"/>
    <w:docVar w:name="LW_CROSSREFERENCE" w:val="&lt;UNUSED&gt;"/>
    <w:docVar w:name="LW_DocType" w:val="NORMAL"/>
    <w:docVar w:name="LW_EMISSION" w:val="31.7.2015"/>
    <w:docVar w:name="LW_EMISSION_ISODATE" w:val="2015-07-31"/>
    <w:docVar w:name="LW_EMISSION_LOCATION" w:val="BRX"/>
    <w:docVar w:name="LW_EMISSION_PREFIX" w:val="Bruxelles, le "/>
    <w:docVar w:name="LW_EMISSION_SUFFIX" w:val=" "/>
    <w:docVar w:name="LW_ID_DOCTYPE_NONLW" w:val="CP-038"/>
    <w:docVar w:name="LW_LANGUE" w:val="FR"/>
    <w:docVar w:name="LW_MARKING" w:val="&lt;UNUSED&gt;"/>
    <w:docVar w:name="LW_NOM.INST" w:val="COMMISSION EUROPÉENNE"/>
    <w:docVar w:name="LW_NOM.INST_JOINTDOC" w:val="&lt;EMPTY&gt;"/>
    <w:docVar w:name="LW_OBJETACTEPRINCIPAL.CP" w:val="arrêtant la position de l\u8217?Union européenne au sujet d\u8217?une décision du comité mixte institué par l\u8217?accord entre l\u8217?Union européenne et la République d'Arménie visant à faciliter la délivrance des visas, en ce qui concerne l'adoption du règlement intérieur dudit comité_x000b_"/>
    <w:docVar w:name="LW_PART_NBR" w:val="1"/>
    <w:docVar w:name="LW_PART_NBR_TOTAL" w:val="1"/>
    <w:docVar w:name="LW_REF.INST.NEW" w:val="COM"/>
    <w:docVar w:name="LW_REF.INST.NEW_ADOPTED" w:val="final"/>
    <w:docVar w:name="LW_REF.INST.NEW_TEXT" w:val="(2015) 375"/>
    <w:docVar w:name="LW_REF.INTERNE" w:val="&lt;UNUSED&gt;"/>
    <w:docVar w:name="LW_SUPERTITRE" w:val="&lt;UNUSED&gt;"/>
    <w:docVar w:name="LW_TITRE.OBJ.CP" w:val="&lt;UNUSED&gt;"/>
    <w:docVar w:name="LW_TYPE.DOC.CP" w:val="ANNEXE_x000b_"/>
    <w:docVar w:name="LW_TYPEACTEPRINCIPAL.CP" w:val="DÉCISION DU CONSEIL"/>
  </w:docVars>
  <w:rsids>
    <w:rsidRoot w:val="00ED685B"/>
    <w:rsid w:val="00140B3D"/>
    <w:rsid w:val="00ED68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Annexetitre">
    <w:name w:val="Annexe titre"/>
    <w:basedOn w:val="Normal"/>
    <w:next w:val="Normal"/>
    <w:link w:val="AnnexetitreChar"/>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val="fr-FR"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AnnexetitreChar">
    <w:name w:val="Annexe titre Char"/>
    <w:link w:val="Annexetitre"/>
    <w:rPr>
      <w:rFonts w:ascii="Times New Roman" w:eastAsia="Times New Roman" w:hAnsi="Times New Roman"/>
      <w:b/>
      <w:sz w:val="24"/>
      <w:szCs w:val="24"/>
      <w:u w:val="single"/>
      <w:lang w:eastAsia="fr-FR"/>
    </w:r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overPageChar">
    <w:name w:val="Header Cover Page Char"/>
    <w:link w:val="HeaderCoverPage"/>
    <w:rPr>
      <w:rFonts w:ascii="Times New Roman" w:eastAsia="Times New Roman" w:hAnsi="Times New Roman"/>
      <w:sz w:val="24"/>
      <w:szCs w:val="22"/>
    </w:rPr>
  </w:style>
  <w:style w:type="character" w:styleId="LineNumber">
    <w:name w:val="line number"/>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Annexetitre">
    <w:name w:val="Annexe titre"/>
    <w:basedOn w:val="Normal"/>
    <w:next w:val="Normal"/>
    <w:link w:val="AnnexetitreChar"/>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val="fr-FR"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AnnexetitreChar">
    <w:name w:val="Annexe titre Char"/>
    <w:link w:val="Annexetitre"/>
    <w:rPr>
      <w:rFonts w:ascii="Times New Roman" w:eastAsia="Times New Roman" w:hAnsi="Times New Roman"/>
      <w:b/>
      <w:sz w:val="24"/>
      <w:szCs w:val="24"/>
      <w:u w:val="single"/>
      <w:lang w:eastAsia="fr-FR"/>
    </w:r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overPageChar">
    <w:name w:val="Header Cover Page Char"/>
    <w:link w:val="HeaderCoverPage"/>
    <w:rPr>
      <w:rFonts w:ascii="Times New Roman" w:eastAsia="Times New Roman" w:hAnsi="Times New Roman"/>
      <w:sz w:val="24"/>
      <w:szCs w:val="22"/>
    </w:rPr>
  </w:style>
  <w:style w:type="character" w:styleId="LineNumber">
    <w:name w:val="line number"/>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22582-6D71-4C60-87D0-DCCB9F67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1032</Words>
  <Characters>5475</Characters>
  <Application>Microsoft Office Word</Application>
  <DocSecurity>0</DocSecurity>
  <Lines>124</Lines>
  <Paragraphs>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DOMANSKA Aleksandra (HOME)</dc:creator>
  <cp:lastModifiedBy>KITRIMI Efstathia (SG)</cp:lastModifiedBy>
  <cp:revision>2</cp:revision>
  <dcterms:created xsi:type="dcterms:W3CDTF">2015-08-03T14:07:00Z</dcterms:created>
  <dcterms:modified xsi:type="dcterms:W3CDTF">2015-08-03T14:07:00Z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