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42CAD7BBA9B4605B894E7ECE94C22E3" style="width:450.75pt;height:697.5pt">
            <v:imagedata r:id="rId9" o:title=""/>
          </v:shape>
        </w:pict>
      </w:r>
    </w:p>
    <w:p>
      <w:pPr>
        <w:rPr>
          <w:b/>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 xml:space="preserve">Временното споразумение за икономическо партньорство между Европейската общност и нейните държави членки, от една страна, и страната по споразумението Централна Африка, състояща се понастоящем от Република Камерун, от друга страна, бе подписано на 15 януари 2009 г. и се прилага временно от 4 август 2014 г. </w:t>
      </w:r>
    </w:p>
    <w:p>
      <w:pPr>
        <w:rPr>
          <w:noProof/>
        </w:rPr>
      </w:pPr>
      <w:r>
        <w:rPr>
          <w:noProof/>
        </w:rPr>
        <w:t>С член 92 от споразумението се създава Комитет по СИП, който отговаря за управлението на всички области, попадащи в приложното поле на споразумението, и за осъществяването на всички посочени в него задачи.</w:t>
      </w:r>
    </w:p>
    <w:p>
      <w:pPr>
        <w:rPr>
          <w:noProof/>
        </w:rPr>
      </w:pPr>
      <w:r>
        <w:rPr>
          <w:noProof/>
        </w:rPr>
        <w:t>В член 92 също така се уточнява, че страните по споразумението се договарят за състава, организацията и работата на Комитета по СИП.</w:t>
      </w:r>
    </w:p>
    <w:p>
      <w:pPr>
        <w:pStyle w:val="ManualHeading1"/>
        <w:rPr>
          <w:noProof/>
        </w:rPr>
      </w:pPr>
      <w:r>
        <w:rPr>
          <w:noProof/>
        </w:rPr>
        <w:t>2.</w:t>
      </w:r>
      <w:r>
        <w:rPr>
          <w:noProof/>
        </w:rPr>
        <w:tab/>
        <w:t>ПРАВНО ОСНОВАНИЕ, СУБСИДИАРНОСТ И ПРОПОРЦИОНАЛНОСТ</w:t>
      </w:r>
    </w:p>
    <w:p>
      <w:pPr>
        <w:rPr>
          <w:noProof/>
        </w:rPr>
      </w:pPr>
      <w:r>
        <w:rPr>
          <w:noProof/>
        </w:rPr>
        <w:t>Предложението включва проект на решение на Съвета на Европейския съюз на основание член 218, параграф 9 от Договора за функционирането на Европейския съюз за определяне на позицията на Съюза. В миналото подобни решения са приемани с цел да се приемат процедурните правилници по други споразумения за икономическо партньорство.</w:t>
      </w:r>
    </w:p>
    <w:p>
      <w:pPr>
        <w:rPr>
          <w:noProof/>
        </w:rPr>
      </w:pPr>
      <w:r>
        <w:rPr>
          <w:noProof/>
        </w:rPr>
        <w:t>Към настоящото решение на Съвета е приложен проект на решение, което да бъде взето от Комитета по СИП на някое от следващите му заседания, заедно с приложения към него проект на процедурен правилник на Комитета по СИП. Този процедурен правилник е одобрен и парафиран от двете страни по споразумението по време на учредителното заседание на Комитета по СИП, проведено на 11 и 12 май 2015 г. в Брюксел.</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rPr>
          <w:noProof/>
        </w:rPr>
      </w:pPr>
      <w:r>
        <w:rPr>
          <w:noProof/>
        </w:rPr>
        <w:t>Задължението за изготвяне на процедурен правилник е предвидено във временното споразумение. Двете страни по споразумението проведоха предварителни консултации помежду си и текстът бе е одобрен и парафиран от двете страни по време на учредителното заседание на Комитета по СИП, проведено на 11 и 12 май 2015 г. в Брюксел.</w:t>
      </w:r>
    </w:p>
    <w:p>
      <w:pPr>
        <w:rPr>
          <w:noProof/>
        </w:rPr>
      </w:pPr>
      <w:r>
        <w:rPr>
          <w:noProof/>
        </w:rPr>
        <w:t>Не бе извършена оценка на въздействието на настоящото предложение, тъй като настоящата инициатива няма преки икономически, социални или екологични последици.</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0"/>
        <w:rPr>
          <w:rFonts w:eastAsia="Arial Unicode MS"/>
          <w:noProof/>
        </w:rPr>
      </w:pPr>
      <w:r>
        <w:rPr>
          <w:noProof/>
        </w:rPr>
        <w:t>Финансовото отражение се свежда до административните разходи.</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2015/0166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на Европейския съюз във връзка с процедурния правилник на Комитета по СИП, предвиден във Временното споразумение за икономическо партньорство между Европейската общност и нейните държави членки, от една страна, и страната по споразумението Централна Африка</w:t>
      </w:r>
      <w:r>
        <w:rPr>
          <w:rStyle w:val="FootnoteReference"/>
          <w:noProof/>
        </w:rPr>
        <w:footnoteReference w:id="1"/>
      </w:r>
      <w:r>
        <w:rPr>
          <w:noProof/>
        </w:rPr>
        <w:t>, от друга страна</w:t>
      </w:r>
    </w:p>
    <w:p>
      <w:pPr>
        <w:pStyle w:val="Institutionquiagit"/>
        <w:spacing w:before="120"/>
        <w:rPr>
          <w:noProof/>
        </w:rPr>
      </w:pPr>
      <w:r>
        <w:rPr>
          <w:noProof/>
        </w:rPr>
        <w:t>СЪВЕТЪТ НА ЕВРОПЕЙСКИЯ СЪЮЗ,</w:t>
      </w:r>
    </w:p>
    <w:p>
      <w:pPr>
        <w:rPr>
          <w:noProof/>
        </w:rPr>
      </w:pPr>
      <w:r>
        <w:rPr>
          <w:noProof/>
        </w:rPr>
        <w:t>като взе предвид Договора за Европейския съюз и Договора за функционирането на Европейския съюз, и по-специално членове 207 и 209 и член 218, параграф 9 от него,</w:t>
      </w:r>
    </w:p>
    <w:p>
      <w:pPr>
        <w:rPr>
          <w:noProof/>
        </w:rPr>
      </w:pPr>
      <w:r>
        <w:rPr>
          <w:noProof/>
        </w:rPr>
        <w:t>като взе предвид Решение 2009/152/ЕО на Съвета за подписване и временно прилагане на Временно споразумение за икономическо партньорство между Европейската общност и нейните държави членки, от една страна, и страната по споразумението Централна Африка, от друга страна</w:t>
      </w:r>
      <w:r>
        <w:rPr>
          <w:rStyle w:val="FootnoteReference"/>
          <w:noProof/>
        </w:rPr>
        <w:footnoteReference w:id="2"/>
      </w:r>
      <w:r>
        <w:rPr>
          <w:noProof/>
        </w:rPr>
        <w:t>,</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Временното споразумение за икономическо партньорство между Европейската общност и нейните държави членки, от една страна, и страната по споразумението Централна Африка, от друга страна, бе подписано на 15 януари 2009 г. и се прилага временно от 4 август 2014 г.</w:t>
      </w:r>
    </w:p>
    <w:p>
      <w:pPr>
        <w:pStyle w:val="ManualConsidrant"/>
        <w:rPr>
          <w:noProof/>
        </w:rPr>
      </w:pPr>
      <w:r>
        <w:rPr>
          <w:noProof/>
        </w:rPr>
        <w:t>(2)</w:t>
      </w:r>
      <w:r>
        <w:rPr>
          <w:noProof/>
        </w:rPr>
        <w:tab/>
        <w:t>С член 92 от посоченото споразумение се създава Комитет по СИП, който отговаря за управлението на споразумението и за осъществяването на всички посочени в него задачи.</w:t>
      </w:r>
    </w:p>
    <w:p>
      <w:pPr>
        <w:pStyle w:val="ManualConsidrant"/>
        <w:rPr>
          <w:noProof/>
        </w:rPr>
      </w:pPr>
      <w:r>
        <w:rPr>
          <w:noProof/>
        </w:rPr>
        <w:t>(3)</w:t>
      </w:r>
      <w:r>
        <w:rPr>
          <w:noProof/>
        </w:rPr>
        <w:tab/>
        <w:t>В член 92 се предвижда страните по споразумението да се договарят за състава, организацията и работата на Комитета по СИП.</w:t>
      </w:r>
    </w:p>
    <w:p>
      <w:pPr>
        <w:pStyle w:val="ManualConsidrant"/>
        <w:rPr>
          <w:noProof/>
        </w:rPr>
      </w:pPr>
      <w:r>
        <w:rPr>
          <w:noProof/>
        </w:rPr>
        <w:t>(4)</w:t>
      </w:r>
      <w:r>
        <w:rPr>
          <w:noProof/>
        </w:rPr>
        <w:tab/>
        <w:t>Европейският съюз следва да определи позицията, която да бъде заета по отношение на приемането на процедурния правилник на Комитета по СИП,</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на Европейския съюз с оглед на приемането на решение на Комитета по СИП, предвиден във Временното споразумение за икономическо партньорство между Европейската общност и нейните държави членки, от една страна, и страната по споразумението Централна Африка, от друга страна, във връзка с неговия процедурен правилник, се основава на проекта на решение на Комитета по СИП, приложен към настоящото решение.</w:t>
      </w:r>
    </w:p>
    <w:p>
      <w:pPr>
        <w:rPr>
          <w:noProof/>
        </w:rPr>
      </w:pPr>
      <w:r>
        <w:rPr>
          <w:noProof/>
        </w:rPr>
        <w:t>Незначителни промени в проекта на решението, които не водят до промени по същество, може да бъдат правени, без да е необходимо ново решение от страна на Комисията или на Съвета.</w:t>
      </w:r>
    </w:p>
    <w:p>
      <w:pPr>
        <w:pStyle w:val="Titrearticle"/>
        <w:rPr>
          <w:i w:val="0"/>
          <w:noProof/>
        </w:rPr>
      </w:pPr>
      <w:r>
        <w:rPr>
          <w:noProof/>
        </w:rPr>
        <w:t>Член 2</w:t>
      </w:r>
    </w:p>
    <w:p>
      <w:pPr>
        <w:rPr>
          <w:noProof/>
        </w:rPr>
      </w:pPr>
      <w:r>
        <w:rPr>
          <w:noProof/>
        </w:rPr>
        <w:t xml:space="preserve">След приемането му решението на Комитета по СИП трябва да се публикува в </w:t>
      </w:r>
      <w:r>
        <w:rPr>
          <w:i/>
          <w:noProof/>
        </w:rPr>
        <w:t>Официален вестник на Европейския съюз</w:t>
      </w:r>
      <w:r>
        <w:rPr>
          <w:noProof/>
        </w:rPr>
        <w:t>.</w:t>
      </w:r>
    </w:p>
    <w:p>
      <w:pPr>
        <w:pStyle w:val="Titrearticle"/>
        <w:rPr>
          <w:noProof/>
        </w:rPr>
      </w:pPr>
      <w:r>
        <w:rPr>
          <w:noProof/>
        </w:rPr>
        <w:t>Член 3</w:t>
      </w:r>
    </w:p>
    <w:p>
      <w:pPr>
        <w:keepNext/>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На този етап и за целите на Временното споразумение за икономическо партньорство страната по споразумението Централна Африка се състои от Република Камерун, която е единствената държава, подписала и ратифицирала до този момент споразумението.</w:t>
      </w:r>
    </w:p>
  </w:footnote>
  <w:footnote w:id="2">
    <w:p>
      <w:pPr>
        <w:pStyle w:val="FootnoteText"/>
        <w:rPr>
          <w:lang w:val="fr-BE"/>
        </w:rPr>
      </w:pPr>
      <w:r>
        <w:rPr>
          <w:rStyle w:val="FootnoteReference"/>
        </w:rPr>
        <w:footnoteRef/>
      </w:r>
      <w:r>
        <w:tab/>
        <w:t>ОВ L 57, 28.2.2009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E078D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C2D6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7E9C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02482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80E4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AED2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963C0A"/>
    <w:lvl w:ilvl="0">
      <w:start w:val="1"/>
      <w:numFmt w:val="decimal"/>
      <w:pStyle w:val="ListNumber"/>
      <w:lvlText w:val="%1."/>
      <w:lvlJc w:val="left"/>
      <w:pPr>
        <w:tabs>
          <w:tab w:val="num" w:pos="360"/>
        </w:tabs>
        <w:ind w:left="360" w:hanging="360"/>
      </w:pPr>
    </w:lvl>
  </w:abstractNum>
  <w:abstractNum w:abstractNumId="7">
    <w:nsid w:val="FFFFFF89"/>
    <w:multiLevelType w:val="singleLevel"/>
    <w:tmpl w:val="4A1C84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23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7-23 10:32: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42CAD7BBA9B4605B894E7ECE94C22E3"/>
    <w:docVar w:name="LW_CROSSREFERENCE" w:val="&lt;UNUSED&gt;"/>
    <w:docVar w:name="LW_DocType" w:val="COM"/>
    <w:docVar w:name="LW_EMISSION" w:val="31.7.2015"/>
    <w:docVar w:name="LW_EMISSION_ISODATE" w:val="2015-07-3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66"/>
    <w:docVar w:name="LW_REF.II.NEW.CP_YEAR" w:val="2015"/>
    <w:docVar w:name="LW_REF.INST.NEW" w:val="COM"/>
    <w:docVar w:name="LW_REF.INST.NEW_ADOPTED" w:val="final"/>
    <w:docVar w:name="LW_REF.INST.NEW_TEXT" w:val="(2015) 381"/>
    <w:docVar w:name="LW_REF.INTERNE" w:val="&lt;UNUSED&gt;"/>
    <w:docVar w:name="LW_SOUS.TITRE.OBJ.CP" w:val="&lt;UNUSED&gt;"/>
    <w:docVar w:name="LW_STATUT.CP" w:val="\u1055?\u1088?\u1077?\u1076?\u1083?\u1086?\u1078?\u1077?\u1085?\u1080?\u1077? \u1079?\u1072?"/>
    <w:docVar w:name="LW_SUPERTITRE" w:val="&lt;UNUSED&gt;"/>
    <w:docVar w:name="LW_TITRE.OBJ.CP" w:val="relative à la position de l'Union européenne concernant le règlement intérieur du Comité APE prévu par l\u8217?accord d\u8217?étape vers un accord de partenariat économique entre la Communauté européenne et ses États membres, d\u8217?une part, et la partie Afrique centrale_x0002_, d\u8217?autre part"/>
    <w:docVar w:name="LW_TITRE.OBJ_CONTENT_FMTD" w:val="\u1086?\u1090?\u1085?\u1086?\u1089?\u1085?\u1086? \u1087?\u1086?\u1079?\u1080?\u1094?\u1080?\u1103?\u1090?\u1072? \u1085?\u1072? \u1045?\u1074?\u1088?\u1086?\u1087?\u1077?\u1081?\u1089?\u1082?\u1080?\u1103? \u1089?\u1098?\u1102?\u1079? \u1074?\u1098?\u1074? \u1074?\u1088?\u1098?\u1079?\u1082?\u1072? \u1089? \u1087?\u1088?\u1086?\u1094?\u1077?\u1076?\u1091?\u1088?\u1085?\u1080?\u1103? \u1087?\u1088?\u1072?\u1074?\u1080?\u1083?\u1085?\u1080?\u1082? \u1085?\u1072? \u1050?\u1086?\u1084?\u1080?\u1090?\u1077?\u1090?\u1072? \u1087?\u1086? \u1057?\u1048?\u1055?, \u1087?\u1088?\u1077?\u1076?\u1074?\u1080?\u1076?\u1077?\u1085? \u1074?\u1098?\u1074? \u1042?\u1088?\u1077?\u1084?\u1077?\u1085?\u1085?\u1086?\u1090?\u1086? \u1089?\u1087?\u1086?\u1088?\u1072?\u1079?\u1091?\u1084?\u1077?\u1085?\u1080?\u1077? \u1079?\u1072? \u1080?\u1082?\u1086?\u1085?\u1086?\u1084?\u1080?\u1095?\u1077?\u1089?\u1082?\u1086? \u1087?\u1072?\u1088?\u1090?\u1085?\u1100?\u1086?\u1088?\u1089?\u1090?\u1074?\u1086?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89?\u1090?\u1088?\u1072?\u1085?\u1072?\u1090?\u1072? \u1087?\u1086? \u1089?\u1087?\u1086?\u1088?\u1072?\u1079?\u1091?\u1084?\u1077?\u1085?\u1080?\u1077?\u1090?\u1086? \u1062?\u1077?\u1085?\u1090?\u1088?\u1072?\u1083?\u1085?\u1072? \u1040?\u1092?\u1088?\u1080?\u1082?\u1072?&lt;FMT:FN,style_Footnote Reference&gt;_x0009_\u1053?\u1072? \u1090?\u1086?\u1079?\u1080? \u1077?\u1090?\u1072?\u1087? \u1080? \u1079?\u1072? \u1094?\u1077?\u1083?\u1080?\u1090?\u1077? \u1085?\u1072? \u1042?\u1088?\u1077?\u1084?\u1077?\u1085?\u1085?\u1086?\u1090?\u1086? \u1089?\u1087?\u1086?\u1088?\u1072?\u1079?\u1091?\u1084?\u1077?\u1085?\u1080?\u1077? \u1079?\u1072? \u1080?\u1082?\u1086?\u1085?\u1086?\u1084?\u1080?\u1095?\u1077?\u1089?\u1082?\u1086? \u1087?\u1072?\u1088?\u1090?\u1085?\u1100?\u1086?\u1088?\u1089?\u1090?\u1074?\u1086? \u1089?\u1090?\u1088?\u1072?\u1085?\u1072?\u1090?\u1072? \u1087?\u1086? \u1089?\u1087?\u1086?\u1088?\u1072?\u1079?\u1091?\u1084?\u1077?\u1085?\u1080?\u1077?\u1090?\u1086? \u1062?\u1077?\u1085?\u1090?\u1088?\u1072?\u1083?\u1085?\u1072? \u1040?\u1092?\u1088?\u1080?\u1082?\u1072? \u1089?\u1077? \u1089?\u1098?\u1089?\u1090?\u1086?\u1080? \u1086?\u1090? \u1056?\u1077?\u1087?\u1091?\u1073?\u1083?\u1080?\u1082?\u1072? \u1050?\u1072?\u1084?\u1077?\u1088?\u1091?\u1085?, \u1082?\u1086?\u1103?\u1090?\u1086? \u1077? \u1077?\u1076?\u1080?\u1085?\u1089?\u1090?\u1074?\u1077?\u1085?\u1072?\u1090?\u1072? \u1076?\u1098?\u1088?\u1078?\u1072?\u1074?\u1072?, \u1087?\u1086?\u1076?\u1087?\u1080?\u1089?\u1072?\u1083?\u1072? \u1080? \u1088?\u1072?\u1090?\u1080?\u1092?\u1080?\u1094?\u1080?\u1088?\u1072?\u1083?\u1072? \u1076?\u1086? \u1090?\u1086?\u1079?\u1080? \u1084?\u1086?\u1084?\u1077?\u1085?\u1090? \u1089?\u1087?\u1086?\u1088?\u1072?\u1079?\u1091?\u1084?\u1077?\u1085?\u1080?\u1077?\u1090?\u1086?.&lt;/FMT:FN&gt;, \u1086?\u1090? \u1076?\u1088?\u1091?\u1075?\u1072? \u1089?\u1090?\u1088?\u1072?\u1085?\u1072?"/>
    <w:docVar w:name="LW_TITRE.OBJ_USEMAINTEXTFORCP" w:val="1"/>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bg-BG"/>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034EB-C5F0-402A-BF76-C06A9532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698</Words>
  <Characters>3921</Characters>
  <Application>Microsoft Office Word</Application>
  <DocSecurity>0</DocSecurity>
  <Lines>85</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2015-05-29T16:15:00Z</cp:lastPrinted>
  <dcterms:created xsi:type="dcterms:W3CDTF">2015-07-17T09:47:00Z</dcterms:created>
  <dcterms:modified xsi:type="dcterms:W3CDTF">2015-07-23T08:32:00Z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