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5E2B17C6BEB40D08B5276AD001567EB" style="width:450.8pt;height:307.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autoSpaceDE w:val="0"/>
        <w:autoSpaceDN w:val="0"/>
        <w:adjustRightInd w:val="0"/>
        <w:spacing w:after="0" w:line="240" w:lineRule="auto"/>
        <w:jc w:val="center"/>
        <w:rPr>
          <w:rFonts w:ascii="Times New Roman" w:hAnsi="Times New Roman"/>
          <w:b/>
          <w:noProof/>
          <w:sz w:val="24"/>
          <w:szCs w:val="24"/>
        </w:rPr>
      </w:pPr>
      <w:bookmarkStart w:id="1" w:name="_GoBack"/>
      <w:bookmarkEnd w:id="1"/>
      <w:r>
        <w:rPr>
          <w:rFonts w:ascii="Times New Roman" w:hAnsi="Times New Roman"/>
          <w:b/>
          <w:noProof/>
          <w:sz w:val="24"/>
        </w:rPr>
        <w:lastRenderedPageBreak/>
        <w:t>RAPPORT DE LA COMMISSION AU PARLEMENT EUROPÉEN ET AU CONSEIL</w:t>
      </w:r>
      <w:r>
        <w:rPr>
          <w:rFonts w:ascii="Times New Roman" w:hAnsi="Times New Roman"/>
          <w:b/>
          <w:noProof/>
          <w:sz w:val="24"/>
          <w:szCs w:val="24"/>
        </w:rPr>
        <w:br/>
      </w:r>
    </w:p>
    <w:p>
      <w:pPr>
        <w:autoSpaceDE w:val="0"/>
        <w:autoSpaceDN w:val="0"/>
        <w:adjustRightInd w:val="0"/>
        <w:spacing w:after="0" w:line="240" w:lineRule="auto"/>
        <w:jc w:val="center"/>
        <w:rPr>
          <w:rFonts w:ascii="Times New Roman" w:hAnsi="Times New Roman"/>
          <w:b/>
          <w:noProof/>
          <w:sz w:val="24"/>
          <w:szCs w:val="24"/>
        </w:rPr>
      </w:pPr>
      <w:r>
        <w:rPr>
          <w:rFonts w:ascii="Times New Roman" w:hAnsi="Times New Roman"/>
          <w:b/>
          <w:noProof/>
          <w:sz w:val="24"/>
        </w:rPr>
        <w:t>sur l’exercice par la Commission du pouvoir d'adopter des actes délégués qui lui est conféré en vertu de l’article 56 de la directive 2011/61/UE du 8 juin 2011</w:t>
      </w:r>
    </w:p>
    <w:p>
      <w:pPr>
        <w:jc w:val="both"/>
        <w:rPr>
          <w:rFonts w:ascii="Times New Roman" w:hAnsi="Times New Roman"/>
          <w:noProof/>
          <w:sz w:val="24"/>
          <w:szCs w:val="24"/>
        </w:rPr>
      </w:pPr>
    </w:p>
    <w:p>
      <w:pPr>
        <w:jc w:val="both"/>
        <w:rPr>
          <w:rFonts w:ascii="Times New Roman" w:hAnsi="Times New Roman"/>
          <w:b/>
          <w:noProof/>
          <w:sz w:val="24"/>
          <w:szCs w:val="24"/>
        </w:rPr>
      </w:pPr>
      <w:r>
        <w:rPr>
          <w:rFonts w:ascii="Times New Roman" w:hAnsi="Times New Roman"/>
          <w:b/>
          <w:noProof/>
          <w:sz w:val="24"/>
        </w:rPr>
        <w:t>1. Introduction</w:t>
      </w:r>
    </w:p>
    <w:p>
      <w:pPr>
        <w:spacing w:line="240" w:lineRule="auto"/>
        <w:jc w:val="both"/>
        <w:rPr>
          <w:rFonts w:ascii="Times New Roman" w:hAnsi="Times New Roman"/>
          <w:noProof/>
          <w:sz w:val="24"/>
          <w:szCs w:val="24"/>
        </w:rPr>
      </w:pPr>
      <w:r>
        <w:rPr>
          <w:rFonts w:ascii="Times New Roman" w:hAnsi="Times New Roman"/>
          <w:noProof/>
          <w:sz w:val="24"/>
        </w:rPr>
        <w:t>La directive 2011/61/UE du 8 juin 2011 sur les gestionnaires de fonds d’investissement alternatifs et modifiant les directives 2003/41/CE et 2009/65/CE ainsi que les règlements (CE) nº 1060/2009 et (UE) nº 1095/2010 [la directive AIFMD] confère à la Commission le pouvoir d’adopter des actes délégués tel que visé à ses articles 3, 4, 9, 12, 14 à 25, 34 à 37, 40, 42, 53, 67 et 68. Ce pouvoir a été conféré à la Commission pour une durée de 4 ans à compter du 21 juillet 2011, c’est-à-dire jusqu’au 21 juillet 2015.</w:t>
      </w:r>
    </w:p>
    <w:p>
      <w:pPr>
        <w:spacing w:line="240" w:lineRule="auto"/>
        <w:jc w:val="both"/>
        <w:rPr>
          <w:rFonts w:ascii="Times New Roman" w:hAnsi="Times New Roman"/>
          <w:b/>
          <w:noProof/>
          <w:sz w:val="24"/>
          <w:szCs w:val="24"/>
        </w:rPr>
      </w:pPr>
      <w:r>
        <w:rPr>
          <w:rFonts w:ascii="Times New Roman" w:hAnsi="Times New Roman"/>
          <w:noProof/>
          <w:sz w:val="24"/>
          <w:szCs w:val="24"/>
        </w:rPr>
        <w:br/>
      </w:r>
      <w:r>
        <w:rPr>
          <w:rFonts w:ascii="Times New Roman" w:hAnsi="Times New Roman"/>
          <w:b/>
          <w:noProof/>
          <w:sz w:val="24"/>
        </w:rPr>
        <w:t>2. Base juridique du rapport</w:t>
      </w:r>
    </w:p>
    <w:p>
      <w:pPr>
        <w:spacing w:line="240" w:lineRule="auto"/>
        <w:jc w:val="both"/>
        <w:rPr>
          <w:rFonts w:ascii="Times New Roman" w:hAnsi="Times New Roman"/>
          <w:noProof/>
          <w:sz w:val="24"/>
          <w:szCs w:val="24"/>
        </w:rPr>
      </w:pPr>
      <w:r>
        <w:rPr>
          <w:rFonts w:ascii="Times New Roman" w:hAnsi="Times New Roman"/>
          <w:noProof/>
          <w:sz w:val="24"/>
        </w:rPr>
        <w:t>En vertu de l’article 56 de la directive AIFMD, la Commission était tenue d'élaborer un rapport relatif à la délégation de pouvoir au plus tard six mois avant la fin de la période de quatre ans, c’est-à-dire avant le 21 janvier 2015.</w:t>
      </w:r>
    </w:p>
    <w:p>
      <w:pPr>
        <w:spacing w:line="240" w:lineRule="auto"/>
        <w:jc w:val="both"/>
        <w:rPr>
          <w:rFonts w:ascii="Times New Roman" w:hAnsi="Times New Roman"/>
          <w:b/>
          <w:noProof/>
          <w:sz w:val="24"/>
          <w:szCs w:val="24"/>
        </w:rPr>
      </w:pPr>
      <w:r>
        <w:rPr>
          <w:rFonts w:ascii="Times New Roman" w:hAnsi="Times New Roman"/>
          <w:noProof/>
          <w:sz w:val="24"/>
          <w:szCs w:val="24"/>
        </w:rPr>
        <w:br/>
      </w:r>
      <w:r>
        <w:rPr>
          <w:rFonts w:ascii="Times New Roman" w:hAnsi="Times New Roman"/>
          <w:b/>
          <w:noProof/>
          <w:sz w:val="24"/>
        </w:rPr>
        <w:t>3. Exercice de la délégation</w:t>
      </w:r>
    </w:p>
    <w:p>
      <w:pPr>
        <w:spacing w:line="240" w:lineRule="auto"/>
        <w:jc w:val="both"/>
        <w:rPr>
          <w:rFonts w:ascii="Times New Roman" w:hAnsi="Times New Roman"/>
          <w:noProof/>
          <w:sz w:val="24"/>
          <w:szCs w:val="24"/>
        </w:rPr>
      </w:pPr>
      <w:r>
        <w:rPr>
          <w:rFonts w:ascii="Times New Roman" w:hAnsi="Times New Roman"/>
          <w:noProof/>
          <w:sz w:val="24"/>
        </w:rPr>
        <w:t>La Commission a exercé tous les pouvoirs qui lui ont été conférés, à l'exception de ceux visés à l'article 67, paragraphe 6, et à l'article 68, paragraphes 5 et 6, à travers l'adoption de 2 règlements délégués:</w:t>
      </w:r>
    </w:p>
    <w:p>
      <w:pPr>
        <w:numPr>
          <w:ilvl w:val="0"/>
          <w:numId w:val="5"/>
        </w:numPr>
        <w:shd w:val="clear" w:color="auto" w:fill="FFFFFF"/>
        <w:spacing w:before="100" w:beforeAutospacing="1" w:after="100" w:afterAutospacing="1" w:line="240" w:lineRule="auto"/>
        <w:jc w:val="both"/>
        <w:rPr>
          <w:rFonts w:ascii="Times New Roman" w:hAnsi="Times New Roman"/>
          <w:noProof/>
          <w:sz w:val="24"/>
          <w:szCs w:val="24"/>
          <w:u w:val="single"/>
        </w:rPr>
      </w:pPr>
      <w:r>
        <w:rPr>
          <w:rFonts w:ascii="Times New Roman" w:hAnsi="Times New Roman"/>
          <w:noProof/>
          <w:sz w:val="24"/>
          <w:u w:val="single"/>
        </w:rPr>
        <w:t>Règlement délégué (UE) nº 231/2013 de la Commission du 19 décembre 2012</w:t>
      </w:r>
      <w:r>
        <w:rPr>
          <w:rFonts w:ascii="Times New Roman" w:hAnsi="Times New Roman"/>
          <w:noProof/>
          <w:sz w:val="24"/>
        </w:rPr>
        <w:t xml:space="preserve"> complétant la directive 2011/61/UE du Parlement européen et du Conseil en ce qui concerne les dérogations, les conditions générales d’exercice, les dépositaires, l’effet de levier, la transparence et la surveillance, publié au </w:t>
      </w:r>
      <w:r>
        <w:rPr>
          <w:rFonts w:ascii="Times New Roman" w:hAnsi="Times New Roman"/>
          <w:i/>
          <w:noProof/>
          <w:sz w:val="24"/>
        </w:rPr>
        <w:t>Journal officiel de l'Union européenne</w:t>
      </w:r>
      <w:r>
        <w:rPr>
          <w:rFonts w:ascii="Times New Roman" w:hAnsi="Times New Roman"/>
          <w:noProof/>
          <w:sz w:val="24"/>
        </w:rPr>
        <w:t xml:space="preserve"> le 22 mars 2013.</w:t>
      </w:r>
    </w:p>
    <w:p>
      <w:pPr>
        <w:numPr>
          <w:ilvl w:val="0"/>
          <w:numId w:val="6"/>
        </w:numPr>
        <w:shd w:val="clear" w:color="auto" w:fill="FFFFFF"/>
        <w:spacing w:before="100" w:beforeAutospacing="1" w:after="100" w:afterAutospacing="1" w:line="240" w:lineRule="auto"/>
        <w:jc w:val="both"/>
        <w:rPr>
          <w:rStyle w:val="Strong"/>
          <w:rFonts w:ascii="Times New Roman" w:eastAsia="Times New Roman" w:hAnsi="Times New Roman"/>
          <w:b w:val="0"/>
          <w:bCs w:val="0"/>
          <w:noProof/>
          <w:sz w:val="24"/>
          <w:szCs w:val="24"/>
        </w:rPr>
      </w:pPr>
      <w:r>
        <w:rPr>
          <w:rFonts w:ascii="Times New Roman" w:hAnsi="Times New Roman"/>
          <w:noProof/>
          <w:sz w:val="24"/>
          <w:u w:val="single"/>
        </w:rPr>
        <w:t>Règlement délégué (UE) 2015/514 de la Commission du 18 décembre 2014</w:t>
      </w:r>
      <w:r>
        <w:rPr>
          <w:rFonts w:ascii="Times New Roman" w:hAnsi="Times New Roman"/>
          <w:noProof/>
          <w:sz w:val="24"/>
        </w:rPr>
        <w:t xml:space="preserve"> concernant les informations que les autorités compétentes doivent fournir à l'Autorité européenne des marchés financiers en application de l'article 67, paragraphe 3, de la directive 2011/61/UE du Parlement européen et du Conseil, publié au </w:t>
      </w:r>
      <w:r>
        <w:rPr>
          <w:rFonts w:ascii="Times New Roman" w:hAnsi="Times New Roman"/>
          <w:i/>
          <w:noProof/>
          <w:sz w:val="24"/>
        </w:rPr>
        <w:t>Journal officiel de l'Union européenne</w:t>
      </w:r>
      <w:r>
        <w:rPr>
          <w:rFonts w:ascii="Times New Roman" w:hAnsi="Times New Roman"/>
          <w:noProof/>
          <w:sz w:val="24"/>
        </w:rPr>
        <w:t xml:space="preserve"> le 27 mars 2015.</w:t>
      </w:r>
    </w:p>
    <w:p>
      <w:pPr>
        <w:shd w:val="clear" w:color="auto" w:fill="FFFFFF"/>
        <w:spacing w:before="100" w:beforeAutospacing="1" w:after="100" w:afterAutospacing="1" w:line="240" w:lineRule="auto"/>
        <w:ind w:left="720"/>
        <w:rPr>
          <w:rFonts w:ascii="Times New Roman" w:eastAsia="Times New Roman" w:hAnsi="Times New Roman"/>
          <w:noProof/>
          <w:sz w:val="24"/>
          <w:szCs w:val="24"/>
        </w:rPr>
      </w:pPr>
    </w:p>
    <w:p>
      <w:pPr>
        <w:spacing w:line="240" w:lineRule="auto"/>
        <w:jc w:val="both"/>
        <w:rPr>
          <w:rFonts w:ascii="Times New Roman" w:hAnsi="Times New Roman"/>
          <w:noProof/>
          <w:sz w:val="24"/>
          <w:szCs w:val="24"/>
        </w:rPr>
      </w:pPr>
      <w:r>
        <w:rPr>
          <w:noProof/>
        </w:rPr>
        <w:br w:type="page"/>
      </w:r>
      <w:r>
        <w:rPr>
          <w:rFonts w:ascii="Times New Roman" w:hAnsi="Times New Roman"/>
          <w:noProof/>
          <w:sz w:val="24"/>
        </w:rPr>
        <w:t xml:space="preserve">Le tableau ci-dessous indique quels actes, et quels articles dans ces actes, contiennent les mesures spécifiques adoptées en vertu des différentes délégations de pouvoir: </w:t>
      </w:r>
    </w:p>
    <w:p>
      <w:pPr>
        <w:spacing w:line="240" w:lineRule="auto"/>
        <w:jc w:val="both"/>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4644" w:type="dxa"/>
            <w:shd w:val="clear" w:color="auto" w:fill="BFBFBF"/>
          </w:tcPr>
          <w:p>
            <w:pPr>
              <w:spacing w:line="240" w:lineRule="auto"/>
              <w:jc w:val="both"/>
              <w:rPr>
                <w:rFonts w:ascii="Times New Roman" w:hAnsi="Times New Roman"/>
                <w:noProof/>
                <w:sz w:val="24"/>
                <w:szCs w:val="24"/>
              </w:rPr>
            </w:pPr>
            <w:r>
              <w:rPr>
                <w:rFonts w:ascii="Times New Roman" w:hAnsi="Times New Roman"/>
                <w:noProof/>
                <w:sz w:val="24"/>
              </w:rPr>
              <w:t>Délégations de pouvoir dans la directive 2011/61/UE</w:t>
            </w:r>
          </w:p>
        </w:tc>
        <w:tc>
          <w:tcPr>
            <w:tcW w:w="4644" w:type="dxa"/>
            <w:shd w:val="clear" w:color="auto" w:fill="BFBFBF"/>
          </w:tcPr>
          <w:p>
            <w:pPr>
              <w:spacing w:line="240" w:lineRule="auto"/>
              <w:jc w:val="both"/>
              <w:rPr>
                <w:rFonts w:ascii="Times New Roman" w:hAnsi="Times New Roman"/>
                <w:noProof/>
                <w:sz w:val="24"/>
                <w:szCs w:val="24"/>
              </w:rPr>
            </w:pPr>
            <w:r>
              <w:rPr>
                <w:rFonts w:ascii="Times New Roman" w:hAnsi="Times New Roman"/>
                <w:noProof/>
                <w:sz w:val="24"/>
              </w:rPr>
              <w:t>Acte délégué; article</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3</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 xml:space="preserve">Articles 2 à 5 du règlement délégué (UE) nº 231/2013 de la Commission du 19 décembre 2012  </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4</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Articles 6 à 11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9</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Articles 12 à 15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12</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Articles 16 à 29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14</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Articles 30 à 37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15</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Articles 38 à 45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16</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Articles 46 à 49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17</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Articles 50 à 56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18</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Articles 57 à 66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19</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Articles 67 à 74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20</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Articles 75 à 82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21</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Articles 83 à 102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Articles 22 à 24</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Articles 103 à 111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25</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112 du règlement délégué (UE) nº 231/2013 de la Commission du 19 décembre 2012</w:t>
            </w:r>
          </w:p>
        </w:tc>
      </w:tr>
      <w:tr>
        <w:tc>
          <w:tcPr>
            <w:tcW w:w="4644" w:type="dxa"/>
            <w:shd w:val="clear" w:color="auto" w:fill="auto"/>
          </w:tcPr>
          <w:p>
            <w:pPr>
              <w:spacing w:line="240" w:lineRule="auto"/>
              <w:jc w:val="both"/>
              <w:rPr>
                <w:noProof/>
              </w:rPr>
            </w:pPr>
            <w:r>
              <w:rPr>
                <w:rFonts w:ascii="Times New Roman" w:hAnsi="Times New Roman"/>
                <w:noProof/>
                <w:sz w:val="24"/>
              </w:rPr>
              <w:t>Articles 34 à 37, 40 et 42</w:t>
            </w:r>
          </w:p>
        </w:tc>
        <w:tc>
          <w:tcPr>
            <w:tcW w:w="4644" w:type="dxa"/>
            <w:shd w:val="clear" w:color="auto" w:fill="auto"/>
          </w:tcPr>
          <w:p>
            <w:pPr>
              <w:spacing w:line="240" w:lineRule="auto"/>
              <w:jc w:val="both"/>
              <w:rPr>
                <w:noProof/>
              </w:rPr>
            </w:pPr>
            <w:r>
              <w:rPr>
                <w:rFonts w:ascii="Times New Roman" w:hAnsi="Times New Roman"/>
                <w:noProof/>
                <w:sz w:val="24"/>
              </w:rPr>
              <w:t>Articles 113 à 115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53</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116 du règlement délégué (UE) nº 231/2013 de la Commission du 19 décembre 2012</w:t>
            </w:r>
          </w:p>
        </w:tc>
      </w:tr>
      <w:tr>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Article 67, paragraphe 5</w:t>
            </w:r>
          </w:p>
        </w:tc>
        <w:tc>
          <w:tcPr>
            <w:tcW w:w="4644" w:type="dxa"/>
            <w:shd w:val="clear" w:color="auto" w:fill="auto"/>
          </w:tcPr>
          <w:p>
            <w:pPr>
              <w:spacing w:line="240" w:lineRule="auto"/>
              <w:jc w:val="both"/>
              <w:rPr>
                <w:rFonts w:ascii="Times New Roman" w:hAnsi="Times New Roman"/>
                <w:noProof/>
                <w:sz w:val="24"/>
                <w:szCs w:val="24"/>
              </w:rPr>
            </w:pPr>
            <w:r>
              <w:rPr>
                <w:rFonts w:ascii="Times New Roman" w:hAnsi="Times New Roman"/>
                <w:noProof/>
                <w:sz w:val="24"/>
              </w:rPr>
              <w:t xml:space="preserve">Règlement délégué (UE) 2015/514 de la Commission du 18 décembre 2014 </w:t>
            </w:r>
          </w:p>
        </w:tc>
      </w:tr>
    </w:tbl>
    <w:p>
      <w:pPr>
        <w:jc w:val="both"/>
        <w:rPr>
          <w:rFonts w:ascii="Times New Roman" w:hAnsi="Times New Roman"/>
          <w:noProof/>
          <w:sz w:val="24"/>
          <w:szCs w:val="24"/>
        </w:rPr>
      </w:pPr>
    </w:p>
    <w:p>
      <w:pPr>
        <w:spacing w:line="240" w:lineRule="auto"/>
        <w:jc w:val="both"/>
        <w:rPr>
          <w:rFonts w:ascii="Times New Roman" w:hAnsi="Times New Roman"/>
          <w:noProof/>
          <w:sz w:val="24"/>
          <w:szCs w:val="24"/>
        </w:rPr>
      </w:pPr>
      <w:r>
        <w:rPr>
          <w:rFonts w:ascii="Times New Roman" w:hAnsi="Times New Roman"/>
          <w:noProof/>
          <w:sz w:val="24"/>
        </w:rPr>
        <w:t>Les pouvoirs conférés par l'article 67, paragraphe 6, et l'article 68 n’ont pas encore été exercés, étant donné qu’ils portent sur l’application du système de passeport harmonisé pour les gestionnaires établis dans un pays tiers qui exercent des activités de gestion et/ou de commercialisation dans l’Union et pour les gestionnaires établis dans l’Union qui gèrent des FIA de pays tiers, ainsi que sur le calendrier y afférent. Les pouvoirs conférés par l’article 67, paragraphe 6, devraient être exercés au cours de l’année 2015, après que l’AEMF aura rendu son rapport et émis sa recommandation, ce qu'elle est tenue de faire avant le 22 juillet 2015. Les pouvoirs conférés par l’article 68, paragraphe 5, peuvent être exercés après l'entrée en vigueur de l’acte délégué visé à l’article 67, paragraphe 6, tandis que les pouvoirs conférés par l’article 68, paragraphe 6, peuvent être exercés trois ans après l’entrée en vigueur de l’acte délégué visé à l’article 67, paragraphe 6.</w:t>
      </w:r>
    </w:p>
    <w:p>
      <w:pPr>
        <w:spacing w:line="240" w:lineRule="auto"/>
        <w:jc w:val="both"/>
        <w:rPr>
          <w:rFonts w:ascii="Times New Roman" w:hAnsi="Times New Roman"/>
          <w:b/>
          <w:noProof/>
          <w:sz w:val="24"/>
          <w:szCs w:val="24"/>
        </w:rPr>
      </w:pPr>
      <w:r>
        <w:rPr>
          <w:rFonts w:ascii="Times New Roman" w:hAnsi="Times New Roman"/>
          <w:noProof/>
          <w:sz w:val="24"/>
          <w:szCs w:val="24"/>
        </w:rPr>
        <w:br/>
      </w:r>
      <w:r>
        <w:rPr>
          <w:rFonts w:ascii="Times New Roman" w:hAnsi="Times New Roman"/>
          <w:b/>
          <w:noProof/>
          <w:sz w:val="24"/>
        </w:rPr>
        <w:t>4. Conclusion</w:t>
      </w:r>
    </w:p>
    <w:p>
      <w:pPr>
        <w:spacing w:line="240" w:lineRule="auto"/>
        <w:jc w:val="both"/>
        <w:rPr>
          <w:rFonts w:ascii="Times New Roman" w:hAnsi="Times New Roman"/>
          <w:noProof/>
          <w:sz w:val="24"/>
          <w:szCs w:val="24"/>
        </w:rPr>
      </w:pPr>
      <w:r>
        <w:rPr>
          <w:rFonts w:ascii="Times New Roman" w:hAnsi="Times New Roman"/>
          <w:noProof/>
          <w:sz w:val="24"/>
        </w:rPr>
        <w:t>Avec le présent rapport, la Commission s'acquitte de l'obligation de rapport que lui impose l’article 56 de la directive 2011/61/UE.</w:t>
      </w:r>
    </w:p>
    <w:p>
      <w:pPr>
        <w:spacing w:line="240" w:lineRule="auto"/>
        <w:jc w:val="both"/>
        <w:rPr>
          <w:rFonts w:ascii="Times New Roman" w:hAnsi="Times New Roman"/>
          <w:noProof/>
          <w:sz w:val="24"/>
          <w:szCs w:val="24"/>
        </w:rPr>
      </w:pPr>
      <w:r>
        <w:rPr>
          <w:rFonts w:ascii="Times New Roman" w:hAnsi="Times New Roman"/>
          <w:noProof/>
          <w:sz w:val="24"/>
        </w:rPr>
        <w:t>La Commission invite le Conseil et le Parlement européen à prendre acte du présent rapport.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60E20"/>
    <w:multiLevelType w:val="multilevel"/>
    <w:tmpl w:val="0D0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30642B"/>
    <w:multiLevelType w:val="multilevel"/>
    <w:tmpl w:val="3806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703F2"/>
    <w:multiLevelType w:val="hybridMultilevel"/>
    <w:tmpl w:val="1E7AA1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21B196D"/>
    <w:multiLevelType w:val="hybridMultilevel"/>
    <w:tmpl w:val="30BA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6631B5"/>
    <w:multiLevelType w:val="multilevel"/>
    <w:tmpl w:val="4E74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5E2B17C6BEB40D08B5276AD001567EB"/>
    <w:docVar w:name="LW_CROSSREFERENCE" w:val="&lt;UNUSED&gt;"/>
    <w:docVar w:name="LW_DocType" w:val="NORMAL"/>
    <w:docVar w:name="LW_EMISSION" w:val="3.8.2015"/>
    <w:docVar w:name="LW_EMISSION_ISODATE" w:val="2015-08-03"/>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83"/>
    <w:docVar w:name="LW_REF.INTERNE" w:val="&lt;UNUSED&gt;"/>
    <w:docVar w:name="LW_SOUS.TITRE.OBJ.CP" w:val="&lt;UNUSED&gt;"/>
    <w:docVar w:name="LW_SUPERTITRE" w:val="&lt;UNUSED&gt;"/>
    <w:docVar w:name="LW_TITRE.OBJ.CP" w:val="sur l\u8217?exercice par la Commission du pouvoir d'adopter des actes délégués qui lui est conféré en vertu de l\u8217?article 56 de la directive 2011/61/UE du 8 juin 2011"/>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styleId="FootnoteReference">
    <w:name w:val="footnote reference"/>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fr-FR"/>
    </w:rPr>
  </w:style>
  <w:style w:type="character" w:styleId="Strong">
    <w:name w:val="Strong"/>
    <w:uiPriority w:val="22"/>
    <w:qFormat/>
    <w:rPr>
      <w:b/>
      <w:bCs/>
    </w:rPr>
  </w:style>
  <w:style w:type="paragraph" w:customStyle="1" w:styleId="Datedadoption">
    <w:name w:val="Date d'adoption"/>
    <w:basedOn w:val="Normal"/>
    <w:next w:val="Normal"/>
    <w:pPr>
      <w:spacing w:before="360" w:after="0" w:line="240" w:lineRule="auto"/>
      <w:jc w:val="center"/>
    </w:pPr>
    <w:rPr>
      <w:rFonts w:ascii="Times New Roman" w:hAnsi="Times New Roman"/>
      <w:b/>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b/>
      <w:sz w:val="24"/>
    </w:r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styleId="FootnoteReference">
    <w:name w:val="footnote reference"/>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4"/>
    </w:rPr>
  </w:style>
  <w:style w:type="character" w:customStyle="1" w:styleId="FooterCoverPageChar">
    <w:name w:val="Footer Cover Page Char"/>
    <w:link w:val="FooterCoverPage"/>
    <w:rPr>
      <w:rFonts w:ascii="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fr-FR"/>
    </w:rPr>
  </w:style>
  <w:style w:type="character" w:styleId="Strong">
    <w:name w:val="Strong"/>
    <w:uiPriority w:val="22"/>
    <w:qFormat/>
    <w:rPr>
      <w:b/>
      <w:bCs/>
    </w:rPr>
  </w:style>
  <w:style w:type="paragraph" w:customStyle="1" w:styleId="Datedadoption">
    <w:name w:val="Date d'adoption"/>
    <w:basedOn w:val="Normal"/>
    <w:next w:val="Normal"/>
    <w:pPr>
      <w:spacing w:before="360" w:after="0" w:line="240" w:lineRule="auto"/>
      <w:jc w:val="center"/>
    </w:pPr>
    <w:rPr>
      <w:rFonts w:ascii="Times New Roman" w:hAnsi="Times New Roman"/>
      <w:b/>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b/>
      <w:sz w:val="24"/>
    </w:rPr>
  </w:style>
  <w:style w:type="character" w:customStyle="1" w:styleId="Marker">
    <w:name w:val="Marker"/>
    <w:rPr>
      <w:color w:val="0000FF"/>
      <w:shd w:val="clear" w:color="auto" w:fill="auto"/>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sz w:val="24"/>
      <w:szCs w:val="24"/>
    </w:rPr>
  </w:style>
  <w:style w:type="character" w:customStyle="1" w:styleId="HeaderCoverPageChar">
    <w:name w:val="Header Cover Page Char"/>
    <w:link w:val="HeaderCoverPag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4841">
      <w:bodyDiv w:val="1"/>
      <w:marLeft w:val="0"/>
      <w:marRight w:val="0"/>
      <w:marTop w:val="0"/>
      <w:marBottom w:val="0"/>
      <w:divBdr>
        <w:top w:val="none" w:sz="0" w:space="0" w:color="auto"/>
        <w:left w:val="none" w:sz="0" w:space="0" w:color="auto"/>
        <w:bottom w:val="none" w:sz="0" w:space="0" w:color="auto"/>
        <w:right w:val="none" w:sz="0" w:space="0" w:color="auto"/>
      </w:divBdr>
    </w:div>
    <w:div w:id="434790441">
      <w:bodyDiv w:val="1"/>
      <w:marLeft w:val="0"/>
      <w:marRight w:val="0"/>
      <w:marTop w:val="0"/>
      <w:marBottom w:val="0"/>
      <w:divBdr>
        <w:top w:val="none" w:sz="0" w:space="0" w:color="auto"/>
        <w:left w:val="none" w:sz="0" w:space="0" w:color="auto"/>
        <w:bottom w:val="none" w:sz="0" w:space="0" w:color="auto"/>
        <w:right w:val="none" w:sz="0" w:space="0" w:color="auto"/>
      </w:divBdr>
    </w:div>
    <w:div w:id="1099258576">
      <w:bodyDiv w:val="1"/>
      <w:marLeft w:val="0"/>
      <w:marRight w:val="0"/>
      <w:marTop w:val="0"/>
      <w:marBottom w:val="0"/>
      <w:divBdr>
        <w:top w:val="none" w:sz="0" w:space="0" w:color="auto"/>
        <w:left w:val="none" w:sz="0" w:space="0" w:color="auto"/>
        <w:bottom w:val="none" w:sz="0" w:space="0" w:color="auto"/>
        <w:right w:val="none" w:sz="0" w:space="0" w:color="auto"/>
      </w:divBdr>
      <w:divsChild>
        <w:div w:id="344091694">
          <w:marLeft w:val="0"/>
          <w:marRight w:val="0"/>
          <w:marTop w:val="0"/>
          <w:marBottom w:val="0"/>
          <w:divBdr>
            <w:top w:val="none" w:sz="0" w:space="0" w:color="auto"/>
            <w:left w:val="none" w:sz="0" w:space="0" w:color="auto"/>
            <w:bottom w:val="none" w:sz="0" w:space="0" w:color="auto"/>
            <w:right w:val="none" w:sz="0" w:space="0" w:color="auto"/>
          </w:divBdr>
          <w:divsChild>
            <w:div w:id="914513707">
              <w:marLeft w:val="0"/>
              <w:marRight w:val="0"/>
              <w:marTop w:val="0"/>
              <w:marBottom w:val="0"/>
              <w:divBdr>
                <w:top w:val="none" w:sz="0" w:space="0" w:color="auto"/>
                <w:left w:val="none" w:sz="0" w:space="0" w:color="auto"/>
                <w:bottom w:val="none" w:sz="0" w:space="0" w:color="auto"/>
                <w:right w:val="none" w:sz="0" w:space="0" w:color="auto"/>
              </w:divBdr>
              <w:divsChild>
                <w:div w:id="461193679">
                  <w:marLeft w:val="0"/>
                  <w:marRight w:val="0"/>
                  <w:marTop w:val="0"/>
                  <w:marBottom w:val="0"/>
                  <w:divBdr>
                    <w:top w:val="none" w:sz="0" w:space="0" w:color="auto"/>
                    <w:left w:val="none" w:sz="0" w:space="0" w:color="auto"/>
                    <w:bottom w:val="none" w:sz="0" w:space="0" w:color="auto"/>
                    <w:right w:val="none" w:sz="0" w:space="0" w:color="auto"/>
                  </w:divBdr>
                  <w:divsChild>
                    <w:div w:id="1626349287">
                      <w:marLeft w:val="0"/>
                      <w:marRight w:val="0"/>
                      <w:marTop w:val="0"/>
                      <w:marBottom w:val="0"/>
                      <w:divBdr>
                        <w:top w:val="none" w:sz="0" w:space="0" w:color="auto"/>
                        <w:left w:val="none" w:sz="0" w:space="0" w:color="auto"/>
                        <w:bottom w:val="none" w:sz="0" w:space="0" w:color="auto"/>
                        <w:right w:val="none" w:sz="0" w:space="0" w:color="auto"/>
                      </w:divBdr>
                      <w:divsChild>
                        <w:div w:id="1397046399">
                          <w:marLeft w:val="0"/>
                          <w:marRight w:val="0"/>
                          <w:marTop w:val="0"/>
                          <w:marBottom w:val="0"/>
                          <w:divBdr>
                            <w:top w:val="none" w:sz="0" w:space="0" w:color="auto"/>
                            <w:left w:val="none" w:sz="0" w:space="0" w:color="auto"/>
                            <w:bottom w:val="none" w:sz="0" w:space="0" w:color="auto"/>
                            <w:right w:val="none" w:sz="0" w:space="0" w:color="auto"/>
                          </w:divBdr>
                          <w:divsChild>
                            <w:div w:id="928583353">
                              <w:marLeft w:val="0"/>
                              <w:marRight w:val="0"/>
                              <w:marTop w:val="0"/>
                              <w:marBottom w:val="0"/>
                              <w:divBdr>
                                <w:top w:val="none" w:sz="0" w:space="0" w:color="auto"/>
                                <w:left w:val="none" w:sz="0" w:space="0" w:color="auto"/>
                                <w:bottom w:val="none" w:sz="0" w:space="0" w:color="auto"/>
                                <w:right w:val="none" w:sz="0" w:space="0" w:color="auto"/>
                              </w:divBdr>
                              <w:divsChild>
                                <w:div w:id="1280994997">
                                  <w:marLeft w:val="0"/>
                                  <w:marRight w:val="0"/>
                                  <w:marTop w:val="180"/>
                                  <w:marBottom w:val="0"/>
                                  <w:divBdr>
                                    <w:top w:val="none" w:sz="0" w:space="0" w:color="auto"/>
                                    <w:left w:val="none" w:sz="0" w:space="0" w:color="auto"/>
                                    <w:bottom w:val="none" w:sz="0" w:space="0" w:color="auto"/>
                                    <w:right w:val="none" w:sz="0" w:space="0" w:color="auto"/>
                                  </w:divBdr>
                                  <w:divsChild>
                                    <w:div w:id="1000088100">
                                      <w:marLeft w:val="0"/>
                                      <w:marRight w:val="0"/>
                                      <w:marTop w:val="0"/>
                                      <w:marBottom w:val="0"/>
                                      <w:divBdr>
                                        <w:top w:val="dashed" w:sz="2" w:space="0" w:color="074A8B"/>
                                        <w:left w:val="dashed" w:sz="2" w:space="0" w:color="074A8B"/>
                                        <w:bottom w:val="dashed" w:sz="6" w:space="14" w:color="074A8B"/>
                                        <w:right w:val="dashed" w:sz="2" w:space="0" w:color="074A8B"/>
                                      </w:divBdr>
                                    </w:div>
                                  </w:divsChild>
                                </w:div>
                              </w:divsChild>
                            </w:div>
                          </w:divsChild>
                        </w:div>
                      </w:divsChild>
                    </w:div>
                  </w:divsChild>
                </w:div>
              </w:divsChild>
            </w:div>
          </w:divsChild>
        </w:div>
      </w:divsChild>
    </w:div>
    <w:div w:id="1794051883">
      <w:bodyDiv w:val="1"/>
      <w:marLeft w:val="0"/>
      <w:marRight w:val="0"/>
      <w:marTop w:val="0"/>
      <w:marBottom w:val="0"/>
      <w:divBdr>
        <w:top w:val="none" w:sz="0" w:space="0" w:color="auto"/>
        <w:left w:val="none" w:sz="0" w:space="0" w:color="auto"/>
        <w:bottom w:val="none" w:sz="0" w:space="0" w:color="auto"/>
        <w:right w:val="none" w:sz="0" w:space="0" w:color="auto"/>
      </w:divBdr>
    </w:div>
    <w:div w:id="18342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0831-5D3D-4A7E-9775-EE62001D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883</Words>
  <Characters>4348</Characters>
  <Application>Microsoft Office Word</Application>
  <DocSecurity>0</DocSecurity>
  <Lines>127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2015-04-23T09:49:00Z</cp:lastPrinted>
  <dcterms:created xsi:type="dcterms:W3CDTF">2015-06-26T15:00:00Z</dcterms:created>
  <dcterms:modified xsi:type="dcterms:W3CDTF">2015-07-31T14:05:00Z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