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3BC03E5DFB94EBBA2D6D24C2B45D134" style="width:450.75pt;height:307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ДОКЛАД НА КОМИСИЯТА ДО ЕВРОПЕЙСКИЯ ПАРЛАМЕНТ И СЪВЕТА</w:t>
      </w:r>
      <w:r>
        <w:rPr>
          <w:rFonts w:ascii="Times New Roman" w:hAnsi="Times New Roman"/>
          <w:b/>
          <w:noProof/>
          <w:sz w:val="24"/>
          <w:szCs w:val="24"/>
        </w:rPr>
        <w:br/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относно упражняването на делегирани правомощия от Комисията за приемане на делегирани актове съгласно член 56 от Директива 2011/61/ЕС от 8 юни 2011 г.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1. Въведение</w:t>
      </w: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Директива 2011/61/ЕС от 8 юни 2011 г. относно лицата, управляващи алтернативни инвестиционни фондове и за изменение на директиви 2003/41/ЕО и 2009/65/ЕО и на регламенти (ЕО) № 1060/2009 и (ЕС) № 1095/2010 (Директива относно ЛУАИФ) предоставя правомощия на Комисията да приема делегирани актове в съответствие с членове 3, 4, 9, 12, 14 — 25, 34 — 37, 40, 42, 53, 67 и 68 от посочената директива. Тези правомощия са предоставени на Комисията за срок от 4 години, считано от 21 юли 2011 г., т.е. до 21 юли 2015 г.</w:t>
      </w:r>
    </w:p>
    <w:p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b/>
          <w:noProof/>
          <w:sz w:val="24"/>
        </w:rPr>
        <w:t>2. Правно основание за доклада</w:t>
      </w: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Съгласно член 56 от Директивата относно ЛУАИФ Комисията трябваше да изготви доклад относно съответните делегирани правомощия поне 6 месеца преди края на 4-годишния срок, т.е. до 21 януари 2015 г.</w:t>
      </w:r>
    </w:p>
    <w:p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b/>
          <w:noProof/>
          <w:sz w:val="24"/>
        </w:rPr>
        <w:t>3. Упражняване на делегирането</w:t>
      </w: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Комисията е упражнила всички делегирани правомощия с изключение на посочените в член 67, параграф 6 и член 68, параграфи 5 и 6 от Директива относно ЛУАИФ чрез 2 делегирани регламента: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Делегиран регламент (ЕС) № 231/2013 на Комисията от 19 декември 2012 година</w:t>
      </w:r>
      <w:r>
        <w:rPr>
          <w:rFonts w:ascii="Times New Roman" w:hAnsi="Times New Roman"/>
          <w:noProof/>
          <w:sz w:val="24"/>
          <w:szCs w:val="24"/>
        </w:rPr>
        <w:t xml:space="preserve"> за допълване на Директива 2011/61/ЕС на Европейския парламент и на Съвета по отношение на освобождаванията, общите условия във връзка с дейността, депозитарите, ливъриджа, прозрачността и надзора, публикуван в </w:t>
      </w:r>
      <w:r>
        <w:rPr>
          <w:rFonts w:ascii="Times New Roman" w:hAnsi="Times New Roman"/>
          <w:i/>
          <w:noProof/>
          <w:sz w:val="24"/>
          <w:szCs w:val="24"/>
        </w:rPr>
        <w:t>Официален вестник на Европейския съюз</w:t>
      </w:r>
      <w:r>
        <w:rPr>
          <w:rFonts w:ascii="Times New Roman" w:hAnsi="Times New Roman"/>
          <w:noProof/>
          <w:sz w:val="24"/>
          <w:szCs w:val="24"/>
        </w:rPr>
        <w:t xml:space="preserve"> на 22 март 2013 г.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Strong"/>
          <w:rFonts w:ascii="Times New Roman" w:eastAsia="Times New Roman" w:hAnsi="Times New Roman"/>
          <w:b w:val="0"/>
          <w:bCs w:val="0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Делегиран регламент (ЕС) 514/2015 на Комисията от 18 декември 2014 година</w:t>
      </w:r>
      <w:r>
        <w:rPr>
          <w:rFonts w:ascii="Times New Roman" w:hAnsi="Times New Roman"/>
          <w:noProof/>
          <w:sz w:val="24"/>
          <w:szCs w:val="24"/>
        </w:rPr>
        <w:t xml:space="preserve"> относно информацията, която компетентните органи трябва да представят на Европейския орган за ценни книжа и пазари по силата на член 67, параграф 3 от Директива 2011/61/ЕС на Европейския парламент и на Съвета,  публикуван в </w:t>
      </w:r>
      <w:r>
        <w:rPr>
          <w:rFonts w:ascii="Times New Roman" w:hAnsi="Times New Roman"/>
          <w:i/>
          <w:noProof/>
          <w:sz w:val="24"/>
          <w:szCs w:val="24"/>
        </w:rPr>
        <w:t>Официален вестник на Европейския съюз</w:t>
      </w:r>
      <w:r>
        <w:rPr>
          <w:rFonts w:ascii="Times New Roman" w:hAnsi="Times New Roman"/>
          <w:noProof/>
          <w:sz w:val="24"/>
          <w:szCs w:val="24"/>
        </w:rPr>
        <w:t xml:space="preserve"> на 27 март 2015 г.</w:t>
      </w:r>
    </w:p>
    <w:p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noProof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br w:type="page"/>
      </w:r>
      <w:r>
        <w:rPr>
          <w:rFonts w:ascii="Times New Roman" w:hAnsi="Times New Roman"/>
          <w:noProof/>
          <w:sz w:val="24"/>
        </w:rPr>
        <w:lastRenderedPageBreak/>
        <w:t xml:space="preserve">Представената по-долу таблица показва кои актове и съответни членове съдържат конкретни мерки за изпълнение, приети в рамките на съответните правомощия: </w:t>
      </w: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  <w:shd w:val="clear" w:color="auto" w:fill="BFBFBF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Правомощия съгласно Директива 2011/61/ЕС</w:t>
            </w:r>
          </w:p>
        </w:tc>
        <w:tc>
          <w:tcPr>
            <w:tcW w:w="4644" w:type="dxa"/>
            <w:shd w:val="clear" w:color="auto" w:fill="BFBFBF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Делегиран акт, член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3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Членове 2—5 от Делегиран регламент (ЕС) № 231/2013 на Комисията от 19 декември 2012 г.  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4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6—11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9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12—15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12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16—29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14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30—37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15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38—45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16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46—49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17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50—56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18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57—66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19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67—74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20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75—82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21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83—102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22— 24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103—111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25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112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noProof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34 — 37, член 40 и член 42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noProof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Членове 113—115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53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116 от Делегиран регламент (ЕС) № 231/2013 на Комисията от 19 декември 2012 г.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Член 67, параграф 5</w:t>
            </w:r>
          </w:p>
        </w:tc>
        <w:tc>
          <w:tcPr>
            <w:tcW w:w="4644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Делегиран регламент (ЕС) 514/2015 на Комисията от 18 декември 2014 г. </w:t>
            </w:r>
          </w:p>
        </w:tc>
      </w:tr>
    </w:tbl>
    <w:p>
      <w:pPr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Правомощията по член 67, параграф 6 и член 68 все още не са упражнени, тъй като се отнасят до прилагането на хармонизиран паспортен режим за ЛУАИФ от трета държава, които извършват дейности по управление и/или продажба в Съюза, и за ЛУАИФ от ЕС, които управляват АИФ от трета държава, както и свързания с тях график. Следователно правомощието съгласно член 67, параграф 6 се очаква да бъде упражнено през 2015 г. след получаването на доклад и становище на ЕОЦКП, които трябва да бъдат изготвени до 22 юли 2015 г. Правомощието по член 68, параграф 5 може да се упражнява след влизането в сила на посочения в член 67, параграф 6 делегиран акт, докато  правомощието по член 68, параграф 6 може да бъде упражнено три години след влизането в сила на делегирания акт по член 67, параграф 6.</w:t>
      </w:r>
    </w:p>
    <w:p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b/>
          <w:noProof/>
          <w:sz w:val="24"/>
        </w:rPr>
        <w:t>4. Заключение</w:t>
      </w: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 настоящия доклад Комисията изпълнява задължението за докладване съгласно член 56 от Директива 2011/61/ЕО.</w:t>
      </w:r>
    </w:p>
    <w:p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Комисията приканва Съвета и Европейския парламент да вземат под внимание съдържанието на настоящия доклад.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0E20"/>
    <w:multiLevelType w:val="multilevel"/>
    <w:tmpl w:val="0D0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0642B"/>
    <w:multiLevelType w:val="multilevel"/>
    <w:tmpl w:val="3806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703F2"/>
    <w:multiLevelType w:val="hybridMultilevel"/>
    <w:tmpl w:val="1E7AA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B196D"/>
    <w:multiLevelType w:val="hybridMultilevel"/>
    <w:tmpl w:val="30BA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631B5"/>
    <w:multiLevelType w:val="multilevel"/>
    <w:tmpl w:val="4E74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23BC03E5DFB94EBBA2D6D24C2B45D134"/>
    <w:docVar w:name="LW_CROSSREFERENCE" w:val="&lt;UNUSED&gt;"/>
    <w:docVar w:name="LW_DocType" w:val="NORMAL"/>
    <w:docVar w:name="LW_EMISSION" w:val="3.8.2015"/>
    <w:docVar w:name="LW_EMISSION_ISODATE" w:val="2015-08-03"/>
    <w:docVar w:name="LW_EMISSION_LOCATION" w:val="BRX"/>
    <w:docVar w:name="LW_EMISSION_PREFIX" w:val="Брюксел, "/>
    <w:docVar w:name="LW_EMISSION_SUFFIX" w:val=" \u1075?."/>
    <w:docVar w:name="LW_ID_DOCTYPE_NONLW" w:val="CP-006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5"/>
    <w:docVar w:name="LW_REF.INST.NEW" w:val="COM"/>
    <w:docVar w:name="LW_REF.INST.NEW_ADOPTED" w:val="final"/>
    <w:docVar w:name="LW_REF.INST.NEW_TEXT" w:val="(2015) 383"/>
    <w:docVar w:name="LW_REF.INTERNE" w:val="&lt;UNUSED&gt;"/>
    <w:docVar w:name="LW_SOUS.TITRE.OBJ.CP" w:val="&lt;UNUSED&gt;"/>
    <w:docVar w:name="LW_SUPERTITRE" w:val="&lt;UNUSED&gt;"/>
    <w:docVar w:name="LW_TITRE.OBJ.CP" w:val="\u1086?\u1090?\u1085?\u1086?\u1089?\u1085?\u1086? \u1091?\u1087?\u1088?\u1072?\u1078?\u1085?\u1103?\u1074?\u1072?\u1085?\u1077?\u1090?\u1086? \u1085?\u1072? \u1076?\u1077?\u1083?\u1077?\u1075?\u1080?\u1088?\u1072?\u1085?\u1080? \u1087?\u1088?\u1072?\u1074?\u1086?\u1084?\u1086?\u1097?\u1080?\u1103? \u1086?\u1090? \u1050?\u1086?\u1084?\u1080?\u1089?\u1080?\u1103?\u1090?\u1072? \u1079?\u1072? \u1087?\u1088?\u1080?\u1077?\u1084?\u1072?\u1085?\u1077? \u1085?\u1072? \u1076?\u1077?\u1083?\u1077?\u1075?\u1080?\u1088?\u1072?\u1085?\u1080? \u1072?\u1082?\u1090?\u1086?\u1074?\u1077? \u1089?\u1098?\u1075?\u1083?\u1072?\u1089?\u1085?\u1086? \u1095?\u1083?\u1077?\u1085? 56 \u1086?\u1090? \u1044?\u1080?\u1088?\u1077?\u1082?\u1090?\u1080?\u1074?\u1072? 2011/61/\u1045?\u1057? \u1086?\u1090? 8 \u1102?\u1085?\u1080? 2011 \u1075?.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bg-BG"/>
    </w:rPr>
  </w:style>
  <w:style w:type="character" w:styleId="FootnoteReference">
    <w:name w:val="footnote reference"/>
    <w:rPr>
      <w:vertAlign w:val="superscript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atedadoption">
    <w:name w:val="Date d'adoption"/>
    <w:basedOn w:val="Normal"/>
    <w:next w:val="Normal"/>
    <w:pPr>
      <w:spacing w:before="360"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bg-BG"/>
    </w:rPr>
  </w:style>
  <w:style w:type="character" w:styleId="FootnoteReference">
    <w:name w:val="footnote reference"/>
    <w:rPr>
      <w:vertAlign w:val="superscript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atedadoption">
    <w:name w:val="Date d'adoption"/>
    <w:basedOn w:val="Normal"/>
    <w:next w:val="Normal"/>
    <w:pPr>
      <w:spacing w:before="360"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499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074A8B"/>
                                        <w:left w:val="dashed" w:sz="2" w:space="0" w:color="074A8B"/>
                                        <w:bottom w:val="dashed" w:sz="6" w:space="14" w:color="074A8B"/>
                                        <w:right w:val="dashed" w:sz="2" w:space="0" w:color="074A8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2062-1E1D-4F66-A278-4559C361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798</Words>
  <Characters>3998</Characters>
  <Application>Microsoft Office Word</Application>
  <DocSecurity>0</DocSecurity>
  <Lines>128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cp:lastPrinted>2015-04-23T09:49:00Z</cp:lastPrinted>
  <dcterms:created xsi:type="dcterms:W3CDTF">2015-06-26T15:00:00Z</dcterms:created>
  <dcterms:modified xsi:type="dcterms:W3CDTF">2015-07-31T14:05:00Z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