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26346E751266429A8A52AEF75608B38E" style="width:450.75pt;height:334.5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OCHeading"/>
        <w:rPr>
          <w:noProof/>
        </w:rPr>
      </w:pPr>
      <w:bookmarkStart w:id="1" w:name="_GoBack"/>
      <w:bookmarkEnd w:id="1"/>
      <w:r>
        <w:rPr>
          <w:noProof/>
        </w:rPr>
        <w:lastRenderedPageBreak/>
        <w:t>Table des matières</w:t>
      </w:r>
    </w:p>
    <w:p>
      <w:pPr>
        <w:pStyle w:val="TOC1"/>
        <w:rPr>
          <w:rFonts w:asciiTheme="minorHAnsi" w:eastAsiaTheme="minorEastAsia" w:hAnsiTheme="minorHAnsi" w:cstheme="minorBidi"/>
          <w:noProof/>
          <w:sz w:val="22"/>
          <w:szCs w:val="22"/>
          <w:lang w:val="en-GB" w:eastAsia="en-GB" w:bidi="ar-SA"/>
        </w:rPr>
      </w:pPr>
      <w:r>
        <w:rPr>
          <w:noProof/>
        </w:rPr>
        <w:fldChar w:fldCharType="begin"/>
      </w:r>
      <w:r>
        <w:rPr>
          <w:noProof/>
        </w:rPr>
        <w:instrText xml:space="preserve"> TOC \o "1-3" \h \z \u </w:instrText>
      </w:r>
      <w:r>
        <w:rPr>
          <w:noProof/>
        </w:rPr>
        <w:fldChar w:fldCharType="separate"/>
      </w:r>
      <w:hyperlink w:anchor="_Toc424303753" w:history="1">
        <w:r>
          <w:rPr>
            <w:rStyle w:val="Hyperlink"/>
            <w:noProof/>
          </w:rPr>
          <w:t>1.</w:t>
        </w:r>
        <w:r>
          <w:rPr>
            <w:rFonts w:asciiTheme="minorHAnsi" w:eastAsiaTheme="minorEastAsia" w:hAnsiTheme="minorHAnsi" w:cstheme="minorBidi"/>
            <w:noProof/>
            <w:sz w:val="22"/>
            <w:szCs w:val="22"/>
            <w:lang w:val="en-GB" w:eastAsia="en-GB" w:bidi="ar-SA"/>
          </w:rPr>
          <w:tab/>
        </w:r>
        <w:r>
          <w:rPr>
            <w:rStyle w:val="Hyperlink"/>
            <w:noProof/>
          </w:rPr>
          <w:t>Introduction</w:t>
        </w:r>
        <w:r>
          <w:rPr>
            <w:noProof/>
            <w:webHidden/>
          </w:rPr>
          <w:tab/>
        </w:r>
        <w:r>
          <w:rPr>
            <w:noProof/>
            <w:webHidden/>
          </w:rPr>
          <w:fldChar w:fldCharType="begin"/>
        </w:r>
        <w:r>
          <w:rPr>
            <w:noProof/>
            <w:webHidden/>
          </w:rPr>
          <w:instrText xml:space="preserve"> PAGEREF _Toc424303753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24303754" w:history="1">
        <w:r>
          <w:rPr>
            <w:rStyle w:val="Hyperlink"/>
            <w:noProof/>
          </w:rPr>
          <w:t>2.</w:t>
        </w:r>
        <w:r>
          <w:rPr>
            <w:rFonts w:asciiTheme="minorHAnsi" w:eastAsiaTheme="minorEastAsia" w:hAnsiTheme="minorHAnsi" w:cstheme="minorBidi"/>
            <w:noProof/>
            <w:sz w:val="22"/>
            <w:szCs w:val="22"/>
            <w:lang w:val="en-GB" w:eastAsia="en-GB" w:bidi="ar-SA"/>
          </w:rPr>
          <w:tab/>
        </w:r>
        <w:r>
          <w:rPr>
            <w:rStyle w:val="Hyperlink"/>
            <w:noProof/>
          </w:rPr>
          <w:t>Opérations garanties par le budget de l'UE</w:t>
        </w:r>
        <w:r>
          <w:rPr>
            <w:noProof/>
            <w:webHidden/>
          </w:rPr>
          <w:tab/>
        </w:r>
        <w:r>
          <w:rPr>
            <w:noProof/>
            <w:webHidden/>
          </w:rPr>
          <w:fldChar w:fldCharType="begin"/>
        </w:r>
        <w:r>
          <w:rPr>
            <w:noProof/>
            <w:webHidden/>
          </w:rPr>
          <w:instrText xml:space="preserve"> PAGEREF _Toc424303754 \h </w:instrText>
        </w:r>
        <w:r>
          <w:rPr>
            <w:noProof/>
            <w:webHidden/>
          </w:rPr>
        </w:r>
        <w:r>
          <w:rPr>
            <w:noProof/>
            <w:webHidden/>
          </w:rPr>
          <w:fldChar w:fldCharType="separate"/>
        </w:r>
        <w:r>
          <w:rPr>
            <w:noProof/>
            <w:webHidden/>
          </w:rPr>
          <w:t>3</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24303755" w:history="1">
        <w:r>
          <w:rPr>
            <w:rStyle w:val="Hyperlink"/>
            <w:noProof/>
          </w:rPr>
          <w:t>3.</w:t>
        </w:r>
        <w:r>
          <w:rPr>
            <w:rFonts w:asciiTheme="minorHAnsi" w:eastAsiaTheme="minorEastAsia" w:hAnsiTheme="minorHAnsi" w:cstheme="minorBidi"/>
            <w:noProof/>
            <w:sz w:val="22"/>
            <w:szCs w:val="22"/>
            <w:lang w:val="en-GB" w:eastAsia="en-GB" w:bidi="ar-SA"/>
          </w:rPr>
          <w:tab/>
        </w:r>
        <w:r>
          <w:rPr>
            <w:rStyle w:val="Hyperlink"/>
            <w:noProof/>
          </w:rPr>
          <w:t>Évolution des opérations garanties</w:t>
        </w:r>
        <w:r>
          <w:rPr>
            <w:noProof/>
            <w:webHidden/>
          </w:rPr>
          <w:tab/>
        </w:r>
        <w:r>
          <w:rPr>
            <w:noProof/>
            <w:webHidden/>
          </w:rPr>
          <w:fldChar w:fldCharType="begin"/>
        </w:r>
        <w:r>
          <w:rPr>
            <w:noProof/>
            <w:webHidden/>
          </w:rPr>
          <w:instrText xml:space="preserve"> PAGEREF _Toc424303755 \h </w:instrText>
        </w:r>
        <w:r>
          <w:rPr>
            <w:noProof/>
            <w:webHidden/>
          </w:rPr>
        </w:r>
        <w:r>
          <w:rPr>
            <w:noProof/>
            <w:webHidden/>
          </w:rPr>
          <w:fldChar w:fldCharType="separate"/>
        </w:r>
        <w:r>
          <w:rPr>
            <w:noProof/>
            <w:webHidden/>
          </w:rPr>
          <w:t>5</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4303756" w:history="1">
        <w:r>
          <w:rPr>
            <w:rStyle w:val="Hyperlink"/>
            <w:noProof/>
          </w:rPr>
          <w:t>3.1.</w:t>
        </w:r>
        <w:r>
          <w:rPr>
            <w:rFonts w:asciiTheme="minorHAnsi" w:eastAsiaTheme="minorEastAsia" w:hAnsiTheme="minorHAnsi" w:cstheme="minorBidi"/>
            <w:noProof/>
            <w:sz w:val="22"/>
            <w:szCs w:val="22"/>
            <w:lang w:val="en-GB" w:eastAsia="en-GB" w:bidi="ar-SA"/>
          </w:rPr>
          <w:tab/>
        </w:r>
        <w:r>
          <w:rPr>
            <w:rStyle w:val="Hyperlink"/>
            <w:noProof/>
          </w:rPr>
          <w:t>Opérations gérées directement par la Commission</w:t>
        </w:r>
        <w:r>
          <w:rPr>
            <w:noProof/>
            <w:webHidden/>
          </w:rPr>
          <w:tab/>
        </w:r>
        <w:r>
          <w:rPr>
            <w:noProof/>
            <w:webHidden/>
          </w:rPr>
          <w:fldChar w:fldCharType="begin"/>
        </w:r>
        <w:r>
          <w:rPr>
            <w:noProof/>
            <w:webHidden/>
          </w:rPr>
          <w:instrText xml:space="preserve"> PAGEREF _Toc424303756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4303757" w:history="1">
        <w:r>
          <w:rPr>
            <w:rStyle w:val="Hyperlink"/>
            <w:noProof/>
          </w:rPr>
          <w:t>3.1.1.</w:t>
        </w:r>
        <w:r>
          <w:rPr>
            <w:rFonts w:asciiTheme="minorHAnsi" w:eastAsiaTheme="minorEastAsia" w:hAnsiTheme="minorHAnsi" w:cstheme="minorBidi"/>
            <w:noProof/>
            <w:sz w:val="22"/>
            <w:szCs w:val="22"/>
            <w:lang w:val="en-GB" w:eastAsia="en-GB" w:bidi="ar-SA"/>
          </w:rPr>
          <w:tab/>
        </w:r>
        <w:r>
          <w:rPr>
            <w:rStyle w:val="Hyperlink"/>
            <w:noProof/>
          </w:rPr>
          <w:t>Mécanisme européen de stabilisation financière (MESF)</w:t>
        </w:r>
        <w:r>
          <w:rPr>
            <w:noProof/>
            <w:webHidden/>
          </w:rPr>
          <w:tab/>
        </w:r>
        <w:r>
          <w:rPr>
            <w:noProof/>
            <w:webHidden/>
          </w:rPr>
          <w:fldChar w:fldCharType="begin"/>
        </w:r>
        <w:r>
          <w:rPr>
            <w:noProof/>
            <w:webHidden/>
          </w:rPr>
          <w:instrText xml:space="preserve"> PAGEREF _Toc424303757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4303758" w:history="1">
        <w:r>
          <w:rPr>
            <w:rStyle w:val="Hyperlink"/>
            <w:noProof/>
          </w:rPr>
          <w:t>3.1.2.</w:t>
        </w:r>
        <w:r>
          <w:rPr>
            <w:rFonts w:asciiTheme="minorHAnsi" w:eastAsiaTheme="minorEastAsia" w:hAnsiTheme="minorHAnsi" w:cstheme="minorBidi"/>
            <w:noProof/>
            <w:sz w:val="22"/>
            <w:szCs w:val="22"/>
            <w:lang w:val="en-GB" w:eastAsia="en-GB" w:bidi="ar-SA"/>
          </w:rPr>
          <w:tab/>
        </w:r>
        <w:r>
          <w:rPr>
            <w:rStyle w:val="Hyperlink"/>
            <w:noProof/>
          </w:rPr>
          <w:t>Mécanisme de soutien des balances des paiements</w:t>
        </w:r>
        <w:r>
          <w:rPr>
            <w:noProof/>
            <w:webHidden/>
          </w:rPr>
          <w:tab/>
        </w:r>
        <w:r>
          <w:rPr>
            <w:noProof/>
            <w:webHidden/>
          </w:rPr>
          <w:fldChar w:fldCharType="begin"/>
        </w:r>
        <w:r>
          <w:rPr>
            <w:noProof/>
            <w:webHidden/>
          </w:rPr>
          <w:instrText xml:space="preserve"> PAGEREF _Toc424303758 \h </w:instrText>
        </w:r>
        <w:r>
          <w:rPr>
            <w:noProof/>
            <w:webHidden/>
          </w:rPr>
        </w:r>
        <w:r>
          <w:rPr>
            <w:noProof/>
            <w:webHidden/>
          </w:rPr>
          <w:fldChar w:fldCharType="separate"/>
        </w:r>
        <w:r>
          <w:rPr>
            <w:noProof/>
            <w:webHidden/>
          </w:rPr>
          <w:t>6</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4303759" w:history="1">
        <w:r>
          <w:rPr>
            <w:rStyle w:val="Hyperlink"/>
            <w:noProof/>
          </w:rPr>
          <w:t>3.1.3.</w:t>
        </w:r>
        <w:r>
          <w:rPr>
            <w:rFonts w:asciiTheme="minorHAnsi" w:eastAsiaTheme="minorEastAsia" w:hAnsiTheme="minorHAnsi" w:cstheme="minorBidi"/>
            <w:noProof/>
            <w:sz w:val="22"/>
            <w:szCs w:val="22"/>
            <w:lang w:val="en-GB" w:eastAsia="en-GB" w:bidi="ar-SA"/>
          </w:rPr>
          <w:tab/>
        </w:r>
        <w:r>
          <w:rPr>
            <w:rStyle w:val="Hyperlink"/>
            <w:noProof/>
          </w:rPr>
          <w:t>Prêts d’assistance macrofinancière</w:t>
        </w:r>
        <w:r>
          <w:rPr>
            <w:noProof/>
            <w:webHidden/>
          </w:rPr>
          <w:tab/>
        </w:r>
        <w:r>
          <w:rPr>
            <w:noProof/>
            <w:webHidden/>
          </w:rPr>
          <w:fldChar w:fldCharType="begin"/>
        </w:r>
        <w:r>
          <w:rPr>
            <w:noProof/>
            <w:webHidden/>
          </w:rPr>
          <w:instrText xml:space="preserve"> PAGEREF _Toc424303759 \h </w:instrText>
        </w:r>
        <w:r>
          <w:rPr>
            <w:noProof/>
            <w:webHidden/>
          </w:rPr>
        </w:r>
        <w:r>
          <w:rPr>
            <w:noProof/>
            <w:webHidden/>
          </w:rPr>
          <w:fldChar w:fldCharType="separate"/>
        </w:r>
        <w:r>
          <w:rPr>
            <w:noProof/>
            <w:webHidden/>
          </w:rPr>
          <w:t>7</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4303760" w:history="1">
        <w:r>
          <w:rPr>
            <w:rStyle w:val="Hyperlink"/>
            <w:noProof/>
          </w:rPr>
          <w:t>3.1.4.</w:t>
        </w:r>
        <w:r>
          <w:rPr>
            <w:rFonts w:asciiTheme="minorHAnsi" w:eastAsiaTheme="minorEastAsia" w:hAnsiTheme="minorHAnsi" w:cstheme="minorBidi"/>
            <w:noProof/>
            <w:sz w:val="22"/>
            <w:szCs w:val="22"/>
            <w:lang w:val="en-GB" w:eastAsia="en-GB" w:bidi="ar-SA"/>
          </w:rPr>
          <w:tab/>
        </w:r>
        <w:r>
          <w:rPr>
            <w:rStyle w:val="Hyperlink"/>
            <w:noProof/>
          </w:rPr>
          <w:t>Prêts Euratom</w:t>
        </w:r>
        <w:r>
          <w:rPr>
            <w:noProof/>
            <w:webHidden/>
          </w:rPr>
          <w:tab/>
        </w:r>
        <w:r>
          <w:rPr>
            <w:noProof/>
            <w:webHidden/>
          </w:rPr>
          <w:fldChar w:fldCharType="begin"/>
        </w:r>
        <w:r>
          <w:rPr>
            <w:noProof/>
            <w:webHidden/>
          </w:rPr>
          <w:instrText xml:space="preserve"> PAGEREF _Toc424303760 \h </w:instrText>
        </w:r>
        <w:r>
          <w:rPr>
            <w:noProof/>
            <w:webHidden/>
          </w:rPr>
        </w:r>
        <w:r>
          <w:rPr>
            <w:noProof/>
            <w:webHidden/>
          </w:rPr>
          <w:fldChar w:fldCharType="separate"/>
        </w:r>
        <w:r>
          <w:rPr>
            <w:noProof/>
            <w:webHidden/>
          </w:rPr>
          <w:t>8</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4303761" w:history="1">
        <w:r>
          <w:rPr>
            <w:rStyle w:val="Hyperlink"/>
            <w:noProof/>
          </w:rPr>
          <w:t>3.2.</w:t>
        </w:r>
        <w:r>
          <w:rPr>
            <w:rFonts w:asciiTheme="minorHAnsi" w:eastAsiaTheme="minorEastAsia" w:hAnsiTheme="minorHAnsi" w:cstheme="minorBidi"/>
            <w:noProof/>
            <w:sz w:val="22"/>
            <w:szCs w:val="22"/>
            <w:lang w:val="en-GB" w:eastAsia="en-GB" w:bidi="ar-SA"/>
          </w:rPr>
          <w:tab/>
        </w:r>
        <w:r>
          <w:rPr>
            <w:rStyle w:val="Hyperlink"/>
            <w:noProof/>
          </w:rPr>
          <w:t>Évolution des opérations de financement extérieures de la BEI</w:t>
        </w:r>
        <w:r>
          <w:rPr>
            <w:noProof/>
            <w:webHidden/>
          </w:rPr>
          <w:tab/>
        </w:r>
        <w:r>
          <w:rPr>
            <w:noProof/>
            <w:webHidden/>
          </w:rPr>
          <w:fldChar w:fldCharType="begin"/>
        </w:r>
        <w:r>
          <w:rPr>
            <w:noProof/>
            <w:webHidden/>
          </w:rPr>
          <w:instrText xml:space="preserve"> PAGEREF _Toc424303761 \h </w:instrText>
        </w:r>
        <w:r>
          <w:rPr>
            <w:noProof/>
            <w:webHidden/>
          </w:rPr>
        </w:r>
        <w:r>
          <w:rPr>
            <w:noProof/>
            <w:webHidden/>
          </w:rPr>
          <w:fldChar w:fldCharType="separate"/>
        </w:r>
        <w:r>
          <w:rPr>
            <w:noProof/>
            <w:webHidden/>
          </w:rPr>
          <w:t>8</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24303762" w:history="1">
        <w:r>
          <w:rPr>
            <w:rStyle w:val="Hyperlink"/>
            <w:noProof/>
          </w:rPr>
          <w:t>4.</w:t>
        </w:r>
        <w:r>
          <w:rPr>
            <w:rFonts w:asciiTheme="minorHAnsi" w:eastAsiaTheme="minorEastAsia" w:hAnsiTheme="minorHAnsi" w:cstheme="minorBidi"/>
            <w:noProof/>
            <w:sz w:val="22"/>
            <w:szCs w:val="22"/>
            <w:lang w:val="en-GB" w:eastAsia="en-GB" w:bidi="ar-SA"/>
          </w:rPr>
          <w:tab/>
        </w:r>
        <w:r>
          <w:rPr>
            <w:rStyle w:val="Hyperlink"/>
            <w:noProof/>
          </w:rPr>
          <w:t>Risques couverts par le budget de l'UE</w:t>
        </w:r>
        <w:r>
          <w:rPr>
            <w:noProof/>
            <w:webHidden/>
          </w:rPr>
          <w:tab/>
        </w:r>
        <w:r>
          <w:rPr>
            <w:noProof/>
            <w:webHidden/>
          </w:rPr>
          <w:fldChar w:fldCharType="begin"/>
        </w:r>
        <w:r>
          <w:rPr>
            <w:noProof/>
            <w:webHidden/>
          </w:rPr>
          <w:instrText xml:space="preserve"> PAGEREF _Toc424303762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4303763" w:history="1">
        <w:r>
          <w:rPr>
            <w:rStyle w:val="Hyperlink"/>
            <w:noProof/>
          </w:rPr>
          <w:t>4.1.</w:t>
        </w:r>
        <w:r>
          <w:rPr>
            <w:rFonts w:asciiTheme="minorHAnsi" w:eastAsiaTheme="minorEastAsia" w:hAnsiTheme="minorHAnsi" w:cstheme="minorBidi"/>
            <w:noProof/>
            <w:sz w:val="22"/>
            <w:szCs w:val="22"/>
            <w:lang w:val="en-GB" w:eastAsia="en-GB" w:bidi="ar-SA"/>
          </w:rPr>
          <w:tab/>
        </w:r>
        <w:r>
          <w:rPr>
            <w:rStyle w:val="Hyperlink"/>
            <w:noProof/>
          </w:rPr>
          <w:t>Définition du risque</w:t>
        </w:r>
        <w:r>
          <w:rPr>
            <w:noProof/>
            <w:webHidden/>
          </w:rPr>
          <w:tab/>
        </w:r>
        <w:r>
          <w:rPr>
            <w:noProof/>
            <w:webHidden/>
          </w:rPr>
          <w:fldChar w:fldCharType="begin"/>
        </w:r>
        <w:r>
          <w:rPr>
            <w:noProof/>
            <w:webHidden/>
          </w:rPr>
          <w:instrText xml:space="preserve"> PAGEREF _Toc424303763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4303764" w:history="1">
        <w:r>
          <w:rPr>
            <w:rStyle w:val="Hyperlink"/>
            <w:noProof/>
          </w:rPr>
          <w:t>4.2.</w:t>
        </w:r>
        <w:r>
          <w:rPr>
            <w:rFonts w:asciiTheme="minorHAnsi" w:eastAsiaTheme="minorEastAsia" w:hAnsiTheme="minorHAnsi" w:cstheme="minorBidi"/>
            <w:noProof/>
            <w:sz w:val="22"/>
            <w:szCs w:val="22"/>
            <w:lang w:val="en-GB" w:eastAsia="en-GB" w:bidi="ar-SA"/>
          </w:rPr>
          <w:tab/>
        </w:r>
        <w:r>
          <w:rPr>
            <w:rStyle w:val="Hyperlink"/>
            <w:noProof/>
          </w:rPr>
          <w:t>Ventilation du risque total</w:t>
        </w:r>
        <w:r>
          <w:rPr>
            <w:noProof/>
            <w:webHidden/>
          </w:rPr>
          <w:tab/>
        </w:r>
        <w:r>
          <w:rPr>
            <w:noProof/>
            <w:webHidden/>
          </w:rPr>
          <w:fldChar w:fldCharType="begin"/>
        </w:r>
        <w:r>
          <w:rPr>
            <w:noProof/>
            <w:webHidden/>
          </w:rPr>
          <w:instrText xml:space="preserve"> PAGEREF _Toc424303764 \h </w:instrText>
        </w:r>
        <w:r>
          <w:rPr>
            <w:noProof/>
            <w:webHidden/>
          </w:rPr>
        </w:r>
        <w:r>
          <w:rPr>
            <w:noProof/>
            <w:webHidden/>
          </w:rPr>
          <w:fldChar w:fldCharType="separate"/>
        </w:r>
        <w:r>
          <w:rPr>
            <w:noProof/>
            <w:webHidden/>
          </w:rPr>
          <w:t>9</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4303765" w:history="1">
        <w:r>
          <w:rPr>
            <w:rStyle w:val="Hyperlink"/>
            <w:noProof/>
          </w:rPr>
          <w:t>4.3.</w:t>
        </w:r>
        <w:r>
          <w:rPr>
            <w:rFonts w:asciiTheme="minorHAnsi" w:eastAsiaTheme="minorEastAsia" w:hAnsiTheme="minorHAnsi" w:cstheme="minorBidi"/>
            <w:noProof/>
            <w:sz w:val="22"/>
            <w:szCs w:val="22"/>
            <w:lang w:val="en-GB" w:eastAsia="en-GB" w:bidi="ar-SA"/>
          </w:rPr>
          <w:tab/>
        </w:r>
        <w:r>
          <w:rPr>
            <w:rStyle w:val="Hyperlink"/>
            <w:noProof/>
          </w:rPr>
          <w:t>Risque annuel couvert par le budget de l'UE</w:t>
        </w:r>
        <w:r>
          <w:rPr>
            <w:noProof/>
            <w:webHidden/>
          </w:rPr>
          <w:tab/>
        </w:r>
        <w:r>
          <w:rPr>
            <w:noProof/>
            <w:webHidden/>
          </w:rPr>
          <w:fldChar w:fldCharType="begin"/>
        </w:r>
        <w:r>
          <w:rPr>
            <w:noProof/>
            <w:webHidden/>
          </w:rPr>
          <w:instrText xml:space="preserve"> PAGEREF _Toc424303765 \h </w:instrText>
        </w:r>
        <w:r>
          <w:rPr>
            <w:noProof/>
            <w:webHidden/>
          </w:rPr>
        </w:r>
        <w:r>
          <w:rPr>
            <w:noProof/>
            <w:webHidden/>
          </w:rPr>
          <w:fldChar w:fldCharType="separate"/>
        </w:r>
        <w:r>
          <w:rPr>
            <w:noProof/>
            <w:webHidden/>
          </w:rPr>
          <w:t>9</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4303766" w:history="1">
        <w:r>
          <w:rPr>
            <w:rStyle w:val="Hyperlink"/>
            <w:noProof/>
          </w:rPr>
          <w:t>4.3.1.</w:t>
        </w:r>
        <w:r>
          <w:rPr>
            <w:rFonts w:asciiTheme="minorHAnsi" w:eastAsiaTheme="minorEastAsia" w:hAnsiTheme="minorHAnsi" w:cstheme="minorBidi"/>
            <w:noProof/>
            <w:sz w:val="22"/>
            <w:szCs w:val="22"/>
            <w:lang w:val="en-GB" w:eastAsia="en-GB" w:bidi="ar-SA"/>
          </w:rPr>
          <w:tab/>
        </w:r>
        <w:r>
          <w:rPr>
            <w:rStyle w:val="Hyperlink"/>
            <w:noProof/>
          </w:rPr>
          <w:t>Risques liés aux États membres</w:t>
        </w:r>
        <w:r>
          <w:rPr>
            <w:noProof/>
            <w:webHidden/>
          </w:rPr>
          <w:tab/>
        </w:r>
        <w:r>
          <w:rPr>
            <w:noProof/>
            <w:webHidden/>
          </w:rPr>
          <w:fldChar w:fldCharType="begin"/>
        </w:r>
        <w:r>
          <w:rPr>
            <w:noProof/>
            <w:webHidden/>
          </w:rPr>
          <w:instrText xml:space="preserve"> PAGEREF _Toc424303766 \h </w:instrText>
        </w:r>
        <w:r>
          <w:rPr>
            <w:noProof/>
            <w:webHidden/>
          </w:rPr>
        </w:r>
        <w:r>
          <w:rPr>
            <w:noProof/>
            <w:webHidden/>
          </w:rPr>
          <w:fldChar w:fldCharType="separate"/>
        </w:r>
        <w:r>
          <w:rPr>
            <w:noProof/>
            <w:webHidden/>
          </w:rPr>
          <w:t>10</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4303767" w:history="1">
        <w:r>
          <w:rPr>
            <w:rStyle w:val="Hyperlink"/>
            <w:noProof/>
          </w:rPr>
          <w:t>4.3.2.</w:t>
        </w:r>
        <w:r>
          <w:rPr>
            <w:rFonts w:asciiTheme="minorHAnsi" w:eastAsiaTheme="minorEastAsia" w:hAnsiTheme="minorHAnsi" w:cstheme="minorBidi"/>
            <w:noProof/>
            <w:sz w:val="22"/>
            <w:szCs w:val="22"/>
            <w:lang w:val="en-GB" w:eastAsia="en-GB" w:bidi="ar-SA"/>
          </w:rPr>
          <w:tab/>
        </w:r>
        <w:r>
          <w:rPr>
            <w:rStyle w:val="Hyperlink"/>
            <w:noProof/>
          </w:rPr>
          <w:t>Risques liés aux pays tiers</w:t>
        </w:r>
        <w:r>
          <w:rPr>
            <w:noProof/>
            <w:webHidden/>
          </w:rPr>
          <w:tab/>
        </w:r>
        <w:r>
          <w:rPr>
            <w:noProof/>
            <w:webHidden/>
          </w:rPr>
          <w:fldChar w:fldCharType="begin"/>
        </w:r>
        <w:r>
          <w:rPr>
            <w:noProof/>
            <w:webHidden/>
          </w:rPr>
          <w:instrText xml:space="preserve"> PAGEREF _Toc424303767 \h </w:instrText>
        </w:r>
        <w:r>
          <w:rPr>
            <w:noProof/>
            <w:webHidden/>
          </w:rPr>
        </w:r>
        <w:r>
          <w:rPr>
            <w:noProof/>
            <w:webHidden/>
          </w:rPr>
          <w:fldChar w:fldCharType="separate"/>
        </w:r>
        <w:r>
          <w:rPr>
            <w:noProof/>
            <w:webHidden/>
          </w:rPr>
          <w:t>11</w:t>
        </w:r>
        <w:r>
          <w:rPr>
            <w:noProof/>
            <w:webHidden/>
          </w:rPr>
          <w:fldChar w:fldCharType="end"/>
        </w:r>
      </w:hyperlink>
    </w:p>
    <w:p>
      <w:pPr>
        <w:pStyle w:val="TOC1"/>
        <w:rPr>
          <w:rFonts w:asciiTheme="minorHAnsi" w:eastAsiaTheme="minorEastAsia" w:hAnsiTheme="minorHAnsi" w:cstheme="minorBidi"/>
          <w:noProof/>
          <w:sz w:val="22"/>
          <w:szCs w:val="22"/>
          <w:lang w:val="en-GB" w:eastAsia="en-GB" w:bidi="ar-SA"/>
        </w:rPr>
      </w:pPr>
      <w:hyperlink w:anchor="_Toc424303768" w:history="1">
        <w:r>
          <w:rPr>
            <w:rStyle w:val="Hyperlink"/>
            <w:noProof/>
          </w:rPr>
          <w:t>5.</w:t>
        </w:r>
        <w:r>
          <w:rPr>
            <w:rFonts w:asciiTheme="minorHAnsi" w:eastAsiaTheme="minorEastAsia" w:hAnsiTheme="minorHAnsi" w:cstheme="minorBidi"/>
            <w:noProof/>
            <w:sz w:val="22"/>
            <w:szCs w:val="22"/>
            <w:lang w:val="en-GB" w:eastAsia="en-GB" w:bidi="ar-SA"/>
          </w:rPr>
          <w:tab/>
        </w:r>
        <w:r>
          <w:rPr>
            <w:rStyle w:val="Hyperlink"/>
            <w:noProof/>
          </w:rPr>
          <w:t xml:space="preserve"> Activation des garanties et évolution du Fonds</w:t>
        </w:r>
        <w:r>
          <w:rPr>
            <w:noProof/>
            <w:webHidden/>
          </w:rPr>
          <w:tab/>
        </w:r>
        <w:r>
          <w:rPr>
            <w:noProof/>
            <w:webHidden/>
          </w:rPr>
          <w:fldChar w:fldCharType="begin"/>
        </w:r>
        <w:r>
          <w:rPr>
            <w:noProof/>
            <w:webHidden/>
          </w:rPr>
          <w:instrText xml:space="preserve"> PAGEREF _Toc424303768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4303769" w:history="1">
        <w:r>
          <w:rPr>
            <w:rStyle w:val="Hyperlink"/>
            <w:noProof/>
          </w:rPr>
          <w:t>5.1.</w:t>
        </w:r>
        <w:r>
          <w:rPr>
            <w:rFonts w:asciiTheme="minorHAnsi" w:eastAsiaTheme="minorEastAsia" w:hAnsiTheme="minorHAnsi" w:cstheme="minorBidi"/>
            <w:noProof/>
            <w:sz w:val="22"/>
            <w:szCs w:val="22"/>
            <w:lang w:val="en-GB" w:eastAsia="en-GB" w:bidi="ar-SA"/>
          </w:rPr>
          <w:tab/>
        </w:r>
        <w:r>
          <w:rPr>
            <w:rStyle w:val="Hyperlink"/>
            <w:noProof/>
          </w:rPr>
          <w:t>Activation des garanties</w:t>
        </w:r>
        <w:r>
          <w:rPr>
            <w:noProof/>
            <w:webHidden/>
          </w:rPr>
          <w:tab/>
        </w:r>
        <w:r>
          <w:rPr>
            <w:noProof/>
            <w:webHidden/>
          </w:rPr>
          <w:fldChar w:fldCharType="begin"/>
        </w:r>
        <w:r>
          <w:rPr>
            <w:noProof/>
            <w:webHidden/>
          </w:rPr>
          <w:instrText xml:space="preserve"> PAGEREF _Toc424303769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4303770" w:history="1">
        <w:r>
          <w:rPr>
            <w:rStyle w:val="Hyperlink"/>
            <w:noProof/>
          </w:rPr>
          <w:t>5.1.1.</w:t>
        </w:r>
        <w:r>
          <w:rPr>
            <w:rFonts w:asciiTheme="minorHAnsi" w:eastAsiaTheme="minorEastAsia" w:hAnsiTheme="minorHAnsi" w:cstheme="minorBidi"/>
            <w:noProof/>
            <w:sz w:val="22"/>
            <w:szCs w:val="22"/>
            <w:lang w:val="en-GB" w:eastAsia="en-GB" w:bidi="ar-SA"/>
          </w:rPr>
          <w:tab/>
        </w:r>
        <w:r>
          <w:rPr>
            <w:rStyle w:val="Hyperlink"/>
            <w:noProof/>
          </w:rPr>
          <w:t>Intervention de la trésorerie</w:t>
        </w:r>
        <w:r>
          <w:rPr>
            <w:noProof/>
            <w:webHidden/>
          </w:rPr>
          <w:tab/>
        </w:r>
        <w:r>
          <w:rPr>
            <w:noProof/>
            <w:webHidden/>
          </w:rPr>
          <w:fldChar w:fldCharType="begin"/>
        </w:r>
        <w:r>
          <w:rPr>
            <w:noProof/>
            <w:webHidden/>
          </w:rPr>
          <w:instrText xml:space="preserve"> PAGEREF _Toc424303770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4303771" w:history="1">
        <w:r>
          <w:rPr>
            <w:rStyle w:val="Hyperlink"/>
            <w:noProof/>
          </w:rPr>
          <w:t>5.1.2.</w:t>
        </w:r>
        <w:r>
          <w:rPr>
            <w:rFonts w:asciiTheme="minorHAnsi" w:eastAsiaTheme="minorEastAsia" w:hAnsiTheme="minorHAnsi" w:cstheme="minorBidi"/>
            <w:noProof/>
            <w:sz w:val="22"/>
            <w:szCs w:val="22"/>
            <w:lang w:val="en-GB" w:eastAsia="en-GB" w:bidi="ar-SA"/>
          </w:rPr>
          <w:tab/>
        </w:r>
        <w:r>
          <w:rPr>
            <w:rStyle w:val="Hyperlink"/>
            <w:noProof/>
          </w:rPr>
          <w:t>Paiements au titre du budget de l'UE</w:t>
        </w:r>
        <w:r>
          <w:rPr>
            <w:noProof/>
            <w:webHidden/>
          </w:rPr>
          <w:tab/>
        </w:r>
        <w:r>
          <w:rPr>
            <w:noProof/>
            <w:webHidden/>
          </w:rPr>
          <w:fldChar w:fldCharType="begin"/>
        </w:r>
        <w:r>
          <w:rPr>
            <w:noProof/>
            <w:webHidden/>
          </w:rPr>
          <w:instrText xml:space="preserve"> PAGEREF _Toc424303771 \h </w:instrText>
        </w:r>
        <w:r>
          <w:rPr>
            <w:noProof/>
            <w:webHidden/>
          </w:rPr>
        </w:r>
        <w:r>
          <w:rPr>
            <w:noProof/>
            <w:webHidden/>
          </w:rPr>
          <w:fldChar w:fldCharType="separate"/>
        </w:r>
        <w:r>
          <w:rPr>
            <w:noProof/>
            <w:webHidden/>
          </w:rPr>
          <w:t>12</w:t>
        </w:r>
        <w:r>
          <w:rPr>
            <w:noProof/>
            <w:webHidden/>
          </w:rPr>
          <w:fldChar w:fldCharType="end"/>
        </w:r>
      </w:hyperlink>
    </w:p>
    <w:p>
      <w:pPr>
        <w:pStyle w:val="TOC3"/>
        <w:rPr>
          <w:rFonts w:asciiTheme="minorHAnsi" w:eastAsiaTheme="minorEastAsia" w:hAnsiTheme="minorHAnsi" w:cstheme="minorBidi"/>
          <w:noProof/>
          <w:sz w:val="22"/>
          <w:szCs w:val="22"/>
          <w:lang w:val="en-GB" w:eastAsia="en-GB" w:bidi="ar-SA"/>
        </w:rPr>
      </w:pPr>
      <w:hyperlink w:anchor="_Toc424303772" w:history="1">
        <w:r>
          <w:rPr>
            <w:rStyle w:val="Hyperlink"/>
            <w:noProof/>
          </w:rPr>
          <w:t>5.1.3.</w:t>
        </w:r>
        <w:r>
          <w:rPr>
            <w:rFonts w:asciiTheme="minorHAnsi" w:eastAsiaTheme="minorEastAsia" w:hAnsiTheme="minorHAnsi" w:cstheme="minorBidi"/>
            <w:noProof/>
            <w:sz w:val="22"/>
            <w:szCs w:val="22"/>
            <w:lang w:val="en-GB" w:eastAsia="en-GB" w:bidi="ar-SA"/>
          </w:rPr>
          <w:tab/>
        </w:r>
        <w:r>
          <w:rPr>
            <w:rStyle w:val="Hyperlink"/>
            <w:noProof/>
          </w:rPr>
          <w:t>Appels au Fonds et recouvrements</w:t>
        </w:r>
        <w:r>
          <w:rPr>
            <w:noProof/>
            <w:webHidden/>
          </w:rPr>
          <w:tab/>
        </w:r>
        <w:r>
          <w:rPr>
            <w:noProof/>
            <w:webHidden/>
          </w:rPr>
          <w:fldChar w:fldCharType="begin"/>
        </w:r>
        <w:r>
          <w:rPr>
            <w:noProof/>
            <w:webHidden/>
          </w:rPr>
          <w:instrText xml:space="preserve"> PAGEREF _Toc424303772 \h </w:instrText>
        </w:r>
        <w:r>
          <w:rPr>
            <w:noProof/>
            <w:webHidden/>
          </w:rPr>
        </w:r>
        <w:r>
          <w:rPr>
            <w:noProof/>
            <w:webHidden/>
          </w:rPr>
          <w:fldChar w:fldCharType="separate"/>
        </w:r>
        <w:r>
          <w:rPr>
            <w:noProof/>
            <w:webHidden/>
          </w:rPr>
          <w:t>12</w:t>
        </w:r>
        <w:r>
          <w:rPr>
            <w:noProof/>
            <w:webHidden/>
          </w:rPr>
          <w:fldChar w:fldCharType="end"/>
        </w:r>
      </w:hyperlink>
    </w:p>
    <w:p>
      <w:pPr>
        <w:pStyle w:val="TOC2"/>
        <w:rPr>
          <w:rFonts w:asciiTheme="minorHAnsi" w:eastAsiaTheme="minorEastAsia" w:hAnsiTheme="minorHAnsi" w:cstheme="minorBidi"/>
          <w:noProof/>
          <w:sz w:val="22"/>
          <w:szCs w:val="22"/>
          <w:lang w:val="en-GB" w:eastAsia="en-GB" w:bidi="ar-SA"/>
        </w:rPr>
      </w:pPr>
      <w:hyperlink w:anchor="_Toc424303773" w:history="1">
        <w:r>
          <w:rPr>
            <w:rStyle w:val="Hyperlink"/>
            <w:noProof/>
          </w:rPr>
          <w:t>5.2.</w:t>
        </w:r>
        <w:r>
          <w:rPr>
            <w:rFonts w:asciiTheme="minorHAnsi" w:eastAsiaTheme="minorEastAsia" w:hAnsiTheme="minorHAnsi" w:cstheme="minorBidi"/>
            <w:noProof/>
            <w:sz w:val="22"/>
            <w:szCs w:val="22"/>
            <w:lang w:val="en-GB" w:eastAsia="en-GB" w:bidi="ar-SA"/>
          </w:rPr>
          <w:tab/>
        </w:r>
        <w:r>
          <w:rPr>
            <w:rStyle w:val="Hyperlink"/>
            <w:noProof/>
          </w:rPr>
          <w:t>Évolution du Fonds</w:t>
        </w:r>
        <w:r>
          <w:rPr>
            <w:noProof/>
            <w:webHidden/>
          </w:rPr>
          <w:tab/>
        </w:r>
        <w:r>
          <w:rPr>
            <w:noProof/>
            <w:webHidden/>
          </w:rPr>
          <w:fldChar w:fldCharType="begin"/>
        </w:r>
        <w:r>
          <w:rPr>
            <w:noProof/>
            <w:webHidden/>
          </w:rPr>
          <w:instrText xml:space="preserve"> PAGEREF _Toc424303773 \h </w:instrText>
        </w:r>
        <w:r>
          <w:rPr>
            <w:noProof/>
            <w:webHidden/>
          </w:rPr>
        </w:r>
        <w:r>
          <w:rPr>
            <w:noProof/>
            <w:webHidden/>
          </w:rPr>
          <w:fldChar w:fldCharType="separate"/>
        </w:r>
        <w:r>
          <w:rPr>
            <w:noProof/>
            <w:webHidden/>
          </w:rPr>
          <w:t>13</w:t>
        </w:r>
        <w:r>
          <w:rPr>
            <w:noProof/>
            <w:webHidden/>
          </w:rPr>
          <w:fldChar w:fldCharType="end"/>
        </w:r>
      </w:hyperlink>
    </w:p>
    <w:p>
      <w:pPr>
        <w:rPr>
          <w:noProof/>
        </w:rPr>
      </w:pPr>
      <w:r>
        <w:rPr>
          <w:noProof/>
        </w:rPr>
        <w:fldChar w:fldCharType="end"/>
      </w:r>
    </w:p>
    <w:p>
      <w:pPr>
        <w:pStyle w:val="TOCHeading"/>
        <w:rPr>
          <w:noProof/>
        </w:rPr>
      </w:pPr>
    </w:p>
    <w:p>
      <w:pPr>
        <w:rPr>
          <w:noProof/>
        </w:rPr>
        <w:sectPr>
          <w:headerReference w:type="even" r:id="rId16"/>
          <w:headerReference w:type="default" r:id="rId17"/>
          <w:footerReference w:type="even" r:id="rId18"/>
          <w:footerReference w:type="default" r:id="rId19"/>
          <w:headerReference w:type="first" r:id="rId20"/>
          <w:footerReference w:type="first" r:id="rId21"/>
          <w:pgSz w:w="11907" w:h="16839"/>
          <w:pgMar w:top="1134" w:right="1417" w:bottom="1134" w:left="1417" w:header="709" w:footer="709" w:gutter="0"/>
          <w:pgNumType w:start="2"/>
          <w:cols w:space="708"/>
          <w:docGrid w:linePitch="360"/>
        </w:sectPr>
      </w:pPr>
    </w:p>
    <w:p>
      <w:pPr>
        <w:pStyle w:val="ManualHeading1"/>
        <w:rPr>
          <w:noProof/>
        </w:rPr>
      </w:pPr>
      <w:bookmarkStart w:id="2" w:name="_Toc309831354"/>
      <w:bookmarkStart w:id="3" w:name="_Toc329261054"/>
      <w:bookmarkStart w:id="4" w:name="_Toc329855616"/>
      <w:bookmarkStart w:id="5" w:name="_Toc330551221"/>
      <w:bookmarkStart w:id="6" w:name="_Toc342470144"/>
      <w:bookmarkStart w:id="7" w:name="_Toc345073694"/>
      <w:bookmarkStart w:id="8" w:name="_Toc365986211"/>
      <w:bookmarkStart w:id="9" w:name="_Toc367869464"/>
      <w:bookmarkStart w:id="10" w:name="_Toc367869991"/>
      <w:bookmarkStart w:id="11" w:name="_Toc388973009"/>
      <w:bookmarkStart w:id="12" w:name="_Toc389474742"/>
      <w:bookmarkStart w:id="13" w:name="_Toc390944385"/>
      <w:bookmarkStart w:id="14" w:name="_Toc393969956"/>
      <w:bookmarkStart w:id="15" w:name="_Toc417461963"/>
      <w:bookmarkStart w:id="16" w:name="_Toc417998597"/>
      <w:bookmarkStart w:id="17" w:name="_Toc418157623"/>
      <w:bookmarkStart w:id="18" w:name="_Toc424303753"/>
      <w:r>
        <w:rPr>
          <w:noProof/>
        </w:rPr>
        <w:t>1.</w:t>
      </w:r>
      <w:r>
        <w:rPr>
          <w:noProof/>
        </w:rPr>
        <w:tab/>
        <w:t>Introduction</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p>
    <w:p>
      <w:pPr>
        <w:rPr>
          <w:noProof/>
        </w:rPr>
      </w:pPr>
      <w:r>
        <w:rPr>
          <w:noProof/>
        </w:rPr>
        <w:t>L’objectif du présent rapport est de rendre compte des risques de crédit auxquels est exposé le budget de l’Union européenne en raison des garanties octroyées et des opérations de prêt réalisées directement par l’Union européenne ou indirectement, par l'intermédiaire de la garantie accordée aux projets de financement de la BEI à l'extérieur de l'Union.</w:t>
      </w:r>
    </w:p>
    <w:p>
      <w:pPr>
        <w:rPr>
          <w:noProof/>
        </w:rPr>
      </w:pPr>
      <w:r>
        <w:rPr>
          <w:noProof/>
        </w:rPr>
        <w:t>Ce rapport est communiqué conformément à l'article 149 du règlement financier</w:t>
      </w:r>
      <w:r>
        <w:rPr>
          <w:rStyle w:val="FootnoteReference"/>
          <w:noProof/>
        </w:rPr>
        <w:footnoteReference w:id="1"/>
      </w:r>
      <w:r>
        <w:rPr>
          <w:noProof/>
        </w:rPr>
        <w:t>, qui impose à la Commission de faire rapport une fois par an au Parlement européen et au Conseil sur les garanties budgétaires de l'UE et les risques correspondants</w:t>
      </w:r>
      <w:r>
        <w:rPr>
          <w:rStyle w:val="Funotenzeichen"/>
          <w:noProof/>
        </w:rPr>
        <w:footnoteReference w:id="2"/>
      </w:r>
      <w:r>
        <w:rPr>
          <w:noProof/>
        </w:rPr>
        <w:t>.</w:t>
      </w:r>
    </w:p>
    <w:p>
      <w:pPr>
        <w:rPr>
          <w:noProof/>
        </w:rPr>
      </w:pPr>
      <w:r>
        <w:rPr>
          <w:noProof/>
        </w:rPr>
        <w:t>Le rapport est structuré de la manière suivante: la section 2 rappelle les principales caractéristiques des opérations garanties par le budget de l'UE; plusieurs autres mécanismes de gestion des crises, qui ne comportent aucun risque pour le budget de l’UE, y sont également présentés. La section 3 présente l’évolution des opérations garanties. Enfin, la section 4 met en lumière les principaux risques couverts par le budget de l’UE, tandis que la section 5 décrit l’activation des garanties et l’évolution du Fonds de garantie relatif aux actions extérieures (ci-après le «Fonds»)</w:t>
      </w:r>
      <w:r>
        <w:rPr>
          <w:noProof/>
          <w:vertAlign w:val="superscript"/>
        </w:rPr>
        <w:footnoteReference w:id="3"/>
      </w:r>
      <w:r>
        <w:rPr>
          <w:noProof/>
        </w:rPr>
        <w:t>.</w:t>
      </w:r>
    </w:p>
    <w:p>
      <w:pPr>
        <w:rPr>
          <w:noProof/>
        </w:rPr>
      </w:pPr>
      <w:r>
        <w:rPr>
          <w:noProof/>
        </w:rPr>
        <w:t>Un document de travail des services de la Commission complète le présent rapport par une série de tableaux détaillés et de notes explicatives. Il fournit également une analyse macroéconomique des pays qui bénéficient de prêts et/ou de garanties de l’UE, représentant la majeure partie de l’exposition du Fonds.</w:t>
      </w:r>
    </w:p>
    <w:p>
      <w:pPr>
        <w:pStyle w:val="ManualHeading1"/>
        <w:rPr>
          <w:noProof/>
        </w:rPr>
      </w:pPr>
      <w:bookmarkStart w:id="19" w:name="_Toc309831355"/>
      <w:bookmarkStart w:id="20" w:name="_Toc329261055"/>
      <w:bookmarkStart w:id="21" w:name="_Toc329855617"/>
      <w:bookmarkStart w:id="22" w:name="_Toc330551222"/>
      <w:bookmarkStart w:id="23" w:name="_Toc342470145"/>
      <w:bookmarkStart w:id="24" w:name="_Toc345073695"/>
      <w:bookmarkStart w:id="25" w:name="_Toc365986212"/>
      <w:bookmarkStart w:id="26" w:name="_Toc367869465"/>
      <w:bookmarkStart w:id="27" w:name="_Toc367869992"/>
      <w:bookmarkStart w:id="28" w:name="_Toc388973010"/>
      <w:bookmarkStart w:id="29" w:name="_Toc389474743"/>
      <w:bookmarkStart w:id="30" w:name="_Toc390944386"/>
      <w:bookmarkStart w:id="31" w:name="_Toc393969957"/>
      <w:bookmarkStart w:id="32" w:name="_Toc417461964"/>
      <w:bookmarkStart w:id="33" w:name="_Toc417998598"/>
      <w:bookmarkStart w:id="34" w:name="_Toc418157624"/>
      <w:bookmarkStart w:id="35" w:name="_Toc424303754"/>
      <w:r>
        <w:rPr>
          <w:noProof/>
        </w:rPr>
        <w:t>2.</w:t>
      </w:r>
      <w:r>
        <w:rPr>
          <w:noProof/>
        </w:rPr>
        <w:tab/>
        <w:t xml:space="preserve">Opérations garanties par le </w:t>
      </w:r>
      <w:bookmarkEnd w:id="19"/>
      <w:bookmarkEnd w:id="20"/>
      <w:bookmarkEnd w:id="21"/>
      <w:bookmarkEnd w:id="22"/>
      <w:bookmarkEnd w:id="23"/>
      <w:bookmarkEnd w:id="24"/>
      <w:bookmarkEnd w:id="25"/>
      <w:bookmarkEnd w:id="26"/>
      <w:bookmarkEnd w:id="27"/>
      <w:bookmarkEnd w:id="28"/>
      <w:bookmarkEnd w:id="29"/>
      <w:r>
        <w:rPr>
          <w:noProof/>
        </w:rPr>
        <w:t>budget de l'UE</w:t>
      </w:r>
      <w:bookmarkEnd w:id="30"/>
      <w:bookmarkEnd w:id="31"/>
      <w:bookmarkEnd w:id="32"/>
      <w:bookmarkEnd w:id="33"/>
      <w:bookmarkEnd w:id="34"/>
      <w:bookmarkEnd w:id="35"/>
    </w:p>
    <w:p>
      <w:pPr>
        <w:autoSpaceDE w:val="0"/>
        <w:spacing w:before="0" w:after="0"/>
        <w:rPr>
          <w:noProof/>
        </w:rPr>
      </w:pPr>
      <w:r>
        <w:rPr>
          <w:noProof/>
        </w:rPr>
        <w:t>Les risques couverts par le budget de l'Union découlent de toute une gamme d'opérations de prêts et de garanties qui peuvent se diviser en deux catégories:</w:t>
      </w:r>
    </w:p>
    <w:p>
      <w:pPr>
        <w:pStyle w:val="ListDash"/>
        <w:rPr>
          <w:noProof/>
        </w:rPr>
      </w:pPr>
      <w:r>
        <w:rPr>
          <w:noProof/>
        </w:rPr>
        <w:t>les prêts à finalité macroéconomique accordés par l’Union européenne, c’est-à-dire les prêts d’assistance macrofinancière (AMF)</w:t>
      </w:r>
      <w:r>
        <w:rPr>
          <w:rStyle w:val="Funotenzeichen"/>
          <w:noProof/>
        </w:rPr>
        <w:footnoteReference w:id="4"/>
      </w:r>
      <w:r>
        <w:rPr>
          <w:noProof/>
        </w:rPr>
        <w:t xml:space="preserve"> aux pays tiers, les prêts de soutien des balances des paiements</w:t>
      </w:r>
      <w:r>
        <w:rPr>
          <w:rStyle w:val="FootnoteReference"/>
          <w:noProof/>
        </w:rPr>
        <w:footnoteReference w:id="5"/>
      </w:r>
      <w:r>
        <w:rPr>
          <w:noProof/>
        </w:rPr>
        <w:t>, qui visent à aider les États membres hors zone euro confrontés à des difficultés dans leur balance des paiements, et les prêts au titre du mécanisme européen de stabilisation financière (MESF)</w:t>
      </w:r>
      <w:r>
        <w:rPr>
          <w:rStyle w:val="Funotenzeichen"/>
          <w:noProof/>
        </w:rPr>
        <w:footnoteReference w:id="6"/>
      </w:r>
      <w:r>
        <w:rPr>
          <w:noProof/>
        </w:rPr>
        <w:t>, qui visent à aider tout État membre connaissant de graves perturbations économiques ou financières ou une menace sérieuse de telles perturbations du fait d'événements exceptionnels échappant à son contrôle et qui généralement sont accordés en conjonction avec un concours financier du Fonds monétaire international (FMI);</w:t>
      </w:r>
    </w:p>
    <w:p>
      <w:pPr>
        <w:pStyle w:val="ListDash"/>
        <w:rPr>
          <w:noProof/>
        </w:rPr>
      </w:pPr>
      <w:r>
        <w:rPr>
          <w:noProof/>
        </w:rPr>
        <w:t>les prêts à finalité microéconomique, c’est-à-dire les prêts Euratom et, surtout, le financement par la Banque européenne d’investissement d'opérations dans des pays tiers («financement extérieur de la BEI») qui sont couvertes par la garantie de l’UE</w:t>
      </w:r>
      <w:r>
        <w:rPr>
          <w:rStyle w:val="Funotenzeichen"/>
          <w:noProof/>
        </w:rPr>
        <w:footnoteReference w:id="7"/>
      </w:r>
      <w:r>
        <w:rPr>
          <w:noProof/>
        </w:rPr>
        <w:t>.</w:t>
      </w:r>
    </w:p>
    <w:p>
      <w:pPr>
        <w:rPr>
          <w:noProof/>
        </w:rPr>
      </w:pPr>
      <w:r>
        <w:rPr>
          <w:noProof/>
        </w:rPr>
        <w:t>Le financement extérieur de la BEI avec garantie, l'AMF et les prêts Euratom aux pays tiers sont garantis par le Fonds depuis 1994, tandis que les prêts de soutien des balances des paiements, les prêts MESF et les prêts Euratom en faveur des États membres sont directement couverts par le budget de l'UE.</w:t>
      </w:r>
    </w:p>
    <w:p>
      <w:pPr>
        <w:rPr>
          <w:noProof/>
        </w:rPr>
      </w:pPr>
      <w:r>
        <w:rPr>
          <w:noProof/>
        </w:rPr>
        <w:t>Le Fonds couvre les défauts sur les prêts et les garanties de prêts accordés à des pays tiers ou en faveur de projets réalisés dans des pays tiers. Il a été institué:</w:t>
      </w:r>
    </w:p>
    <w:p>
      <w:pPr>
        <w:pStyle w:val="ListDash"/>
        <w:rPr>
          <w:noProof/>
        </w:rPr>
      </w:pPr>
      <w:r>
        <w:rPr>
          <w:noProof/>
        </w:rPr>
        <w:t>pour fournir une réserve de liquidités afin de ne pas avoir à recourir au budget de l'UE à chaque défaut ou retard de paiement concernant un prêt garanti; et</w:t>
      </w:r>
    </w:p>
    <w:p>
      <w:pPr>
        <w:pStyle w:val="ListDash"/>
        <w:rPr>
          <w:noProof/>
        </w:rPr>
      </w:pPr>
      <w:r>
        <w:rPr>
          <w:noProof/>
        </w:rPr>
        <w:t>pour créer un instrument de discipline budgétaire en établissant un cadre financier pour le développement d'une politique européenne de garantie des prêts de la Commission et de la BEI à des pays tiers</w:t>
      </w:r>
      <w:r>
        <w:rPr>
          <w:rStyle w:val="Funotenzeichen"/>
          <w:noProof/>
        </w:rPr>
        <w:footnoteReference w:id="8"/>
      </w:r>
      <w:r>
        <w:rPr>
          <w:noProof/>
        </w:rPr>
        <w:t>.</w:t>
      </w:r>
    </w:p>
    <w:p>
      <w:pPr>
        <w:rPr>
          <w:noProof/>
        </w:rPr>
      </w:pPr>
      <w:r>
        <w:rPr>
          <w:noProof/>
        </w:rPr>
        <w:t>Si un pays tiers devient un État membre, les prêts dont il fait l'objet ne sont plus couverts par le Fonds et le risque est alors directement supporté par le budget de l'UE. Le Fonds est alimenté par le budget de l'UE, et la valeur de ses avoirs doit toujours correspondre à un certain pourcentage du montant total de l’encours des prêts et des garanties qu’il couvre. Ce pourcentage, appelé «taux objectif», est fixé actuellement à 9 %</w:t>
      </w:r>
      <w:r>
        <w:rPr>
          <w:rStyle w:val="FootnoteReference"/>
          <w:noProof/>
        </w:rPr>
        <w:footnoteReference w:id="9"/>
      </w:r>
      <w:r>
        <w:rPr>
          <w:noProof/>
        </w:rPr>
        <w:t>. Si les ressources du Fonds sont insuffisantes, le budget de l'UE fournira les fonds nécessaires.</w:t>
      </w:r>
    </w:p>
    <w:p>
      <w:pPr>
        <w:rPr>
          <w:noProof/>
        </w:rPr>
      </w:pPr>
      <w:r>
        <w:rPr>
          <w:noProof/>
          <w:u w:val="single"/>
        </w:rPr>
        <w:t>Autres mécanismes de gestion des crises non couverts par le budget de l’UE</w:t>
      </w:r>
    </w:p>
    <w:p>
      <w:pPr>
        <w:rPr>
          <w:noProof/>
        </w:rPr>
      </w:pPr>
      <w:r>
        <w:rPr>
          <w:noProof/>
        </w:rPr>
        <w:t xml:space="preserve">Plusieurs autres mécanismes ont été créés en réaction à la crise, mais ils ne présentent </w:t>
      </w:r>
      <w:r>
        <w:rPr>
          <w:i/>
          <w:noProof/>
        </w:rPr>
        <w:t>aucun</w:t>
      </w:r>
      <w:r>
        <w:rPr>
          <w:noProof/>
        </w:rPr>
        <w:t xml:space="preserve"> risque pour le budget de l'UE:</w:t>
      </w:r>
    </w:p>
    <w:p>
      <w:pPr>
        <w:pStyle w:val="NormalWeb"/>
        <w:jc w:val="both"/>
        <w:rPr>
          <w:noProof/>
        </w:rPr>
      </w:pPr>
      <w:r>
        <w:rPr>
          <w:noProof/>
        </w:rPr>
        <w:t xml:space="preserve">- le </w:t>
      </w:r>
      <w:r>
        <w:rPr>
          <w:i/>
          <w:noProof/>
        </w:rPr>
        <w:t>mécanisme de prêt à la Grèce</w:t>
      </w:r>
      <w:r>
        <w:rPr>
          <w:rStyle w:val="FootnoteReference"/>
          <w:i/>
          <w:noProof/>
        </w:rPr>
        <w:footnoteReference w:id="10"/>
      </w:r>
      <w:r>
        <w:rPr>
          <w:noProof/>
        </w:rPr>
        <w:t>, qui est financé au moyen de prêts bilatéraux accordés à la Grèce par les autres États membres de la zone euro et administrés de manière centralisée par la Commission;</w:t>
      </w:r>
    </w:p>
    <w:p>
      <w:pPr>
        <w:pStyle w:val="NormalWeb"/>
        <w:jc w:val="both"/>
        <w:rPr>
          <w:noProof/>
        </w:rPr>
      </w:pPr>
      <w:r>
        <w:rPr>
          <w:noProof/>
        </w:rPr>
        <w:t xml:space="preserve">- le </w:t>
      </w:r>
      <w:r>
        <w:rPr>
          <w:i/>
          <w:noProof/>
        </w:rPr>
        <w:t>Fonds européen de stabilité financière</w:t>
      </w:r>
      <w:r>
        <w:rPr>
          <w:noProof/>
        </w:rPr>
        <w:t xml:space="preserve"> (FESF)</w:t>
      </w:r>
      <w:r>
        <w:rPr>
          <w:rStyle w:val="FootnoteReference"/>
          <w:i/>
          <w:noProof/>
        </w:rPr>
        <w:footnoteReference w:id="11"/>
      </w:r>
      <w:r>
        <w:rPr>
          <w:noProof/>
        </w:rPr>
        <w:t xml:space="preserve">, qui a été créé à titre temporaire par les États membres de la zone euro en juin 2010 pour fournir une aide financière aux États membres de la zone euro dans le cadre d’un programme d’ajustement macroéconomique. Le traité instituant le mécanisme européen de stabilité (MES), de nature permanente, est entré en vigueur le 27 septembre 2012. Depuis le </w:t>
      </w:r>
      <w:r>
        <w:rPr>
          <w:rStyle w:val="Strong"/>
          <w:b w:val="0"/>
          <w:noProof/>
        </w:rPr>
        <w:t>1</w:t>
      </w:r>
      <w:r>
        <w:rPr>
          <w:rStyle w:val="Strong"/>
          <w:b w:val="0"/>
          <w:noProof/>
          <w:vertAlign w:val="superscript"/>
        </w:rPr>
        <w:t>er</w:t>
      </w:r>
      <w:r>
        <w:rPr>
          <w:rStyle w:val="Strong"/>
          <w:b w:val="0"/>
          <w:noProof/>
        </w:rPr>
        <w:t> juillet 2013</w:t>
      </w:r>
      <w:r>
        <w:rPr>
          <w:noProof/>
        </w:rPr>
        <w:t>, le FESF poursuit ses programmes existants d'aide à la Grèce (conjointement avec le FMI et plusieurs États membres), ainsi que d'aide à l’Irlande et au Portugal (avec le FMI, plusieurs États membres et le MESF/UE)</w:t>
      </w:r>
      <w:r>
        <w:rPr>
          <w:rStyle w:val="FootnoteReference"/>
          <w:noProof/>
        </w:rPr>
        <w:footnoteReference w:id="12"/>
      </w:r>
      <w:r>
        <w:rPr>
          <w:noProof/>
        </w:rPr>
        <w:t xml:space="preserve">, mais ne s'engage plus dans de nouveaux programmes de financement ou nouvelles conventions de prêt; </w:t>
      </w:r>
    </w:p>
    <w:p>
      <w:pPr>
        <w:pStyle w:val="NormalWeb"/>
        <w:jc w:val="both"/>
        <w:rPr>
          <w:noProof/>
        </w:rPr>
      </w:pPr>
      <w:r>
        <w:rPr>
          <w:noProof/>
        </w:rPr>
        <w:t xml:space="preserve">- le </w:t>
      </w:r>
      <w:r>
        <w:rPr>
          <w:i/>
          <w:noProof/>
        </w:rPr>
        <w:t>Mécanisme européen de stabilité</w:t>
      </w:r>
      <w:r>
        <w:rPr>
          <w:noProof/>
        </w:rPr>
        <w:t xml:space="preserve"> (MES)</w:t>
      </w:r>
      <w:r>
        <w:rPr>
          <w:rStyle w:val="FootnoteReference"/>
          <w:i/>
          <w:noProof/>
        </w:rPr>
        <w:footnoteReference w:id="13"/>
      </w:r>
      <w:r>
        <w:rPr>
          <w:noProof/>
        </w:rPr>
        <w:t>, qui est un élément important de la stratégie globale de l’UE destiné à préserver la stabilité financière de la zone euro en apportant une assistance financière aux États membres de celle-ci qui connaissent ou risquent de connaître des difficultés de financement.</w:t>
      </w:r>
      <w:r>
        <w:rPr>
          <w:rStyle w:val="Strong"/>
          <w:b w:val="0"/>
          <w:noProof/>
        </w:rPr>
        <w:t xml:space="preserve"> </w:t>
      </w:r>
      <w:r>
        <w:rPr>
          <w:noProof/>
        </w:rPr>
        <w:t>Le MES est une organisation intergouvernementale de droit international public, établie à Luxembourg, dont la capacité de prêt effective s'élève à 500 000 millions d’EUR.</w:t>
      </w:r>
    </w:p>
    <w:p>
      <w:pPr>
        <w:pStyle w:val="ManualHeading1"/>
        <w:rPr>
          <w:noProof/>
        </w:rPr>
      </w:pPr>
      <w:bookmarkStart w:id="36" w:name="_Toc390944387"/>
      <w:bookmarkStart w:id="37" w:name="_Toc393969958"/>
      <w:bookmarkStart w:id="38" w:name="_Toc417461965"/>
      <w:bookmarkStart w:id="39" w:name="_Toc417998599"/>
      <w:bookmarkStart w:id="40" w:name="_Toc418157625"/>
      <w:bookmarkStart w:id="41" w:name="_Toc424303755"/>
      <w:bookmarkStart w:id="42" w:name="_Toc309831356"/>
      <w:bookmarkStart w:id="43" w:name="_Toc329261056"/>
      <w:bookmarkStart w:id="44" w:name="_Toc329855618"/>
      <w:bookmarkStart w:id="45" w:name="_Toc330551223"/>
      <w:bookmarkStart w:id="46" w:name="_Toc342470146"/>
      <w:bookmarkStart w:id="47" w:name="_Toc345073696"/>
      <w:bookmarkStart w:id="48" w:name="_Toc365986213"/>
      <w:bookmarkStart w:id="49" w:name="_Toc367869466"/>
      <w:bookmarkStart w:id="50" w:name="_Toc367869993"/>
      <w:bookmarkStart w:id="51" w:name="_Toc388973011"/>
      <w:bookmarkStart w:id="52" w:name="_Toc389474744"/>
      <w:r>
        <w:rPr>
          <w:noProof/>
        </w:rPr>
        <w:t>3.</w:t>
      </w:r>
      <w:r>
        <w:rPr>
          <w:noProof/>
        </w:rPr>
        <w:tab/>
        <w:t>Évolution des opérations garanties</w:t>
      </w:r>
      <w:bookmarkEnd w:id="36"/>
      <w:bookmarkEnd w:id="37"/>
      <w:bookmarkEnd w:id="38"/>
      <w:bookmarkEnd w:id="39"/>
      <w:bookmarkEnd w:id="40"/>
      <w:bookmarkEnd w:id="41"/>
      <w:r>
        <w:rPr>
          <w:noProof/>
        </w:rPr>
        <w:t xml:space="preserve"> </w:t>
      </w:r>
      <w:bookmarkEnd w:id="42"/>
      <w:bookmarkEnd w:id="43"/>
      <w:bookmarkEnd w:id="44"/>
      <w:bookmarkEnd w:id="45"/>
      <w:bookmarkEnd w:id="46"/>
      <w:bookmarkEnd w:id="47"/>
      <w:bookmarkEnd w:id="48"/>
      <w:bookmarkEnd w:id="49"/>
      <w:bookmarkEnd w:id="50"/>
      <w:bookmarkEnd w:id="51"/>
      <w:bookmarkEnd w:id="52"/>
    </w:p>
    <w:p>
      <w:pPr>
        <w:rPr>
          <w:noProof/>
        </w:rPr>
      </w:pPr>
      <w:r>
        <w:rPr>
          <w:noProof/>
        </w:rPr>
        <w:t xml:space="preserve">La présente section décrit l’évolution des opérations garanties, d'abord de celles qui sont gérées directement par la Commission, puis de celles gérées par la BEI. </w:t>
      </w:r>
    </w:p>
    <w:tbl>
      <w:tblPr>
        <w:tblW w:w="8839" w:type="dxa"/>
        <w:tblInd w:w="-5" w:type="dxa"/>
        <w:tblLayout w:type="fixed"/>
        <w:tblLook w:val="0000" w:firstRow="0" w:lastRow="0" w:firstColumn="0" w:lastColumn="0" w:noHBand="0" w:noVBand="0"/>
      </w:tblPr>
      <w:tblGrid>
        <w:gridCol w:w="2770"/>
        <w:gridCol w:w="1665"/>
        <w:gridCol w:w="1891"/>
        <w:gridCol w:w="1446"/>
        <w:gridCol w:w="1067"/>
      </w:tblGrid>
      <w:tr>
        <w:trPr>
          <w:trHeight w:val="165"/>
        </w:trPr>
        <w:tc>
          <w:tcPr>
            <w:tcW w:w="8839" w:type="dxa"/>
            <w:gridSpan w:val="5"/>
            <w:tcBorders>
              <w:bottom w:val="single" w:sz="4" w:space="0" w:color="000000"/>
            </w:tcBorders>
          </w:tcPr>
          <w:p>
            <w:pPr>
              <w:snapToGrid w:val="0"/>
              <w:rPr>
                <w:noProof/>
              </w:rPr>
            </w:pPr>
            <w:r>
              <w:rPr>
                <w:noProof/>
              </w:rPr>
              <w:t>Tableau 1: Montant total de l’encours couvert par le budget de l'UE au 31 décembre 2014 (en millions d’EUR)</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p>
        </w:tc>
        <w:tc>
          <w:tcPr>
            <w:tcW w:w="1665" w:type="dxa"/>
            <w:tcBorders>
              <w:top w:val="single" w:sz="4" w:space="0" w:color="000000"/>
              <w:left w:val="single" w:sz="4" w:space="0" w:color="000000"/>
              <w:bottom w:val="single" w:sz="4" w:space="0" w:color="000000"/>
            </w:tcBorders>
          </w:tcPr>
          <w:p>
            <w:pPr>
              <w:snapToGrid w:val="0"/>
              <w:jc w:val="center"/>
              <w:rPr>
                <w:b/>
                <w:noProof/>
              </w:rPr>
            </w:pPr>
            <w:r>
              <w:rPr>
                <w:b/>
                <w:noProof/>
              </w:rPr>
              <w:t>Encours en capital</w:t>
            </w:r>
          </w:p>
        </w:tc>
        <w:tc>
          <w:tcPr>
            <w:tcW w:w="1891" w:type="dxa"/>
            <w:tcBorders>
              <w:top w:val="single" w:sz="4" w:space="0" w:color="000000"/>
              <w:left w:val="single" w:sz="4" w:space="0" w:color="000000"/>
              <w:bottom w:val="single" w:sz="4" w:space="0" w:color="000000"/>
            </w:tcBorders>
          </w:tcPr>
          <w:p>
            <w:pPr>
              <w:snapToGrid w:val="0"/>
              <w:jc w:val="center"/>
              <w:rPr>
                <w:b/>
                <w:noProof/>
              </w:rPr>
            </w:pPr>
            <w:r>
              <w:rPr>
                <w:b/>
                <w:noProof/>
              </w:rPr>
              <w:t>Intérêts échus</w:t>
            </w:r>
          </w:p>
        </w:tc>
        <w:tc>
          <w:tcPr>
            <w:tcW w:w="1446" w:type="dxa"/>
            <w:tcBorders>
              <w:top w:val="single" w:sz="4" w:space="0" w:color="000000"/>
              <w:left w:val="single" w:sz="4" w:space="0" w:color="000000"/>
              <w:bottom w:val="single" w:sz="4" w:space="0" w:color="000000"/>
            </w:tcBorders>
          </w:tcPr>
          <w:p>
            <w:pPr>
              <w:snapToGrid w:val="0"/>
              <w:jc w:val="center"/>
              <w:rPr>
                <w:b/>
                <w:noProof/>
              </w:rPr>
            </w:pPr>
            <w:r>
              <w:rPr>
                <w:b/>
                <w:noProof/>
              </w:rPr>
              <w:t>Total</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center"/>
              <w:rPr>
                <w:b/>
                <w:noProof/>
              </w:rPr>
            </w:pPr>
            <w:r>
              <w:rPr>
                <w:b/>
                <w:noProof/>
              </w:rPr>
              <w:t>%</w:t>
            </w:r>
          </w:p>
        </w:tc>
      </w:tr>
      <w:tr>
        <w:trPr>
          <w:trHeight w:val="165"/>
        </w:trPr>
        <w:tc>
          <w:tcPr>
            <w:tcW w:w="2770" w:type="dxa"/>
            <w:tcBorders>
              <w:top w:val="single" w:sz="4" w:space="0" w:color="000000"/>
              <w:left w:val="single" w:sz="4" w:space="0" w:color="000000"/>
              <w:bottom w:val="single" w:sz="4" w:space="0" w:color="000000"/>
            </w:tcBorders>
          </w:tcPr>
          <w:p>
            <w:pPr>
              <w:snapToGrid w:val="0"/>
              <w:rPr>
                <w:rStyle w:val="Added"/>
                <w:noProof/>
                <w:u w:val="none"/>
              </w:rPr>
            </w:pPr>
            <w:r>
              <w:rPr>
                <w:rStyle w:val="Added"/>
                <w:noProof/>
                <w:u w:val="none"/>
              </w:rPr>
              <w:t>États membres*</w:t>
            </w:r>
          </w:p>
        </w:tc>
        <w:tc>
          <w:tcPr>
            <w:tcW w:w="1665" w:type="dxa"/>
            <w:tcBorders>
              <w:top w:val="single" w:sz="4" w:space="0" w:color="000000"/>
              <w:left w:val="single" w:sz="4" w:space="0" w:color="000000"/>
              <w:bottom w:val="single" w:sz="4" w:space="0" w:color="000000"/>
            </w:tcBorders>
          </w:tcPr>
          <w:p>
            <w:pPr>
              <w:snapToGrid w:val="0"/>
              <w:rPr>
                <w:noProof/>
              </w:rPr>
            </w:pPr>
          </w:p>
        </w:tc>
        <w:tc>
          <w:tcPr>
            <w:tcW w:w="1891" w:type="dxa"/>
            <w:tcBorders>
              <w:top w:val="single" w:sz="4" w:space="0" w:color="000000"/>
              <w:left w:val="single" w:sz="4" w:space="0" w:color="000000"/>
              <w:bottom w:val="single" w:sz="4" w:space="0" w:color="000000"/>
            </w:tcBorders>
          </w:tcPr>
          <w:p>
            <w:pPr>
              <w:snapToGrid w:val="0"/>
              <w:rPr>
                <w:noProof/>
              </w:rPr>
            </w:pPr>
          </w:p>
        </w:tc>
        <w:tc>
          <w:tcPr>
            <w:tcW w:w="1446" w:type="dxa"/>
            <w:tcBorders>
              <w:top w:val="single" w:sz="4" w:space="0" w:color="000000"/>
              <w:left w:val="single" w:sz="4" w:space="0" w:color="000000"/>
              <w:bottom w:val="single" w:sz="4" w:space="0" w:color="000000"/>
            </w:tcBorders>
          </w:tcPr>
          <w:p>
            <w:pPr>
              <w:snapToGrid w:val="0"/>
              <w:rPr>
                <w:b/>
                <w:noProof/>
              </w:rPr>
            </w:pPr>
          </w:p>
        </w:tc>
        <w:tc>
          <w:tcPr>
            <w:tcW w:w="1067" w:type="dxa"/>
            <w:tcBorders>
              <w:top w:val="single" w:sz="4" w:space="0" w:color="000000"/>
              <w:left w:val="single" w:sz="4" w:space="0" w:color="000000"/>
              <w:bottom w:val="single" w:sz="4" w:space="0" w:color="000000"/>
              <w:right w:val="single" w:sz="4" w:space="0" w:color="000000"/>
            </w:tcBorders>
          </w:tcPr>
          <w:p>
            <w:pPr>
              <w:snapToGrid w:val="0"/>
              <w:rPr>
                <w:b/>
                <w:noProof/>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Euratom</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324</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1</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326</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&lt; 1</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BDP</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8 400</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190</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8 590</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10</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BEI</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2 315</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19</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2 334</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rStyle w:val="Added"/>
                <w:noProof/>
              </w:rPr>
            </w:pPr>
            <w:r>
              <w:rPr>
                <w:b/>
                <w:noProof/>
              </w:rPr>
              <w:t>MESF</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46 800</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707</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47 507</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56</w:t>
            </w:r>
          </w:p>
        </w:tc>
      </w:tr>
      <w:tr>
        <w:trPr>
          <w:trHeight w:val="165"/>
        </w:trPr>
        <w:tc>
          <w:tcPr>
            <w:tcW w:w="2770" w:type="dxa"/>
            <w:tcBorders>
              <w:top w:val="single" w:sz="4" w:space="0" w:color="000000"/>
              <w:left w:val="single" w:sz="4" w:space="0" w:color="000000"/>
              <w:bottom w:val="single" w:sz="4" w:space="0" w:color="000000"/>
            </w:tcBorders>
          </w:tcPr>
          <w:p>
            <w:pPr>
              <w:snapToGrid w:val="0"/>
              <w:rPr>
                <w:rStyle w:val="Added"/>
                <w:noProof/>
                <w:u w:val="none"/>
              </w:rPr>
            </w:pPr>
            <w:r>
              <w:rPr>
                <w:rStyle w:val="Added"/>
                <w:noProof/>
                <w:u w:val="none"/>
              </w:rPr>
              <w:t>Sous-total États membres</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57 840</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917</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58 757</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69</w:t>
            </w:r>
          </w:p>
        </w:tc>
      </w:tr>
      <w:tr>
        <w:trPr>
          <w:trHeight w:val="165"/>
        </w:trPr>
        <w:tc>
          <w:tcPr>
            <w:tcW w:w="2770" w:type="dxa"/>
            <w:tcBorders>
              <w:top w:val="single" w:sz="4" w:space="0" w:color="000000"/>
              <w:left w:val="single" w:sz="4" w:space="0" w:color="000000"/>
              <w:bottom w:val="single" w:sz="4" w:space="0" w:color="000000"/>
            </w:tcBorders>
          </w:tcPr>
          <w:p>
            <w:pPr>
              <w:snapToGrid w:val="0"/>
              <w:rPr>
                <w:noProof/>
                <w:sz w:val="20"/>
              </w:rPr>
            </w:pPr>
            <w:r>
              <w:rPr>
                <w:rStyle w:val="Added"/>
                <w:noProof/>
                <w:u w:val="none"/>
              </w:rPr>
              <w:t>Pays tiers</w:t>
            </w:r>
            <w:r>
              <w:rPr>
                <w:noProof/>
              </w:rPr>
              <w:t>**</w:t>
            </w:r>
          </w:p>
        </w:tc>
        <w:tc>
          <w:tcPr>
            <w:tcW w:w="1665" w:type="dxa"/>
            <w:tcBorders>
              <w:top w:val="single" w:sz="4" w:space="0" w:color="000000"/>
              <w:left w:val="single" w:sz="4" w:space="0" w:color="000000"/>
              <w:bottom w:val="single" w:sz="4" w:space="0" w:color="000000"/>
            </w:tcBorders>
          </w:tcPr>
          <w:p>
            <w:pPr>
              <w:snapToGrid w:val="0"/>
              <w:jc w:val="right"/>
              <w:rPr>
                <w:noProof/>
              </w:rPr>
            </w:pPr>
          </w:p>
        </w:tc>
        <w:tc>
          <w:tcPr>
            <w:tcW w:w="1891" w:type="dxa"/>
            <w:tcBorders>
              <w:top w:val="single" w:sz="4" w:space="0" w:color="000000"/>
              <w:left w:val="single" w:sz="4" w:space="0" w:color="000000"/>
              <w:bottom w:val="single" w:sz="4" w:space="0" w:color="000000"/>
            </w:tcBorders>
          </w:tcPr>
          <w:p>
            <w:pPr>
              <w:snapToGrid w:val="0"/>
              <w:jc w:val="right"/>
              <w:rPr>
                <w:noProof/>
              </w:rPr>
            </w:pPr>
          </w:p>
        </w:tc>
        <w:tc>
          <w:tcPr>
            <w:tcW w:w="1446" w:type="dxa"/>
            <w:tcBorders>
              <w:top w:val="single" w:sz="4" w:space="0" w:color="000000"/>
              <w:left w:val="single" w:sz="4" w:space="0" w:color="000000"/>
              <w:bottom w:val="single" w:sz="4" w:space="0" w:color="000000"/>
            </w:tcBorders>
          </w:tcPr>
          <w:p>
            <w:pPr>
              <w:snapToGrid w:val="0"/>
              <w:jc w:val="right"/>
              <w:rPr>
                <w:noProof/>
              </w:rPr>
            </w:pP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AMF</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1 829</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13</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1 842</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2</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Euratom</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24</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&lt; 1</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24</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&lt; 1</w:t>
            </w:r>
          </w:p>
        </w:tc>
      </w:tr>
      <w:tr>
        <w:trPr>
          <w:trHeight w:val="165"/>
        </w:trPr>
        <w:tc>
          <w:tcPr>
            <w:tcW w:w="2770" w:type="dxa"/>
            <w:tcBorders>
              <w:top w:val="single" w:sz="4" w:space="0" w:color="000000"/>
              <w:left w:val="single" w:sz="4" w:space="0" w:color="000000"/>
              <w:bottom w:val="single" w:sz="4" w:space="0" w:color="000000"/>
            </w:tcBorders>
          </w:tcPr>
          <w:p>
            <w:pPr>
              <w:snapToGrid w:val="0"/>
              <w:ind w:left="284"/>
              <w:rPr>
                <w:b/>
                <w:noProof/>
              </w:rPr>
            </w:pPr>
            <w:r>
              <w:rPr>
                <w:b/>
                <w:noProof/>
              </w:rPr>
              <w:t>BEI***</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24 431</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164</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24 595</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29</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r>
              <w:rPr>
                <w:b/>
                <w:noProof/>
              </w:rPr>
              <w:t>Sous-total pays tiers</w:t>
            </w:r>
          </w:p>
        </w:tc>
        <w:tc>
          <w:tcPr>
            <w:tcW w:w="1665" w:type="dxa"/>
            <w:tcBorders>
              <w:top w:val="single" w:sz="4" w:space="0" w:color="000000"/>
              <w:left w:val="single" w:sz="4" w:space="0" w:color="000000"/>
              <w:bottom w:val="single" w:sz="4" w:space="0" w:color="000000"/>
            </w:tcBorders>
          </w:tcPr>
          <w:p>
            <w:pPr>
              <w:snapToGrid w:val="0"/>
              <w:jc w:val="right"/>
              <w:rPr>
                <w:noProof/>
              </w:rPr>
            </w:pPr>
            <w:r>
              <w:rPr>
                <w:noProof/>
              </w:rPr>
              <w:t>26 283</w:t>
            </w:r>
          </w:p>
        </w:tc>
        <w:tc>
          <w:tcPr>
            <w:tcW w:w="1891" w:type="dxa"/>
            <w:tcBorders>
              <w:top w:val="single" w:sz="4" w:space="0" w:color="000000"/>
              <w:left w:val="single" w:sz="4" w:space="0" w:color="000000"/>
              <w:bottom w:val="single" w:sz="4" w:space="0" w:color="000000"/>
            </w:tcBorders>
          </w:tcPr>
          <w:p>
            <w:pPr>
              <w:snapToGrid w:val="0"/>
              <w:jc w:val="right"/>
              <w:rPr>
                <w:noProof/>
              </w:rPr>
            </w:pPr>
            <w:r>
              <w:rPr>
                <w:noProof/>
              </w:rPr>
              <w:t>178</w:t>
            </w:r>
          </w:p>
        </w:tc>
        <w:tc>
          <w:tcPr>
            <w:tcW w:w="1446" w:type="dxa"/>
            <w:tcBorders>
              <w:top w:val="single" w:sz="4" w:space="0" w:color="000000"/>
              <w:left w:val="single" w:sz="4" w:space="0" w:color="000000"/>
              <w:bottom w:val="single" w:sz="4" w:space="0" w:color="000000"/>
            </w:tcBorders>
          </w:tcPr>
          <w:p>
            <w:pPr>
              <w:snapToGrid w:val="0"/>
              <w:jc w:val="right"/>
              <w:rPr>
                <w:noProof/>
              </w:rPr>
            </w:pPr>
            <w:r>
              <w:rPr>
                <w:noProof/>
              </w:rPr>
              <w:t>26 461</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noProof/>
              </w:rPr>
            </w:pPr>
            <w:r>
              <w:rPr>
                <w:noProof/>
              </w:rPr>
              <w:t>31</w:t>
            </w:r>
          </w:p>
        </w:tc>
      </w:tr>
      <w:tr>
        <w:trPr>
          <w:trHeight w:val="165"/>
        </w:trPr>
        <w:tc>
          <w:tcPr>
            <w:tcW w:w="2770" w:type="dxa"/>
            <w:tcBorders>
              <w:top w:val="single" w:sz="4" w:space="0" w:color="000000"/>
              <w:left w:val="single" w:sz="4" w:space="0" w:color="000000"/>
              <w:bottom w:val="single" w:sz="4" w:space="0" w:color="000000"/>
            </w:tcBorders>
          </w:tcPr>
          <w:p>
            <w:pPr>
              <w:snapToGrid w:val="0"/>
              <w:rPr>
                <w:b/>
                <w:noProof/>
              </w:rPr>
            </w:pPr>
            <w:r>
              <w:rPr>
                <w:b/>
                <w:noProof/>
              </w:rPr>
              <w:t>Total</w:t>
            </w:r>
          </w:p>
        </w:tc>
        <w:tc>
          <w:tcPr>
            <w:tcW w:w="1665" w:type="dxa"/>
            <w:tcBorders>
              <w:top w:val="single" w:sz="4" w:space="0" w:color="000000"/>
              <w:left w:val="single" w:sz="4" w:space="0" w:color="000000"/>
              <w:bottom w:val="single" w:sz="4" w:space="0" w:color="000000"/>
            </w:tcBorders>
          </w:tcPr>
          <w:p>
            <w:pPr>
              <w:snapToGrid w:val="0"/>
              <w:jc w:val="right"/>
              <w:rPr>
                <w:b/>
                <w:noProof/>
              </w:rPr>
            </w:pPr>
            <w:r>
              <w:rPr>
                <w:b/>
                <w:noProof/>
              </w:rPr>
              <w:t>84 123</w:t>
            </w:r>
          </w:p>
        </w:tc>
        <w:tc>
          <w:tcPr>
            <w:tcW w:w="1891" w:type="dxa"/>
            <w:tcBorders>
              <w:top w:val="single" w:sz="4" w:space="0" w:color="000000"/>
              <w:left w:val="single" w:sz="4" w:space="0" w:color="000000"/>
              <w:bottom w:val="single" w:sz="4" w:space="0" w:color="000000"/>
            </w:tcBorders>
          </w:tcPr>
          <w:p>
            <w:pPr>
              <w:snapToGrid w:val="0"/>
              <w:jc w:val="right"/>
              <w:rPr>
                <w:b/>
                <w:noProof/>
              </w:rPr>
            </w:pPr>
            <w:r>
              <w:rPr>
                <w:b/>
                <w:noProof/>
              </w:rPr>
              <w:t>1 095</w:t>
            </w:r>
          </w:p>
        </w:tc>
        <w:tc>
          <w:tcPr>
            <w:tcW w:w="1446" w:type="dxa"/>
            <w:tcBorders>
              <w:top w:val="single" w:sz="4" w:space="0" w:color="000000"/>
              <w:left w:val="single" w:sz="4" w:space="0" w:color="000000"/>
              <w:bottom w:val="single" w:sz="4" w:space="0" w:color="000000"/>
            </w:tcBorders>
          </w:tcPr>
          <w:p>
            <w:pPr>
              <w:snapToGrid w:val="0"/>
              <w:jc w:val="right"/>
              <w:rPr>
                <w:b/>
                <w:noProof/>
              </w:rPr>
            </w:pPr>
            <w:r>
              <w:rPr>
                <w:b/>
                <w:noProof/>
              </w:rPr>
              <w:t>85 218</w:t>
            </w:r>
          </w:p>
        </w:tc>
        <w:tc>
          <w:tcPr>
            <w:tcW w:w="1067" w:type="dxa"/>
            <w:tcBorders>
              <w:top w:val="single" w:sz="4" w:space="0" w:color="000000"/>
              <w:left w:val="single" w:sz="4" w:space="0" w:color="000000"/>
              <w:bottom w:val="single" w:sz="4" w:space="0" w:color="000000"/>
              <w:right w:val="single" w:sz="4" w:space="0" w:color="000000"/>
            </w:tcBorders>
          </w:tcPr>
          <w:p>
            <w:pPr>
              <w:snapToGrid w:val="0"/>
              <w:jc w:val="right"/>
              <w:rPr>
                <w:b/>
                <w:noProof/>
              </w:rPr>
            </w:pPr>
            <w:r>
              <w:rPr>
                <w:b/>
                <w:noProof/>
              </w:rPr>
              <w:t>100</w:t>
            </w:r>
          </w:p>
        </w:tc>
      </w:tr>
      <w:tr>
        <w:trPr>
          <w:trHeight w:val="284"/>
        </w:trPr>
        <w:tc>
          <w:tcPr>
            <w:tcW w:w="8839" w:type="dxa"/>
            <w:gridSpan w:val="5"/>
            <w:tcBorders>
              <w:top w:val="single" w:sz="4" w:space="0" w:color="000000"/>
              <w:left w:val="single" w:sz="4" w:space="0" w:color="000000"/>
              <w:bottom w:val="single" w:sz="4" w:space="0" w:color="000000"/>
              <w:right w:val="single" w:sz="4" w:space="0" w:color="000000"/>
            </w:tcBorders>
          </w:tcPr>
          <w:p>
            <w:pPr>
              <w:tabs>
                <w:tab w:val="left" w:pos="431"/>
              </w:tabs>
              <w:snapToGrid w:val="0"/>
              <w:spacing w:after="0"/>
              <w:ind w:left="238" w:hanging="238"/>
              <w:rPr>
                <w:noProof/>
                <w:sz w:val="20"/>
              </w:rPr>
            </w:pPr>
            <w:r>
              <w:rPr>
                <w:noProof/>
                <w:sz w:val="20"/>
              </w:rPr>
              <w:t>*</w:t>
            </w:r>
            <w:r>
              <w:rPr>
                <w:noProof/>
              </w:rPr>
              <w:tab/>
            </w:r>
            <w:r>
              <w:rPr>
                <w:noProof/>
              </w:rPr>
              <w:tab/>
            </w:r>
            <w:r>
              <w:rPr>
                <w:noProof/>
                <w:sz w:val="20"/>
              </w:rPr>
              <w:t>Ce risque est directement couvert par le budget de l'UE. Sont également pris en compte les prêts AMF, Euratom et BEI octroyés à un pays avant son adhésion à l'UE.</w:t>
            </w:r>
          </w:p>
          <w:p>
            <w:pPr>
              <w:tabs>
                <w:tab w:val="left" w:pos="431"/>
              </w:tabs>
              <w:spacing w:after="0"/>
              <w:ind w:left="238" w:hanging="238"/>
              <w:rPr>
                <w:noProof/>
                <w:sz w:val="20"/>
              </w:rPr>
            </w:pPr>
            <w:r>
              <w:rPr>
                <w:noProof/>
                <w:sz w:val="20"/>
              </w:rPr>
              <w:t>**</w:t>
            </w:r>
            <w:r>
              <w:rPr>
                <w:noProof/>
              </w:rPr>
              <w:tab/>
            </w:r>
            <w:r>
              <w:rPr>
                <w:noProof/>
              </w:rPr>
              <w:tab/>
            </w:r>
            <w:r>
              <w:rPr>
                <w:noProof/>
                <w:sz w:val="20"/>
              </w:rPr>
              <w:t>Ce risque est couvert par le Fonds.</w:t>
            </w:r>
          </w:p>
          <w:p>
            <w:pPr>
              <w:tabs>
                <w:tab w:val="left" w:pos="431"/>
              </w:tabs>
              <w:spacing w:after="0"/>
              <w:ind w:left="238" w:hanging="238"/>
              <w:rPr>
                <w:noProof/>
                <w:sz w:val="20"/>
              </w:rPr>
            </w:pPr>
            <w:r>
              <w:rPr>
                <w:noProof/>
                <w:sz w:val="20"/>
              </w:rPr>
              <w:t>***</w:t>
            </w:r>
            <w:r>
              <w:rPr>
                <w:noProof/>
              </w:rPr>
              <w:tab/>
            </w:r>
            <w:r>
              <w:rPr>
                <w:noProof/>
                <w:sz w:val="20"/>
              </w:rPr>
              <w:t>Sont inclus les prêts transférés à l'UE par subrogation à la suite des défauts de la Syrie sur des prêts de la BEI</w:t>
            </w:r>
            <w:r>
              <w:rPr>
                <w:noProof/>
                <w:sz w:val="20"/>
              </w:rPr>
              <w:br/>
            </w:r>
            <w:r>
              <w:rPr>
                <w:noProof/>
              </w:rPr>
              <w:tab/>
            </w:r>
            <w:r>
              <w:rPr>
                <w:noProof/>
                <w:sz w:val="20"/>
              </w:rPr>
              <w:t>(montant: 107 millions d'EUR).</w:t>
            </w:r>
          </w:p>
        </w:tc>
      </w:tr>
    </w:tbl>
    <w:p>
      <w:pPr>
        <w:rPr>
          <w:noProof/>
        </w:rPr>
      </w:pPr>
      <w:r>
        <w:rPr>
          <w:noProof/>
        </w:rPr>
        <w:t xml:space="preserve">Les tableaux A1, A2 </w:t>
      </w:r>
      <w:r>
        <w:rPr>
          <w:i/>
          <w:noProof/>
        </w:rPr>
        <w:t>bis</w:t>
      </w:r>
      <w:r>
        <w:rPr>
          <w:noProof/>
        </w:rPr>
        <w:t xml:space="preserve">, A2 </w:t>
      </w:r>
      <w:r>
        <w:rPr>
          <w:i/>
          <w:noProof/>
        </w:rPr>
        <w:t>ter</w:t>
      </w:r>
      <w:r>
        <w:rPr>
          <w:noProof/>
        </w:rPr>
        <w:t xml:space="preserve"> et A3 du document de travail fournissent des informations plus détaillées sur ces encours, notamment en ce qui concerne les plafonds, les montants décaissés et les taux de garantie.</w:t>
      </w:r>
    </w:p>
    <w:p>
      <w:pPr>
        <w:pStyle w:val="ManualHeading2"/>
        <w:ind w:left="0" w:firstLine="0"/>
        <w:rPr>
          <w:noProof/>
        </w:rPr>
      </w:pPr>
      <w:bookmarkStart w:id="53" w:name="_Toc389474756"/>
      <w:bookmarkStart w:id="54" w:name="_Toc390944388"/>
      <w:bookmarkStart w:id="55" w:name="_Toc393969959"/>
      <w:bookmarkStart w:id="56" w:name="_Toc417461966"/>
      <w:bookmarkStart w:id="57" w:name="_Toc417998600"/>
      <w:bookmarkStart w:id="58" w:name="_Toc418157626"/>
      <w:bookmarkStart w:id="59" w:name="_Toc424303756"/>
      <w:r>
        <w:rPr>
          <w:noProof/>
        </w:rPr>
        <w:t>3.1.</w:t>
      </w:r>
      <w:r>
        <w:rPr>
          <w:noProof/>
        </w:rPr>
        <w:tab/>
        <w:t xml:space="preserve">Opérations gérées directement par la </w:t>
      </w:r>
      <w:bookmarkEnd w:id="53"/>
      <w:r>
        <w:rPr>
          <w:noProof/>
        </w:rPr>
        <w:t>Commission</w:t>
      </w:r>
      <w:bookmarkEnd w:id="54"/>
      <w:bookmarkEnd w:id="55"/>
      <w:bookmarkEnd w:id="56"/>
      <w:bookmarkEnd w:id="57"/>
      <w:bookmarkEnd w:id="58"/>
      <w:bookmarkEnd w:id="59"/>
      <w:r>
        <w:rPr>
          <w:noProof/>
        </w:rPr>
        <w:t xml:space="preserve"> </w:t>
      </w:r>
    </w:p>
    <w:p>
      <w:pPr>
        <w:pStyle w:val="ManualHeading3"/>
        <w:rPr>
          <w:noProof/>
        </w:rPr>
      </w:pPr>
      <w:bookmarkStart w:id="60" w:name="_Toc390944389"/>
      <w:bookmarkStart w:id="61" w:name="_Toc393969960"/>
      <w:bookmarkStart w:id="62" w:name="_Toc417461967"/>
      <w:bookmarkStart w:id="63" w:name="_Toc417998601"/>
      <w:bookmarkStart w:id="64" w:name="_Toc418157627"/>
      <w:bookmarkStart w:id="65" w:name="_Toc424303757"/>
      <w:r>
        <w:rPr>
          <w:noProof/>
        </w:rPr>
        <w:t>3.1.1.</w:t>
      </w:r>
      <w:r>
        <w:rPr>
          <w:noProof/>
        </w:rPr>
        <w:tab/>
        <w:t xml:space="preserve">Mécanisme européen de stabilisation financière </w:t>
      </w:r>
      <w:bookmarkEnd w:id="60"/>
      <w:bookmarkEnd w:id="61"/>
      <w:bookmarkEnd w:id="62"/>
      <w:bookmarkEnd w:id="63"/>
      <w:bookmarkEnd w:id="64"/>
      <w:r>
        <w:rPr>
          <w:noProof/>
        </w:rPr>
        <w:t>(MESF)</w:t>
      </w:r>
      <w:bookmarkEnd w:id="65"/>
    </w:p>
    <w:p>
      <w:pPr>
        <w:rPr>
          <w:noProof/>
        </w:rPr>
      </w:pPr>
      <w:r>
        <w:rPr>
          <w:noProof/>
        </w:rPr>
        <w:t>Dans ses conclusions des 9 et 10 mai 2010, le Conseil Ecofin a prévu de doter le mécanisme d'une enveloppe maximale de 60 000 millions d’EUR</w:t>
      </w:r>
      <w:r>
        <w:rPr>
          <w:rStyle w:val="Funotenzeichen"/>
          <w:noProof/>
        </w:rPr>
        <w:footnoteReference w:id="14"/>
      </w:r>
      <w:r>
        <w:rPr>
          <w:noProof/>
        </w:rPr>
        <w:t>. En outre, l’article 2, paragraphe 2, du règlement (UE) nº 407/2010</w:t>
      </w:r>
      <w:r>
        <w:rPr>
          <w:rStyle w:val="FootnoteReference"/>
          <w:noProof/>
        </w:rPr>
        <w:footnoteReference w:id="15"/>
      </w:r>
      <w:r>
        <w:rPr>
          <w:noProof/>
        </w:rPr>
        <w:t xml:space="preserve"> limite l’encours en principal des prêts ou des lignes de crédit pouvant être accordés aux États membres à la marge en crédits de paiement disponible sous le plafond des ressources propres.</w:t>
      </w:r>
    </w:p>
    <w:p>
      <w:pPr>
        <w:rPr>
          <w:noProof/>
        </w:rPr>
      </w:pPr>
      <w:r>
        <w:rPr>
          <w:noProof/>
        </w:rPr>
        <w:t>Les décaissements effectués à la suite des décisions du Conseil d'accorder une assistance financière de l'Union à l'Irlande</w:t>
      </w:r>
      <w:r>
        <w:rPr>
          <w:rStyle w:val="FootnoteReference"/>
          <w:noProof/>
        </w:rPr>
        <w:footnoteReference w:id="16"/>
      </w:r>
      <w:r>
        <w:rPr>
          <w:noProof/>
        </w:rPr>
        <w:t xml:space="preserve"> (22 500 millions d'EUR max.) et au Portugal</w:t>
      </w:r>
      <w:r>
        <w:rPr>
          <w:rStyle w:val="FootnoteReference"/>
          <w:noProof/>
        </w:rPr>
        <w:footnoteReference w:id="17"/>
      </w:r>
      <w:r>
        <w:rPr>
          <w:noProof/>
        </w:rPr>
        <w:t xml:space="preserve"> (26 000 millions d'EUR max.) ont atteint 22 500 millions d'EUR pour l'Irlande et 24 300 millions d'EUR pour le Portugal.</w:t>
      </w:r>
    </w:p>
    <w:p>
      <w:pPr>
        <w:spacing w:after="240"/>
        <w:rPr>
          <w:noProof/>
          <w:u w:val="single"/>
        </w:rPr>
      </w:pPr>
      <w:r>
        <w:rPr>
          <w:noProof/>
          <w:u w:val="single"/>
        </w:rPr>
        <w:t>Évolution de la situation au cours de l’année 2014</w:t>
      </w:r>
    </w:p>
    <w:p>
      <w:pPr>
        <w:rPr>
          <w:rFonts w:cs="Arial"/>
          <w:noProof/>
        </w:rPr>
      </w:pPr>
      <w:r>
        <w:rPr>
          <w:noProof/>
        </w:rPr>
        <w:t xml:space="preserve">En mars 2014, la dernière tranche de 800 millions d’EUR a été versée à l'Irlande, la capacité de prêt maximale en faveur de ce pays ayant ainsi été atteinte. </w:t>
      </w:r>
    </w:p>
    <w:p>
      <w:pPr>
        <w:rPr>
          <w:rFonts w:cs="Arial"/>
          <w:noProof/>
        </w:rPr>
      </w:pPr>
      <w:r>
        <w:rPr>
          <w:noProof/>
        </w:rPr>
        <w:t>Le Portugal a reçu 2 200 millions d'EUR en deux tranches. Les 1 700 millions d'EUR restants ne seront pas utilisés, le gouvernement portugais ayant décidé, dès avant l'expiration du délai de décaissement, de ne pas en demander le versement.</w:t>
      </w:r>
    </w:p>
    <w:p>
      <w:pPr>
        <w:rPr>
          <w:noProof/>
        </w:rPr>
      </w:pPr>
      <w:r>
        <w:rPr>
          <w:noProof/>
        </w:rPr>
        <w:t>Au 31 décembre 2014, sur une enveloppe maximale de 60 000 millions d'EUR, le MESF disposait encore d'une capacité de 13 200 millions d'EUR pour fournir une assistance à un État membre de la zone euro en cas de nécessité</w:t>
      </w:r>
      <w:r>
        <w:rPr>
          <w:rStyle w:val="FootnoteReference"/>
          <w:noProof/>
        </w:rPr>
        <w:footnoteReference w:id="18"/>
      </w:r>
      <w:r>
        <w:rPr>
          <w:noProof/>
        </w:rPr>
        <w:t>.</w:t>
      </w:r>
    </w:p>
    <w:p>
      <w:pPr>
        <w:pStyle w:val="ManualHeading3"/>
        <w:rPr>
          <w:noProof/>
        </w:rPr>
      </w:pPr>
      <w:bookmarkStart w:id="66" w:name="_Toc390944390"/>
      <w:bookmarkStart w:id="67" w:name="_Toc393969961"/>
      <w:bookmarkStart w:id="68" w:name="_Toc417461968"/>
      <w:bookmarkStart w:id="69" w:name="_Toc417998602"/>
      <w:bookmarkStart w:id="70" w:name="_Toc418157628"/>
      <w:bookmarkStart w:id="71" w:name="_Toc424303758"/>
      <w:r>
        <w:rPr>
          <w:noProof/>
        </w:rPr>
        <w:t>3.1.2.</w:t>
      </w:r>
      <w:r>
        <w:rPr>
          <w:noProof/>
        </w:rPr>
        <w:tab/>
        <w:t>Mécanisme de soutien des balances des paiements</w:t>
      </w:r>
      <w:bookmarkEnd w:id="66"/>
      <w:bookmarkEnd w:id="67"/>
      <w:bookmarkEnd w:id="68"/>
      <w:bookmarkEnd w:id="69"/>
      <w:bookmarkEnd w:id="70"/>
      <w:bookmarkEnd w:id="71"/>
    </w:p>
    <w:p>
      <w:pPr>
        <w:rPr>
          <w:noProof/>
        </w:rPr>
      </w:pPr>
      <w:r>
        <w:rPr>
          <w:noProof/>
        </w:rPr>
        <w:t xml:space="preserve">L’UE a réactivé son mécanisme de soutien financier de moyen terme à la balance des paiements, en novembre 2008 au profit de la Hongrie, puis en janvier et mai 2009 au profit de la Lettonie et de la Roumanie, afin d'aider ces pays à regagner la confiance des marchés; ce soutien s'est traduit par un engagement total de 14 600 millions d’EUR, dont 1 200 millions non décaissés, faute de nouvelle demande avant l’expiration du délai de décaissement. </w:t>
      </w:r>
    </w:p>
    <w:p>
      <w:pPr>
        <w:spacing w:after="240"/>
        <w:rPr>
          <w:noProof/>
          <w:u w:val="single"/>
        </w:rPr>
      </w:pPr>
      <w:r>
        <w:rPr>
          <w:noProof/>
          <w:u w:val="single"/>
        </w:rPr>
        <w:t>Évolution de la situation au cours de l’année 2014</w:t>
      </w:r>
    </w:p>
    <w:p>
      <w:pPr>
        <w:rPr>
          <w:noProof/>
        </w:rPr>
      </w:pPr>
      <w:r>
        <w:rPr>
          <w:noProof/>
        </w:rPr>
        <w:t xml:space="preserve">La Hongrie a remboursé 2 000 millions d'EUR, la Lettonie 1 000 millions d'EUR. </w:t>
      </w:r>
    </w:p>
    <w:p>
      <w:pPr>
        <w:rPr>
          <w:noProof/>
        </w:rPr>
      </w:pPr>
      <w:r>
        <w:rPr>
          <w:noProof/>
        </w:rPr>
        <w:t>Quant à la Roumanie, le Conseil a décidé le 22 octobre 2013 de mettre à sa disposition, à titre de précaution, un nouveau soutien financier de moyen terme</w:t>
      </w:r>
      <w:r>
        <w:rPr>
          <w:rStyle w:val="FootnoteReference"/>
          <w:noProof/>
        </w:rPr>
        <w:footnoteReference w:id="19"/>
      </w:r>
      <w:r>
        <w:rPr>
          <w:noProof/>
        </w:rPr>
        <w:t xml:space="preserve"> d'un montant maximal de 2 000 millions d’EUR, sous la forme d’un prêt assorti d'une échéance moyenne maximale de 8 ans. Aucun décaissement n’a encore été effectué, mais ce dispositif peut être activé, et les fonds demandés, jusqu’au 30 septembre 2015.</w:t>
      </w:r>
    </w:p>
    <w:p>
      <w:pPr>
        <w:rPr>
          <w:noProof/>
        </w:rPr>
      </w:pPr>
      <w:r>
        <w:rPr>
          <w:noProof/>
        </w:rPr>
        <w:t xml:space="preserve">Au 31 décembre 2014, sur une enveloppe globale de 50 000 millions d'EUR, le mécanisme de soutien des balances des paiements disposait encore d'une capacité d'aide de 39 600 millions d'EUR en cas de nécessité. </w:t>
      </w:r>
    </w:p>
    <w:p>
      <w:pPr>
        <w:autoSpaceDE w:val="0"/>
        <w:autoSpaceDN w:val="0"/>
        <w:adjustRightInd w:val="0"/>
        <w:spacing w:before="0" w:after="240"/>
        <w:rPr>
          <w:noProof/>
        </w:rPr>
      </w:pPr>
      <w:r>
        <w:rPr>
          <w:noProof/>
        </w:rPr>
        <w:t xml:space="preserve">L'encours des prêts de soutien aux balances des paiements a diminué en 2014, passant de 11 400 millions d'EUR à 8 400 millions d’EUR. </w:t>
      </w:r>
    </w:p>
    <w:p>
      <w:pPr>
        <w:spacing w:after="240"/>
        <w:rPr>
          <w:noProof/>
          <w:u w:val="single"/>
        </w:rPr>
      </w:pPr>
      <w:r>
        <w:rPr>
          <w:noProof/>
          <w:u w:val="single"/>
        </w:rPr>
        <w:t>Évolution de la situation après le 31 décembre 2014</w:t>
      </w:r>
    </w:p>
    <w:p>
      <w:pPr>
        <w:rPr>
          <w:noProof/>
        </w:rPr>
      </w:pPr>
      <w:r>
        <w:rPr>
          <w:noProof/>
        </w:rPr>
        <w:t>Deux nouveaux remboursements ont été effectués en janvier 2015: 1 200 millions d’EUR de la Lettonie et 1 500 millions d'EUR de la Roumanie. En conséquence, l'encours des prêts de soutien aux balances des paiements représentait 5 700 millions d'EUR au 31 mars 2015.</w:t>
      </w:r>
    </w:p>
    <w:p>
      <w:pPr>
        <w:pStyle w:val="ManualHeading3"/>
        <w:rPr>
          <w:noProof/>
        </w:rPr>
      </w:pPr>
      <w:bookmarkStart w:id="72" w:name="_Toc390944391"/>
      <w:bookmarkStart w:id="73" w:name="_Toc393969962"/>
      <w:bookmarkStart w:id="74" w:name="_Toc417461969"/>
      <w:bookmarkStart w:id="75" w:name="_Toc417998603"/>
      <w:bookmarkStart w:id="76" w:name="_Toc418157629"/>
      <w:bookmarkStart w:id="77" w:name="_Toc424303759"/>
      <w:r>
        <w:rPr>
          <w:noProof/>
        </w:rPr>
        <w:t>3.1.3.</w:t>
      </w:r>
      <w:r>
        <w:rPr>
          <w:noProof/>
        </w:rPr>
        <w:tab/>
        <w:t>Prêts d’assistance macrofinancière</w:t>
      </w:r>
      <w:bookmarkEnd w:id="72"/>
      <w:bookmarkEnd w:id="73"/>
      <w:bookmarkEnd w:id="74"/>
      <w:bookmarkEnd w:id="75"/>
      <w:bookmarkEnd w:id="76"/>
      <w:bookmarkEnd w:id="77"/>
    </w:p>
    <w:p>
      <w:pPr>
        <w:autoSpaceDE w:val="0"/>
        <w:autoSpaceDN w:val="0"/>
        <w:adjustRightInd w:val="0"/>
        <w:spacing w:before="0" w:after="240"/>
        <w:rPr>
          <w:noProof/>
        </w:rPr>
      </w:pPr>
      <w:r>
        <w:rPr>
          <w:noProof/>
        </w:rPr>
        <w:t>En règle générale, les décisions d’AMF sont prises par le Parlement européen et le Conseil (article 212 du TFUE), mais ce dernier peut adopter seul la décision concernant une proposition de la Commission lorsque la situation dans un pays tiers exige une assistance financière à caractère urgent (article 213 du TFUE). C'est cette procédure qui a été employée pour la deuxième AMF accordée à l’Ukraine, en 2014.</w:t>
      </w:r>
    </w:p>
    <w:p>
      <w:pPr>
        <w:spacing w:after="240"/>
        <w:rPr>
          <w:noProof/>
          <w:u w:val="single"/>
        </w:rPr>
      </w:pPr>
      <w:r>
        <w:rPr>
          <w:noProof/>
          <w:u w:val="single"/>
        </w:rPr>
        <w:t>Évolution de la situation au cours de l’année 2014</w:t>
      </w:r>
    </w:p>
    <w:p>
      <w:pPr>
        <w:spacing w:after="240"/>
        <w:rPr>
          <w:noProof/>
        </w:rPr>
      </w:pPr>
      <w:r>
        <w:rPr>
          <w:noProof/>
        </w:rPr>
        <w:t>Le 14 avril 2014, le Conseil a décidé d'accorder des prêts AMF à l’Ukraine</w:t>
      </w:r>
      <w:r>
        <w:rPr>
          <w:rStyle w:val="FootnoteReference"/>
          <w:noProof/>
        </w:rPr>
        <w:footnoteReference w:id="20"/>
      </w:r>
      <w:r>
        <w:rPr>
          <w:noProof/>
        </w:rPr>
        <w:t xml:space="preserve">, pour un montant maximal de 1 000 millions d’EUR, intégralement décaissé en 2014. </w:t>
      </w:r>
    </w:p>
    <w:p>
      <w:pPr>
        <w:spacing w:after="240"/>
        <w:rPr>
          <w:noProof/>
        </w:rPr>
      </w:pPr>
      <w:r>
        <w:rPr>
          <w:noProof/>
        </w:rPr>
        <w:t>L'assistance macrofinancière en faveur de l’Ukraine approuvée en 2010</w:t>
      </w:r>
      <w:r>
        <w:rPr>
          <w:noProof/>
          <w:vertAlign w:val="superscript"/>
        </w:rPr>
        <w:footnoteReference w:id="21"/>
      </w:r>
      <w:r>
        <w:rPr>
          <w:noProof/>
        </w:rPr>
        <w:t xml:space="preserve"> et les fonds encore disponibles au titre de l'assistance approuvée en 2002</w:t>
      </w:r>
      <w:r>
        <w:rPr>
          <w:rStyle w:val="FootnoteReference"/>
          <w:noProof/>
        </w:rPr>
        <w:footnoteReference w:id="22"/>
      </w:r>
      <w:r>
        <w:rPr>
          <w:noProof/>
        </w:rPr>
        <w:t xml:space="preserve"> représentent 610 millions d’EUR de prêts. En 2014, 360 millions d'EUR ont été décaissés. </w:t>
      </w:r>
    </w:p>
    <w:p>
      <w:pPr>
        <w:rPr>
          <w:noProof/>
        </w:rPr>
      </w:pPr>
      <w:r>
        <w:rPr>
          <w:noProof/>
        </w:rPr>
        <w:t>Le 15 mai 2014, le Parlement européen et le Conseil ont décidé d'accorder une assistance macrofinancière à la Tunisie</w:t>
      </w:r>
      <w:r>
        <w:rPr>
          <w:rStyle w:val="FootnoteReference"/>
          <w:noProof/>
        </w:rPr>
        <w:footnoteReference w:id="23"/>
      </w:r>
      <w:r>
        <w:rPr>
          <w:noProof/>
        </w:rPr>
        <w:t xml:space="preserve">, d’un montant maximal de 300 millions d'EUR sous forme de prêts. </w:t>
      </w:r>
    </w:p>
    <w:p>
      <w:pPr>
        <w:autoSpaceDE w:val="0"/>
        <w:rPr>
          <w:rFonts w:cs="Arial"/>
          <w:noProof/>
        </w:rPr>
      </w:pPr>
      <w:r>
        <w:rPr>
          <w:noProof/>
        </w:rPr>
        <w:t xml:space="preserve">Les pays bénéficiaires ont remboursé 96 millions d’EUR (Bosnie-Herzégovine: 4 millions d’EUR, ancienne République yougoslave de Macédoine: 10 millions d’EUR, Liban: 25 millions d'EUR, Monténégro: 1 million d’EUR, Serbie: 52 millions d’EUR et Tadjikistan: 4 millions d'EUR). </w:t>
      </w:r>
    </w:p>
    <w:p>
      <w:pPr>
        <w:autoSpaceDE w:val="0"/>
        <w:autoSpaceDN w:val="0"/>
        <w:adjustRightInd w:val="0"/>
        <w:rPr>
          <w:noProof/>
        </w:rPr>
      </w:pPr>
      <w:r>
        <w:rPr>
          <w:noProof/>
        </w:rPr>
        <w:t xml:space="preserve">L'encours des prêts AMF a augmenté, passant de 564,6 millions d'EUR à 1 828,6 millions d’EUR au 31 décembre 2014. </w:t>
      </w:r>
    </w:p>
    <w:p>
      <w:pPr>
        <w:spacing w:after="240"/>
        <w:rPr>
          <w:noProof/>
          <w:u w:val="single"/>
        </w:rPr>
      </w:pPr>
      <w:r>
        <w:rPr>
          <w:noProof/>
          <w:u w:val="single"/>
        </w:rPr>
        <w:t>Évolution de la situation après le 31 décembre 2014</w:t>
      </w:r>
    </w:p>
    <w:p>
      <w:pPr>
        <w:spacing w:after="240"/>
        <w:rPr>
          <w:noProof/>
        </w:rPr>
      </w:pPr>
      <w:r>
        <w:rPr>
          <w:noProof/>
        </w:rPr>
        <w:t>La première tranche de 100 millions d'EUR à la Jordanie (sur une enveloppe totale de 180 millions d’EUR) a été décaissée en février 2015.</w:t>
      </w:r>
    </w:p>
    <w:p>
      <w:pPr>
        <w:spacing w:after="240"/>
        <w:rPr>
          <w:noProof/>
        </w:rPr>
      </w:pPr>
      <w:r>
        <w:rPr>
          <w:noProof/>
        </w:rPr>
        <w:t>En avril 2015, la dernière tranche de 250 millions d'EUR au titre d'une décision précédente a été versée à l’Ukraine, en même temps que la première tranche de 10 millions d'EUR à la Géorgie (sur une enveloppe totale de 23 millions d’EUR).</w:t>
      </w:r>
    </w:p>
    <w:p>
      <w:pPr>
        <w:spacing w:after="240"/>
        <w:rPr>
          <w:noProof/>
        </w:rPr>
      </w:pPr>
      <w:r>
        <w:rPr>
          <w:noProof/>
        </w:rPr>
        <w:t>La première tranche de 100 millions d'EUR à la Tunisie (sur une enveloppe totale de 300 millions d’EUR) a été décaissée en mai 2015.</w:t>
      </w:r>
    </w:p>
    <w:p>
      <w:pPr>
        <w:pStyle w:val="ManualHeading3"/>
        <w:rPr>
          <w:noProof/>
        </w:rPr>
      </w:pPr>
      <w:bookmarkStart w:id="78" w:name="_Toc390944392"/>
      <w:bookmarkStart w:id="79" w:name="_Toc393969963"/>
      <w:bookmarkStart w:id="80" w:name="_Toc418157630"/>
      <w:bookmarkStart w:id="81" w:name="_Toc424303760"/>
      <w:r>
        <w:rPr>
          <w:noProof/>
        </w:rPr>
        <w:t>3.1.4.</w:t>
      </w:r>
      <w:r>
        <w:rPr>
          <w:noProof/>
        </w:rPr>
        <w:tab/>
        <w:t>Prêts Euratom</w:t>
      </w:r>
      <w:bookmarkEnd w:id="78"/>
      <w:bookmarkEnd w:id="79"/>
      <w:bookmarkEnd w:id="80"/>
      <w:bookmarkEnd w:id="81"/>
    </w:p>
    <w:p>
      <w:pPr>
        <w:rPr>
          <w:noProof/>
        </w:rPr>
      </w:pPr>
      <w:r>
        <w:rPr>
          <w:noProof/>
        </w:rPr>
        <w:t xml:space="preserve">Les prêts Euratom aux États membres et à certains pays tiers éligibles (Fédération de Russie, Arménie, Ukraine) sont plafonnés à 4 000 millions d’EUR, dont environ 85 % ont déjà été décaissés. Un prêt de 300 millions d’EUR à l’Ukraine, destiné à la mise à niveau de ses installations nucléaires existantes, a été signé le 7 août 2013. Ce prêt pourra être décaissé lorsque toutes les conditions d’efficacité auront été remplies. </w:t>
      </w:r>
    </w:p>
    <w:p>
      <w:pPr>
        <w:rPr>
          <w:noProof/>
        </w:rPr>
      </w:pPr>
      <w:r>
        <w:rPr>
          <w:noProof/>
        </w:rPr>
        <w:t>Les 326 millions d’EUR restants, sur une enveloppe totale de 4 000 millions d'EUR, pourraient être consacrés à de nouveaux projets.</w:t>
      </w:r>
    </w:p>
    <w:p>
      <w:pPr>
        <w:rPr>
          <w:noProof/>
          <w:u w:val="single"/>
        </w:rPr>
      </w:pPr>
      <w:r>
        <w:rPr>
          <w:noProof/>
          <w:u w:val="single"/>
        </w:rPr>
        <w:t>Évolution de la situation au cours de l’année 2014</w:t>
      </w:r>
    </w:p>
    <w:p>
      <w:pPr>
        <w:rPr>
          <w:rFonts w:cs="Arial"/>
          <w:noProof/>
        </w:rPr>
      </w:pPr>
      <w:r>
        <w:rPr>
          <w:noProof/>
        </w:rPr>
        <w:t xml:space="preserve">Aucun décaissement de prêt n'a été effectué en 2014. Les sommes remboursées se montent à 22,6 millions d'EUR pour la Bulgarie, à 10 millions d'EUR pour la Roumanie et à l'équivalent de 6,6 millions d'EUR pour l’Ukraine. </w:t>
      </w:r>
    </w:p>
    <w:p>
      <w:pPr>
        <w:pStyle w:val="ManualHeading2"/>
        <w:rPr>
          <w:noProof/>
        </w:rPr>
      </w:pPr>
      <w:bookmarkStart w:id="82" w:name="_Toc309831361"/>
      <w:bookmarkStart w:id="83" w:name="_Toc329261061"/>
      <w:bookmarkStart w:id="84" w:name="_Toc329855623"/>
      <w:bookmarkStart w:id="85" w:name="_Toc330551228"/>
      <w:bookmarkStart w:id="86" w:name="_Toc342470151"/>
      <w:bookmarkStart w:id="87" w:name="_Toc345073701"/>
      <w:bookmarkStart w:id="88" w:name="_Toc365986218"/>
      <w:bookmarkStart w:id="89" w:name="_Toc367869471"/>
      <w:bookmarkStart w:id="90" w:name="_Toc367869998"/>
      <w:bookmarkStart w:id="91" w:name="_Toc388973016"/>
      <w:bookmarkStart w:id="92" w:name="_Toc389474749"/>
      <w:bookmarkStart w:id="93" w:name="_Toc390944393"/>
      <w:bookmarkStart w:id="94" w:name="_Toc393969964"/>
      <w:bookmarkStart w:id="95" w:name="_Toc417461970"/>
      <w:bookmarkStart w:id="96" w:name="_Toc417998604"/>
      <w:bookmarkStart w:id="97" w:name="_Toc418157631"/>
      <w:bookmarkStart w:id="98" w:name="_Toc424303761"/>
      <w:r>
        <w:rPr>
          <w:noProof/>
        </w:rPr>
        <w:t>3.2.</w:t>
      </w:r>
      <w:r>
        <w:rPr>
          <w:noProof/>
        </w:rPr>
        <w:tab/>
        <w:t>Évolution des opérations de financement extérieures de la</w:t>
      </w:r>
      <w:bookmarkEnd w:id="82"/>
      <w:bookmarkEnd w:id="83"/>
      <w:bookmarkEnd w:id="84"/>
      <w:bookmarkEnd w:id="85"/>
      <w:bookmarkEnd w:id="86"/>
      <w:bookmarkEnd w:id="87"/>
      <w:bookmarkEnd w:id="88"/>
      <w:bookmarkEnd w:id="89"/>
      <w:bookmarkEnd w:id="90"/>
      <w:bookmarkEnd w:id="91"/>
      <w:bookmarkEnd w:id="92"/>
      <w:r>
        <w:rPr>
          <w:noProof/>
        </w:rPr>
        <w:t xml:space="preserve"> BEI</w:t>
      </w:r>
      <w:bookmarkEnd w:id="93"/>
      <w:bookmarkEnd w:id="94"/>
      <w:bookmarkEnd w:id="95"/>
      <w:bookmarkEnd w:id="96"/>
      <w:bookmarkEnd w:id="97"/>
      <w:bookmarkEnd w:id="98"/>
    </w:p>
    <w:p>
      <w:pPr>
        <w:rPr>
          <w:noProof/>
          <w:u w:val="single"/>
        </w:rPr>
      </w:pPr>
      <w:r>
        <w:rPr>
          <w:noProof/>
          <w:u w:val="single"/>
        </w:rPr>
        <w:t>Évolution de la situation au cours de l’année 2014</w:t>
      </w:r>
    </w:p>
    <w:p>
      <w:pPr>
        <w:rPr>
          <w:noProof/>
        </w:rPr>
      </w:pPr>
      <w:r>
        <w:rPr>
          <w:noProof/>
        </w:rPr>
        <w:t xml:space="preserve">La garantie existante de l’UE pour les opérations de financement extérieures de la BEI couvrant la période 2007-2013 (le «mandat extérieur 2007-2013») a été prolongée jusqu'au 30 juin 2014, étant donné qu'aucune décision accordant une nouvelle garantie de l'UE à la BEI n'avait été adoptée par le Conseil et le Parlement européen au 31 décembre 2013. </w:t>
      </w:r>
    </w:p>
    <w:p>
      <w:pPr>
        <w:rPr>
          <w:noProof/>
        </w:rPr>
      </w:pPr>
      <w:r>
        <w:rPr>
          <w:noProof/>
        </w:rPr>
        <w:t>La nouvelle décision accordant une garantie de l’UE pour les opérations de la BEI menées hors de l’Union sur la période 2014-2020</w:t>
      </w:r>
      <w:r>
        <w:rPr>
          <w:rStyle w:val="FootnoteReference"/>
          <w:noProof/>
        </w:rPr>
        <w:footnoteReference w:id="24"/>
      </w:r>
      <w:r>
        <w:rPr>
          <w:noProof/>
        </w:rPr>
        <w:t xml:space="preserve"> a été adoptée en avril 2014. Elle prévoit que le plafond maximal de cette garantie devrait se décomposer en un plafond fixe d’un montant maximal de 27 000 millions d’EUR et un montant supplémentaire optionnel de 3 000 millions d’EUR. L'activation totale ou partielle du montant supplémentaire optionnel sera décidée conformément à la procédure législative ordinaire, sur la base des résultats de l'examen à mi-parcours de la mise en œuvre de la décision par la BEI et de l'évolution des opérations menées par celle-ci. Parallèlement, un nouvel accord de garantie a été signé le 22 juillet 2014, comme l'exige l’article 14 de la décision.</w:t>
      </w:r>
    </w:p>
    <w:p>
      <w:pPr>
        <w:rPr>
          <w:noProof/>
        </w:rPr>
      </w:pPr>
      <w:r>
        <w:rPr>
          <w:noProof/>
        </w:rPr>
        <w:t>En 2014, compte tenu de l'utilisation des mandats extérieurs 2007-2013 et 2014-2020, le nombre de prêts signés a augmenté de 15 % par rapport à l’année précédente et représentait la somme de 4 059 millions d'EUR. Le montant des prêts décaissés a atteint 2 260 millions d’EUR (+ 17 % par rapport à la situation au 31 décembre 2013). Le mandat 2007-2013 a été presque entièrement utilisé, dans la mesure où les signatures nettes représentent 29 026 millions d’EUR et le plafond autorisé 29 484 millions d'EUR. En ce qui concerne les précédents mandats extérieurs de la BEI, voir le tableau A3 du document de travail.</w:t>
      </w:r>
    </w:p>
    <w:p>
      <w:pPr>
        <w:rPr>
          <w:noProof/>
        </w:rPr>
      </w:pPr>
      <w:r>
        <w:rPr>
          <w:noProof/>
        </w:rPr>
        <w:t>Les défauts de paiement (prêts et intérêts) de l'État syrien se sont poursuivis en 2014. La BEI a fait appel au Fonds pour couvrir ces défauts (voir le point 5.1.3 ci-après).</w:t>
      </w:r>
    </w:p>
    <w:p>
      <w:pPr>
        <w:spacing w:after="0"/>
        <w:rPr>
          <w:noProof/>
        </w:rPr>
      </w:pPr>
      <w:r>
        <w:rPr>
          <w:noProof/>
        </w:rPr>
        <w:t>Le tableau 1 indique l'encours au 1</w:t>
      </w:r>
      <w:r>
        <w:rPr>
          <w:noProof/>
          <w:vertAlign w:val="superscript"/>
        </w:rPr>
        <w:t>er</w:t>
      </w:r>
      <w:r>
        <w:rPr>
          <w:noProof/>
        </w:rPr>
        <w:t> décembre 2014 pour chacun des mécanismes visés dans la présente section.</w:t>
      </w:r>
    </w:p>
    <w:p>
      <w:pPr>
        <w:pStyle w:val="ManualHeading1"/>
        <w:rPr>
          <w:noProof/>
        </w:rPr>
      </w:pPr>
      <w:bookmarkStart w:id="99" w:name="_Toc309831362"/>
      <w:bookmarkStart w:id="100" w:name="_Toc329261062"/>
      <w:bookmarkStart w:id="101" w:name="_Toc329855624"/>
      <w:bookmarkStart w:id="102" w:name="_Toc330551229"/>
      <w:bookmarkStart w:id="103" w:name="_Toc342470152"/>
      <w:bookmarkStart w:id="104" w:name="_Toc345073702"/>
      <w:bookmarkStart w:id="105" w:name="_Toc365986219"/>
      <w:bookmarkStart w:id="106" w:name="_Toc367869472"/>
      <w:bookmarkStart w:id="107" w:name="_Toc367869999"/>
      <w:bookmarkStart w:id="108" w:name="_Toc388973017"/>
      <w:bookmarkStart w:id="109" w:name="_Toc389474750"/>
      <w:bookmarkStart w:id="110" w:name="_Toc390944394"/>
      <w:bookmarkStart w:id="111" w:name="_Toc393969965"/>
      <w:bookmarkStart w:id="112" w:name="_Toc417461971"/>
      <w:bookmarkStart w:id="113" w:name="_Toc417998605"/>
      <w:bookmarkStart w:id="114" w:name="_Toc418157632"/>
      <w:bookmarkStart w:id="115" w:name="_Toc424303762"/>
      <w:r>
        <w:rPr>
          <w:noProof/>
        </w:rPr>
        <w:t>4.</w:t>
      </w:r>
      <w:r>
        <w:rPr>
          <w:noProof/>
        </w:rPr>
        <w:tab/>
        <w:t xml:space="preserve">Risques couverts par le </w:t>
      </w:r>
      <w:bookmarkEnd w:id="99"/>
      <w:bookmarkEnd w:id="100"/>
      <w:bookmarkEnd w:id="101"/>
      <w:bookmarkEnd w:id="102"/>
      <w:bookmarkEnd w:id="103"/>
      <w:bookmarkEnd w:id="104"/>
      <w:bookmarkEnd w:id="105"/>
      <w:bookmarkEnd w:id="106"/>
      <w:bookmarkEnd w:id="107"/>
      <w:bookmarkEnd w:id="108"/>
      <w:bookmarkEnd w:id="109"/>
      <w:r>
        <w:rPr>
          <w:noProof/>
        </w:rPr>
        <w:t>budget de l'UE</w:t>
      </w:r>
      <w:bookmarkEnd w:id="110"/>
      <w:bookmarkEnd w:id="111"/>
      <w:bookmarkEnd w:id="112"/>
      <w:bookmarkEnd w:id="113"/>
      <w:bookmarkEnd w:id="114"/>
      <w:bookmarkEnd w:id="115"/>
    </w:p>
    <w:p>
      <w:pPr>
        <w:pStyle w:val="ManualHeading2"/>
        <w:rPr>
          <w:noProof/>
        </w:rPr>
      </w:pPr>
      <w:bookmarkStart w:id="116" w:name="_Toc309831363"/>
      <w:bookmarkStart w:id="117" w:name="_Toc329261063"/>
      <w:bookmarkStart w:id="118" w:name="_Toc329855625"/>
      <w:bookmarkStart w:id="119" w:name="_Toc330551230"/>
      <w:bookmarkStart w:id="120" w:name="_Toc342470153"/>
      <w:bookmarkStart w:id="121" w:name="_Toc345073703"/>
      <w:bookmarkStart w:id="122" w:name="_Toc365986220"/>
      <w:bookmarkStart w:id="123" w:name="_Toc367869473"/>
      <w:bookmarkStart w:id="124" w:name="_Toc367870000"/>
      <w:bookmarkStart w:id="125" w:name="_Toc388973018"/>
      <w:bookmarkStart w:id="126" w:name="_Toc389474751"/>
      <w:bookmarkStart w:id="127" w:name="_Toc390944395"/>
      <w:bookmarkStart w:id="128" w:name="_Toc393969966"/>
      <w:bookmarkStart w:id="129" w:name="_Toc417461972"/>
      <w:bookmarkStart w:id="130" w:name="_Toc417998606"/>
      <w:bookmarkStart w:id="131" w:name="_Toc418157633"/>
      <w:bookmarkStart w:id="132" w:name="_Toc424303763"/>
      <w:r>
        <w:rPr>
          <w:noProof/>
        </w:rPr>
        <w:t>4.1.</w:t>
      </w:r>
      <w:r>
        <w:rPr>
          <w:noProof/>
        </w:rPr>
        <w:tab/>
        <w:t>Définition du risque</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pPr>
        <w:rPr>
          <w:noProof/>
        </w:rPr>
      </w:pPr>
      <w:r>
        <w:rPr>
          <w:noProof/>
        </w:rPr>
        <w:t>Le risque supporté par le budget de l'UE découle du montant de l'encours en principal et intérêts des opérations garanties.</w:t>
      </w:r>
    </w:p>
    <w:p>
      <w:pPr>
        <w:rPr>
          <w:noProof/>
        </w:rPr>
      </w:pPr>
      <w:r>
        <w:rPr>
          <w:noProof/>
        </w:rPr>
        <w:t>Aux fins du présent rapport, deux méthodes sont employées pour évaluer les risques supportés par le budget de l'UE (soit directement, soit indirectement via le Fonds):</w:t>
      </w:r>
    </w:p>
    <w:p>
      <w:pPr>
        <w:pStyle w:val="ListDash"/>
        <w:rPr>
          <w:noProof/>
        </w:rPr>
      </w:pPr>
      <w:r>
        <w:rPr>
          <w:noProof/>
        </w:rPr>
        <w:t>le «risque total couvert» repose sur le montant total de l’encours en principal des opérations concernées à une date donnée, y compris les intérêts échus</w:t>
      </w:r>
      <w:r>
        <w:rPr>
          <w:rStyle w:val="FootnoteReference"/>
          <w:noProof/>
        </w:rPr>
        <w:footnoteReference w:id="25"/>
      </w:r>
      <w:r>
        <w:rPr>
          <w:noProof/>
        </w:rPr>
        <w:t xml:space="preserve">; </w:t>
      </w:r>
    </w:p>
    <w:p>
      <w:pPr>
        <w:pStyle w:val="ListDash"/>
        <w:rPr>
          <w:noProof/>
        </w:rPr>
      </w:pPr>
      <w:r>
        <w:rPr>
          <w:noProof/>
        </w:rPr>
        <w:t>L’approche budgétaire correspondant au «risque annuel supporté par le budget de l'UE» se fonde sur le calcul du montant annuel maximal échu que l’Union européenne devrait payer au cours d’un exercice en cas de défaut sur tous les remboursements de prêts garantis</w:t>
      </w:r>
      <w:r>
        <w:rPr>
          <w:rStyle w:val="Funotenzeichen"/>
          <w:noProof/>
        </w:rPr>
        <w:footnoteReference w:id="26"/>
      </w:r>
      <w:r>
        <w:rPr>
          <w:noProof/>
        </w:rPr>
        <w:t>.</w:t>
      </w:r>
    </w:p>
    <w:p>
      <w:pPr>
        <w:pStyle w:val="ManualHeading2"/>
        <w:rPr>
          <w:noProof/>
        </w:rPr>
      </w:pPr>
      <w:bookmarkStart w:id="133" w:name="_Toc309831364"/>
      <w:bookmarkStart w:id="134" w:name="_Toc329261064"/>
      <w:bookmarkStart w:id="135" w:name="_Toc329855626"/>
      <w:bookmarkStart w:id="136" w:name="_Toc330551231"/>
      <w:bookmarkStart w:id="137" w:name="_Toc342470154"/>
      <w:bookmarkStart w:id="138" w:name="_Toc345073704"/>
      <w:bookmarkStart w:id="139" w:name="_Toc365986221"/>
      <w:bookmarkStart w:id="140" w:name="_Toc367869474"/>
      <w:bookmarkStart w:id="141" w:name="_Toc367870001"/>
      <w:bookmarkStart w:id="142" w:name="_Toc388973019"/>
      <w:bookmarkStart w:id="143" w:name="_Toc389474752"/>
      <w:bookmarkStart w:id="144" w:name="_Toc390944396"/>
      <w:bookmarkStart w:id="145" w:name="_Toc393969967"/>
      <w:bookmarkStart w:id="146" w:name="_Toc417461973"/>
      <w:bookmarkStart w:id="147" w:name="_Toc417998607"/>
      <w:bookmarkStart w:id="148" w:name="_Toc418157634"/>
      <w:bookmarkStart w:id="149" w:name="_Toc424303764"/>
      <w:r>
        <w:rPr>
          <w:noProof/>
        </w:rPr>
        <w:t>4.2.</w:t>
      </w:r>
      <w:r>
        <w:rPr>
          <w:noProof/>
        </w:rPr>
        <w:tab/>
        <w:t>Ventilation du risque total</w:t>
      </w:r>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pPr>
        <w:rPr>
          <w:noProof/>
        </w:rPr>
      </w:pPr>
      <w:r>
        <w:rPr>
          <w:noProof/>
        </w:rPr>
        <w:t>Jusqu’en 2010, le risque maximal, en termes d'encours total garanti, provenait essentiellement de prêts accordés à des pays tiers. Depuis 2011, la crise financière pèse lourdement sur les finances publiques des États membres, entraînant une augmentation de l’activité de prêt de l’UE afin de faire face à l'accroissement des besoins de financement de la dette souveraine dans les États membres.</w:t>
      </w:r>
    </w:p>
    <w:p>
      <w:pPr>
        <w:rPr>
          <w:noProof/>
        </w:rPr>
      </w:pPr>
      <w:r>
        <w:rPr>
          <w:noProof/>
        </w:rPr>
        <w:t>La ventilation des risques s'est par conséquent modifiée. Au 31 décembre 2014, 69 % de l’encours total</w:t>
      </w:r>
      <w:r>
        <w:rPr>
          <w:rStyle w:val="FootnoteReference"/>
          <w:noProof/>
        </w:rPr>
        <w:footnoteReference w:id="27"/>
      </w:r>
      <w:r>
        <w:rPr>
          <w:noProof/>
        </w:rPr>
        <w:t xml:space="preserve"> concernait des opérations d’emprunt liées à des prêts en faveur d'États membres, qui sont directement couverts par le budget de l'UE (contre 45 % au 31 décembre 2010).</w:t>
      </w:r>
    </w:p>
    <w:p>
      <w:pPr>
        <w:pStyle w:val="ManualHeading2"/>
        <w:rPr>
          <w:noProof/>
        </w:rPr>
      </w:pPr>
      <w:bookmarkStart w:id="150" w:name="_Toc342470155"/>
      <w:bookmarkStart w:id="151" w:name="_Toc309831365"/>
      <w:bookmarkStart w:id="152" w:name="_Toc329261065"/>
      <w:bookmarkStart w:id="153" w:name="_Toc329855627"/>
      <w:bookmarkStart w:id="154" w:name="_Toc330551232"/>
      <w:bookmarkStart w:id="155" w:name="_Toc342470159"/>
      <w:bookmarkStart w:id="156" w:name="_Toc345073705"/>
      <w:bookmarkStart w:id="157" w:name="_Toc365986222"/>
      <w:bookmarkStart w:id="158" w:name="_Toc367869475"/>
      <w:bookmarkStart w:id="159" w:name="_Toc367870002"/>
      <w:bookmarkStart w:id="160" w:name="_Toc388973020"/>
      <w:bookmarkStart w:id="161" w:name="_Toc389474753"/>
      <w:bookmarkStart w:id="162" w:name="_Toc390944397"/>
      <w:bookmarkStart w:id="163" w:name="_Toc393969968"/>
      <w:bookmarkStart w:id="164" w:name="_Toc417461974"/>
      <w:bookmarkStart w:id="165" w:name="_Toc417998608"/>
      <w:bookmarkStart w:id="166" w:name="_Toc418157635"/>
      <w:bookmarkStart w:id="167" w:name="_Toc424303765"/>
      <w:bookmarkEnd w:id="150"/>
      <w:r>
        <w:rPr>
          <w:noProof/>
        </w:rPr>
        <w:t>4.3.</w:t>
      </w:r>
      <w:r>
        <w:rPr>
          <w:noProof/>
        </w:rPr>
        <w:tab/>
        <w:t xml:space="preserve">Risque annuel couvert par le </w:t>
      </w:r>
      <w:bookmarkEnd w:id="151"/>
      <w:bookmarkEnd w:id="152"/>
      <w:bookmarkEnd w:id="153"/>
      <w:bookmarkEnd w:id="154"/>
      <w:bookmarkEnd w:id="155"/>
      <w:bookmarkEnd w:id="156"/>
      <w:bookmarkEnd w:id="157"/>
      <w:bookmarkEnd w:id="158"/>
      <w:bookmarkEnd w:id="159"/>
      <w:bookmarkEnd w:id="160"/>
      <w:bookmarkEnd w:id="161"/>
      <w:r>
        <w:rPr>
          <w:noProof/>
        </w:rPr>
        <w:t>budget de l'UE</w:t>
      </w:r>
      <w:bookmarkEnd w:id="162"/>
      <w:bookmarkEnd w:id="163"/>
      <w:bookmarkEnd w:id="164"/>
      <w:bookmarkEnd w:id="165"/>
      <w:bookmarkEnd w:id="166"/>
      <w:bookmarkEnd w:id="167"/>
    </w:p>
    <w:p>
      <w:pPr>
        <w:rPr>
          <w:noProof/>
        </w:rPr>
      </w:pPr>
      <w:r>
        <w:rPr>
          <w:noProof/>
        </w:rPr>
        <w:t xml:space="preserve">Pour 2015, le montant maximal que l’Union européenne pourrait avoir à payer (directement ou via le Fonds) – </w:t>
      </w:r>
      <w:r>
        <w:rPr>
          <w:i/>
          <w:noProof/>
        </w:rPr>
        <w:t>en cas de</w:t>
      </w:r>
      <w:r>
        <w:rPr>
          <w:noProof/>
        </w:rPr>
        <w:t xml:space="preserve"> défaut sur </w:t>
      </w:r>
      <w:r>
        <w:rPr>
          <w:i/>
          <w:noProof/>
        </w:rPr>
        <w:t>tous</w:t>
      </w:r>
      <w:r>
        <w:rPr>
          <w:noProof/>
        </w:rPr>
        <w:t xml:space="preserve"> les prêts garantis – s’élève à 12 379,8 millions d'EUR. Cela correspond aux remboursements en principal et en intérêts sur les prêts garantis arrivant à échéance en 2015, en supposant que les prêts en défaut de paiement ne soient pas exigibles par anticipation (pour plus de détails, se reporter au tableau A4 du document de travail). </w:t>
      </w:r>
    </w:p>
    <w:p>
      <w:pPr>
        <w:pStyle w:val="ManualHeading3"/>
        <w:rPr>
          <w:noProof/>
        </w:rPr>
      </w:pPr>
      <w:bookmarkStart w:id="168" w:name="_Toc309831366"/>
      <w:bookmarkStart w:id="169" w:name="_Toc329261066"/>
      <w:bookmarkStart w:id="170" w:name="_Toc329855628"/>
      <w:bookmarkStart w:id="171" w:name="_Toc330551233"/>
      <w:bookmarkStart w:id="172" w:name="_Toc342470160"/>
      <w:bookmarkStart w:id="173" w:name="_Toc345073706"/>
      <w:bookmarkStart w:id="174" w:name="_Toc365986223"/>
      <w:bookmarkStart w:id="175" w:name="_Toc367869476"/>
      <w:bookmarkStart w:id="176" w:name="_Toc367870003"/>
      <w:bookmarkStart w:id="177" w:name="_Toc388973021"/>
      <w:bookmarkStart w:id="178" w:name="_Toc389474754"/>
      <w:bookmarkStart w:id="179" w:name="_Toc390944398"/>
      <w:bookmarkStart w:id="180" w:name="_Toc393969969"/>
      <w:bookmarkStart w:id="181" w:name="_Toc417461975"/>
      <w:bookmarkStart w:id="182" w:name="_Toc417998609"/>
      <w:r>
        <w:rPr>
          <w:noProof/>
        </w:rPr>
        <w:br w:type="page"/>
      </w:r>
      <w:bookmarkStart w:id="183" w:name="_Toc418157636"/>
      <w:bookmarkStart w:id="184" w:name="_Toc424303766"/>
      <w:r>
        <w:rPr>
          <w:noProof/>
        </w:rPr>
        <w:t>4.3.1.</w:t>
      </w:r>
      <w:r>
        <w:rPr>
          <w:noProof/>
        </w:rPr>
        <w:tab/>
        <w:t>Risques liés aux États membres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pPr>
        <w:rPr>
          <w:noProof/>
        </w:rPr>
      </w:pPr>
      <w:r>
        <w:rPr>
          <w:noProof/>
        </w:rPr>
        <w:t>Pour les États membres, le Fonds supportera un risque annuel de 9 811 millions d’EUR au maximum en 2015 (environ 79 % du risque annuel total). Les risques liés aux États membres concernent:</w:t>
      </w:r>
    </w:p>
    <w:p>
      <w:pPr>
        <w:rPr>
          <w:noProof/>
        </w:rPr>
      </w:pPr>
      <w:r>
        <w:rPr>
          <w:noProof/>
        </w:rPr>
        <w:t>a) les prêts de la BEI ainsi que les prêts AMF et Euratom octroyés avant l’adhésion à l’UE</w:t>
      </w:r>
    </w:p>
    <w:p>
      <w:pPr>
        <w:rPr>
          <w:noProof/>
        </w:rPr>
      </w:pPr>
      <w:r>
        <w:rPr>
          <w:noProof/>
        </w:rPr>
        <w:t xml:space="preserve">b) les prêts octroyés au titre du mécanisme de soutien des balances des paiements </w:t>
      </w:r>
    </w:p>
    <w:p>
      <w:pPr>
        <w:rPr>
          <w:noProof/>
        </w:rPr>
      </w:pPr>
      <w:r>
        <w:rPr>
          <w:noProof/>
        </w:rPr>
        <w:t xml:space="preserve">c) les prêts octroyés au titre du MESF. </w:t>
      </w:r>
    </w:p>
    <w:p>
      <w:pPr>
        <w:rPr>
          <w:noProof/>
        </w:rPr>
      </w:pPr>
      <w:r>
        <w:rPr>
          <w:noProof/>
        </w:rPr>
        <w:t>Tableau 2: Classement des États membres en fonction du risque annuel supporté par le budget de l'UE en 2015 (en millions d’EUR)</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0"/>
        <w:gridCol w:w="1404"/>
        <w:gridCol w:w="1218"/>
        <w:gridCol w:w="1457"/>
        <w:gridCol w:w="1795"/>
        <w:gridCol w:w="1916"/>
      </w:tblGrid>
      <w:tr>
        <w:tc>
          <w:tcPr>
            <w:tcW w:w="1101" w:type="dxa"/>
            <w:shd w:val="clear" w:color="auto" w:fill="auto"/>
          </w:tcPr>
          <w:p>
            <w:pPr>
              <w:jc w:val="center"/>
              <w:rPr>
                <w:b/>
                <w:noProof/>
              </w:rPr>
            </w:pPr>
            <w:r>
              <w:rPr>
                <w:b/>
                <w:noProof/>
              </w:rPr>
              <w:t>Classement</w:t>
            </w:r>
          </w:p>
        </w:tc>
        <w:tc>
          <w:tcPr>
            <w:tcW w:w="1417" w:type="dxa"/>
            <w:shd w:val="clear" w:color="auto" w:fill="auto"/>
          </w:tcPr>
          <w:p>
            <w:pPr>
              <w:jc w:val="center"/>
              <w:rPr>
                <w:b/>
                <w:noProof/>
              </w:rPr>
            </w:pPr>
            <w:r>
              <w:rPr>
                <w:b/>
                <w:noProof/>
              </w:rPr>
              <w:t>Pays</w:t>
            </w:r>
          </w:p>
        </w:tc>
        <w:tc>
          <w:tcPr>
            <w:tcW w:w="1294" w:type="dxa"/>
            <w:shd w:val="clear" w:color="auto" w:fill="auto"/>
          </w:tcPr>
          <w:p>
            <w:pPr>
              <w:jc w:val="center"/>
              <w:rPr>
                <w:b/>
                <w:noProof/>
              </w:rPr>
            </w:pPr>
            <w:r>
              <w:rPr>
                <w:b/>
                <w:noProof/>
              </w:rPr>
              <w:t>Prêts</w:t>
            </w:r>
          </w:p>
        </w:tc>
        <w:tc>
          <w:tcPr>
            <w:tcW w:w="1541" w:type="dxa"/>
            <w:shd w:val="clear" w:color="auto" w:fill="auto"/>
          </w:tcPr>
          <w:p>
            <w:pPr>
              <w:jc w:val="center"/>
              <w:rPr>
                <w:b/>
                <w:noProof/>
              </w:rPr>
            </w:pPr>
            <w:r>
              <w:rPr>
                <w:b/>
                <w:noProof/>
              </w:rPr>
              <w:t>Risque annuel max.</w:t>
            </w:r>
          </w:p>
        </w:tc>
        <w:tc>
          <w:tcPr>
            <w:tcW w:w="1843" w:type="dxa"/>
            <w:shd w:val="clear" w:color="auto" w:fill="auto"/>
          </w:tcPr>
          <w:p>
            <w:pPr>
              <w:jc w:val="center"/>
              <w:rPr>
                <w:b/>
                <w:noProof/>
              </w:rPr>
            </w:pPr>
            <w:r>
              <w:rPr>
                <w:b/>
                <w:noProof/>
              </w:rPr>
              <w:t>Pourcentage de risque par rapport au risque annuel pour l'ensemble des États membres</w:t>
            </w:r>
          </w:p>
        </w:tc>
        <w:tc>
          <w:tcPr>
            <w:tcW w:w="1984" w:type="dxa"/>
            <w:shd w:val="clear" w:color="auto" w:fill="auto"/>
          </w:tcPr>
          <w:p>
            <w:pPr>
              <w:jc w:val="center"/>
              <w:rPr>
                <w:b/>
                <w:noProof/>
              </w:rPr>
            </w:pPr>
            <w:r>
              <w:rPr>
                <w:b/>
                <w:noProof/>
              </w:rPr>
              <w:t>Pourcentage de risque par rapport au risque annuel total (États membres et pays tiers)</w:t>
            </w:r>
          </w:p>
        </w:tc>
      </w:tr>
      <w:tr>
        <w:tc>
          <w:tcPr>
            <w:tcW w:w="1101" w:type="dxa"/>
            <w:shd w:val="clear" w:color="auto" w:fill="auto"/>
          </w:tcPr>
          <w:p>
            <w:pPr>
              <w:jc w:val="center"/>
              <w:rPr>
                <w:b/>
                <w:noProof/>
              </w:rPr>
            </w:pPr>
            <w:r>
              <w:rPr>
                <w:b/>
                <w:noProof/>
              </w:rPr>
              <w:t>1</w:t>
            </w:r>
          </w:p>
        </w:tc>
        <w:tc>
          <w:tcPr>
            <w:tcW w:w="1417" w:type="dxa"/>
            <w:shd w:val="clear" w:color="auto" w:fill="auto"/>
          </w:tcPr>
          <w:p>
            <w:pPr>
              <w:rPr>
                <w:noProof/>
              </w:rPr>
            </w:pPr>
            <w:r>
              <w:rPr>
                <w:noProof/>
              </w:rPr>
              <w:t xml:space="preserve">Irlande </w:t>
            </w:r>
          </w:p>
        </w:tc>
        <w:tc>
          <w:tcPr>
            <w:tcW w:w="1294" w:type="dxa"/>
            <w:shd w:val="clear" w:color="auto" w:fill="auto"/>
          </w:tcPr>
          <w:p>
            <w:pPr>
              <w:jc w:val="center"/>
              <w:rPr>
                <w:noProof/>
              </w:rPr>
            </w:pPr>
            <w:r>
              <w:rPr>
                <w:noProof/>
              </w:rPr>
              <w:t>c)</w:t>
            </w:r>
          </w:p>
        </w:tc>
        <w:tc>
          <w:tcPr>
            <w:tcW w:w="1541" w:type="dxa"/>
            <w:shd w:val="clear" w:color="auto" w:fill="auto"/>
          </w:tcPr>
          <w:p>
            <w:pPr>
              <w:jc w:val="right"/>
              <w:rPr>
                <w:noProof/>
              </w:rPr>
            </w:pPr>
            <w:r>
              <w:rPr>
                <w:noProof/>
              </w:rPr>
              <w:t>5 676,4</w:t>
            </w:r>
          </w:p>
        </w:tc>
        <w:tc>
          <w:tcPr>
            <w:tcW w:w="1843" w:type="dxa"/>
            <w:shd w:val="clear" w:color="auto" w:fill="auto"/>
          </w:tcPr>
          <w:p>
            <w:pPr>
              <w:jc w:val="right"/>
              <w:rPr>
                <w:noProof/>
              </w:rPr>
            </w:pPr>
            <w:r>
              <w:rPr>
                <w:noProof/>
              </w:rPr>
              <w:t>57,9 %</w:t>
            </w:r>
          </w:p>
        </w:tc>
        <w:tc>
          <w:tcPr>
            <w:tcW w:w="1984" w:type="dxa"/>
            <w:shd w:val="clear" w:color="auto" w:fill="auto"/>
          </w:tcPr>
          <w:p>
            <w:pPr>
              <w:jc w:val="right"/>
              <w:rPr>
                <w:noProof/>
              </w:rPr>
            </w:pPr>
            <w:r>
              <w:rPr>
                <w:noProof/>
              </w:rPr>
              <w:t>45,9 %</w:t>
            </w:r>
          </w:p>
        </w:tc>
      </w:tr>
      <w:tr>
        <w:tc>
          <w:tcPr>
            <w:tcW w:w="1101" w:type="dxa"/>
            <w:shd w:val="clear" w:color="auto" w:fill="auto"/>
          </w:tcPr>
          <w:p>
            <w:pPr>
              <w:jc w:val="center"/>
              <w:rPr>
                <w:b/>
                <w:noProof/>
              </w:rPr>
            </w:pPr>
            <w:r>
              <w:rPr>
                <w:b/>
                <w:noProof/>
              </w:rPr>
              <w:t>2</w:t>
            </w:r>
          </w:p>
        </w:tc>
        <w:tc>
          <w:tcPr>
            <w:tcW w:w="1417" w:type="dxa"/>
            <w:shd w:val="clear" w:color="auto" w:fill="auto"/>
          </w:tcPr>
          <w:p>
            <w:pPr>
              <w:rPr>
                <w:noProof/>
              </w:rPr>
            </w:pPr>
            <w:r>
              <w:rPr>
                <w:noProof/>
              </w:rPr>
              <w:t xml:space="preserve">Roumanie </w:t>
            </w:r>
          </w:p>
        </w:tc>
        <w:tc>
          <w:tcPr>
            <w:tcW w:w="1294" w:type="dxa"/>
            <w:shd w:val="clear" w:color="auto" w:fill="auto"/>
          </w:tcPr>
          <w:p>
            <w:pPr>
              <w:jc w:val="center"/>
              <w:rPr>
                <w:noProof/>
              </w:rPr>
            </w:pPr>
            <w:r>
              <w:rPr>
                <w:noProof/>
              </w:rPr>
              <w:t>a)+b)</w:t>
            </w:r>
          </w:p>
        </w:tc>
        <w:tc>
          <w:tcPr>
            <w:tcW w:w="1541" w:type="dxa"/>
            <w:shd w:val="clear" w:color="auto" w:fill="auto"/>
          </w:tcPr>
          <w:p>
            <w:pPr>
              <w:jc w:val="right"/>
              <w:rPr>
                <w:noProof/>
              </w:rPr>
            </w:pPr>
            <w:r>
              <w:rPr>
                <w:noProof/>
              </w:rPr>
              <w:t>1 882,5</w:t>
            </w:r>
          </w:p>
        </w:tc>
        <w:tc>
          <w:tcPr>
            <w:tcW w:w="1843" w:type="dxa"/>
            <w:shd w:val="clear" w:color="auto" w:fill="auto"/>
          </w:tcPr>
          <w:p>
            <w:pPr>
              <w:jc w:val="right"/>
              <w:rPr>
                <w:noProof/>
              </w:rPr>
            </w:pPr>
            <w:r>
              <w:rPr>
                <w:noProof/>
              </w:rPr>
              <w:t>19,2 %</w:t>
            </w:r>
          </w:p>
        </w:tc>
        <w:tc>
          <w:tcPr>
            <w:tcW w:w="1984" w:type="dxa"/>
            <w:shd w:val="clear" w:color="auto" w:fill="auto"/>
          </w:tcPr>
          <w:p>
            <w:pPr>
              <w:jc w:val="right"/>
              <w:rPr>
                <w:noProof/>
              </w:rPr>
            </w:pPr>
            <w:r>
              <w:rPr>
                <w:noProof/>
              </w:rPr>
              <w:t>15,2 %</w:t>
            </w:r>
          </w:p>
        </w:tc>
      </w:tr>
      <w:tr>
        <w:tc>
          <w:tcPr>
            <w:tcW w:w="1101" w:type="dxa"/>
            <w:shd w:val="clear" w:color="auto" w:fill="auto"/>
          </w:tcPr>
          <w:p>
            <w:pPr>
              <w:jc w:val="center"/>
              <w:rPr>
                <w:b/>
                <w:noProof/>
              </w:rPr>
            </w:pPr>
            <w:r>
              <w:rPr>
                <w:b/>
                <w:noProof/>
              </w:rPr>
              <w:t>3</w:t>
            </w:r>
          </w:p>
        </w:tc>
        <w:tc>
          <w:tcPr>
            <w:tcW w:w="1417" w:type="dxa"/>
            <w:shd w:val="clear" w:color="auto" w:fill="auto"/>
          </w:tcPr>
          <w:p>
            <w:pPr>
              <w:rPr>
                <w:noProof/>
              </w:rPr>
            </w:pPr>
            <w:r>
              <w:rPr>
                <w:noProof/>
              </w:rPr>
              <w:t xml:space="preserve">Lettonie </w:t>
            </w:r>
          </w:p>
        </w:tc>
        <w:tc>
          <w:tcPr>
            <w:tcW w:w="1294" w:type="dxa"/>
            <w:shd w:val="clear" w:color="auto" w:fill="auto"/>
          </w:tcPr>
          <w:p>
            <w:pPr>
              <w:jc w:val="center"/>
              <w:rPr>
                <w:noProof/>
              </w:rPr>
            </w:pPr>
            <w:r>
              <w:rPr>
                <w:noProof/>
              </w:rPr>
              <w:t>a)+b)</w:t>
            </w:r>
          </w:p>
        </w:tc>
        <w:tc>
          <w:tcPr>
            <w:tcW w:w="1541" w:type="dxa"/>
            <w:shd w:val="clear" w:color="auto" w:fill="auto"/>
          </w:tcPr>
          <w:p>
            <w:pPr>
              <w:jc w:val="right"/>
              <w:rPr>
                <w:noProof/>
              </w:rPr>
            </w:pPr>
            <w:r>
              <w:rPr>
                <w:noProof/>
              </w:rPr>
              <w:t>1 265,3</w:t>
            </w:r>
          </w:p>
        </w:tc>
        <w:tc>
          <w:tcPr>
            <w:tcW w:w="1843" w:type="dxa"/>
            <w:shd w:val="clear" w:color="auto" w:fill="auto"/>
          </w:tcPr>
          <w:p>
            <w:pPr>
              <w:jc w:val="right"/>
              <w:rPr>
                <w:noProof/>
              </w:rPr>
            </w:pPr>
            <w:r>
              <w:rPr>
                <w:noProof/>
              </w:rPr>
              <w:t>12,9 %</w:t>
            </w:r>
          </w:p>
        </w:tc>
        <w:tc>
          <w:tcPr>
            <w:tcW w:w="1984" w:type="dxa"/>
            <w:shd w:val="clear" w:color="auto" w:fill="auto"/>
          </w:tcPr>
          <w:p>
            <w:pPr>
              <w:jc w:val="right"/>
              <w:rPr>
                <w:noProof/>
              </w:rPr>
            </w:pPr>
            <w:r>
              <w:rPr>
                <w:noProof/>
              </w:rPr>
              <w:t>10,2 %</w:t>
            </w:r>
          </w:p>
        </w:tc>
      </w:tr>
      <w:tr>
        <w:tc>
          <w:tcPr>
            <w:tcW w:w="1101" w:type="dxa"/>
            <w:shd w:val="clear" w:color="auto" w:fill="auto"/>
          </w:tcPr>
          <w:p>
            <w:pPr>
              <w:jc w:val="center"/>
              <w:rPr>
                <w:b/>
                <w:noProof/>
              </w:rPr>
            </w:pPr>
            <w:r>
              <w:rPr>
                <w:b/>
                <w:noProof/>
              </w:rPr>
              <w:t>4</w:t>
            </w:r>
          </w:p>
        </w:tc>
        <w:tc>
          <w:tcPr>
            <w:tcW w:w="1417" w:type="dxa"/>
            <w:shd w:val="clear" w:color="auto" w:fill="auto"/>
          </w:tcPr>
          <w:p>
            <w:pPr>
              <w:rPr>
                <w:noProof/>
              </w:rPr>
            </w:pPr>
            <w:r>
              <w:rPr>
                <w:noProof/>
              </w:rPr>
              <w:t xml:space="preserve">Portugal </w:t>
            </w:r>
          </w:p>
        </w:tc>
        <w:tc>
          <w:tcPr>
            <w:tcW w:w="1294" w:type="dxa"/>
            <w:shd w:val="clear" w:color="auto" w:fill="auto"/>
          </w:tcPr>
          <w:p>
            <w:pPr>
              <w:jc w:val="center"/>
              <w:rPr>
                <w:noProof/>
              </w:rPr>
            </w:pPr>
            <w:r>
              <w:rPr>
                <w:noProof/>
              </w:rPr>
              <w:t>c)</w:t>
            </w:r>
          </w:p>
        </w:tc>
        <w:tc>
          <w:tcPr>
            <w:tcW w:w="1541" w:type="dxa"/>
            <w:shd w:val="clear" w:color="auto" w:fill="auto"/>
          </w:tcPr>
          <w:p>
            <w:pPr>
              <w:jc w:val="right"/>
              <w:rPr>
                <w:noProof/>
              </w:rPr>
            </w:pPr>
            <w:r>
              <w:rPr>
                <w:noProof/>
              </w:rPr>
              <w:t>684,5</w:t>
            </w:r>
          </w:p>
        </w:tc>
        <w:tc>
          <w:tcPr>
            <w:tcW w:w="1843" w:type="dxa"/>
            <w:shd w:val="clear" w:color="auto" w:fill="auto"/>
          </w:tcPr>
          <w:p>
            <w:pPr>
              <w:jc w:val="right"/>
              <w:rPr>
                <w:noProof/>
              </w:rPr>
            </w:pPr>
            <w:r>
              <w:rPr>
                <w:noProof/>
              </w:rPr>
              <w:t>7,0 %</w:t>
            </w:r>
          </w:p>
        </w:tc>
        <w:tc>
          <w:tcPr>
            <w:tcW w:w="1984" w:type="dxa"/>
            <w:shd w:val="clear" w:color="auto" w:fill="auto"/>
          </w:tcPr>
          <w:p>
            <w:pPr>
              <w:jc w:val="right"/>
              <w:rPr>
                <w:noProof/>
              </w:rPr>
            </w:pPr>
            <w:r>
              <w:rPr>
                <w:noProof/>
              </w:rPr>
              <w:t>5,5 %</w:t>
            </w:r>
          </w:p>
        </w:tc>
      </w:tr>
      <w:tr>
        <w:tc>
          <w:tcPr>
            <w:tcW w:w="1101" w:type="dxa"/>
            <w:shd w:val="clear" w:color="auto" w:fill="auto"/>
          </w:tcPr>
          <w:p>
            <w:pPr>
              <w:jc w:val="center"/>
              <w:rPr>
                <w:b/>
                <w:noProof/>
              </w:rPr>
            </w:pPr>
            <w:r>
              <w:rPr>
                <w:b/>
                <w:noProof/>
              </w:rPr>
              <w:t>5</w:t>
            </w:r>
          </w:p>
        </w:tc>
        <w:tc>
          <w:tcPr>
            <w:tcW w:w="1417" w:type="dxa"/>
            <w:shd w:val="clear" w:color="auto" w:fill="auto"/>
          </w:tcPr>
          <w:p>
            <w:pPr>
              <w:rPr>
                <w:noProof/>
              </w:rPr>
            </w:pPr>
            <w:r>
              <w:rPr>
                <w:noProof/>
              </w:rPr>
              <w:t xml:space="preserve">Bulgarie </w:t>
            </w:r>
          </w:p>
        </w:tc>
        <w:tc>
          <w:tcPr>
            <w:tcW w:w="1294" w:type="dxa"/>
            <w:shd w:val="clear" w:color="auto" w:fill="auto"/>
          </w:tcPr>
          <w:p>
            <w:pPr>
              <w:jc w:val="center"/>
              <w:rPr>
                <w:noProof/>
              </w:rPr>
            </w:pPr>
            <w:r>
              <w:rPr>
                <w:noProof/>
              </w:rPr>
              <w:t>a)</w:t>
            </w:r>
          </w:p>
        </w:tc>
        <w:tc>
          <w:tcPr>
            <w:tcW w:w="1541" w:type="dxa"/>
            <w:shd w:val="clear" w:color="auto" w:fill="auto"/>
          </w:tcPr>
          <w:p>
            <w:pPr>
              <w:jc w:val="right"/>
              <w:rPr>
                <w:noProof/>
              </w:rPr>
            </w:pPr>
            <w:r>
              <w:rPr>
                <w:noProof/>
              </w:rPr>
              <w:t>86,1</w:t>
            </w:r>
          </w:p>
        </w:tc>
        <w:tc>
          <w:tcPr>
            <w:tcW w:w="1843" w:type="dxa"/>
            <w:shd w:val="clear" w:color="auto" w:fill="auto"/>
          </w:tcPr>
          <w:p>
            <w:pPr>
              <w:jc w:val="right"/>
              <w:rPr>
                <w:noProof/>
              </w:rPr>
            </w:pPr>
            <w:r>
              <w:rPr>
                <w:noProof/>
              </w:rPr>
              <w:t>0,9 %</w:t>
            </w:r>
          </w:p>
        </w:tc>
        <w:tc>
          <w:tcPr>
            <w:tcW w:w="1984" w:type="dxa"/>
            <w:shd w:val="clear" w:color="auto" w:fill="auto"/>
          </w:tcPr>
          <w:p>
            <w:pPr>
              <w:jc w:val="right"/>
              <w:rPr>
                <w:noProof/>
              </w:rPr>
            </w:pPr>
            <w:r>
              <w:rPr>
                <w:noProof/>
              </w:rPr>
              <w:t>0,7 %</w:t>
            </w:r>
          </w:p>
        </w:tc>
      </w:tr>
      <w:tr>
        <w:tc>
          <w:tcPr>
            <w:tcW w:w="1101" w:type="dxa"/>
            <w:shd w:val="clear" w:color="auto" w:fill="auto"/>
          </w:tcPr>
          <w:p>
            <w:pPr>
              <w:jc w:val="center"/>
              <w:rPr>
                <w:b/>
                <w:noProof/>
              </w:rPr>
            </w:pPr>
            <w:r>
              <w:rPr>
                <w:b/>
                <w:noProof/>
              </w:rPr>
              <w:t>6</w:t>
            </w:r>
          </w:p>
        </w:tc>
        <w:tc>
          <w:tcPr>
            <w:tcW w:w="1417" w:type="dxa"/>
            <w:shd w:val="clear" w:color="auto" w:fill="auto"/>
          </w:tcPr>
          <w:p>
            <w:pPr>
              <w:rPr>
                <w:noProof/>
              </w:rPr>
            </w:pPr>
            <w:r>
              <w:rPr>
                <w:noProof/>
              </w:rPr>
              <w:t xml:space="preserve">Hongrie </w:t>
            </w:r>
          </w:p>
        </w:tc>
        <w:tc>
          <w:tcPr>
            <w:tcW w:w="1294" w:type="dxa"/>
            <w:shd w:val="clear" w:color="auto" w:fill="auto"/>
          </w:tcPr>
          <w:p>
            <w:pPr>
              <w:jc w:val="center"/>
              <w:rPr>
                <w:noProof/>
              </w:rPr>
            </w:pPr>
            <w:r>
              <w:rPr>
                <w:noProof/>
              </w:rPr>
              <w:t>a)+b)</w:t>
            </w:r>
          </w:p>
        </w:tc>
        <w:tc>
          <w:tcPr>
            <w:tcW w:w="1541" w:type="dxa"/>
            <w:shd w:val="clear" w:color="auto" w:fill="auto"/>
          </w:tcPr>
          <w:p>
            <w:pPr>
              <w:jc w:val="right"/>
              <w:rPr>
                <w:noProof/>
              </w:rPr>
            </w:pPr>
            <w:r>
              <w:rPr>
                <w:noProof/>
              </w:rPr>
              <w:t>63,0</w:t>
            </w:r>
          </w:p>
        </w:tc>
        <w:tc>
          <w:tcPr>
            <w:tcW w:w="1843" w:type="dxa"/>
            <w:shd w:val="clear" w:color="auto" w:fill="auto"/>
          </w:tcPr>
          <w:p>
            <w:pPr>
              <w:jc w:val="right"/>
              <w:rPr>
                <w:noProof/>
              </w:rPr>
            </w:pPr>
            <w:r>
              <w:rPr>
                <w:noProof/>
              </w:rPr>
              <w:t>0,6 %</w:t>
            </w:r>
          </w:p>
        </w:tc>
        <w:tc>
          <w:tcPr>
            <w:tcW w:w="1984" w:type="dxa"/>
            <w:shd w:val="clear" w:color="auto" w:fill="auto"/>
          </w:tcPr>
          <w:p>
            <w:pPr>
              <w:jc w:val="right"/>
              <w:rPr>
                <w:noProof/>
              </w:rPr>
            </w:pPr>
            <w:r>
              <w:rPr>
                <w:noProof/>
              </w:rPr>
              <w:t>0,5 %</w:t>
            </w:r>
          </w:p>
        </w:tc>
      </w:tr>
      <w:tr>
        <w:tc>
          <w:tcPr>
            <w:tcW w:w="1101" w:type="dxa"/>
            <w:shd w:val="clear" w:color="auto" w:fill="auto"/>
          </w:tcPr>
          <w:p>
            <w:pPr>
              <w:jc w:val="center"/>
              <w:rPr>
                <w:b/>
                <w:noProof/>
              </w:rPr>
            </w:pPr>
            <w:r>
              <w:rPr>
                <w:b/>
                <w:noProof/>
              </w:rPr>
              <w:t>7</w:t>
            </w:r>
          </w:p>
        </w:tc>
        <w:tc>
          <w:tcPr>
            <w:tcW w:w="1417" w:type="dxa"/>
            <w:shd w:val="clear" w:color="auto" w:fill="auto"/>
          </w:tcPr>
          <w:p>
            <w:pPr>
              <w:rPr>
                <w:noProof/>
              </w:rPr>
            </w:pPr>
            <w:r>
              <w:rPr>
                <w:noProof/>
              </w:rPr>
              <w:t xml:space="preserve">République tchèque </w:t>
            </w:r>
          </w:p>
        </w:tc>
        <w:tc>
          <w:tcPr>
            <w:tcW w:w="1294" w:type="dxa"/>
            <w:shd w:val="clear" w:color="auto" w:fill="auto"/>
          </w:tcPr>
          <w:p>
            <w:pPr>
              <w:jc w:val="center"/>
              <w:rPr>
                <w:noProof/>
              </w:rPr>
            </w:pPr>
            <w:r>
              <w:rPr>
                <w:noProof/>
              </w:rPr>
              <w:t>a)</w:t>
            </w:r>
          </w:p>
        </w:tc>
        <w:tc>
          <w:tcPr>
            <w:tcW w:w="1541" w:type="dxa"/>
            <w:shd w:val="clear" w:color="auto" w:fill="auto"/>
          </w:tcPr>
          <w:p>
            <w:pPr>
              <w:jc w:val="right"/>
              <w:rPr>
                <w:noProof/>
              </w:rPr>
            </w:pPr>
            <w:r>
              <w:rPr>
                <w:noProof/>
              </w:rPr>
              <w:t>45,7</w:t>
            </w:r>
          </w:p>
        </w:tc>
        <w:tc>
          <w:tcPr>
            <w:tcW w:w="1843" w:type="dxa"/>
            <w:shd w:val="clear" w:color="auto" w:fill="auto"/>
          </w:tcPr>
          <w:p>
            <w:pPr>
              <w:jc w:val="right"/>
              <w:rPr>
                <w:noProof/>
              </w:rPr>
            </w:pPr>
            <w:r>
              <w:rPr>
                <w:noProof/>
              </w:rPr>
              <w:t>0,5 %</w:t>
            </w:r>
          </w:p>
        </w:tc>
        <w:tc>
          <w:tcPr>
            <w:tcW w:w="1984" w:type="dxa"/>
            <w:shd w:val="clear" w:color="auto" w:fill="auto"/>
          </w:tcPr>
          <w:p>
            <w:pPr>
              <w:jc w:val="right"/>
              <w:rPr>
                <w:noProof/>
              </w:rPr>
            </w:pPr>
            <w:r>
              <w:rPr>
                <w:noProof/>
              </w:rPr>
              <w:t>0,4 %</w:t>
            </w:r>
          </w:p>
        </w:tc>
      </w:tr>
      <w:tr>
        <w:tc>
          <w:tcPr>
            <w:tcW w:w="1101" w:type="dxa"/>
            <w:shd w:val="clear" w:color="auto" w:fill="auto"/>
          </w:tcPr>
          <w:p>
            <w:pPr>
              <w:jc w:val="center"/>
              <w:rPr>
                <w:b/>
                <w:noProof/>
              </w:rPr>
            </w:pPr>
            <w:r>
              <w:rPr>
                <w:b/>
                <w:noProof/>
              </w:rPr>
              <w:t>8</w:t>
            </w:r>
          </w:p>
        </w:tc>
        <w:tc>
          <w:tcPr>
            <w:tcW w:w="1417" w:type="dxa"/>
            <w:shd w:val="clear" w:color="auto" w:fill="auto"/>
          </w:tcPr>
          <w:p>
            <w:pPr>
              <w:rPr>
                <w:noProof/>
              </w:rPr>
            </w:pPr>
            <w:r>
              <w:rPr>
                <w:noProof/>
              </w:rPr>
              <w:t xml:space="preserve">Pologne </w:t>
            </w:r>
          </w:p>
        </w:tc>
        <w:tc>
          <w:tcPr>
            <w:tcW w:w="1294" w:type="dxa"/>
            <w:shd w:val="clear" w:color="auto" w:fill="auto"/>
          </w:tcPr>
          <w:p>
            <w:pPr>
              <w:jc w:val="center"/>
              <w:rPr>
                <w:noProof/>
              </w:rPr>
            </w:pPr>
            <w:r>
              <w:rPr>
                <w:noProof/>
              </w:rPr>
              <w:t>a)</w:t>
            </w:r>
          </w:p>
        </w:tc>
        <w:tc>
          <w:tcPr>
            <w:tcW w:w="1541" w:type="dxa"/>
            <w:shd w:val="clear" w:color="auto" w:fill="auto"/>
          </w:tcPr>
          <w:p>
            <w:pPr>
              <w:jc w:val="right"/>
              <w:rPr>
                <w:noProof/>
              </w:rPr>
            </w:pPr>
            <w:r>
              <w:rPr>
                <w:noProof/>
              </w:rPr>
              <w:t>42,8</w:t>
            </w:r>
          </w:p>
        </w:tc>
        <w:tc>
          <w:tcPr>
            <w:tcW w:w="1843" w:type="dxa"/>
            <w:shd w:val="clear" w:color="auto" w:fill="auto"/>
          </w:tcPr>
          <w:p>
            <w:pPr>
              <w:jc w:val="right"/>
              <w:rPr>
                <w:noProof/>
              </w:rPr>
            </w:pPr>
            <w:r>
              <w:rPr>
                <w:noProof/>
              </w:rPr>
              <w:t>0,4 %</w:t>
            </w:r>
          </w:p>
        </w:tc>
        <w:tc>
          <w:tcPr>
            <w:tcW w:w="1984" w:type="dxa"/>
            <w:shd w:val="clear" w:color="auto" w:fill="auto"/>
          </w:tcPr>
          <w:p>
            <w:pPr>
              <w:jc w:val="right"/>
              <w:rPr>
                <w:noProof/>
              </w:rPr>
            </w:pPr>
            <w:r>
              <w:rPr>
                <w:noProof/>
              </w:rPr>
              <w:t>0,3 %</w:t>
            </w:r>
          </w:p>
        </w:tc>
      </w:tr>
      <w:tr>
        <w:tc>
          <w:tcPr>
            <w:tcW w:w="1101" w:type="dxa"/>
            <w:shd w:val="clear" w:color="auto" w:fill="auto"/>
          </w:tcPr>
          <w:p>
            <w:pPr>
              <w:jc w:val="center"/>
              <w:rPr>
                <w:b/>
                <w:noProof/>
              </w:rPr>
            </w:pPr>
            <w:r>
              <w:rPr>
                <w:b/>
                <w:noProof/>
              </w:rPr>
              <w:t>9</w:t>
            </w:r>
          </w:p>
        </w:tc>
        <w:tc>
          <w:tcPr>
            <w:tcW w:w="1417" w:type="dxa"/>
            <w:shd w:val="clear" w:color="auto" w:fill="auto"/>
          </w:tcPr>
          <w:p>
            <w:pPr>
              <w:rPr>
                <w:noProof/>
              </w:rPr>
            </w:pPr>
            <w:r>
              <w:rPr>
                <w:noProof/>
              </w:rPr>
              <w:t>Croatie</w:t>
            </w:r>
          </w:p>
        </w:tc>
        <w:tc>
          <w:tcPr>
            <w:tcW w:w="1294" w:type="dxa"/>
            <w:shd w:val="clear" w:color="auto" w:fill="auto"/>
          </w:tcPr>
          <w:p>
            <w:pPr>
              <w:jc w:val="center"/>
              <w:rPr>
                <w:noProof/>
              </w:rPr>
            </w:pPr>
            <w:r>
              <w:rPr>
                <w:noProof/>
              </w:rPr>
              <w:t>a)</w:t>
            </w:r>
          </w:p>
        </w:tc>
        <w:tc>
          <w:tcPr>
            <w:tcW w:w="1541" w:type="dxa"/>
            <w:shd w:val="clear" w:color="auto" w:fill="auto"/>
          </w:tcPr>
          <w:p>
            <w:pPr>
              <w:jc w:val="right"/>
              <w:rPr>
                <w:noProof/>
              </w:rPr>
            </w:pPr>
            <w:r>
              <w:rPr>
                <w:noProof/>
              </w:rPr>
              <w:t>40,6</w:t>
            </w:r>
          </w:p>
        </w:tc>
        <w:tc>
          <w:tcPr>
            <w:tcW w:w="1843" w:type="dxa"/>
            <w:shd w:val="clear" w:color="auto" w:fill="auto"/>
          </w:tcPr>
          <w:p>
            <w:pPr>
              <w:jc w:val="right"/>
              <w:rPr>
                <w:noProof/>
              </w:rPr>
            </w:pPr>
            <w:r>
              <w:rPr>
                <w:noProof/>
              </w:rPr>
              <w:t>0,4 %</w:t>
            </w:r>
          </w:p>
        </w:tc>
        <w:tc>
          <w:tcPr>
            <w:tcW w:w="1984" w:type="dxa"/>
            <w:shd w:val="clear" w:color="auto" w:fill="auto"/>
          </w:tcPr>
          <w:p>
            <w:pPr>
              <w:jc w:val="right"/>
              <w:rPr>
                <w:noProof/>
              </w:rPr>
            </w:pPr>
            <w:r>
              <w:rPr>
                <w:noProof/>
              </w:rPr>
              <w:t>0,3 %</w:t>
            </w:r>
          </w:p>
        </w:tc>
      </w:tr>
      <w:tr>
        <w:tc>
          <w:tcPr>
            <w:tcW w:w="1101" w:type="dxa"/>
            <w:shd w:val="clear" w:color="auto" w:fill="auto"/>
          </w:tcPr>
          <w:p>
            <w:pPr>
              <w:jc w:val="center"/>
              <w:rPr>
                <w:b/>
                <w:noProof/>
              </w:rPr>
            </w:pPr>
            <w:r>
              <w:rPr>
                <w:b/>
                <w:noProof/>
              </w:rPr>
              <w:t>10</w:t>
            </w:r>
          </w:p>
        </w:tc>
        <w:tc>
          <w:tcPr>
            <w:tcW w:w="1417" w:type="dxa"/>
            <w:shd w:val="clear" w:color="auto" w:fill="auto"/>
          </w:tcPr>
          <w:p>
            <w:pPr>
              <w:rPr>
                <w:noProof/>
              </w:rPr>
            </w:pPr>
            <w:r>
              <w:rPr>
                <w:noProof/>
              </w:rPr>
              <w:t xml:space="preserve">Slovaquie </w:t>
            </w:r>
          </w:p>
        </w:tc>
        <w:tc>
          <w:tcPr>
            <w:tcW w:w="1294" w:type="dxa"/>
            <w:shd w:val="clear" w:color="auto" w:fill="auto"/>
          </w:tcPr>
          <w:p>
            <w:pPr>
              <w:jc w:val="center"/>
              <w:rPr>
                <w:noProof/>
              </w:rPr>
            </w:pPr>
            <w:r>
              <w:rPr>
                <w:noProof/>
              </w:rPr>
              <w:t>a)</w:t>
            </w:r>
          </w:p>
        </w:tc>
        <w:tc>
          <w:tcPr>
            <w:tcW w:w="1541" w:type="dxa"/>
            <w:shd w:val="clear" w:color="auto" w:fill="auto"/>
          </w:tcPr>
          <w:p>
            <w:pPr>
              <w:jc w:val="right"/>
              <w:rPr>
                <w:noProof/>
              </w:rPr>
            </w:pPr>
            <w:r>
              <w:rPr>
                <w:noProof/>
              </w:rPr>
              <w:t>15,1</w:t>
            </w:r>
          </w:p>
        </w:tc>
        <w:tc>
          <w:tcPr>
            <w:tcW w:w="1843" w:type="dxa"/>
            <w:shd w:val="clear" w:color="auto" w:fill="auto"/>
          </w:tcPr>
          <w:p>
            <w:pPr>
              <w:jc w:val="right"/>
              <w:rPr>
                <w:noProof/>
              </w:rPr>
            </w:pPr>
            <w:r>
              <w:rPr>
                <w:noProof/>
              </w:rPr>
              <w:t>0,2 %</w:t>
            </w:r>
          </w:p>
        </w:tc>
        <w:tc>
          <w:tcPr>
            <w:tcW w:w="1984" w:type="dxa"/>
            <w:shd w:val="clear" w:color="auto" w:fill="auto"/>
          </w:tcPr>
          <w:p>
            <w:pPr>
              <w:jc w:val="right"/>
              <w:rPr>
                <w:noProof/>
              </w:rPr>
            </w:pPr>
            <w:r>
              <w:rPr>
                <w:noProof/>
              </w:rPr>
              <w:t>0,1 %</w:t>
            </w:r>
          </w:p>
        </w:tc>
      </w:tr>
      <w:tr>
        <w:tc>
          <w:tcPr>
            <w:tcW w:w="1101" w:type="dxa"/>
            <w:shd w:val="clear" w:color="auto" w:fill="auto"/>
          </w:tcPr>
          <w:p>
            <w:pPr>
              <w:jc w:val="center"/>
              <w:rPr>
                <w:b/>
                <w:noProof/>
              </w:rPr>
            </w:pPr>
            <w:r>
              <w:rPr>
                <w:b/>
                <w:noProof/>
              </w:rPr>
              <w:t>11</w:t>
            </w:r>
          </w:p>
        </w:tc>
        <w:tc>
          <w:tcPr>
            <w:tcW w:w="1417" w:type="dxa"/>
            <w:shd w:val="clear" w:color="auto" w:fill="auto"/>
          </w:tcPr>
          <w:p>
            <w:pPr>
              <w:rPr>
                <w:noProof/>
              </w:rPr>
            </w:pPr>
            <w:r>
              <w:rPr>
                <w:noProof/>
              </w:rPr>
              <w:t xml:space="preserve">Lituanie </w:t>
            </w:r>
          </w:p>
        </w:tc>
        <w:tc>
          <w:tcPr>
            <w:tcW w:w="1294" w:type="dxa"/>
            <w:shd w:val="clear" w:color="auto" w:fill="auto"/>
          </w:tcPr>
          <w:p>
            <w:pPr>
              <w:jc w:val="center"/>
              <w:rPr>
                <w:noProof/>
              </w:rPr>
            </w:pPr>
            <w:r>
              <w:rPr>
                <w:noProof/>
              </w:rPr>
              <w:t>a)</w:t>
            </w:r>
          </w:p>
        </w:tc>
        <w:tc>
          <w:tcPr>
            <w:tcW w:w="1541" w:type="dxa"/>
            <w:shd w:val="clear" w:color="auto" w:fill="auto"/>
          </w:tcPr>
          <w:p>
            <w:pPr>
              <w:jc w:val="right"/>
              <w:rPr>
                <w:noProof/>
              </w:rPr>
            </w:pPr>
            <w:r>
              <w:rPr>
                <w:noProof/>
              </w:rPr>
              <w:t>4,8</w:t>
            </w:r>
          </w:p>
        </w:tc>
        <w:tc>
          <w:tcPr>
            <w:tcW w:w="1843" w:type="dxa"/>
            <w:shd w:val="clear" w:color="auto" w:fill="auto"/>
          </w:tcPr>
          <w:p>
            <w:pPr>
              <w:jc w:val="right"/>
              <w:rPr>
                <w:noProof/>
              </w:rPr>
            </w:pPr>
            <w:r>
              <w:rPr>
                <w:noProof/>
              </w:rPr>
              <w:t>&lt; 0,1%</w:t>
            </w:r>
          </w:p>
        </w:tc>
        <w:tc>
          <w:tcPr>
            <w:tcW w:w="1984" w:type="dxa"/>
            <w:shd w:val="clear" w:color="auto" w:fill="auto"/>
          </w:tcPr>
          <w:p>
            <w:pPr>
              <w:jc w:val="right"/>
              <w:rPr>
                <w:noProof/>
              </w:rPr>
            </w:pPr>
            <w:r>
              <w:rPr>
                <w:noProof/>
              </w:rPr>
              <w:t>&lt; 0,1%</w:t>
            </w:r>
          </w:p>
        </w:tc>
      </w:tr>
      <w:tr>
        <w:tc>
          <w:tcPr>
            <w:tcW w:w="1101" w:type="dxa"/>
            <w:shd w:val="clear" w:color="auto" w:fill="auto"/>
          </w:tcPr>
          <w:p>
            <w:pPr>
              <w:jc w:val="center"/>
              <w:rPr>
                <w:b/>
                <w:noProof/>
              </w:rPr>
            </w:pPr>
            <w:r>
              <w:rPr>
                <w:b/>
                <w:noProof/>
              </w:rPr>
              <w:t>12</w:t>
            </w:r>
          </w:p>
        </w:tc>
        <w:tc>
          <w:tcPr>
            <w:tcW w:w="1417" w:type="dxa"/>
            <w:shd w:val="clear" w:color="auto" w:fill="auto"/>
          </w:tcPr>
          <w:p>
            <w:pPr>
              <w:rPr>
                <w:noProof/>
              </w:rPr>
            </w:pPr>
            <w:r>
              <w:rPr>
                <w:noProof/>
              </w:rPr>
              <w:t xml:space="preserve">Slovénie </w:t>
            </w:r>
          </w:p>
        </w:tc>
        <w:tc>
          <w:tcPr>
            <w:tcW w:w="1294" w:type="dxa"/>
            <w:shd w:val="clear" w:color="auto" w:fill="auto"/>
          </w:tcPr>
          <w:p>
            <w:pPr>
              <w:jc w:val="center"/>
              <w:rPr>
                <w:noProof/>
              </w:rPr>
            </w:pPr>
            <w:r>
              <w:rPr>
                <w:noProof/>
              </w:rPr>
              <w:t>a)</w:t>
            </w:r>
          </w:p>
        </w:tc>
        <w:tc>
          <w:tcPr>
            <w:tcW w:w="1541" w:type="dxa"/>
            <w:shd w:val="clear" w:color="auto" w:fill="auto"/>
          </w:tcPr>
          <w:p>
            <w:pPr>
              <w:jc w:val="right"/>
              <w:rPr>
                <w:noProof/>
              </w:rPr>
            </w:pPr>
            <w:r>
              <w:rPr>
                <w:noProof/>
              </w:rPr>
              <w:t>4,4</w:t>
            </w:r>
          </w:p>
        </w:tc>
        <w:tc>
          <w:tcPr>
            <w:tcW w:w="1843" w:type="dxa"/>
            <w:shd w:val="clear" w:color="auto" w:fill="auto"/>
          </w:tcPr>
          <w:p>
            <w:pPr>
              <w:jc w:val="right"/>
              <w:rPr>
                <w:noProof/>
              </w:rPr>
            </w:pPr>
            <w:r>
              <w:rPr>
                <w:noProof/>
              </w:rPr>
              <w:t>&lt; 0,1%</w:t>
            </w:r>
          </w:p>
        </w:tc>
        <w:tc>
          <w:tcPr>
            <w:tcW w:w="1984" w:type="dxa"/>
            <w:shd w:val="clear" w:color="auto" w:fill="auto"/>
          </w:tcPr>
          <w:p>
            <w:pPr>
              <w:jc w:val="right"/>
              <w:rPr>
                <w:noProof/>
              </w:rPr>
            </w:pPr>
            <w:r>
              <w:rPr>
                <w:noProof/>
              </w:rPr>
              <w:t>&lt; 0,1%</w:t>
            </w:r>
          </w:p>
        </w:tc>
      </w:tr>
      <w:tr>
        <w:tc>
          <w:tcPr>
            <w:tcW w:w="1101" w:type="dxa"/>
            <w:shd w:val="clear" w:color="auto" w:fill="auto"/>
          </w:tcPr>
          <w:p>
            <w:pPr>
              <w:rPr>
                <w:b/>
                <w:noProof/>
              </w:rPr>
            </w:pPr>
            <w:r>
              <w:rPr>
                <w:b/>
                <w:noProof/>
              </w:rPr>
              <w:t>Total</w:t>
            </w:r>
          </w:p>
        </w:tc>
        <w:tc>
          <w:tcPr>
            <w:tcW w:w="1417" w:type="dxa"/>
            <w:shd w:val="clear" w:color="auto" w:fill="auto"/>
          </w:tcPr>
          <w:p>
            <w:pPr>
              <w:rPr>
                <w:noProof/>
              </w:rPr>
            </w:pPr>
          </w:p>
        </w:tc>
        <w:tc>
          <w:tcPr>
            <w:tcW w:w="1294" w:type="dxa"/>
            <w:shd w:val="clear" w:color="auto" w:fill="auto"/>
          </w:tcPr>
          <w:p>
            <w:pPr>
              <w:jc w:val="right"/>
              <w:rPr>
                <w:noProof/>
              </w:rPr>
            </w:pPr>
          </w:p>
        </w:tc>
        <w:tc>
          <w:tcPr>
            <w:tcW w:w="1541" w:type="dxa"/>
            <w:shd w:val="clear" w:color="auto" w:fill="auto"/>
          </w:tcPr>
          <w:p>
            <w:pPr>
              <w:jc w:val="right"/>
              <w:rPr>
                <w:noProof/>
              </w:rPr>
            </w:pPr>
            <w:r>
              <w:rPr>
                <w:noProof/>
              </w:rPr>
              <w:t>9 811,1</w:t>
            </w:r>
          </w:p>
        </w:tc>
        <w:tc>
          <w:tcPr>
            <w:tcW w:w="1843" w:type="dxa"/>
            <w:shd w:val="clear" w:color="auto" w:fill="auto"/>
          </w:tcPr>
          <w:p>
            <w:pPr>
              <w:jc w:val="right"/>
              <w:rPr>
                <w:noProof/>
              </w:rPr>
            </w:pPr>
            <w:r>
              <w:rPr>
                <w:noProof/>
              </w:rPr>
              <w:t>100 %</w:t>
            </w:r>
          </w:p>
        </w:tc>
        <w:tc>
          <w:tcPr>
            <w:tcW w:w="1984" w:type="dxa"/>
            <w:shd w:val="clear" w:color="auto" w:fill="auto"/>
          </w:tcPr>
          <w:p>
            <w:pPr>
              <w:jc w:val="right"/>
              <w:rPr>
                <w:noProof/>
              </w:rPr>
            </w:pPr>
            <w:r>
              <w:rPr>
                <w:noProof/>
              </w:rPr>
              <w:t>79,3 %</w:t>
            </w:r>
          </w:p>
        </w:tc>
      </w:tr>
    </w:tbl>
    <w:p>
      <w:pPr>
        <w:pStyle w:val="ManualHeading3"/>
        <w:rPr>
          <w:noProof/>
        </w:rPr>
      </w:pPr>
      <w:bookmarkStart w:id="185" w:name="_Toc309831367"/>
      <w:bookmarkStart w:id="186" w:name="_Toc329261067"/>
      <w:bookmarkStart w:id="187" w:name="_Toc329855629"/>
      <w:bookmarkStart w:id="188" w:name="_Toc330551234"/>
      <w:bookmarkStart w:id="189" w:name="_Toc342470161"/>
      <w:bookmarkStart w:id="190" w:name="_Toc345073707"/>
      <w:bookmarkStart w:id="191" w:name="_Toc365986224"/>
      <w:bookmarkStart w:id="192" w:name="_Toc367869477"/>
      <w:bookmarkStart w:id="193" w:name="_Toc367870004"/>
      <w:bookmarkStart w:id="194" w:name="_Toc388973022"/>
      <w:bookmarkStart w:id="195" w:name="_Toc389474755"/>
      <w:r>
        <w:rPr>
          <w:noProof/>
        </w:rPr>
        <w:tab/>
      </w:r>
    </w:p>
    <w:p>
      <w:pPr>
        <w:pStyle w:val="ManualHeading3"/>
        <w:rPr>
          <w:noProof/>
        </w:rPr>
      </w:pPr>
      <w:bookmarkStart w:id="196" w:name="_Toc390944399"/>
      <w:bookmarkStart w:id="197" w:name="_Toc393969970"/>
      <w:bookmarkStart w:id="198" w:name="_Toc417461976"/>
      <w:bookmarkStart w:id="199" w:name="_Toc417998610"/>
      <w:r>
        <w:rPr>
          <w:noProof/>
        </w:rPr>
        <w:br w:type="page"/>
      </w:r>
      <w:bookmarkStart w:id="200" w:name="_Toc418157637"/>
      <w:bookmarkStart w:id="201" w:name="_Toc424303767"/>
      <w:r>
        <w:rPr>
          <w:noProof/>
        </w:rPr>
        <w:t>4.3.2.</w:t>
      </w:r>
      <w:r>
        <w:rPr>
          <w:noProof/>
        </w:rPr>
        <w:tab/>
        <w:t>Risques liés aux pays tiers</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pPr>
        <w:rPr>
          <w:noProof/>
        </w:rPr>
      </w:pPr>
      <w:r>
        <w:rPr>
          <w:noProof/>
        </w:rPr>
        <w:t xml:space="preserve">Pour les pays tiers, le Fonds supportera un risque annuel de 2 568,7 millions d’EUR au maximum en 2015 (21 % du risque annuel total). Les risques liés aux pays tiers concernent des prêts de la BEI ainsi que des prêts AMF et Euratom (des détails sont fournis aux tableaux A2 </w:t>
      </w:r>
      <w:r>
        <w:rPr>
          <w:i/>
          <w:noProof/>
        </w:rPr>
        <w:t>ter</w:t>
      </w:r>
      <w:r>
        <w:rPr>
          <w:noProof/>
        </w:rPr>
        <w:t xml:space="preserve"> du document de travail). Le Fonds couvre des prêts garantis octroyés à des pays tiers avec des échéances allant jusqu’en 2042.</w:t>
      </w:r>
    </w:p>
    <w:p>
      <w:pPr>
        <w:rPr>
          <w:noProof/>
        </w:rPr>
      </w:pPr>
      <w:r>
        <w:rPr>
          <w:noProof/>
        </w:rPr>
        <w:t xml:space="preserve">Les dix pays tiers (sur 41) présentant l’encours le plus important sont classés ci-dessous en fonction des remboursements prévus pour 2015. Ils représentent 82 % (2 106 millions d'EUR) du risque annuel supporté par le Fonds vis-à-vis de pays tiers. La situation économique de ces pays est analysée et commentée au point 3 du document de travail. Le tableau consacré à chaque pays indique aussi la qualité de crédit que lui reconnaissent les agences de notation. </w:t>
      </w:r>
    </w:p>
    <w:p>
      <w:pPr>
        <w:rPr>
          <w:noProof/>
        </w:rPr>
      </w:pPr>
      <w:r>
        <w:rPr>
          <w:noProof/>
        </w:rPr>
        <w:t xml:space="preserve">Tableau 3: Classement des </w:t>
      </w:r>
      <w:r>
        <w:rPr>
          <w:b/>
          <w:noProof/>
        </w:rPr>
        <w:t>dix pays tiers représentant le risque le plus important</w:t>
      </w:r>
      <w:r>
        <w:rPr>
          <w:noProof/>
        </w:rPr>
        <w:t xml:space="preserve"> pour le budget de l'UE en 2015 (en millions d’EUR) </w:t>
      </w:r>
    </w:p>
    <w:tbl>
      <w:tblPr>
        <w:tblW w:w="8760" w:type="dxa"/>
        <w:tblInd w:w="-5" w:type="dxa"/>
        <w:tblLayout w:type="fixed"/>
        <w:tblLook w:val="0000" w:firstRow="0" w:lastRow="0" w:firstColumn="0" w:lastColumn="0" w:noHBand="0" w:noVBand="0"/>
      </w:tblPr>
      <w:tblGrid>
        <w:gridCol w:w="1814"/>
        <w:gridCol w:w="1701"/>
        <w:gridCol w:w="1560"/>
        <w:gridCol w:w="1842"/>
        <w:gridCol w:w="1843"/>
      </w:tblGrid>
      <w:tr>
        <w:trPr>
          <w:trHeight w:val="405"/>
        </w:trPr>
        <w:tc>
          <w:tcPr>
            <w:tcW w:w="1814" w:type="dxa"/>
            <w:vMerge w:val="restart"/>
            <w:tcBorders>
              <w:top w:val="single" w:sz="4" w:space="0" w:color="000000"/>
              <w:left w:val="single" w:sz="4" w:space="0" w:color="000000"/>
            </w:tcBorders>
          </w:tcPr>
          <w:p>
            <w:pPr>
              <w:jc w:val="center"/>
              <w:rPr>
                <w:b/>
                <w:noProof/>
              </w:rPr>
            </w:pPr>
            <w:r>
              <w:rPr>
                <w:b/>
                <w:noProof/>
              </w:rPr>
              <w:t>Classement</w:t>
            </w:r>
          </w:p>
        </w:tc>
        <w:tc>
          <w:tcPr>
            <w:tcW w:w="1701" w:type="dxa"/>
            <w:vMerge w:val="restart"/>
            <w:tcBorders>
              <w:top w:val="single" w:sz="4" w:space="0" w:color="000000"/>
              <w:left w:val="single" w:sz="4" w:space="0" w:color="000000"/>
            </w:tcBorders>
          </w:tcPr>
          <w:p>
            <w:pPr>
              <w:jc w:val="center"/>
              <w:rPr>
                <w:b/>
                <w:noProof/>
              </w:rPr>
            </w:pPr>
            <w:r>
              <w:rPr>
                <w:b/>
                <w:noProof/>
              </w:rPr>
              <w:t>Pays</w:t>
            </w:r>
          </w:p>
        </w:tc>
        <w:tc>
          <w:tcPr>
            <w:tcW w:w="1560" w:type="dxa"/>
            <w:vMerge w:val="restart"/>
            <w:tcBorders>
              <w:top w:val="single" w:sz="4" w:space="0" w:color="000000"/>
              <w:left w:val="single" w:sz="4" w:space="0" w:color="000000"/>
            </w:tcBorders>
          </w:tcPr>
          <w:p>
            <w:pPr>
              <w:jc w:val="center"/>
              <w:rPr>
                <w:b/>
                <w:noProof/>
              </w:rPr>
            </w:pPr>
            <w:r>
              <w:rPr>
                <w:b/>
                <w:noProof/>
              </w:rPr>
              <w:t>Risque annuel max.</w:t>
            </w:r>
          </w:p>
        </w:tc>
        <w:tc>
          <w:tcPr>
            <w:tcW w:w="1842" w:type="dxa"/>
            <w:tcBorders>
              <w:top w:val="single" w:sz="4" w:space="0" w:color="000000"/>
              <w:left w:val="single" w:sz="4" w:space="0" w:color="000000"/>
            </w:tcBorders>
          </w:tcPr>
          <w:p>
            <w:pPr>
              <w:jc w:val="center"/>
              <w:rPr>
                <w:b/>
                <w:noProof/>
              </w:rPr>
            </w:pPr>
            <w:r>
              <w:rPr>
                <w:b/>
                <w:noProof/>
              </w:rPr>
              <w:t>Pourcentage de risque par rapport au risque annuel pour l'ensemble des pays tiers</w:t>
            </w:r>
          </w:p>
        </w:tc>
        <w:tc>
          <w:tcPr>
            <w:tcW w:w="1843" w:type="dxa"/>
            <w:vMerge w:val="restart"/>
            <w:tcBorders>
              <w:top w:val="single" w:sz="4" w:space="0" w:color="000000"/>
              <w:left w:val="single" w:sz="4" w:space="0" w:color="000000"/>
              <w:right w:val="single" w:sz="4" w:space="0" w:color="000000"/>
            </w:tcBorders>
          </w:tcPr>
          <w:p>
            <w:pPr>
              <w:jc w:val="center"/>
              <w:rPr>
                <w:b/>
                <w:noProof/>
              </w:rPr>
            </w:pPr>
            <w:r>
              <w:rPr>
                <w:b/>
                <w:noProof/>
              </w:rPr>
              <w:t>Pourcentage de risque par rapport au risque annuel total (États membres et pays tiers)</w:t>
            </w:r>
          </w:p>
        </w:tc>
      </w:tr>
      <w:tr>
        <w:trPr>
          <w:trHeight w:val="525"/>
        </w:trPr>
        <w:tc>
          <w:tcPr>
            <w:tcW w:w="1814" w:type="dxa"/>
            <w:vMerge/>
            <w:tcBorders>
              <w:left w:val="single" w:sz="4" w:space="0" w:color="000000"/>
              <w:bottom w:val="single" w:sz="4" w:space="0" w:color="000000"/>
            </w:tcBorders>
          </w:tcPr>
          <w:p>
            <w:pPr>
              <w:snapToGrid w:val="0"/>
              <w:rPr>
                <w:b/>
                <w:noProof/>
              </w:rPr>
            </w:pPr>
          </w:p>
        </w:tc>
        <w:tc>
          <w:tcPr>
            <w:tcW w:w="1701" w:type="dxa"/>
            <w:vMerge/>
            <w:tcBorders>
              <w:left w:val="single" w:sz="4" w:space="0" w:color="000000"/>
              <w:bottom w:val="single" w:sz="4" w:space="0" w:color="000000"/>
            </w:tcBorders>
          </w:tcPr>
          <w:p>
            <w:pPr>
              <w:snapToGrid w:val="0"/>
              <w:rPr>
                <w:b/>
                <w:noProof/>
              </w:rPr>
            </w:pPr>
          </w:p>
        </w:tc>
        <w:tc>
          <w:tcPr>
            <w:tcW w:w="1560" w:type="dxa"/>
            <w:vMerge/>
            <w:tcBorders>
              <w:left w:val="single" w:sz="4" w:space="0" w:color="000000"/>
              <w:bottom w:val="single" w:sz="4" w:space="0" w:color="000000"/>
            </w:tcBorders>
          </w:tcPr>
          <w:p>
            <w:pPr>
              <w:snapToGrid w:val="0"/>
              <w:rPr>
                <w:b/>
                <w:noProof/>
              </w:rPr>
            </w:pPr>
          </w:p>
        </w:tc>
        <w:tc>
          <w:tcPr>
            <w:tcW w:w="1842" w:type="dxa"/>
            <w:tcBorders>
              <w:left w:val="single" w:sz="4" w:space="0" w:color="000000"/>
              <w:bottom w:val="single" w:sz="4" w:space="0" w:color="000000"/>
            </w:tcBorders>
          </w:tcPr>
          <w:p>
            <w:pPr>
              <w:snapToGrid w:val="0"/>
              <w:rPr>
                <w:b/>
                <w:noProof/>
              </w:rPr>
            </w:pPr>
          </w:p>
        </w:tc>
        <w:tc>
          <w:tcPr>
            <w:tcW w:w="1843" w:type="dxa"/>
            <w:vMerge/>
            <w:tcBorders>
              <w:left w:val="single" w:sz="4" w:space="0" w:color="000000"/>
              <w:bottom w:val="single" w:sz="4" w:space="0" w:color="000000"/>
              <w:right w:val="single" w:sz="4" w:space="0" w:color="000000"/>
            </w:tcBorders>
          </w:tcPr>
          <w:p>
            <w:pPr>
              <w:snapToGrid w:val="0"/>
              <w:rPr>
                <w:b/>
                <w:noProof/>
              </w:rPr>
            </w:pP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1</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Turquie</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535,9</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20,9 %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4,3 %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2</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 xml:space="preserve">Maroc </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309,8</w:t>
            </w:r>
          </w:p>
        </w:tc>
        <w:tc>
          <w:tcPr>
            <w:tcW w:w="1842" w:type="dxa"/>
            <w:tcBorders>
              <w:top w:val="single" w:sz="4" w:space="0" w:color="000000"/>
              <w:left w:val="single" w:sz="4" w:space="0" w:color="000000"/>
              <w:bottom w:val="single" w:sz="4" w:space="0" w:color="000000"/>
            </w:tcBorders>
            <w:vAlign w:val="center"/>
          </w:tcPr>
          <w:p>
            <w:pPr>
              <w:jc w:val="right"/>
              <w:rPr>
                <w:noProof/>
              </w:rPr>
            </w:pPr>
            <w:r>
              <w:rPr>
                <w:noProof/>
              </w:rPr>
              <w:t>12,1 %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2,5 %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3</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 xml:space="preserve">Brésil </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254,0</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10,0 %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2,1 %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4</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Serbie</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242,0</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9,4 %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2,0 %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5</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 xml:space="preserve">Tunisie </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227,3</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8,8 %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1,8 %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6</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 xml:space="preserve">Égypte </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204,2</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7,9 %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1,6 %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7</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 xml:space="preserve">Bosnie-Herzégovine </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99,9</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3,9 %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0,8 %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8</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Liban</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86,9</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3,4 %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0,7 %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9</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 xml:space="preserve">Afrique du Sud </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86,3</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3,4 %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0,7 %</w:t>
            </w:r>
          </w:p>
        </w:tc>
      </w:tr>
      <w:tr>
        <w:tc>
          <w:tcPr>
            <w:tcW w:w="1814" w:type="dxa"/>
            <w:tcBorders>
              <w:top w:val="single" w:sz="4" w:space="0" w:color="000000"/>
              <w:left w:val="single" w:sz="4" w:space="0" w:color="000000"/>
              <w:bottom w:val="single" w:sz="4" w:space="0" w:color="000000"/>
            </w:tcBorders>
            <w:vAlign w:val="center"/>
          </w:tcPr>
          <w:p>
            <w:pPr>
              <w:snapToGrid w:val="0"/>
              <w:jc w:val="center"/>
              <w:rPr>
                <w:b/>
                <w:noProof/>
              </w:rPr>
            </w:pPr>
            <w:r>
              <w:rPr>
                <w:b/>
                <w:noProof/>
              </w:rPr>
              <w:t>10</w:t>
            </w:r>
          </w:p>
        </w:tc>
        <w:tc>
          <w:tcPr>
            <w:tcW w:w="1701" w:type="dxa"/>
            <w:tcBorders>
              <w:top w:val="single" w:sz="4" w:space="0" w:color="000000"/>
              <w:left w:val="single" w:sz="4" w:space="0" w:color="000000"/>
              <w:bottom w:val="single" w:sz="4" w:space="0" w:color="000000"/>
            </w:tcBorders>
            <w:vAlign w:val="center"/>
          </w:tcPr>
          <w:p>
            <w:pPr>
              <w:snapToGrid w:val="0"/>
              <w:rPr>
                <w:noProof/>
              </w:rPr>
            </w:pPr>
            <w:r>
              <w:rPr>
                <w:noProof/>
              </w:rPr>
              <w:t xml:space="preserve">Syrie </w:t>
            </w: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57,0</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2,2 %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0,5 %</w:t>
            </w:r>
          </w:p>
        </w:tc>
      </w:tr>
      <w:tr>
        <w:tc>
          <w:tcPr>
            <w:tcW w:w="1814" w:type="dxa"/>
            <w:tcBorders>
              <w:top w:val="single" w:sz="4" w:space="0" w:color="000000"/>
              <w:left w:val="single" w:sz="4" w:space="0" w:color="000000"/>
              <w:bottom w:val="single" w:sz="4" w:space="0" w:color="000000"/>
            </w:tcBorders>
          </w:tcPr>
          <w:p>
            <w:pPr>
              <w:snapToGrid w:val="0"/>
              <w:rPr>
                <w:b/>
                <w:noProof/>
              </w:rPr>
            </w:pPr>
            <w:r>
              <w:rPr>
                <w:b/>
                <w:noProof/>
              </w:rPr>
              <w:t>Total des 10 pays</w:t>
            </w:r>
          </w:p>
        </w:tc>
        <w:tc>
          <w:tcPr>
            <w:tcW w:w="1701" w:type="dxa"/>
            <w:tcBorders>
              <w:top w:val="single" w:sz="4" w:space="0" w:color="000000"/>
              <w:left w:val="single" w:sz="4" w:space="0" w:color="000000"/>
              <w:bottom w:val="single" w:sz="4" w:space="0" w:color="000000"/>
            </w:tcBorders>
          </w:tcPr>
          <w:p>
            <w:pPr>
              <w:snapToGrid w:val="0"/>
              <w:rPr>
                <w:noProof/>
              </w:rPr>
            </w:pPr>
          </w:p>
        </w:tc>
        <w:tc>
          <w:tcPr>
            <w:tcW w:w="1560" w:type="dxa"/>
            <w:tcBorders>
              <w:top w:val="single" w:sz="4" w:space="0" w:color="000000"/>
              <w:left w:val="single" w:sz="4" w:space="0" w:color="000000"/>
              <w:bottom w:val="single" w:sz="4" w:space="0" w:color="000000"/>
            </w:tcBorders>
            <w:vAlign w:val="center"/>
          </w:tcPr>
          <w:p>
            <w:pPr>
              <w:snapToGrid w:val="0"/>
              <w:jc w:val="right"/>
              <w:rPr>
                <w:noProof/>
              </w:rPr>
            </w:pPr>
            <w:r>
              <w:rPr>
                <w:noProof/>
              </w:rPr>
              <w:t>2 106,3</w:t>
            </w:r>
          </w:p>
        </w:tc>
        <w:tc>
          <w:tcPr>
            <w:tcW w:w="1842" w:type="dxa"/>
            <w:tcBorders>
              <w:top w:val="single" w:sz="4" w:space="0" w:color="000000"/>
              <w:left w:val="single" w:sz="4" w:space="0" w:color="000000"/>
              <w:bottom w:val="single" w:sz="4" w:space="0" w:color="000000"/>
            </w:tcBorders>
            <w:vAlign w:val="center"/>
          </w:tcPr>
          <w:p>
            <w:pPr>
              <w:snapToGrid w:val="0"/>
              <w:jc w:val="right"/>
              <w:rPr>
                <w:noProof/>
              </w:rPr>
            </w:pPr>
            <w:r>
              <w:rPr>
                <w:noProof/>
              </w:rPr>
              <w:t>82,0 %</w:t>
            </w:r>
          </w:p>
        </w:tc>
        <w:tc>
          <w:tcPr>
            <w:tcW w:w="1843" w:type="dxa"/>
            <w:tcBorders>
              <w:top w:val="single" w:sz="4" w:space="0" w:color="000000"/>
              <w:left w:val="single" w:sz="4" w:space="0" w:color="000000"/>
              <w:bottom w:val="single" w:sz="4" w:space="0" w:color="000000"/>
              <w:right w:val="single" w:sz="4" w:space="0" w:color="000000"/>
            </w:tcBorders>
            <w:vAlign w:val="center"/>
          </w:tcPr>
          <w:p>
            <w:pPr>
              <w:snapToGrid w:val="0"/>
              <w:jc w:val="right"/>
              <w:rPr>
                <w:noProof/>
              </w:rPr>
            </w:pPr>
            <w:r>
              <w:rPr>
                <w:noProof/>
              </w:rPr>
              <w:t>17,0 %</w:t>
            </w:r>
          </w:p>
        </w:tc>
      </w:tr>
    </w:tbl>
    <w:p>
      <w:pPr>
        <w:pStyle w:val="ManualHeading1"/>
        <w:rPr>
          <w:noProof/>
        </w:rPr>
      </w:pPr>
      <w:bookmarkStart w:id="202" w:name="_Toc417461977"/>
      <w:bookmarkStart w:id="203" w:name="_Toc417998611"/>
      <w:bookmarkStart w:id="204" w:name="_Toc418157638"/>
      <w:bookmarkStart w:id="205" w:name="_Toc424303768"/>
      <w:r>
        <w:rPr>
          <w:noProof/>
        </w:rPr>
        <w:t>5.</w:t>
      </w:r>
      <w:r>
        <w:rPr>
          <w:noProof/>
        </w:rPr>
        <w:tab/>
        <w:t xml:space="preserve"> </w:t>
      </w:r>
      <w:bookmarkStart w:id="206" w:name="_Toc342470163"/>
      <w:bookmarkStart w:id="207" w:name="_Toc309831369"/>
      <w:bookmarkStart w:id="208" w:name="_Toc329261069"/>
      <w:bookmarkStart w:id="209" w:name="_Toc329855631"/>
      <w:bookmarkStart w:id="210" w:name="_Toc330551236"/>
      <w:bookmarkStart w:id="211" w:name="_Toc342470164"/>
      <w:bookmarkStart w:id="212" w:name="_Toc345073709"/>
      <w:bookmarkStart w:id="213" w:name="_Toc365986226"/>
      <w:bookmarkStart w:id="214" w:name="_Toc367869479"/>
      <w:bookmarkStart w:id="215" w:name="_Toc367870006"/>
      <w:bookmarkStart w:id="216" w:name="_Toc388973024"/>
      <w:bookmarkStart w:id="217" w:name="_Toc389474757"/>
      <w:bookmarkStart w:id="218" w:name="_Toc390944400"/>
      <w:bookmarkStart w:id="219" w:name="_Toc393969971"/>
      <w:bookmarkEnd w:id="206"/>
      <w:r>
        <w:rPr>
          <w:noProof/>
        </w:rPr>
        <w:t>Activation des garanties</w:t>
      </w:r>
      <w:bookmarkEnd w:id="207"/>
      <w:bookmarkEnd w:id="208"/>
      <w:bookmarkEnd w:id="209"/>
      <w:bookmarkEnd w:id="210"/>
      <w:bookmarkEnd w:id="211"/>
      <w:bookmarkEnd w:id="212"/>
      <w:bookmarkEnd w:id="213"/>
      <w:bookmarkEnd w:id="214"/>
      <w:bookmarkEnd w:id="215"/>
      <w:bookmarkEnd w:id="216"/>
      <w:bookmarkEnd w:id="217"/>
      <w:r>
        <w:rPr>
          <w:noProof/>
        </w:rPr>
        <w:t xml:space="preserve"> et évolution du Fonds</w:t>
      </w:r>
      <w:bookmarkEnd w:id="202"/>
      <w:bookmarkEnd w:id="203"/>
      <w:bookmarkEnd w:id="204"/>
      <w:bookmarkEnd w:id="218"/>
      <w:bookmarkEnd w:id="219"/>
      <w:bookmarkEnd w:id="205"/>
    </w:p>
    <w:p>
      <w:pPr>
        <w:pStyle w:val="ManualHeading2"/>
        <w:rPr>
          <w:noProof/>
        </w:rPr>
      </w:pPr>
      <w:bookmarkStart w:id="220" w:name="_Toc390944401"/>
      <w:bookmarkStart w:id="221" w:name="_Toc393969972"/>
      <w:bookmarkStart w:id="222" w:name="_Toc417461978"/>
      <w:bookmarkStart w:id="223" w:name="_Toc417998612"/>
      <w:bookmarkStart w:id="224" w:name="_Toc418157639"/>
      <w:bookmarkStart w:id="225" w:name="_Toc424303769"/>
      <w:bookmarkStart w:id="226" w:name="_Toc309831370"/>
      <w:bookmarkStart w:id="227" w:name="_Toc329261070"/>
      <w:bookmarkStart w:id="228" w:name="_Toc329855632"/>
      <w:bookmarkStart w:id="229" w:name="_Toc330551237"/>
      <w:bookmarkStart w:id="230" w:name="_Toc342470165"/>
      <w:bookmarkStart w:id="231" w:name="_Toc345073710"/>
      <w:bookmarkStart w:id="232" w:name="_Toc365986227"/>
      <w:bookmarkStart w:id="233" w:name="_Toc367869480"/>
      <w:bookmarkStart w:id="234" w:name="_Toc367870007"/>
      <w:bookmarkStart w:id="235" w:name="_Toc388973025"/>
      <w:bookmarkStart w:id="236" w:name="_Toc389474758"/>
      <w:r>
        <w:rPr>
          <w:noProof/>
        </w:rPr>
        <w:t>5.1.</w:t>
      </w:r>
      <w:r>
        <w:rPr>
          <w:noProof/>
        </w:rPr>
        <w:tab/>
        <w:t>Activation des garanties</w:t>
      </w:r>
      <w:bookmarkEnd w:id="220"/>
      <w:bookmarkEnd w:id="221"/>
      <w:bookmarkEnd w:id="222"/>
      <w:bookmarkEnd w:id="223"/>
      <w:bookmarkEnd w:id="224"/>
      <w:bookmarkEnd w:id="225"/>
    </w:p>
    <w:p>
      <w:pPr>
        <w:pStyle w:val="ManualHeading3"/>
        <w:rPr>
          <w:noProof/>
        </w:rPr>
      </w:pPr>
      <w:bookmarkStart w:id="237" w:name="_Toc390944402"/>
      <w:bookmarkStart w:id="238" w:name="_Toc393969973"/>
      <w:bookmarkStart w:id="239" w:name="_Toc417461979"/>
      <w:bookmarkStart w:id="240" w:name="_Toc417998613"/>
      <w:bookmarkStart w:id="241" w:name="_Toc418157640"/>
      <w:bookmarkStart w:id="242" w:name="_Toc424303770"/>
      <w:r>
        <w:rPr>
          <w:noProof/>
        </w:rPr>
        <w:t>5.1.1.</w:t>
      </w:r>
      <w:r>
        <w:rPr>
          <w:noProof/>
        </w:rPr>
        <w:tab/>
        <w:t>Intervention de la trésorerie</w:t>
      </w:r>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p>
    <w:p>
      <w:pPr>
        <w:rPr>
          <w:noProof/>
        </w:rPr>
      </w:pPr>
      <w:r>
        <w:rPr>
          <w:noProof/>
        </w:rPr>
        <w:t>Lorsqu’un débiteur est en retard de paiement vis-à-vis de l'UE, la Commission puise dans sa trésorerie pour éviter les retards et les coûts y afférents dans le service des emprunts</w:t>
      </w:r>
      <w:r>
        <w:rPr>
          <w:rStyle w:val="Funotenzeichen"/>
          <w:noProof/>
        </w:rPr>
        <w:footnoteReference w:id="28"/>
      </w:r>
      <w:r>
        <w:rPr>
          <w:noProof/>
        </w:rPr>
        <w:t>. Ce cas ne s'est pas produit en 2014.</w:t>
      </w:r>
    </w:p>
    <w:p>
      <w:pPr>
        <w:pStyle w:val="ManualHeading3"/>
        <w:rPr>
          <w:noProof/>
        </w:rPr>
      </w:pPr>
      <w:bookmarkStart w:id="243" w:name="_Toc309831371"/>
      <w:bookmarkStart w:id="244" w:name="_Toc329261071"/>
      <w:bookmarkStart w:id="245" w:name="_Toc329855633"/>
      <w:bookmarkStart w:id="246" w:name="_Toc330551238"/>
      <w:bookmarkStart w:id="247" w:name="_Toc342470166"/>
      <w:bookmarkStart w:id="248" w:name="_Toc345073711"/>
      <w:bookmarkStart w:id="249" w:name="_Toc365986228"/>
      <w:bookmarkStart w:id="250" w:name="_Toc367869481"/>
      <w:bookmarkStart w:id="251" w:name="_Toc367870008"/>
      <w:bookmarkStart w:id="252" w:name="_Toc388973026"/>
      <w:bookmarkStart w:id="253" w:name="_Toc389474759"/>
      <w:bookmarkStart w:id="254" w:name="_Toc390944403"/>
      <w:bookmarkStart w:id="255" w:name="_Toc393969974"/>
      <w:bookmarkStart w:id="256" w:name="_Toc417461980"/>
      <w:bookmarkStart w:id="257" w:name="_Toc417998614"/>
      <w:bookmarkStart w:id="258" w:name="_Toc418157641"/>
      <w:bookmarkStart w:id="259" w:name="_Toc424303771"/>
      <w:r>
        <w:rPr>
          <w:noProof/>
        </w:rPr>
        <w:t>5.1.2.</w:t>
      </w:r>
      <w:r>
        <w:rPr>
          <w:noProof/>
        </w:rPr>
        <w:tab/>
        <w:t xml:space="preserve">Paiements au titre du </w:t>
      </w:r>
      <w:bookmarkEnd w:id="243"/>
      <w:bookmarkEnd w:id="244"/>
      <w:bookmarkEnd w:id="245"/>
      <w:bookmarkEnd w:id="246"/>
      <w:bookmarkEnd w:id="247"/>
      <w:bookmarkEnd w:id="248"/>
      <w:bookmarkEnd w:id="249"/>
      <w:bookmarkEnd w:id="250"/>
      <w:bookmarkEnd w:id="251"/>
      <w:bookmarkEnd w:id="252"/>
      <w:bookmarkEnd w:id="253"/>
      <w:r>
        <w:rPr>
          <w:noProof/>
        </w:rPr>
        <w:t>budget de l'UE</w:t>
      </w:r>
      <w:bookmarkEnd w:id="254"/>
      <w:bookmarkEnd w:id="255"/>
      <w:bookmarkEnd w:id="256"/>
      <w:bookmarkEnd w:id="257"/>
      <w:bookmarkEnd w:id="258"/>
      <w:bookmarkEnd w:id="259"/>
      <w:r>
        <w:rPr>
          <w:noProof/>
        </w:rPr>
        <w:t xml:space="preserve"> </w:t>
      </w:r>
    </w:p>
    <w:p>
      <w:pPr>
        <w:rPr>
          <w:noProof/>
        </w:rPr>
      </w:pPr>
      <w:r>
        <w:rPr>
          <w:noProof/>
        </w:rPr>
        <w:t xml:space="preserve">En cas de défaut, le budget de l’UE serait appelé à couvrir la somme manquante. Étant donné qu’aucun État membre n'a fait défaut en 2014, aucun crédit n’a été demandé.  </w:t>
      </w:r>
      <w:bookmarkStart w:id="260" w:name="_CopyToNewDocument_"/>
      <w:bookmarkEnd w:id="260"/>
    </w:p>
    <w:p>
      <w:pPr>
        <w:pStyle w:val="ManualHeading3"/>
        <w:rPr>
          <w:noProof/>
        </w:rPr>
      </w:pPr>
      <w:bookmarkStart w:id="261" w:name="_Toc309831372"/>
      <w:bookmarkStart w:id="262" w:name="_Toc329261072"/>
      <w:bookmarkStart w:id="263" w:name="_Toc329855634"/>
      <w:bookmarkStart w:id="264" w:name="_Toc330551239"/>
      <w:bookmarkStart w:id="265" w:name="_Toc342470167"/>
      <w:bookmarkStart w:id="266" w:name="_Toc345073712"/>
      <w:bookmarkStart w:id="267" w:name="_Toc365986229"/>
      <w:bookmarkStart w:id="268" w:name="_Toc367869482"/>
      <w:bookmarkStart w:id="269" w:name="_Toc367870009"/>
      <w:bookmarkStart w:id="270" w:name="_Toc388973027"/>
      <w:bookmarkStart w:id="271" w:name="_Toc389474760"/>
      <w:bookmarkStart w:id="272" w:name="_Toc390944404"/>
      <w:bookmarkStart w:id="273" w:name="_Toc393969975"/>
      <w:bookmarkStart w:id="274" w:name="_Toc417461981"/>
      <w:bookmarkStart w:id="275" w:name="_Toc417998615"/>
      <w:bookmarkStart w:id="276" w:name="_Toc418157642"/>
      <w:bookmarkStart w:id="277" w:name="_Toc424303772"/>
      <w:r>
        <w:rPr>
          <w:noProof/>
        </w:rPr>
        <w:t>5.1.3.</w:t>
      </w:r>
      <w:r>
        <w:rPr>
          <w:noProof/>
        </w:rPr>
        <w:tab/>
        <w:t xml:space="preserve">Appels au Fonds </w:t>
      </w:r>
      <w:bookmarkEnd w:id="261"/>
      <w:bookmarkEnd w:id="262"/>
      <w:bookmarkEnd w:id="263"/>
      <w:bookmarkEnd w:id="264"/>
      <w:bookmarkEnd w:id="265"/>
      <w:bookmarkEnd w:id="266"/>
      <w:bookmarkEnd w:id="267"/>
      <w:bookmarkEnd w:id="268"/>
      <w:bookmarkEnd w:id="269"/>
      <w:bookmarkEnd w:id="270"/>
      <w:bookmarkEnd w:id="271"/>
      <w:r>
        <w:rPr>
          <w:noProof/>
        </w:rPr>
        <w:t>et recouvrements</w:t>
      </w:r>
      <w:bookmarkEnd w:id="272"/>
      <w:bookmarkEnd w:id="273"/>
      <w:bookmarkEnd w:id="274"/>
      <w:bookmarkEnd w:id="275"/>
      <w:bookmarkEnd w:id="276"/>
      <w:bookmarkEnd w:id="277"/>
    </w:p>
    <w:p>
      <w:pPr>
        <w:rPr>
          <w:noProof/>
        </w:rPr>
      </w:pPr>
      <w:r>
        <w:rPr>
          <w:noProof/>
        </w:rPr>
        <w:t>En cas de retard de paiement du bénéficiaire d’un prêt à un pays tiers accordé ou garanti par l'UE, le Fonds est appelé à couvrir cette défaillance dans les trois mois suivant la demande</w:t>
      </w:r>
      <w:r>
        <w:rPr>
          <w:rStyle w:val="FootnoteReference"/>
          <w:noProof/>
        </w:rPr>
        <w:footnoteReference w:id="29"/>
      </w:r>
      <w:r>
        <w:rPr>
          <w:noProof/>
        </w:rPr>
        <w:t>.</w:t>
      </w:r>
    </w:p>
    <w:p>
      <w:pPr>
        <w:spacing w:after="240"/>
        <w:rPr>
          <w:noProof/>
        </w:rPr>
      </w:pPr>
      <w:r>
        <w:rPr>
          <w:noProof/>
        </w:rPr>
        <w:t>Depuis le mois de décembre 2011, la BEI est confrontée à des défauts de l'État syrien sur certains paiements d’intérêts et remboursements de prêts. Les demandes de paiement officielles étant restées infructueuses, la BEI a commencé à faire appel au Fonds en mai 2012. L’évolution des appels au Fonds correspondant aux défauts sur les prêts à la Syrie est présentée dans le tableau 4.</w:t>
      </w:r>
    </w:p>
    <w:p>
      <w:pPr>
        <w:spacing w:after="240"/>
        <w:rPr>
          <w:noProof/>
        </w:rPr>
      </w:pPr>
      <w:r>
        <w:rPr>
          <w:noProof/>
        </w:rPr>
        <w:t xml:space="preserve">Les montants appelés par la BEI sont prélevés sur le compte du Fonds de garantie après autorisation des services de la Commission. Lorsque l'UE effectue un paiement au titre de la garantie UE, elle est subrogée dans les droits et les recours de la BEI. </w:t>
      </w:r>
    </w:p>
    <w:p>
      <w:pPr>
        <w:spacing w:after="240"/>
        <w:rPr>
          <w:noProof/>
        </w:rPr>
      </w:pPr>
      <w:r>
        <w:rPr>
          <w:noProof/>
        </w:rPr>
        <w:t>Les procédures de recouvrement des sommes subrogées sont menées par la BEI au nom de l’UE.</w:t>
      </w:r>
    </w:p>
    <w:p>
      <w:pPr>
        <w:spacing w:after="240"/>
        <w:rPr>
          <w:noProof/>
        </w:rPr>
      </w:pPr>
      <w:r>
        <w:rPr>
          <w:noProof/>
        </w:rPr>
        <w:br w:type="page"/>
        <w:t>Tableau 4: Appels au Fonds de garantie pour les prêts en défaut de paiement en Syrie (en millions d'EUR)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6"/>
        <w:gridCol w:w="1430"/>
        <w:gridCol w:w="1310"/>
        <w:gridCol w:w="1431"/>
        <w:gridCol w:w="1366"/>
        <w:gridCol w:w="1296"/>
      </w:tblGrid>
      <w:tr>
        <w:trPr>
          <w:trHeight w:val="1231"/>
        </w:trPr>
        <w:tc>
          <w:tcPr>
            <w:tcW w:w="1416" w:type="dxa"/>
            <w:shd w:val="clear" w:color="auto" w:fill="auto"/>
          </w:tcPr>
          <w:p>
            <w:pPr>
              <w:spacing w:after="240"/>
              <w:jc w:val="center"/>
              <w:rPr>
                <w:noProof/>
              </w:rPr>
            </w:pPr>
            <w:r>
              <w:rPr>
                <w:noProof/>
              </w:rPr>
              <w:t>Année</w:t>
            </w:r>
          </w:p>
        </w:tc>
        <w:tc>
          <w:tcPr>
            <w:tcW w:w="1430" w:type="dxa"/>
            <w:shd w:val="clear" w:color="auto" w:fill="auto"/>
          </w:tcPr>
          <w:p>
            <w:pPr>
              <w:spacing w:after="240"/>
              <w:jc w:val="center"/>
              <w:rPr>
                <w:noProof/>
              </w:rPr>
            </w:pPr>
            <w:r>
              <w:rPr>
                <w:noProof/>
              </w:rPr>
              <w:t>Nombre d’appels payés</w:t>
            </w:r>
          </w:p>
        </w:tc>
        <w:tc>
          <w:tcPr>
            <w:tcW w:w="1310" w:type="dxa"/>
            <w:shd w:val="clear" w:color="auto" w:fill="auto"/>
          </w:tcPr>
          <w:p>
            <w:pPr>
              <w:spacing w:after="240"/>
              <w:jc w:val="center"/>
              <w:rPr>
                <w:noProof/>
              </w:rPr>
            </w:pPr>
            <w:r>
              <w:rPr>
                <w:noProof/>
              </w:rPr>
              <w:t>Montant des échéances dues</w:t>
            </w:r>
          </w:p>
        </w:tc>
        <w:tc>
          <w:tcPr>
            <w:tcW w:w="1431" w:type="dxa"/>
            <w:shd w:val="clear" w:color="auto" w:fill="auto"/>
          </w:tcPr>
          <w:p>
            <w:pPr>
              <w:spacing w:after="240"/>
              <w:jc w:val="center"/>
              <w:rPr>
                <w:noProof/>
              </w:rPr>
            </w:pPr>
            <w:r>
              <w:rPr>
                <w:noProof/>
              </w:rPr>
              <w:t>Pénalités et intérêts échus (1)</w:t>
            </w:r>
          </w:p>
        </w:tc>
        <w:tc>
          <w:tcPr>
            <w:tcW w:w="1366" w:type="dxa"/>
            <w:shd w:val="clear" w:color="auto" w:fill="auto"/>
          </w:tcPr>
          <w:p>
            <w:pPr>
              <w:spacing w:after="240"/>
              <w:jc w:val="center"/>
              <w:rPr>
                <w:noProof/>
              </w:rPr>
            </w:pPr>
            <w:r>
              <w:rPr>
                <w:noProof/>
              </w:rPr>
              <w:t>Montant recouvré</w:t>
            </w:r>
          </w:p>
        </w:tc>
        <w:tc>
          <w:tcPr>
            <w:tcW w:w="1296" w:type="dxa"/>
            <w:shd w:val="clear" w:color="auto" w:fill="auto"/>
          </w:tcPr>
          <w:p>
            <w:pPr>
              <w:spacing w:after="240"/>
              <w:jc w:val="center"/>
              <w:rPr>
                <w:noProof/>
              </w:rPr>
            </w:pPr>
            <w:r>
              <w:rPr>
                <w:noProof/>
              </w:rPr>
              <w:t>Total</w:t>
            </w:r>
          </w:p>
        </w:tc>
      </w:tr>
      <w:tr>
        <w:tc>
          <w:tcPr>
            <w:tcW w:w="1416" w:type="dxa"/>
            <w:shd w:val="clear" w:color="auto" w:fill="auto"/>
          </w:tcPr>
          <w:p>
            <w:pPr>
              <w:spacing w:after="240"/>
              <w:jc w:val="center"/>
              <w:rPr>
                <w:noProof/>
              </w:rPr>
            </w:pPr>
            <w:r>
              <w:rPr>
                <w:noProof/>
              </w:rPr>
              <w:t>2012</w:t>
            </w:r>
          </w:p>
        </w:tc>
        <w:tc>
          <w:tcPr>
            <w:tcW w:w="1430" w:type="dxa"/>
            <w:shd w:val="clear" w:color="auto" w:fill="auto"/>
          </w:tcPr>
          <w:p>
            <w:pPr>
              <w:spacing w:after="240"/>
              <w:jc w:val="right"/>
              <w:rPr>
                <w:noProof/>
              </w:rPr>
            </w:pPr>
            <w:r>
              <w:rPr>
                <w:noProof/>
              </w:rPr>
              <w:t>2</w:t>
            </w:r>
          </w:p>
        </w:tc>
        <w:tc>
          <w:tcPr>
            <w:tcW w:w="1310" w:type="dxa"/>
            <w:shd w:val="clear" w:color="auto" w:fill="auto"/>
          </w:tcPr>
          <w:p>
            <w:pPr>
              <w:spacing w:after="240"/>
              <w:jc w:val="right"/>
              <w:rPr>
                <w:noProof/>
              </w:rPr>
            </w:pPr>
            <w:r>
              <w:rPr>
                <w:noProof/>
              </w:rPr>
              <w:t>24,02</w:t>
            </w:r>
          </w:p>
        </w:tc>
        <w:tc>
          <w:tcPr>
            <w:tcW w:w="1431" w:type="dxa"/>
            <w:shd w:val="clear" w:color="auto" w:fill="auto"/>
          </w:tcPr>
          <w:p>
            <w:pPr>
              <w:spacing w:after="240"/>
              <w:jc w:val="right"/>
              <w:rPr>
                <w:noProof/>
              </w:rPr>
            </w:pPr>
            <w:r>
              <w:rPr>
                <w:noProof/>
              </w:rPr>
              <w:t>Sans objet</w:t>
            </w:r>
          </w:p>
        </w:tc>
        <w:tc>
          <w:tcPr>
            <w:tcW w:w="1366" w:type="dxa"/>
            <w:shd w:val="clear" w:color="auto" w:fill="auto"/>
          </w:tcPr>
          <w:p>
            <w:pPr>
              <w:spacing w:after="240"/>
              <w:jc w:val="right"/>
              <w:rPr>
                <w:noProof/>
              </w:rPr>
            </w:pPr>
            <w:r>
              <w:rPr>
                <w:noProof/>
              </w:rPr>
              <w:t>2,15</w:t>
            </w:r>
          </w:p>
        </w:tc>
        <w:tc>
          <w:tcPr>
            <w:tcW w:w="1296" w:type="dxa"/>
            <w:shd w:val="clear" w:color="auto" w:fill="auto"/>
          </w:tcPr>
          <w:p>
            <w:pPr>
              <w:spacing w:after="240"/>
              <w:jc w:val="right"/>
              <w:rPr>
                <w:noProof/>
              </w:rPr>
            </w:pPr>
            <w:r>
              <w:rPr>
                <w:noProof/>
              </w:rPr>
              <w:t>21,87</w:t>
            </w:r>
          </w:p>
        </w:tc>
      </w:tr>
      <w:tr>
        <w:tc>
          <w:tcPr>
            <w:tcW w:w="1416" w:type="dxa"/>
            <w:shd w:val="clear" w:color="auto" w:fill="auto"/>
          </w:tcPr>
          <w:p>
            <w:pPr>
              <w:spacing w:after="240"/>
              <w:jc w:val="center"/>
              <w:rPr>
                <w:noProof/>
              </w:rPr>
            </w:pPr>
            <w:r>
              <w:rPr>
                <w:noProof/>
              </w:rPr>
              <w:t>2013</w:t>
            </w:r>
          </w:p>
        </w:tc>
        <w:tc>
          <w:tcPr>
            <w:tcW w:w="1430" w:type="dxa"/>
            <w:shd w:val="clear" w:color="auto" w:fill="auto"/>
          </w:tcPr>
          <w:p>
            <w:pPr>
              <w:spacing w:after="240"/>
              <w:jc w:val="right"/>
              <w:rPr>
                <w:noProof/>
              </w:rPr>
            </w:pPr>
            <w:r>
              <w:rPr>
                <w:noProof/>
              </w:rPr>
              <w:t>8</w:t>
            </w:r>
          </w:p>
        </w:tc>
        <w:tc>
          <w:tcPr>
            <w:tcW w:w="1310" w:type="dxa"/>
            <w:shd w:val="clear" w:color="auto" w:fill="auto"/>
          </w:tcPr>
          <w:p>
            <w:pPr>
              <w:spacing w:after="240"/>
              <w:jc w:val="right"/>
              <w:rPr>
                <w:noProof/>
              </w:rPr>
            </w:pPr>
            <w:r>
              <w:rPr>
                <w:noProof/>
              </w:rPr>
              <w:t>59,27</w:t>
            </w:r>
          </w:p>
        </w:tc>
        <w:tc>
          <w:tcPr>
            <w:tcW w:w="1431" w:type="dxa"/>
            <w:shd w:val="clear" w:color="auto" w:fill="auto"/>
          </w:tcPr>
          <w:p>
            <w:pPr>
              <w:spacing w:after="240"/>
              <w:jc w:val="right"/>
              <w:rPr>
                <w:noProof/>
              </w:rPr>
            </w:pPr>
            <w:r>
              <w:rPr>
                <w:noProof/>
              </w:rPr>
              <w:t>1,36</w:t>
            </w:r>
          </w:p>
        </w:tc>
        <w:tc>
          <w:tcPr>
            <w:tcW w:w="1366" w:type="dxa"/>
            <w:shd w:val="clear" w:color="auto" w:fill="auto"/>
          </w:tcPr>
          <w:p>
            <w:pPr>
              <w:spacing w:after="240"/>
              <w:jc w:val="right"/>
              <w:rPr>
                <w:noProof/>
              </w:rPr>
            </w:pPr>
            <w:r>
              <w:rPr>
                <w:noProof/>
              </w:rPr>
              <w:t>0</w:t>
            </w:r>
          </w:p>
        </w:tc>
        <w:tc>
          <w:tcPr>
            <w:tcW w:w="1296" w:type="dxa"/>
            <w:shd w:val="clear" w:color="auto" w:fill="auto"/>
          </w:tcPr>
          <w:p>
            <w:pPr>
              <w:spacing w:after="240"/>
              <w:jc w:val="right"/>
              <w:rPr>
                <w:noProof/>
              </w:rPr>
            </w:pPr>
            <w:r>
              <w:rPr>
                <w:noProof/>
              </w:rPr>
              <w:t>60,63</w:t>
            </w:r>
          </w:p>
        </w:tc>
      </w:tr>
      <w:tr>
        <w:tc>
          <w:tcPr>
            <w:tcW w:w="1416" w:type="dxa"/>
            <w:shd w:val="clear" w:color="auto" w:fill="auto"/>
          </w:tcPr>
          <w:p>
            <w:pPr>
              <w:spacing w:after="240"/>
              <w:jc w:val="center"/>
              <w:rPr>
                <w:noProof/>
              </w:rPr>
            </w:pPr>
            <w:r>
              <w:rPr>
                <w:noProof/>
              </w:rPr>
              <w:t>2014</w:t>
            </w:r>
          </w:p>
        </w:tc>
        <w:tc>
          <w:tcPr>
            <w:tcW w:w="1430" w:type="dxa"/>
            <w:shd w:val="clear" w:color="auto" w:fill="auto"/>
          </w:tcPr>
          <w:p>
            <w:pPr>
              <w:spacing w:after="240"/>
              <w:jc w:val="right"/>
              <w:rPr>
                <w:noProof/>
              </w:rPr>
            </w:pPr>
            <w:r>
              <w:rPr>
                <w:noProof/>
              </w:rPr>
              <w:t>8</w:t>
            </w:r>
          </w:p>
        </w:tc>
        <w:tc>
          <w:tcPr>
            <w:tcW w:w="1310" w:type="dxa"/>
            <w:shd w:val="clear" w:color="auto" w:fill="auto"/>
          </w:tcPr>
          <w:p>
            <w:pPr>
              <w:spacing w:after="240"/>
              <w:jc w:val="right"/>
              <w:rPr>
                <w:noProof/>
              </w:rPr>
            </w:pPr>
            <w:r>
              <w:rPr>
                <w:noProof/>
              </w:rPr>
              <w:t>58,68</w:t>
            </w:r>
          </w:p>
        </w:tc>
        <w:tc>
          <w:tcPr>
            <w:tcW w:w="1431" w:type="dxa"/>
            <w:shd w:val="clear" w:color="auto" w:fill="auto"/>
          </w:tcPr>
          <w:p>
            <w:pPr>
              <w:spacing w:after="240"/>
              <w:jc w:val="right"/>
              <w:rPr>
                <w:noProof/>
              </w:rPr>
            </w:pPr>
            <w:r>
              <w:rPr>
                <w:noProof/>
              </w:rPr>
              <w:t>1,54</w:t>
            </w:r>
          </w:p>
        </w:tc>
        <w:tc>
          <w:tcPr>
            <w:tcW w:w="1366" w:type="dxa"/>
            <w:shd w:val="clear" w:color="auto" w:fill="auto"/>
          </w:tcPr>
          <w:p>
            <w:pPr>
              <w:spacing w:after="240"/>
              <w:jc w:val="right"/>
              <w:rPr>
                <w:noProof/>
              </w:rPr>
            </w:pPr>
            <w:r>
              <w:rPr>
                <w:noProof/>
              </w:rPr>
              <w:t>2,15</w:t>
            </w:r>
          </w:p>
        </w:tc>
        <w:tc>
          <w:tcPr>
            <w:tcW w:w="1296" w:type="dxa"/>
            <w:shd w:val="clear" w:color="auto" w:fill="auto"/>
          </w:tcPr>
          <w:p>
            <w:pPr>
              <w:spacing w:after="240"/>
              <w:jc w:val="right"/>
              <w:rPr>
                <w:noProof/>
              </w:rPr>
            </w:pPr>
            <w:r>
              <w:rPr>
                <w:noProof/>
              </w:rPr>
              <w:t>60,22</w:t>
            </w:r>
          </w:p>
        </w:tc>
      </w:tr>
      <w:tr>
        <w:tc>
          <w:tcPr>
            <w:tcW w:w="1416" w:type="dxa"/>
            <w:shd w:val="clear" w:color="auto" w:fill="auto"/>
          </w:tcPr>
          <w:p>
            <w:pPr>
              <w:spacing w:after="240"/>
              <w:jc w:val="center"/>
              <w:rPr>
                <w:noProof/>
              </w:rPr>
            </w:pPr>
            <w:r>
              <w:rPr>
                <w:noProof/>
              </w:rPr>
              <w:t>Total</w:t>
            </w:r>
          </w:p>
        </w:tc>
        <w:tc>
          <w:tcPr>
            <w:tcW w:w="1430" w:type="dxa"/>
            <w:shd w:val="clear" w:color="auto" w:fill="auto"/>
          </w:tcPr>
          <w:p>
            <w:pPr>
              <w:spacing w:after="240"/>
              <w:jc w:val="right"/>
              <w:rPr>
                <w:noProof/>
              </w:rPr>
            </w:pPr>
            <w:r>
              <w:rPr>
                <w:noProof/>
              </w:rPr>
              <w:t>18</w:t>
            </w:r>
          </w:p>
        </w:tc>
        <w:tc>
          <w:tcPr>
            <w:tcW w:w="1310" w:type="dxa"/>
            <w:shd w:val="clear" w:color="auto" w:fill="auto"/>
          </w:tcPr>
          <w:p>
            <w:pPr>
              <w:spacing w:after="240"/>
              <w:jc w:val="right"/>
              <w:rPr>
                <w:noProof/>
              </w:rPr>
            </w:pPr>
            <w:r>
              <w:rPr>
                <w:noProof/>
              </w:rPr>
              <w:t>141,97</w:t>
            </w:r>
          </w:p>
        </w:tc>
        <w:tc>
          <w:tcPr>
            <w:tcW w:w="1431" w:type="dxa"/>
            <w:shd w:val="clear" w:color="auto" w:fill="auto"/>
          </w:tcPr>
          <w:p>
            <w:pPr>
              <w:spacing w:after="240"/>
              <w:jc w:val="right"/>
              <w:rPr>
                <w:noProof/>
              </w:rPr>
            </w:pPr>
            <w:r>
              <w:rPr>
                <w:noProof/>
              </w:rPr>
              <w:t>2,90</w:t>
            </w:r>
          </w:p>
        </w:tc>
        <w:tc>
          <w:tcPr>
            <w:tcW w:w="1366" w:type="dxa"/>
            <w:shd w:val="clear" w:color="auto" w:fill="auto"/>
          </w:tcPr>
          <w:p>
            <w:pPr>
              <w:spacing w:after="240"/>
              <w:jc w:val="right"/>
              <w:rPr>
                <w:noProof/>
              </w:rPr>
            </w:pPr>
            <w:r>
              <w:rPr>
                <w:noProof/>
              </w:rPr>
              <w:t>2,15</w:t>
            </w:r>
          </w:p>
        </w:tc>
        <w:tc>
          <w:tcPr>
            <w:tcW w:w="1296" w:type="dxa"/>
            <w:shd w:val="clear" w:color="auto" w:fill="auto"/>
          </w:tcPr>
          <w:p>
            <w:pPr>
              <w:spacing w:after="240"/>
              <w:jc w:val="right"/>
              <w:rPr>
                <w:noProof/>
              </w:rPr>
            </w:pPr>
            <w:r>
              <w:rPr>
                <w:noProof/>
              </w:rPr>
              <w:t>142,72</w:t>
            </w:r>
          </w:p>
        </w:tc>
      </w:tr>
    </w:tbl>
    <w:p>
      <w:pPr>
        <w:spacing w:after="240"/>
        <w:rPr>
          <w:noProof/>
          <w:sz w:val="20"/>
          <w:szCs w:val="20"/>
        </w:rPr>
      </w:pPr>
      <w:r>
        <w:rPr>
          <w:noProof/>
          <w:sz w:val="20"/>
        </w:rPr>
        <w:t xml:space="preserve">(1) Les pénalités et les intérêts échus ne sont réclamés par la BEI qu'à la deuxième demande de paiement de chaque prêt et courent de la date du défaut de paiement à la date de paiement par le Fonds de garantie. </w:t>
      </w:r>
    </w:p>
    <w:p>
      <w:pPr>
        <w:spacing w:after="240"/>
        <w:rPr>
          <w:noProof/>
        </w:rPr>
      </w:pPr>
      <w:r>
        <w:rPr>
          <w:noProof/>
        </w:rPr>
        <w:t>Au 31 décembre 2014, l’encours total en principal des prêts garantis en faveur de la Syrie s’élevait à 554 millions d'EUR</w:t>
      </w:r>
      <w:r>
        <w:rPr>
          <w:rStyle w:val="FootnoteReference"/>
          <w:noProof/>
        </w:rPr>
        <w:footnoteReference w:id="30"/>
      </w:r>
      <w:r>
        <w:rPr>
          <w:noProof/>
        </w:rPr>
        <w:t>, la date d'échéance la plus éloignée étant 2030.</w:t>
      </w:r>
    </w:p>
    <w:p>
      <w:pPr>
        <w:spacing w:after="240"/>
        <w:rPr>
          <w:noProof/>
          <w:u w:val="single"/>
        </w:rPr>
      </w:pPr>
      <w:r>
        <w:rPr>
          <w:noProof/>
          <w:u w:val="single"/>
        </w:rPr>
        <w:t>Évolution de la situation après le 31 décembre 2014</w:t>
      </w:r>
    </w:p>
    <w:p>
      <w:pPr>
        <w:rPr>
          <w:noProof/>
        </w:rPr>
      </w:pPr>
      <w:r>
        <w:rPr>
          <w:noProof/>
        </w:rPr>
        <w:t>Deux autres appels, représentant 12,15 millions d'EUR au total, ont été reçus pendant les quatre premiers mois de l'année 2015.</w:t>
      </w:r>
    </w:p>
    <w:p>
      <w:pPr>
        <w:pStyle w:val="ManualHeading2"/>
        <w:rPr>
          <w:noProof/>
        </w:rPr>
      </w:pPr>
      <w:bookmarkStart w:id="278" w:name="_Toc390944405"/>
      <w:bookmarkStart w:id="279" w:name="_Toc393969976"/>
      <w:bookmarkStart w:id="280" w:name="_Toc417461982"/>
      <w:bookmarkStart w:id="281" w:name="_Toc417998616"/>
      <w:bookmarkStart w:id="282" w:name="_Toc418157643"/>
      <w:bookmarkStart w:id="283" w:name="_Toc424303773"/>
      <w:r>
        <w:rPr>
          <w:noProof/>
        </w:rPr>
        <w:t>5.2.</w:t>
      </w:r>
      <w:r>
        <w:rPr>
          <w:noProof/>
        </w:rPr>
        <w:tab/>
        <w:t>Évolution du Fonds</w:t>
      </w:r>
      <w:bookmarkEnd w:id="278"/>
      <w:bookmarkEnd w:id="279"/>
      <w:bookmarkEnd w:id="280"/>
      <w:bookmarkEnd w:id="281"/>
      <w:bookmarkEnd w:id="282"/>
      <w:bookmarkEnd w:id="283"/>
    </w:p>
    <w:p>
      <w:pPr>
        <w:rPr>
          <w:noProof/>
        </w:rPr>
      </w:pPr>
      <w:r>
        <w:rPr>
          <w:noProof/>
        </w:rPr>
        <w:t>Conformément au règlement qui l'a institué, le Fonds de garantie doit atteindre un niveau approprié (montant objectif) fixé à 9 % de l'encours en principal de l'ensemble des engagements découlant de chaque opération, majoré des intérêts échus. Un mécanisme de provisionnement est en place pour garantir que le montant objectif est atteint.</w:t>
      </w:r>
    </w:p>
    <w:p>
      <w:pPr>
        <w:rPr>
          <w:noProof/>
        </w:rPr>
      </w:pPr>
      <w:r>
        <w:rPr>
          <w:noProof/>
        </w:rPr>
        <w:t>Sur la base de ce mécanisme de provisionnement, le budget de l’UE a versé 58,43 millions d’EUR au Fonds en février 2014, tandis qu’en février 2015, le versement correspondant était de 144,40 millions d’EUR.</w:t>
      </w:r>
    </w:p>
    <w:p>
      <w:pPr>
        <w:rPr>
          <w:noProof/>
        </w:rPr>
      </w:pPr>
      <w:r>
        <w:rPr>
          <w:noProof/>
        </w:rPr>
        <w:t>Au 31 décembre 2014, les avoirs nets</w:t>
      </w:r>
      <w:r>
        <w:rPr>
          <w:rStyle w:val="Funotenzeichen"/>
          <w:noProof/>
        </w:rPr>
        <w:footnoteReference w:id="31"/>
      </w:r>
      <w:r>
        <w:rPr>
          <w:noProof/>
        </w:rPr>
        <w:t xml:space="preserve"> du Fonds se montaient à 2 114,67 millions d'EUR.</w:t>
      </w:r>
      <w:r>
        <w:rPr>
          <w:noProof/>
          <w:color w:val="000000"/>
        </w:rPr>
        <w:t xml:space="preserve"> </w:t>
      </w:r>
      <w:r>
        <w:rPr>
          <w:noProof/>
        </w:rPr>
        <w:t>Le ratio entre ces avoirs nets et l’encours en principal</w:t>
      </w:r>
      <w:r>
        <w:rPr>
          <w:rStyle w:val="Funotenzeichen"/>
          <w:noProof/>
        </w:rPr>
        <w:footnoteReference w:id="32"/>
      </w:r>
      <w:r>
        <w:rPr>
          <w:noProof/>
        </w:rPr>
        <w:t xml:space="preserve"> (26 353,17 millions d'EUR), au sens du règlement instituant le Fonds de garantie, était inférieur au montant objectif. Un provisionnement de 257,12 millions d'EUR a donc été inscrit au projet de budget de l'UE pour 2016.</w:t>
      </w:r>
    </w:p>
    <w:p>
      <w:pPr>
        <w:rPr>
          <w:noProof/>
        </w:rPr>
      </w:pPr>
      <w:r>
        <w:rPr>
          <w:noProof/>
        </w:rPr>
        <w:t>Au 31 décembre 2014, le Fonds avait 142,72 millions d'EUR d'arriérés à recouvrer.</w:t>
      </w:r>
    </w:p>
    <w:sectPr>
      <w:headerReference w:type="even" r:id="rId22"/>
      <w:headerReference w:type="default" r:id="rId23"/>
      <w:footerReference w:type="even" r:id="rId24"/>
      <w:footerReference w:type="default" r:id="rId25"/>
      <w:headerReference w:type="first" r:id="rId26"/>
      <w:footerReference w:type="first" r:id="rId2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rPr>
        <w:noProof/>
      </w:rPr>
      <w:fldChar w:fldCharType="end"/>
    </w:r>
  </w:p>
  <w:p>
    <w:pPr>
      <w:tabs>
        <w:tab w:val="left" w:pos="5070"/>
      </w:tabs>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rPr>
        <w:noProof/>
      </w:rPr>
    </w:pPr>
    <w:r>
      <w:fldChar w:fldCharType="begin"/>
    </w:r>
    <w:r>
      <w:instrText xml:space="preserve"> PAGE   \* MERGEFORMAT </w:instrText>
    </w:r>
    <w:r>
      <w:fldChar w:fldCharType="separate"/>
    </w:r>
    <w:r>
      <w:rPr>
        <w:noProof/>
      </w:rPr>
      <w:t>13</w:t>
    </w:r>
    <w:r>
      <w:rPr>
        <w:noProof/>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Règlement (UE, Euratom) nº 966/2012 du Parlement européen et du Conseil du 25 octobre 2012 relatif aux règles financières applicables au budget général de l’Union et abrogeant le règlement (CE, Euratom) nº 1605/2002 du Conseil (JO L 298 du 26.10.2012, p. 1).</w:t>
      </w:r>
    </w:p>
  </w:footnote>
  <w:footnote w:id="2">
    <w:p>
      <w:pPr>
        <w:pStyle w:val="FootnoteText"/>
      </w:pPr>
      <w:r>
        <w:rPr>
          <w:rStyle w:val="FootnoteReference"/>
        </w:rPr>
        <w:footnoteRef/>
      </w:r>
      <w:r>
        <w:tab/>
        <w:t>Les documents COM(2014) 540 final et SWD(2014) 269 constituent le précédent rapport sur les garanties couvertes par le budget au 31 décembre 2013.</w:t>
      </w:r>
    </w:p>
  </w:footnote>
  <w:footnote w:id="3">
    <w:p>
      <w:pPr>
        <w:pStyle w:val="FootnoteText"/>
      </w:pPr>
      <w:r>
        <w:rPr>
          <w:rStyle w:val="FootnoteReference"/>
        </w:rPr>
        <w:footnoteRef/>
      </w:r>
      <w:r>
        <w:tab/>
        <w:t>Règlement (CE, Euratom) nº 480/2009 du Conseil du 25 mai 2009 instituant un Fonds de garantie relatif aux actions extérieures (version codifiée), ci-après le «règlement instituant le Fonds de garantie» (JO L 145 du 10.6.2009, p. 10).</w:t>
      </w:r>
    </w:p>
  </w:footnote>
  <w:footnote w:id="4">
    <w:p>
      <w:pPr>
        <w:pStyle w:val="FootnoteText"/>
      </w:pPr>
      <w:r>
        <w:rPr>
          <w:rStyle w:val="FootnoteReference"/>
        </w:rPr>
        <w:footnoteRef/>
      </w:r>
      <w:r>
        <w:tab/>
        <w:t xml:space="preserve">L’AMF peut aussi prendre la forme d’un don à un pays tiers. </w:t>
      </w:r>
    </w:p>
  </w:footnote>
  <w:footnote w:id="5">
    <w:p>
      <w:pPr>
        <w:pStyle w:val="FootnoteText"/>
      </w:pPr>
      <w:r>
        <w:rPr>
          <w:rStyle w:val="FootnoteReference"/>
        </w:rPr>
        <w:footnoteRef/>
      </w:r>
      <w:r>
        <w:tab/>
        <w:t>Règlement (CE) nº 332/2002 du Conseil du 18 février 2002 établissant un mécanisme de soutien financier à moyen terme des balances des paiements des États membres (JO L 53 du 23.2.2002, p. 1).</w:t>
      </w:r>
    </w:p>
  </w:footnote>
  <w:footnote w:id="6">
    <w:p>
      <w:pPr>
        <w:pStyle w:val="FootnoteText"/>
      </w:pPr>
      <w:r>
        <w:rPr>
          <w:rStyle w:val="FootnoteReference"/>
        </w:rPr>
        <w:footnoteRef/>
      </w:r>
      <w:r>
        <w:tab/>
        <w:t xml:space="preserve">Règlement (UE) nº 407/2010 du Conseil du 11 mai 2010 établissant un mécanisme européen de stabilisation financière (JO L 118 du 12.5.2010, p. 1). </w:t>
      </w:r>
    </w:p>
  </w:footnote>
  <w:footnote w:id="7">
    <w:p>
      <w:pPr>
        <w:pStyle w:val="FootnoteText"/>
      </w:pPr>
      <w:r>
        <w:rPr>
          <w:rStyle w:val="FootnoteReference"/>
        </w:rPr>
        <w:footnoteRef/>
      </w:r>
      <w:r>
        <w:tab/>
      </w:r>
      <w:r>
        <w:rPr>
          <w:color w:val="000000"/>
        </w:rPr>
        <w:t>Les bases juridiques figurent à l'annexe du tableau A3 du document de travail.</w:t>
      </w:r>
    </w:p>
  </w:footnote>
  <w:footnote w:id="8">
    <w:p>
      <w:pPr>
        <w:pStyle w:val="FootnoteText"/>
      </w:pPr>
      <w:r>
        <w:rPr>
          <w:rStyle w:val="FootnoteReference"/>
        </w:rPr>
        <w:footnoteRef/>
      </w:r>
      <w:r>
        <w:tab/>
        <w:t xml:space="preserve">Bien que les risques extérieurs soient couverts in fine par le budget de l'UE, le Fonds fait office d’instrument de protection du budget de l'UE contre le risque de défaut de paiement. Pour consulter le tout dernier rapport annuel sur le Fonds et sa gestion, voir le document COM(2014) 463 final et le document de travail des services de la Commission SWD(2014) 241 qui l’accompagne. Le rapport concernant l'année 2014 devrait être consultable en juillet 2015 au plus tard à l’adresse suivante: </w:t>
      </w:r>
      <w:hyperlink r:id="rId1">
        <w:r>
          <w:rPr>
            <w:rStyle w:val="Hyperlink"/>
            <w:noProof/>
            <w:color w:val="auto"/>
          </w:rPr>
          <w:t>http://eur-lex.europa.eu/homepage.html</w:t>
        </w:r>
      </w:hyperlink>
      <w:r>
        <w:t>.</w:t>
      </w:r>
    </w:p>
  </w:footnote>
  <w:footnote w:id="9">
    <w:p>
      <w:pPr>
        <w:pStyle w:val="FootnoteText"/>
      </w:pPr>
      <w:r>
        <w:rPr>
          <w:rStyle w:val="FootnoteReference"/>
        </w:rPr>
        <w:footnoteRef/>
      </w:r>
      <w:r>
        <w:tab/>
        <w:t>Voir le rapport d’ensemble COM(2014) 214 final sur le fonctionnement du Fonds et le taux objectif de provisionnement, et le document de travail SWD(2014) 129 qui l’accompagne.</w:t>
      </w:r>
    </w:p>
  </w:footnote>
  <w:footnote w:id="10">
    <w:p>
      <w:pPr>
        <w:pStyle w:val="FootnoteText"/>
        <w:jc w:val="left"/>
      </w:pPr>
      <w:r>
        <w:rPr>
          <w:rStyle w:val="FootnoteReference"/>
        </w:rPr>
        <w:footnoteRef/>
      </w:r>
      <w:r>
        <w:tab/>
        <w:t>À propos de ce mécanisme:  http://ec.europa.eu/economy_finance/assistance_eu_ms/greek_loan_facility/index_en.htm</w:t>
      </w:r>
    </w:p>
  </w:footnote>
  <w:footnote w:id="11">
    <w:p>
      <w:pPr>
        <w:pStyle w:val="FootnoteText"/>
        <w:rPr>
          <w:color w:val="000000"/>
        </w:rPr>
      </w:pPr>
      <w:r>
        <w:rPr>
          <w:rStyle w:val="FootnoteReference"/>
        </w:rPr>
        <w:footnoteRef/>
      </w:r>
      <w:r>
        <w:tab/>
      </w:r>
      <w:hyperlink r:id="rId2">
        <w:r>
          <w:rPr>
            <w:rStyle w:val="Hyperlink"/>
            <w:color w:val="auto"/>
            <w:u w:val="none"/>
          </w:rPr>
          <w:t>À propos du FESF</w:t>
        </w:r>
      </w:hyperlink>
      <w:r>
        <w:t>:</w:t>
      </w:r>
      <w:r>
        <w:rPr>
          <w:color w:val="000000"/>
        </w:rPr>
        <w:t xml:space="preserve"> http://www.efsf.europa.eu.</w:t>
      </w:r>
    </w:p>
  </w:footnote>
  <w:footnote w:id="12">
    <w:p>
      <w:pPr>
        <w:pStyle w:val="FootnoteText"/>
      </w:pPr>
      <w:r>
        <w:rPr>
          <w:rStyle w:val="FootnoteReference"/>
        </w:rPr>
        <w:footnoteRef/>
      </w:r>
      <w:r>
        <w:tab/>
        <w:t>Les prêts octroyés au titre du MESF/UE sont garantis par le budget de l'UE.</w:t>
      </w:r>
    </w:p>
  </w:footnote>
  <w:footnote w:id="13">
    <w:p>
      <w:pPr>
        <w:pStyle w:val="FootnoteText"/>
      </w:pPr>
      <w:r>
        <w:rPr>
          <w:rStyle w:val="FootnoteReference"/>
        </w:rPr>
        <w:footnoteRef/>
      </w:r>
      <w:r>
        <w:tab/>
        <w:t xml:space="preserve">À propos du MES: </w:t>
      </w:r>
      <w:hyperlink r:id="rId3">
        <w:r>
          <w:rPr>
            <w:rStyle w:val="Hyperlink"/>
          </w:rPr>
          <w:t>http://esm.europa.eu</w:t>
        </w:r>
      </w:hyperlink>
      <w:r>
        <w:t>.</w:t>
      </w:r>
    </w:p>
  </w:footnote>
  <w:footnote w:id="14">
    <w:p>
      <w:pPr>
        <w:pStyle w:val="FootnoteText"/>
        <w:jc w:val="left"/>
      </w:pPr>
      <w:r>
        <w:rPr>
          <w:rStyle w:val="FootnoteReference"/>
        </w:rPr>
        <w:footnoteRef/>
      </w:r>
      <w:r>
        <w:tab/>
        <w:t>Voir le communiqué de presse sur la réunion extraordinaire du Conseil Ecofin des 9 et 10 mai 2010: (</w:t>
      </w:r>
      <w:hyperlink r:id="rId4">
        <w:r>
          <w:rPr>
            <w:rStyle w:val="Hyperlink"/>
            <w:color w:val="auto"/>
          </w:rPr>
          <w:t>http://www.consilium.europa.eu/uedocs/cms_data/docs/pressdata/fr/ecofin/114356.pdf</w:t>
        </w:r>
      </w:hyperlink>
      <w:r>
        <w:t>).</w:t>
      </w:r>
    </w:p>
  </w:footnote>
  <w:footnote w:id="15">
    <w:p>
      <w:pPr>
        <w:pStyle w:val="FootnoteText"/>
      </w:pPr>
      <w:r>
        <w:rPr>
          <w:rStyle w:val="FootnoteReference"/>
        </w:rPr>
        <w:footnoteRef/>
      </w:r>
      <w:r>
        <w:t xml:space="preserve"> </w:t>
      </w:r>
      <w:r>
        <w:tab/>
        <w:t>Règlement (UE) nº 407/2010 du Conseil du 11 mai 2010 établissant un mécanisme européen de stabilisation financière (JO L 118 du 12.5.2010, p. 1).</w:t>
      </w:r>
    </w:p>
  </w:footnote>
  <w:footnote w:id="16">
    <w:p>
      <w:pPr>
        <w:pStyle w:val="FootnoteText"/>
      </w:pPr>
      <w:r>
        <w:rPr>
          <w:rStyle w:val="FootnoteReference"/>
        </w:rPr>
        <w:footnoteRef/>
      </w:r>
      <w:r>
        <w:tab/>
        <w:t>Décision d’exécution 2011/77/UE du Conseil du 7 décembre 2011 sur l’octroi d’une assistance financière de l’Union à l’Irlande (JO L 30 du 4.2.2011, p. 348).</w:t>
      </w:r>
    </w:p>
  </w:footnote>
  <w:footnote w:id="17">
    <w:p>
      <w:pPr>
        <w:pStyle w:val="FootnoteText"/>
      </w:pPr>
      <w:r>
        <w:rPr>
          <w:rStyle w:val="FootnoteReference"/>
        </w:rPr>
        <w:footnoteRef/>
      </w:r>
      <w:r>
        <w:tab/>
        <w:t>Décision d’exécution 2011/344/UE du Conseil du 17 mai 2011 sur l’octroi d’une assistance financière de l’Union au Portugal (JO L 159 du 17.6.2011, p. 88). Voir aussi le rectificatif, JO L 178 du 10.7.2012, p. 15.</w:t>
      </w:r>
    </w:p>
  </w:footnote>
  <w:footnote w:id="18">
    <w:p>
      <w:pPr>
        <w:pStyle w:val="FootnoteText"/>
      </w:pPr>
      <w:r>
        <w:rPr>
          <w:rStyle w:val="FootnoteReference"/>
        </w:rPr>
        <w:footnoteRef/>
      </w:r>
      <w:r>
        <w:tab/>
        <w:t>Pour de plus amples informations sur le MESF, voir aussi le rapport de la Commission sur les activités d’emprunt et de prêt de l’Union européenne en 2013 [COM(2014) 529 final]. Le rapport concernant l'année 2014 devrait être consultable en juillet 2015 au plus tard à l’adresse suivante: http://eur-lex.europa.eu/homepage.html.</w:t>
      </w:r>
    </w:p>
  </w:footnote>
  <w:footnote w:id="19">
    <w:p>
      <w:pPr>
        <w:pStyle w:val="FootnoteText"/>
      </w:pPr>
      <w:r>
        <w:rPr>
          <w:rStyle w:val="FootnoteReference"/>
        </w:rPr>
        <w:footnoteRef/>
      </w:r>
      <w:r>
        <w:tab/>
        <w:t>Décision 2013/531/UE du Conseil du 22 octobre 2013 fournissant à titre de précaution un soutien financier de l'Union européenne à moyen terme à la Roumanie (JO L 286 du 29.10.2013, p. 1).</w:t>
      </w:r>
    </w:p>
  </w:footnote>
  <w:footnote w:id="20">
    <w:p>
      <w:pPr>
        <w:pStyle w:val="FootnoteText"/>
      </w:pPr>
      <w:r>
        <w:rPr>
          <w:rStyle w:val="FootnoteReference"/>
        </w:rPr>
        <w:footnoteRef/>
      </w:r>
      <w:r>
        <w:tab/>
        <w:t>Décision nº 2014/215/UE du Conseil du 14 avril 2014 portant attribution d'une assistance macrofinancière à l'Ukraine (JO L 111 du 15.4.2014, p. 85).</w:t>
      </w:r>
    </w:p>
  </w:footnote>
  <w:footnote w:id="21">
    <w:p>
      <w:pPr>
        <w:pStyle w:val="FootnoteText"/>
      </w:pPr>
      <w:r>
        <w:rPr>
          <w:rStyle w:val="FootnoteReference"/>
        </w:rPr>
        <w:footnoteRef/>
      </w:r>
      <w:r>
        <w:tab/>
        <w:t>Décision nº 388/2010/UE du Parlement européen et du Conseil du 7 juillet 2010 accordant une assistance macrofinancière à l'Ukraine (JO L 179 du 14.7.2010, p. 1).</w:t>
      </w:r>
    </w:p>
  </w:footnote>
  <w:footnote w:id="22">
    <w:p>
      <w:pPr>
        <w:pStyle w:val="FootnoteText"/>
      </w:pPr>
      <w:r>
        <w:rPr>
          <w:rStyle w:val="FootnoteReference"/>
        </w:rPr>
        <w:footnoteRef/>
      </w:r>
      <w:r>
        <w:tab/>
        <w:t>Décision 2002/639/CE du Conseil du 12 juillet 2002 concernant l'attribution d'une aide macrofinancière supplémentaire à l'Ukraine (JO L 209 du 6.8.2002, p. 22).</w:t>
      </w:r>
    </w:p>
  </w:footnote>
  <w:footnote w:id="23">
    <w:p>
      <w:pPr>
        <w:pStyle w:val="FootnoteText"/>
      </w:pPr>
      <w:r>
        <w:rPr>
          <w:rStyle w:val="FootnoteReference"/>
        </w:rPr>
        <w:footnoteRef/>
      </w:r>
      <w:r>
        <w:t xml:space="preserve"> </w:t>
      </w:r>
      <w:r>
        <w:tab/>
        <w:t>Décision nº 534/2014/UE du Parlement européen et du Conseil du 15 mai 2014 accordant une assistance macrofinancière à la République tunisienne (JO L 151 du 21.5.2014, p. 9).</w:t>
      </w:r>
    </w:p>
  </w:footnote>
  <w:footnote w:id="24">
    <w:p>
      <w:pPr>
        <w:pStyle w:val="FootnoteText"/>
      </w:pPr>
      <w:r>
        <w:rPr>
          <w:rStyle w:val="FootnoteReference"/>
        </w:rPr>
        <w:footnoteRef/>
      </w:r>
      <w:r>
        <w:tab/>
        <w:t>Décision nº 466/2014/UE du Parlement européen et du Conseil du 16 avril 2014 accordant une garantie de l’Union européenne à la Banque européenne d’investissement en cas de pertes résultant d'opérations de financement en faveur de projets menés hors de l'Union (JO L 135 du 8.5.2014, p. 1).</w:t>
      </w:r>
    </w:p>
  </w:footnote>
  <w:footnote w:id="25">
    <w:p>
      <w:pPr>
        <w:pStyle w:val="FootnoteText"/>
      </w:pPr>
      <w:r>
        <w:rPr>
          <w:rStyle w:val="FootnoteReference"/>
        </w:rPr>
        <w:footnoteRef/>
      </w:r>
      <w:r>
        <w:tab/>
        <w:t>Voir le tableau 1 du présent rapport.</w:t>
      </w:r>
    </w:p>
  </w:footnote>
  <w:footnote w:id="26">
    <w:p>
      <w:pPr>
        <w:pStyle w:val="FootnoteText"/>
      </w:pPr>
      <w:r>
        <w:rPr>
          <w:rStyle w:val="FootnoteReference"/>
        </w:rPr>
        <w:footnoteRef/>
      </w:r>
      <w:r>
        <w:tab/>
        <w:t>Aux fins de ce calcul, on suppose que les prêts en défaut de paiement ne sont pas exigibles par anticipation, c’est-à-dire que seuls les montants échus sont pris en considération (voir les tableaux 2 et 3 du rapport et le tableau A4 du document de travail).</w:t>
      </w:r>
    </w:p>
  </w:footnote>
  <w:footnote w:id="27">
    <w:p>
      <w:pPr>
        <w:pStyle w:val="FootnoteText"/>
        <w:rPr>
          <w:lang w:val="fr-BE"/>
        </w:rPr>
      </w:pPr>
      <w:r>
        <w:rPr>
          <w:rStyle w:val="FootnoteReference"/>
        </w:rPr>
        <w:footnoteRef/>
      </w:r>
      <w:r>
        <w:t xml:space="preserve"> </w:t>
      </w:r>
      <w:r>
        <w:tab/>
        <w:t>Voir le tableau 1.</w:t>
      </w:r>
    </w:p>
  </w:footnote>
  <w:footnote w:id="28">
    <w:p>
      <w:pPr>
        <w:pStyle w:val="FootnoteText"/>
      </w:pPr>
      <w:r>
        <w:rPr>
          <w:rStyle w:val="FootnoteReference"/>
        </w:rPr>
        <w:footnoteRef/>
      </w:r>
      <w:r>
        <w:tab/>
      </w:r>
      <w:r>
        <w:rPr>
          <w:color w:val="000000"/>
        </w:rPr>
        <w:t>Voir l’article 12 du règlement (CE, Euratom) nº 1150/2000 du Conseil du 22 mai 2000 portant application de la décision 2007/436/CE, Euratom relative au système des ressources propres des Communautés européennes (JO L 130 du 31.5.2000, p. 1).</w:t>
      </w:r>
    </w:p>
  </w:footnote>
  <w:footnote w:id="29">
    <w:p>
      <w:pPr>
        <w:pStyle w:val="FootnoteText"/>
      </w:pPr>
      <w:r>
        <w:rPr>
          <w:rStyle w:val="FootnoteReference"/>
        </w:rPr>
        <w:footnoteRef/>
      </w:r>
      <w:r>
        <w:tab/>
        <w:t>Depuis sa création en 1994, le Fonds est intervenu, à la date de clôture, pour un montant total de 645 millions d’EUR. Une somme de 579 millions d’EUR a été recouvrée (somme qui comprend le principal et les intérêts remboursés, les intérêts de retard, ainsi que les profits et pertes de change réalisés). Pour plus de détails, voir la section 2.5.4 du document de travail.</w:t>
      </w:r>
    </w:p>
    <w:p>
      <w:pPr>
        <w:pStyle w:val="FootnoteText"/>
      </w:pPr>
    </w:p>
  </w:footnote>
  <w:footnote w:id="30">
    <w:p>
      <w:pPr>
        <w:pStyle w:val="FootnoteText"/>
      </w:pPr>
      <w:r>
        <w:rPr>
          <w:rStyle w:val="FootnoteReference"/>
        </w:rPr>
        <w:footnoteRef/>
      </w:r>
      <w:r>
        <w:t xml:space="preserve"> </w:t>
      </w:r>
      <w:r>
        <w:tab/>
        <w:t>Cela inclut la somme de 142,72 millions d'EUR déjà appelée par la BEI et payée par la Commission.</w:t>
      </w:r>
    </w:p>
  </w:footnote>
  <w:footnote w:id="31">
    <w:p>
      <w:pPr>
        <w:pStyle w:val="FootnoteText"/>
      </w:pPr>
      <w:r>
        <w:rPr>
          <w:rStyle w:val="FootnoteReference"/>
        </w:rPr>
        <w:footnoteRef/>
      </w:r>
      <w:r>
        <w:tab/>
        <w:t>Total des actifs du Fonds, déduction faite des charges à payer (BEI et audit).</w:t>
      </w:r>
    </w:p>
  </w:footnote>
  <w:footnote w:id="32">
    <w:p>
      <w:pPr>
        <w:pStyle w:val="FootnoteText"/>
      </w:pPr>
      <w:r>
        <w:rPr>
          <w:rStyle w:val="FootnoteReference"/>
        </w:rPr>
        <w:footnoteRef/>
      </w:r>
      <w:r>
        <w:tab/>
        <w:t>Y compris les intérêts échus.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C13E0002"/>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350FB1"/>
    <w:multiLevelType w:val="multilevel"/>
    <w:tmpl w:val="30847FD6"/>
    <w:lvl w:ilvl="0">
      <w:start w:val="1"/>
      <w:numFmt w:val="decimal"/>
      <w:lvlRestart w:val="0"/>
      <w:pStyle w:val="ListNumber4"/>
      <w:lvlText w:val="(%1)"/>
      <w:lvlJc w:val="left"/>
      <w:pPr>
        <w:tabs>
          <w:tab w:val="num" w:pos="1560"/>
        </w:tabs>
        <w:ind w:left="1560" w:hanging="709"/>
      </w:pPr>
    </w:lvl>
    <w:lvl w:ilvl="1">
      <w:start w:val="1"/>
      <w:numFmt w:val="lowerLetter"/>
      <w:pStyle w:val="ListNumber4Level2"/>
      <w:lvlText w:val="(%2)"/>
      <w:lvlJc w:val="left"/>
      <w:pPr>
        <w:tabs>
          <w:tab w:val="num" w:pos="2268"/>
        </w:tabs>
        <w:ind w:left="2268" w:hanging="708"/>
      </w:pPr>
    </w:lvl>
    <w:lvl w:ilvl="2">
      <w:start w:val="1"/>
      <w:numFmt w:val="bullet"/>
      <w:pStyle w:val="ListNumber4Level3"/>
      <w:lvlText w:val="–"/>
      <w:lvlJc w:val="left"/>
      <w:pPr>
        <w:tabs>
          <w:tab w:val="num" w:pos="2977"/>
        </w:tabs>
        <w:ind w:left="2977" w:hanging="709"/>
      </w:pPr>
      <w:rPr>
        <w:rFonts w:ascii="Times New Roman" w:hAnsi="Times New Roman" w:cs="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5E43525"/>
    <w:multiLevelType w:val="multilevel"/>
    <w:tmpl w:val="76202BFE"/>
    <w:lvl w:ilvl="0">
      <w:start w:val="1"/>
      <w:numFmt w:val="decimal"/>
      <w:lvlRestart w:val="0"/>
      <w:pStyle w:val="ListNumber3"/>
      <w:lvlText w:val="(%1)"/>
      <w:lvlJc w:val="left"/>
      <w:pPr>
        <w:tabs>
          <w:tab w:val="num" w:pos="1560"/>
        </w:tabs>
        <w:ind w:left="1560" w:hanging="709"/>
      </w:pPr>
    </w:lvl>
    <w:lvl w:ilvl="1">
      <w:start w:val="1"/>
      <w:numFmt w:val="lowerLetter"/>
      <w:pStyle w:val="ListNumber3Level2"/>
      <w:lvlText w:val="(%2)"/>
      <w:lvlJc w:val="left"/>
      <w:pPr>
        <w:tabs>
          <w:tab w:val="num" w:pos="2268"/>
        </w:tabs>
        <w:ind w:left="2268" w:hanging="708"/>
      </w:pPr>
    </w:lvl>
    <w:lvl w:ilvl="2">
      <w:start w:val="1"/>
      <w:numFmt w:val="bullet"/>
      <w:pStyle w:val="ListNumber3Level3"/>
      <w:lvlText w:val="–"/>
      <w:lvlJc w:val="left"/>
      <w:pPr>
        <w:tabs>
          <w:tab w:val="num" w:pos="2977"/>
        </w:tabs>
        <w:ind w:left="2977" w:hanging="709"/>
      </w:pPr>
      <w:rPr>
        <w:rFonts w:ascii="Times New Roman" w:hAnsi="Times New Roman" w:cs="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nsid w:val="12DD5905"/>
    <w:multiLevelType w:val="singleLevel"/>
    <w:tmpl w:val="6CB4B73E"/>
    <w:name w:val="List Bullet 2"/>
    <w:lvl w:ilvl="0">
      <w:start w:val="1"/>
      <w:numFmt w:val="bullet"/>
      <w:lvlRestart w:val="0"/>
      <w:pStyle w:val="ListBullet2"/>
      <w:lvlText w:val=""/>
      <w:lvlJc w:val="left"/>
      <w:pPr>
        <w:tabs>
          <w:tab w:val="num" w:pos="1134"/>
        </w:tabs>
        <w:ind w:left="1134" w:hanging="283"/>
      </w:pPr>
      <w:rPr>
        <w:rFonts w:ascii="Symbol" w:hAnsi="Symbol" w:hint="default"/>
      </w:rPr>
    </w:lvl>
  </w:abstractNum>
  <w:abstractNum w:abstractNumId="4">
    <w:nsid w:val="24E930D7"/>
    <w:multiLevelType w:val="multilevel"/>
    <w:tmpl w:val="EFD2E05E"/>
    <w:lvl w:ilvl="0">
      <w:start w:val="1"/>
      <w:numFmt w:val="decimal"/>
      <w:lvlRestart w:val="0"/>
      <w:pStyle w:val="ListNumber2"/>
      <w:lvlText w:val="(%1)"/>
      <w:lvlJc w:val="left"/>
      <w:pPr>
        <w:tabs>
          <w:tab w:val="num" w:pos="1560"/>
        </w:tabs>
        <w:ind w:left="1560" w:hanging="709"/>
      </w:pPr>
    </w:lvl>
    <w:lvl w:ilvl="1">
      <w:start w:val="1"/>
      <w:numFmt w:val="lowerLetter"/>
      <w:pStyle w:val="ListNumber2Level2"/>
      <w:lvlText w:val="(%2)"/>
      <w:lvlJc w:val="left"/>
      <w:pPr>
        <w:tabs>
          <w:tab w:val="num" w:pos="2268"/>
        </w:tabs>
        <w:ind w:left="2268" w:hanging="708"/>
      </w:pPr>
    </w:lvl>
    <w:lvl w:ilvl="2">
      <w:start w:val="1"/>
      <w:numFmt w:val="bullet"/>
      <w:pStyle w:val="ListNumber2Level3"/>
      <w:lvlText w:val="–"/>
      <w:lvlJc w:val="left"/>
      <w:pPr>
        <w:tabs>
          <w:tab w:val="num" w:pos="2977"/>
        </w:tabs>
        <w:ind w:left="2977" w:hanging="709"/>
      </w:pPr>
      <w:rPr>
        <w:rFonts w:ascii="Times New Roman" w:hAnsi="Times New Roman" w:cs="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AF76E7A"/>
    <w:multiLevelType w:val="singleLevel"/>
    <w:tmpl w:val="C74C5A32"/>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6">
    <w:nsid w:val="3A5459E8"/>
    <w:multiLevelType w:val="singleLevel"/>
    <w:tmpl w:val="2188C922"/>
    <w:name w:val="Tiret 1"/>
    <w:lvl w:ilvl="0">
      <w:start w:val="1"/>
      <w:numFmt w:val="bullet"/>
      <w:lvlRestart w:val="0"/>
      <w:pStyle w:val="Tiret1"/>
      <w:lvlText w:val="–"/>
      <w:lvlJc w:val="left"/>
      <w:pPr>
        <w:tabs>
          <w:tab w:val="num" w:pos="1417"/>
        </w:tabs>
        <w:ind w:left="1417" w:hanging="567"/>
      </w:pPr>
    </w:lvl>
  </w:abstractNum>
  <w:abstractNum w:abstractNumId="7">
    <w:nsid w:val="3BA736C9"/>
    <w:multiLevelType w:val="singleLevel"/>
    <w:tmpl w:val="F00A6C0C"/>
    <w:name w:val="Tiret 0"/>
    <w:lvl w:ilvl="0">
      <w:start w:val="1"/>
      <w:numFmt w:val="bullet"/>
      <w:lvlRestart w:val="0"/>
      <w:pStyle w:val="Tiret0"/>
      <w:lvlText w:val="–"/>
      <w:lvlJc w:val="left"/>
      <w:pPr>
        <w:tabs>
          <w:tab w:val="num" w:pos="850"/>
        </w:tabs>
        <w:ind w:left="850" w:hanging="850"/>
      </w:pPr>
    </w:lvl>
  </w:abstractNum>
  <w:abstractNum w:abstractNumId="8">
    <w:nsid w:val="3C90278F"/>
    <w:multiLevelType w:val="singleLevel"/>
    <w:tmpl w:val="0FE08974"/>
    <w:name w:val="Tiret 3"/>
    <w:lvl w:ilvl="0">
      <w:start w:val="1"/>
      <w:numFmt w:val="bullet"/>
      <w:lvlRestart w:val="0"/>
      <w:pStyle w:val="Tiret3"/>
      <w:lvlText w:val="–"/>
      <w:lvlJc w:val="left"/>
      <w:pPr>
        <w:tabs>
          <w:tab w:val="num" w:pos="2551"/>
        </w:tabs>
        <w:ind w:left="2551" w:hanging="567"/>
      </w:pPr>
    </w:lvl>
  </w:abstractNum>
  <w:abstractNum w:abstractNumId="9">
    <w:nsid w:val="3E191884"/>
    <w:multiLevelType w:val="singleLevel"/>
    <w:tmpl w:val="3020C764"/>
    <w:name w:val="List Bullet 3"/>
    <w:lvl w:ilvl="0">
      <w:start w:val="1"/>
      <w:numFmt w:val="bullet"/>
      <w:lvlRestart w:val="0"/>
      <w:pStyle w:val="ListBullet3"/>
      <w:lvlText w:val=""/>
      <w:lvlJc w:val="left"/>
      <w:pPr>
        <w:tabs>
          <w:tab w:val="num" w:pos="1134"/>
        </w:tabs>
        <w:ind w:left="1134" w:hanging="283"/>
      </w:pPr>
      <w:rPr>
        <w:rFonts w:ascii="Symbol" w:hAnsi="Symbol" w:hint="default"/>
      </w:rPr>
    </w:lvl>
  </w:abstractNum>
  <w:abstractNum w:abstractNumId="10">
    <w:nsid w:val="40315490"/>
    <w:multiLevelType w:val="singleLevel"/>
    <w:tmpl w:val="1F86C700"/>
    <w:name w:val="List Dash"/>
    <w:lvl w:ilvl="0">
      <w:start w:val="1"/>
      <w:numFmt w:val="bullet"/>
      <w:lvlRestart w:val="0"/>
      <w:pStyle w:val="ListDash"/>
      <w:lvlText w:val="–"/>
      <w:lvlJc w:val="left"/>
      <w:pPr>
        <w:tabs>
          <w:tab w:val="num" w:pos="283"/>
        </w:tabs>
        <w:ind w:left="283" w:hanging="283"/>
      </w:pPr>
      <w:rPr>
        <w:rFonts w:ascii="Times New Roman" w:hAnsi="Times New Roman" w:cs="Times New Roman"/>
      </w:rPr>
    </w:lvl>
  </w:abstractNum>
  <w:abstractNum w:abstractNumId="11">
    <w:nsid w:val="48842C30"/>
    <w:multiLevelType w:val="singleLevel"/>
    <w:tmpl w:val="4FA60B9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2">
    <w:nsid w:val="54593082"/>
    <w:multiLevelType w:val="singleLevel"/>
    <w:tmpl w:val="EDE069AC"/>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3">
    <w:nsid w:val="568864DC"/>
    <w:multiLevelType w:val="singleLevel"/>
    <w:tmpl w:val="485EBDAC"/>
    <w:name w:val="Tiret 4"/>
    <w:lvl w:ilvl="0">
      <w:start w:val="1"/>
      <w:numFmt w:val="bullet"/>
      <w:lvlRestart w:val="0"/>
      <w:pStyle w:val="Tiret4"/>
      <w:lvlText w:val="–"/>
      <w:lvlJc w:val="left"/>
      <w:pPr>
        <w:tabs>
          <w:tab w:val="num" w:pos="3118"/>
        </w:tabs>
        <w:ind w:left="3118" w:hanging="567"/>
      </w:pPr>
    </w:lvl>
  </w:abstractNum>
  <w:abstractNum w:abstractNumId="14">
    <w:nsid w:val="596D67A1"/>
    <w:multiLevelType w:val="singleLevel"/>
    <w:tmpl w:val="9AC8831A"/>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5F342530"/>
    <w:multiLevelType w:val="singleLevel"/>
    <w:tmpl w:val="D5444702"/>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6">
    <w:nsid w:val="5F8C3B69"/>
    <w:multiLevelType w:val="multilevel"/>
    <w:tmpl w:val="9B14DAA8"/>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5F9C40AA"/>
    <w:multiLevelType w:val="singleLevel"/>
    <w:tmpl w:val="B89CB5A2"/>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62970F71"/>
    <w:multiLevelType w:val="singleLevel"/>
    <w:tmpl w:val="5AFA8C72"/>
    <w:name w:val="Tiret 2"/>
    <w:lvl w:ilvl="0">
      <w:start w:val="1"/>
      <w:numFmt w:val="bullet"/>
      <w:lvlRestart w:val="0"/>
      <w:pStyle w:val="Tiret2"/>
      <w:lvlText w:val="–"/>
      <w:lvlJc w:val="left"/>
      <w:pPr>
        <w:tabs>
          <w:tab w:val="num" w:pos="1984"/>
        </w:tabs>
        <w:ind w:left="1984" w:hanging="567"/>
      </w:pPr>
    </w:lvl>
  </w:abstractNum>
  <w:abstractNum w:abstractNumId="19">
    <w:nsid w:val="62A8042C"/>
    <w:multiLevelType w:val="singleLevel"/>
    <w:tmpl w:val="CCF20C06"/>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20">
    <w:nsid w:val="69995580"/>
    <w:multiLevelType w:val="singleLevel"/>
    <w:tmpl w:val="75CC7CBA"/>
    <w:name w:val="Considérant"/>
    <w:lvl w:ilvl="0">
      <w:start w:val="1"/>
      <w:numFmt w:val="decimal"/>
      <w:lvlRestart w:val="0"/>
      <w:pStyle w:val="Considrant"/>
      <w:lvlText w:val="(%1)"/>
      <w:lvlJc w:val="left"/>
      <w:pPr>
        <w:tabs>
          <w:tab w:val="num" w:pos="709"/>
        </w:tabs>
        <w:ind w:left="709" w:hanging="709"/>
      </w:pPr>
    </w:lvl>
  </w:abstractNum>
  <w:abstractNum w:abstractNumId="21">
    <w:nsid w:val="6A6901C1"/>
    <w:multiLevelType w:val="singleLevel"/>
    <w:tmpl w:val="208841AE"/>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22">
    <w:nsid w:val="6D2B5511"/>
    <w:multiLevelType w:val="singleLevel"/>
    <w:tmpl w:val="74A09970"/>
    <w:name w:val="List Bullet 1"/>
    <w:lvl w:ilvl="0">
      <w:start w:val="1"/>
      <w:numFmt w:val="bullet"/>
      <w:lvlRestart w:val="0"/>
      <w:lvlText w:val=""/>
      <w:lvlJc w:val="left"/>
      <w:pPr>
        <w:tabs>
          <w:tab w:val="num" w:pos="283"/>
        </w:tabs>
        <w:ind w:left="283" w:hanging="283"/>
      </w:pPr>
      <w:rPr>
        <w:rFonts w:ascii="Symbol" w:hAnsi="Symbol" w:hint="default"/>
      </w:rPr>
    </w:lvl>
  </w:abstractNum>
  <w:abstractNum w:abstractNumId="23">
    <w:nsid w:val="711167E2"/>
    <w:multiLevelType w:val="multilevel"/>
    <w:tmpl w:val="C3843A7A"/>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5C26F71"/>
    <w:multiLevelType w:val="multilevel"/>
    <w:tmpl w:val="E01E7708"/>
    <w:lvl w:ilvl="0">
      <w:start w:val="1"/>
      <w:numFmt w:val="decimal"/>
      <w:lvlRestart w:val="0"/>
      <w:pStyle w:val="Heading1"/>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5">
    <w:nsid w:val="78A241BD"/>
    <w:multiLevelType w:val="singleLevel"/>
    <w:tmpl w:val="53C4DF32"/>
    <w:name w:val="NumPar"/>
    <w:lvl w:ilvl="0">
      <w:start w:val="1"/>
      <w:numFmt w:val="bullet"/>
      <w:lvlRestart w:val="0"/>
      <w:pStyle w:val="ListDash3"/>
      <w:lvlText w:val="–"/>
      <w:lvlJc w:val="left"/>
      <w:pPr>
        <w:tabs>
          <w:tab w:val="num" w:pos="1134"/>
        </w:tabs>
        <w:ind w:left="1134" w:hanging="283"/>
      </w:pPr>
      <w:rPr>
        <w:rFonts w:ascii="Times New Roman" w:hAnsi="Times New Roman" w:cs="Times New Roman"/>
      </w:rPr>
    </w:lvl>
  </w:abstractNum>
  <w:abstractNum w:abstractNumId="26">
    <w:nsid w:val="79C96D36"/>
    <w:multiLevelType w:val="multilevel"/>
    <w:tmpl w:val="BE983CE4"/>
    <w:name w:val="List Dash 3"/>
    <w:lvl w:ilvl="0">
      <w:start w:val="1"/>
      <w:numFmt w:val="decimal"/>
      <w:lvlRestart w:val="0"/>
      <w:pStyle w:val="ListNumber1"/>
      <w:lvlText w:val="(%1)"/>
      <w:lvlJc w:val="left"/>
      <w:pPr>
        <w:tabs>
          <w:tab w:val="num" w:pos="1560"/>
        </w:tabs>
        <w:ind w:left="1560" w:hanging="709"/>
      </w:pPr>
    </w:lvl>
    <w:lvl w:ilvl="1">
      <w:start w:val="1"/>
      <w:numFmt w:val="lowerLetter"/>
      <w:pStyle w:val="ListNumber1Level2"/>
      <w:lvlText w:val="(%2)"/>
      <w:lvlJc w:val="left"/>
      <w:pPr>
        <w:tabs>
          <w:tab w:val="num" w:pos="2268"/>
        </w:tabs>
        <w:ind w:left="2268" w:hanging="708"/>
      </w:pPr>
    </w:lvl>
    <w:lvl w:ilvl="2">
      <w:start w:val="1"/>
      <w:numFmt w:val="bullet"/>
      <w:pStyle w:val="ListNumber1Level3"/>
      <w:lvlText w:val="–"/>
      <w:lvlJc w:val="left"/>
      <w:pPr>
        <w:tabs>
          <w:tab w:val="num" w:pos="2977"/>
        </w:tabs>
        <w:ind w:left="2977" w:hanging="709"/>
      </w:pPr>
      <w:rPr>
        <w:rFonts w:ascii="Times New Roman" w:hAnsi="Times New Roman" w:cs="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28">
    <w:nsid w:val="7D8820A0"/>
    <w:multiLevelType w:val="singleLevel"/>
    <w:tmpl w:val="54F6C7B4"/>
    <w:name w:val="Heading"/>
    <w:lvl w:ilvl="0">
      <w:start w:val="1"/>
      <w:numFmt w:val="bullet"/>
      <w:lvlRestart w:val="0"/>
      <w:pStyle w:val="ListDash4"/>
      <w:lvlText w:val="–"/>
      <w:lvlJc w:val="left"/>
      <w:pPr>
        <w:tabs>
          <w:tab w:val="num" w:pos="1134"/>
        </w:tabs>
        <w:ind w:left="1134" w:hanging="283"/>
      </w:pPr>
      <w:rPr>
        <w:rFonts w:ascii="Times New Roman" w:hAnsi="Times New Roman" w:cs="Times New Roman"/>
      </w:rPr>
    </w:lvl>
  </w:abstractNum>
  <w:abstractNum w:abstractNumId="29">
    <w:nsid w:val="7F7154E1"/>
    <w:multiLevelType w:val="singleLevel"/>
    <w:tmpl w:val="E3F6D2C6"/>
    <w:name w:val="List Dash 4"/>
    <w:lvl w:ilvl="0">
      <w:start w:val="1"/>
      <w:numFmt w:val="bullet"/>
      <w:lvlRestart w:val="0"/>
      <w:pStyle w:val="ListBullet4"/>
      <w:lvlText w:val=""/>
      <w:lvlJc w:val="left"/>
      <w:pPr>
        <w:tabs>
          <w:tab w:val="num" w:pos="1134"/>
        </w:tabs>
        <w:ind w:left="1134" w:hanging="283"/>
      </w:pPr>
      <w:rPr>
        <w:rFonts w:ascii="Symbol" w:hAnsi="Symbol" w:hint="default"/>
      </w:rPr>
    </w:lvl>
  </w:abstractNum>
  <w:num w:numId="1">
    <w:abstractNumId w:val="12"/>
  </w:num>
  <w:num w:numId="2">
    <w:abstractNumId w:val="5"/>
  </w:num>
  <w:num w:numId="3">
    <w:abstractNumId w:val="17"/>
  </w:num>
  <w:num w:numId="4">
    <w:abstractNumId w:val="15"/>
  </w:num>
  <w:num w:numId="5">
    <w:abstractNumId w:val="11"/>
  </w:num>
  <w:num w:numId="6">
    <w:abstractNumId w:val="20"/>
  </w:num>
  <w:num w:numId="7">
    <w:abstractNumId w:val="24"/>
  </w:num>
  <w:num w:numId="8">
    <w:abstractNumId w:val="24"/>
  </w:num>
  <w:num w:numId="9">
    <w:abstractNumId w:val="23"/>
  </w:num>
  <w:num w:numId="10">
    <w:abstractNumId w:val="27"/>
  </w:num>
  <w:num w:numId="11">
    <w:abstractNumId w:val="7"/>
  </w:num>
  <w:num w:numId="12">
    <w:abstractNumId w:val="6"/>
  </w:num>
  <w:num w:numId="13">
    <w:abstractNumId w:val="18"/>
  </w:num>
  <w:num w:numId="14">
    <w:abstractNumId w:val="8"/>
  </w:num>
  <w:num w:numId="15">
    <w:abstractNumId w:val="13"/>
  </w:num>
  <w:num w:numId="16">
    <w:abstractNumId w:val="16"/>
  </w:num>
  <w:num w:numId="17">
    <w:abstractNumId w:val="26"/>
  </w:num>
  <w:num w:numId="18">
    <w:abstractNumId w:val="4"/>
  </w:num>
  <w:num w:numId="19">
    <w:abstractNumId w:val="2"/>
  </w:num>
  <w:num w:numId="20">
    <w:abstractNumId w:val="1"/>
  </w:num>
  <w:num w:numId="21">
    <w:abstractNumId w:val="21"/>
  </w:num>
  <w:num w:numId="22">
    <w:abstractNumId w:val="3"/>
  </w:num>
  <w:num w:numId="23">
    <w:abstractNumId w:val="9"/>
  </w:num>
  <w:num w:numId="24">
    <w:abstractNumId w:val="29"/>
  </w:num>
  <w:num w:numId="25">
    <w:abstractNumId w:val="10"/>
  </w:num>
  <w:num w:numId="26">
    <w:abstractNumId w:val="19"/>
  </w:num>
  <w:num w:numId="27">
    <w:abstractNumId w:val="14"/>
  </w:num>
  <w:num w:numId="28">
    <w:abstractNumId w:val="25"/>
  </w:num>
  <w:num w:numId="29">
    <w:abstractNumId w:val="28"/>
  </w:num>
  <w:num w:numId="30">
    <w:abstractNumId w:val="0"/>
  </w:num>
  <w:num w:numId="31">
    <w:abstractNumId w:val="24"/>
  </w:num>
  <w:num w:numId="32">
    <w:abstractNumId w:val="2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26346E751266429A8A52AEF75608B38E"/>
    <w:docVar w:name="LW_CROSSREFERENCE" w:val="{SWD(2015) 148 final}"/>
    <w:docVar w:name="LW_DocType" w:val="NORMAL"/>
    <w:docVar w:name="LW_EMISSION" w:val="31.7.2015"/>
    <w:docVar w:name="LW_EMISSION_ISODATE" w:val="2015-07-31"/>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5) 373"/>
    <w:docVar w:name="LW_REF.INTERNE" w:val="&lt;UNUSED&gt;"/>
    <w:docVar w:name="LW_SOUS.TITRE.OBJ.CP" w:val="&lt;UNUSED&gt;"/>
    <w:docVar w:name="LW_SUPERTITRE" w:val="&lt;UNUSED&gt;"/>
    <w:docVar w:name="LW_TITRE.OBJ.CP" w:val="sur les garanties couvertes par le budget général_x000b_Situation au 31 décembre 2014_x000b_"/>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style>
  <w:style w:type="paragraph" w:styleId="ListNumber">
    <w:name w:val="List Number"/>
    <w:basedOn w:val="Normal"/>
    <w:pPr>
      <w:numPr>
        <w:numId w:val="16"/>
      </w:numPr>
    </w:pPr>
  </w:style>
  <w:style w:type="paragraph" w:customStyle="1" w:styleId="ListDash">
    <w:name w:val="List Dash"/>
    <w:basedOn w:val="Normal"/>
    <w:pPr>
      <w:numPr>
        <w:numId w:val="25"/>
      </w:numPr>
    </w:pPr>
  </w:style>
  <w:style w:type="paragraph" w:customStyle="1" w:styleId="ListNumberLevel2">
    <w:name w:val="List Number (Level 2)"/>
    <w:basedOn w:val="Normal"/>
    <w:pPr>
      <w:numPr>
        <w:ilvl w:val="1"/>
        <w:numId w:val="16"/>
      </w:numPr>
    </w:pPr>
  </w:style>
  <w:style w:type="paragraph" w:customStyle="1" w:styleId="ListNumberLevel3">
    <w:name w:val="List Number (Level 3)"/>
    <w:basedOn w:val="Normal"/>
    <w:pPr>
      <w:numPr>
        <w:ilvl w:val="2"/>
        <w:numId w:val="16"/>
      </w:numPr>
    </w:pPr>
  </w:style>
  <w:style w:type="paragraph" w:customStyle="1" w:styleId="ListNumberLevel4">
    <w:name w:val="List Number (Level 4)"/>
    <w:basedOn w:val="Normal"/>
    <w:pPr>
      <w:numPr>
        <w:ilvl w:val="3"/>
        <w:numId w:val="16"/>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fr-FR"/>
    </w:r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customStyle="1" w:styleId="ListNumber1">
    <w:name w:val="List Number 1"/>
    <w:basedOn w:val="Text1"/>
    <w:pPr>
      <w:numPr>
        <w:numId w:val="17"/>
      </w:numPr>
    </w:pPr>
  </w:style>
  <w:style w:type="paragraph" w:customStyle="1" w:styleId="ListNumber1Level2">
    <w:name w:val="List Number 1 (Level 2)"/>
    <w:basedOn w:val="Text1"/>
    <w:pPr>
      <w:numPr>
        <w:ilvl w:val="1"/>
        <w:numId w:val="17"/>
      </w:numPr>
    </w:pPr>
  </w:style>
  <w:style w:type="paragraph" w:customStyle="1" w:styleId="ListNumber2Level2">
    <w:name w:val="List Number 2 (Level 2)"/>
    <w:basedOn w:val="Text2"/>
    <w:pPr>
      <w:numPr>
        <w:ilvl w:val="1"/>
        <w:numId w:val="18"/>
      </w:numPr>
    </w:pPr>
  </w:style>
  <w:style w:type="paragraph" w:customStyle="1" w:styleId="ListNumber3Level2">
    <w:name w:val="List Number 3 (Level 2)"/>
    <w:basedOn w:val="Text3"/>
    <w:pPr>
      <w:numPr>
        <w:ilvl w:val="1"/>
        <w:numId w:val="19"/>
      </w:numPr>
    </w:pPr>
  </w:style>
  <w:style w:type="paragraph" w:customStyle="1" w:styleId="ListNumber4Level2">
    <w:name w:val="List Number 4 (Level 2)"/>
    <w:basedOn w:val="Text4"/>
    <w:pPr>
      <w:numPr>
        <w:ilvl w:val="1"/>
        <w:numId w:val="20"/>
      </w:numPr>
    </w:pPr>
  </w:style>
  <w:style w:type="paragraph" w:customStyle="1" w:styleId="ListNumber1Level3">
    <w:name w:val="List Number 1 (Level 3)"/>
    <w:basedOn w:val="Text1"/>
    <w:pPr>
      <w:numPr>
        <w:ilvl w:val="2"/>
        <w:numId w:val="17"/>
      </w:numPr>
    </w:pPr>
  </w:style>
  <w:style w:type="paragraph" w:customStyle="1" w:styleId="ListNumber2Level3">
    <w:name w:val="List Number 2 (Level 3)"/>
    <w:basedOn w:val="Text2"/>
    <w:pPr>
      <w:numPr>
        <w:ilvl w:val="2"/>
        <w:numId w:val="18"/>
      </w:numPr>
    </w:pPr>
  </w:style>
  <w:style w:type="paragraph" w:customStyle="1" w:styleId="ListNumber3Level3">
    <w:name w:val="List Number 3 (Level 3)"/>
    <w:basedOn w:val="Text3"/>
    <w:pPr>
      <w:numPr>
        <w:ilvl w:val="2"/>
        <w:numId w:val="19"/>
      </w:numPr>
    </w:pPr>
  </w:style>
  <w:style w:type="paragraph" w:customStyle="1" w:styleId="ListNumber4Level3">
    <w:name w:val="List Number 4 (Level 3)"/>
    <w:basedOn w:val="Text4"/>
    <w:pPr>
      <w:numPr>
        <w:ilvl w:val="2"/>
        <w:numId w:val="20"/>
      </w:numPr>
    </w:pPr>
  </w:style>
  <w:style w:type="paragraph" w:customStyle="1" w:styleId="ListNumber1Level4">
    <w:name w:val="List Number 1 (Level 4)"/>
    <w:basedOn w:val="Text1"/>
    <w:pPr>
      <w:numPr>
        <w:ilvl w:val="3"/>
        <w:numId w:val="17"/>
      </w:numPr>
    </w:pPr>
  </w:style>
  <w:style w:type="paragraph" w:customStyle="1" w:styleId="ListNumber2Level4">
    <w:name w:val="List Number 2 (Level 4)"/>
    <w:basedOn w:val="Text2"/>
    <w:pPr>
      <w:numPr>
        <w:ilvl w:val="3"/>
        <w:numId w:val="18"/>
      </w:numPr>
    </w:pPr>
  </w:style>
  <w:style w:type="paragraph" w:customStyle="1" w:styleId="ListNumber3Level4">
    <w:name w:val="List Number 3 (Level 4)"/>
    <w:basedOn w:val="Text3"/>
    <w:pPr>
      <w:numPr>
        <w:ilvl w:val="3"/>
        <w:numId w:val="19"/>
      </w:numPr>
    </w:pPr>
  </w:style>
  <w:style w:type="paragraph" w:customStyle="1" w:styleId="ListNumber4Level4">
    <w:name w:val="List Number 4 (Level 4)"/>
    <w:basedOn w:val="Text4"/>
    <w:pPr>
      <w:numPr>
        <w:ilvl w:val="3"/>
        <w:numId w:val="20"/>
      </w:numPr>
    </w:pPr>
  </w:style>
  <w:style w:type="paragraph" w:customStyle="1" w:styleId="ListBullet1">
    <w:name w:val="List Bullet 1"/>
    <w:basedOn w:val="Normal"/>
    <w:pPr>
      <w:numPr>
        <w:numId w:val="21"/>
      </w:numPr>
    </w:pPr>
  </w:style>
  <w:style w:type="paragraph" w:styleId="ListBullet2">
    <w:name w:val="List Bullet 2"/>
    <w:basedOn w:val="Normal"/>
    <w:pPr>
      <w:numPr>
        <w:numId w:val="22"/>
      </w:numPr>
    </w:pPr>
  </w:style>
  <w:style w:type="paragraph" w:styleId="ListBullet3">
    <w:name w:val="List Bullet 3"/>
    <w:basedOn w:val="Normal"/>
    <w:pPr>
      <w:numPr>
        <w:numId w:val="23"/>
      </w:numPr>
    </w:pPr>
  </w:style>
  <w:style w:type="paragraph" w:styleId="ListBullet4">
    <w:name w:val="List Bullet 4"/>
    <w:basedOn w:val="Normal"/>
    <w:pPr>
      <w:numPr>
        <w:numId w:val="24"/>
      </w:numPr>
    </w:pPr>
  </w:style>
  <w:style w:type="paragraph" w:customStyle="1" w:styleId="ListDash1">
    <w:name w:val="List Dash 1"/>
    <w:basedOn w:val="Normal"/>
    <w:pPr>
      <w:numPr>
        <w:numId w:val="26"/>
      </w:numPr>
    </w:pPr>
  </w:style>
  <w:style w:type="paragraph" w:customStyle="1" w:styleId="ListDash2">
    <w:name w:val="List Dash 2"/>
    <w:basedOn w:val="Normal"/>
    <w:pPr>
      <w:numPr>
        <w:numId w:val="27"/>
      </w:numPr>
    </w:pPr>
  </w:style>
  <w:style w:type="paragraph" w:customStyle="1" w:styleId="ListDash3">
    <w:name w:val="List Dash 3"/>
    <w:basedOn w:val="Normal"/>
    <w:pPr>
      <w:numPr>
        <w:numId w:val="28"/>
      </w:numPr>
    </w:pPr>
  </w:style>
  <w:style w:type="paragraph" w:customStyle="1" w:styleId="ListDash4">
    <w:name w:val="List Dash 4"/>
    <w:basedOn w:val="Normal"/>
    <w:pPr>
      <w:numPr>
        <w:numId w:val="29"/>
      </w:numPr>
    </w:p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fr-FR"/>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fr-FR"/>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semiHidden/>
    <w:rPr>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erChar">
    <w:name w:val="Footer Char"/>
    <w:link w:val="Footer"/>
    <w:uiPriority w:val="99"/>
    <w:rPr>
      <w:sz w:val="24"/>
      <w:szCs w:val="24"/>
      <w:lang w:eastAsia="fr-FR"/>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fr-FR"/>
    </w:rPr>
  </w:style>
  <w:style w:type="paragraph" w:styleId="NormalWeb">
    <w:name w:val="Normal (Web)"/>
    <w:basedOn w:val="Normal"/>
    <w:uiPriority w:val="99"/>
    <w:unhideWhenUsed/>
    <w:pPr>
      <w:spacing w:before="100" w:beforeAutospacing="1" w:after="100" w:afterAutospacing="1"/>
      <w:jc w:val="left"/>
    </w:p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rPr>
  </w:style>
  <w:style w:type="character" w:customStyle="1" w:styleId="Heading1Char">
    <w:name w:val="Heading 1 Char"/>
    <w:link w:val="Heading1"/>
    <w:rPr>
      <w:b/>
      <w:bCs/>
      <w:smallCaps/>
      <w:sz w:val="24"/>
      <w:szCs w:val="32"/>
      <w:lang w:eastAsia="fr-FR"/>
    </w:rPr>
  </w:style>
  <w:style w:type="character" w:customStyle="1" w:styleId="Heading2Char">
    <w:name w:val="Heading 2 Char"/>
    <w:link w:val="Heading2"/>
    <w:rPr>
      <w:b/>
      <w:bCs/>
      <w:iCs/>
      <w:noProof/>
      <w:sz w:val="24"/>
      <w:szCs w:val="28"/>
      <w:lang w:eastAsia="fr-FR"/>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fr-FR"/>
    </w:rPr>
  </w:style>
  <w:style w:type="character" w:styleId="EndnoteReference">
    <w:name w:val="endnote reference"/>
    <w:rPr>
      <w:shd w:val="clear" w:color="auto" w:fill="auto"/>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fr-FR"/>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footnote text" w:uiPriority="99"/>
    <w:lsdException w:name="foot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Normal">
    <w:name w:val="Normal"/>
    <w:qFormat/>
    <w:pPr>
      <w:spacing w:before="120" w:after="120"/>
      <w:jc w:val="both"/>
    </w:pPr>
    <w:rPr>
      <w:sz w:val="24"/>
      <w:szCs w:val="24"/>
    </w:rPr>
  </w:style>
  <w:style w:type="paragraph" w:styleId="Heading1">
    <w:name w:val="heading 1"/>
    <w:basedOn w:val="Normal"/>
    <w:next w:val="Normal"/>
    <w:link w:val="Heading1Char"/>
    <w:qFormat/>
    <w:pPr>
      <w:keepNext/>
      <w:numPr>
        <w:numId w:val="8"/>
      </w:numPr>
      <w:spacing w:before="360"/>
      <w:outlineLvl w:val="0"/>
    </w:pPr>
    <w:rPr>
      <w:b/>
      <w:bCs/>
      <w:smallCaps/>
      <w:szCs w:val="32"/>
    </w:rPr>
  </w:style>
  <w:style w:type="paragraph" w:styleId="Heading2">
    <w:name w:val="heading 2"/>
    <w:basedOn w:val="Normal"/>
    <w:next w:val="Normal"/>
    <w:link w:val="Heading2Char"/>
    <w:qFormat/>
    <w:pPr>
      <w:keepNext/>
      <w:outlineLvl w:val="1"/>
    </w:pPr>
    <w:rPr>
      <w:b/>
      <w:bCs/>
      <w:iCs/>
      <w:noProof/>
      <w:szCs w:val="28"/>
    </w:rPr>
  </w:style>
  <w:style w:type="paragraph" w:styleId="Heading3">
    <w:name w:val="heading 3"/>
    <w:basedOn w:val="Normal"/>
    <w:next w:val="Normal"/>
    <w:qFormat/>
    <w:pPr>
      <w:keepNext/>
      <w:numPr>
        <w:ilvl w:val="2"/>
        <w:numId w:val="8"/>
      </w:numPr>
      <w:outlineLvl w:val="2"/>
    </w:pPr>
    <w:rPr>
      <w:bCs/>
      <w:i/>
      <w:szCs w:val="26"/>
    </w:rPr>
  </w:style>
  <w:style w:type="paragraph" w:styleId="Heading4">
    <w:name w:val="heading 4"/>
    <w:basedOn w:val="Normal"/>
    <w:next w:val="Normal"/>
    <w:qFormat/>
    <w:pPr>
      <w:keepNext/>
      <w:numPr>
        <w:ilvl w:val="3"/>
        <w:numId w:val="8"/>
      </w:numPr>
      <w:outlineLvl w:val="3"/>
    </w:pPr>
    <w:rPr>
      <w:b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ccompagnant">
    <w:name w:val="Accompagnant"/>
    <w:basedOn w:val="Normal"/>
    <w:next w:val="Normal"/>
    <w:pPr>
      <w:spacing w:before="0" w:after="240"/>
      <w:jc w:val="center"/>
    </w:pPr>
    <w:rPr>
      <w:b/>
      <w:i/>
    </w:rPr>
  </w:style>
  <w:style w:type="paragraph" w:customStyle="1" w:styleId="AccompagnantPagedecouverture">
    <w:name w:val="Accompagnant (Page de couverture)"/>
    <w:basedOn w:val="Accompagnant"/>
    <w:next w:val="Normal"/>
  </w:style>
  <w:style w:type="character" w:customStyle="1" w:styleId="Added">
    <w:name w:val="Added"/>
    <w:rPr>
      <w:b/>
      <w:u w:val="single"/>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Annexetitre">
    <w:name w:val="Annexe titre"/>
    <w:basedOn w:val="Normal"/>
    <w:next w:val="Normal"/>
    <w:pPr>
      <w:jc w:val="center"/>
    </w:pPr>
    <w:rPr>
      <w:b/>
      <w:u w:val="single"/>
    </w:rPr>
  </w:style>
  <w:style w:type="paragraph" w:customStyle="1" w:styleId="Annexetitreexpos">
    <w:name w:val="Annexe titre (exposé)"/>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Normal"/>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Bullet0">
    <w:name w:val="Bullet 0"/>
    <w:basedOn w:val="Normal"/>
    <w:pPr>
      <w:numPr>
        <w:numId w:val="1"/>
      </w:numPr>
    </w:pPr>
  </w:style>
  <w:style w:type="paragraph" w:customStyle="1" w:styleId="Bullet1">
    <w:name w:val="Bullet 1"/>
    <w:basedOn w:val="Normal"/>
    <w:pPr>
      <w:numPr>
        <w:numId w:val="2"/>
      </w:numPr>
    </w:pPr>
  </w:style>
  <w:style w:type="paragraph" w:customStyle="1" w:styleId="Bullet2">
    <w:name w:val="Bullet 2"/>
    <w:basedOn w:val="Normal"/>
    <w:pPr>
      <w:numPr>
        <w:numId w:val="3"/>
      </w:numPr>
    </w:pPr>
  </w:style>
  <w:style w:type="paragraph" w:customStyle="1" w:styleId="Bullet3">
    <w:name w:val="Bullet 3"/>
    <w:basedOn w:val="Normal"/>
    <w:pPr>
      <w:numPr>
        <w:numId w:val="4"/>
      </w:numPr>
    </w:pPr>
  </w:style>
  <w:style w:type="paragraph" w:customStyle="1" w:styleId="Bullet4">
    <w:name w:val="Bullet 4"/>
    <w:basedOn w:val="Normal"/>
    <w:pPr>
      <w:numPr>
        <w:numId w:val="5"/>
      </w:numPr>
    </w:pPr>
  </w:style>
  <w:style w:type="paragraph" w:customStyle="1" w:styleId="ChapterTitle">
    <w:name w:val="ChapterTitle"/>
    <w:basedOn w:val="Normal"/>
    <w:next w:val="Normal"/>
    <w:pPr>
      <w:keepNext/>
      <w:spacing w:after="360"/>
      <w:jc w:val="center"/>
    </w:pPr>
    <w:rPr>
      <w:b/>
      <w:sz w:val="32"/>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Normal"/>
    <w:pPr>
      <w:spacing w:before="240" w:after="240"/>
      <w:ind w:left="5103"/>
    </w:pPr>
    <w:rPr>
      <w:u w:val="single"/>
    </w:rPr>
  </w:style>
  <w:style w:type="paragraph" w:customStyle="1" w:styleId="Considrant">
    <w:name w:val="Considérant"/>
    <w:basedOn w:val="Normal"/>
    <w:pPr>
      <w:numPr>
        <w:numId w:val="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Normal"/>
    <w:pPr>
      <w:spacing w:before="360" w:after="0"/>
      <w:jc w:val="center"/>
    </w:pPr>
    <w:rPr>
      <w:b/>
    </w:rPr>
  </w:style>
  <w:style w:type="paragraph" w:customStyle="1" w:styleId="DatedadoptionPagedecouverture">
    <w:name w:val="Date d'adoption (Page de couverture)"/>
    <w:basedOn w:val="Datedadoption"/>
    <w:next w:val="Normal"/>
  </w:style>
  <w:style w:type="character" w:customStyle="1" w:styleId="Deleted">
    <w:name w:val="Deleted"/>
    <w:rPr>
      <w:strike/>
      <w:shd w:val="clear" w:color="auto" w:fill="auto"/>
    </w:rPr>
  </w:style>
  <w:style w:type="paragraph" w:customStyle="1" w:styleId="Emission">
    <w:name w:val="Emission"/>
    <w:basedOn w:val="Normal"/>
    <w:next w:val="Normal"/>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Normal"/>
    <w:pPr>
      <w:keepNext/>
      <w:spacing w:after="0"/>
    </w:pPr>
  </w:style>
  <w:style w:type="paragraph" w:customStyle="1" w:styleId="Fichefinanciretitre">
    <w:name w:val="Fiche financière titre"/>
    <w:basedOn w:val="Normal"/>
    <w:next w:val="Normal"/>
    <w:pPr>
      <w:jc w:val="center"/>
    </w:pPr>
    <w:rPr>
      <w:b/>
      <w:u w:val="single"/>
    </w:rPr>
  </w:style>
  <w:style w:type="paragraph" w:styleId="Footer">
    <w:name w:val="footer"/>
    <w:basedOn w:val="Normal"/>
    <w:link w:val="FooterChar"/>
    <w:uiPriority w:val="99"/>
    <w:pPr>
      <w:tabs>
        <w:tab w:val="center" w:pos="4535"/>
        <w:tab w:val="right" w:pos="9071"/>
        <w:tab w:val="right" w:pos="9921"/>
      </w:tabs>
      <w:spacing w:before="360" w:after="0"/>
      <w:ind w:left="-850" w:right="-850"/>
      <w:jc w:val="left"/>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aliases w:val="BVI fnr"/>
    <w:semiHidden/>
    <w:rPr>
      <w:shd w:val="clear" w:color="auto" w:fill="auto"/>
      <w:vertAlign w:val="superscript"/>
    </w:rPr>
  </w:style>
  <w:style w:type="paragraph" w:styleId="FootnoteText">
    <w:name w:val="footnote text"/>
    <w:aliases w:val="Fodnotetekst Tegn Tegn Tegn Tegn Tegn Tegn Tegn Char Char,Fodnotetekst Tegn Tegn Tegn Tegn Tegn Tegn Tegn Char Char Char Char,Fodnotetekst Tegn Tegn Tegn Tegn Tegn Tegn Tegn,Fodnotetekst Tegn Tegn Tegn Tegn Tegn Tegn Tegn Tegn Tegn Tegn"/>
    <w:basedOn w:val="Normal"/>
    <w:link w:val="FootnoteTextChar"/>
    <w:uiPriority w:val="99"/>
    <w:semiHidden/>
    <w:pPr>
      <w:spacing w:before="0" w:after="0"/>
      <w:ind w:left="720" w:hanging="720"/>
    </w:pPr>
    <w:rPr>
      <w:sz w:val="20"/>
      <w:szCs w:val="20"/>
    </w:rPr>
  </w:style>
  <w:style w:type="paragraph" w:customStyle="1" w:styleId="Formuledadoption">
    <w:name w:val="Formule d'adoption"/>
    <w:basedOn w:val="Normal"/>
    <w:next w:val="Normal"/>
    <w:pPr>
      <w:keepNext/>
    </w:pPr>
  </w:style>
  <w:style w:type="paragraph" w:styleId="Header">
    <w:name w:val="header"/>
    <w:basedOn w:val="Normal"/>
    <w:pPr>
      <w:tabs>
        <w:tab w:val="center" w:pos="4535"/>
        <w:tab w:val="right" w:pos="9071"/>
      </w:tabs>
    </w:pPr>
  </w:style>
  <w:style w:type="paragraph" w:customStyle="1" w:styleId="HeaderLandscape">
    <w:name w:val="HeaderLandscape"/>
    <w:basedOn w:val="Normal"/>
    <w:pPr>
      <w:tabs>
        <w:tab w:val="center" w:pos="7285"/>
        <w:tab w:val="right" w:pos="14003"/>
      </w:tabs>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Normal"/>
    <w:pPr>
      <w:keepNext/>
      <w:tabs>
        <w:tab w:val="left" w:pos="4252"/>
      </w:tabs>
      <w:spacing w:before="720" w:after="0"/>
    </w:pPr>
    <w:rPr>
      <w:i/>
    </w:rPr>
  </w:style>
  <w:style w:type="paragraph" w:customStyle="1" w:styleId="Languesfaisantfoi">
    <w:name w:val="Langues faisant foi"/>
    <w:basedOn w:val="Normal"/>
    <w:next w:val="Normal"/>
    <w:pPr>
      <w:spacing w:before="360" w:after="0"/>
      <w:jc w:val="center"/>
    </w:pPr>
  </w:style>
  <w:style w:type="paragraph" w:customStyle="1" w:styleId="IntrtEEE">
    <w:name w:val="Intérêt EEE"/>
    <w:basedOn w:val="Languesfaisantfoi"/>
    <w:next w:val="Normal"/>
    <w:pPr>
      <w:spacing w:after="240"/>
    </w:pPr>
  </w:style>
  <w:style w:type="paragraph" w:customStyle="1" w:styleId="IntrtEEEPagedecouverture">
    <w:name w:val="Intérêt EEE (Page de couverture)"/>
    <w:basedOn w:val="IntrtEEE"/>
    <w:next w:val="Normal"/>
  </w:style>
  <w:style w:type="paragraph" w:customStyle="1" w:styleId="Langue">
    <w:name w:val="Langue"/>
    <w:basedOn w:val="Normal"/>
    <w:next w:val="Normal"/>
    <w:pPr>
      <w:framePr w:wrap="around" w:vAnchor="page" w:hAnchor="text" w:xAlign="center" w:y="14741"/>
      <w:spacing w:before="0" w:after="600"/>
      <w:jc w:val="center"/>
    </w:pPr>
    <w:rPr>
      <w:b/>
      <w:caps/>
    </w:rPr>
  </w:style>
  <w:style w:type="paragraph" w:customStyle="1" w:styleId="LanguesfaisantfoiPagedecouverture">
    <w:name w:val="Langues faisant foi (Page de couverture)"/>
    <w:basedOn w:val="Normal"/>
    <w:next w:val="Normal"/>
    <w:pPr>
      <w:spacing w:before="360" w:after="0"/>
      <w:jc w:val="center"/>
    </w:pPr>
  </w:style>
  <w:style w:type="paragraph" w:customStyle="1" w:styleId="ManualConsidrant">
    <w:name w:val="Manual Considérant"/>
    <w:basedOn w:val="Normal"/>
    <w:pPr>
      <w:ind w:left="709" w:hanging="709"/>
    </w:pPr>
  </w:style>
  <w:style w:type="paragraph" w:customStyle="1" w:styleId="ManualHeading1">
    <w:name w:val="Manual Heading 1"/>
    <w:basedOn w:val="Normal"/>
    <w:next w:val="Normal"/>
    <w:pPr>
      <w:keepNext/>
      <w:tabs>
        <w:tab w:val="left" w:pos="850"/>
      </w:tabs>
      <w:spacing w:before="360"/>
      <w:ind w:left="850" w:hanging="850"/>
      <w:outlineLvl w:val="0"/>
    </w:pPr>
    <w:rPr>
      <w:b/>
      <w:smallCaps/>
    </w:rPr>
  </w:style>
  <w:style w:type="paragraph" w:customStyle="1" w:styleId="ManualHeading2">
    <w:name w:val="Manual Heading 2"/>
    <w:basedOn w:val="Normal"/>
    <w:next w:val="Normal"/>
    <w:pPr>
      <w:keepNext/>
      <w:tabs>
        <w:tab w:val="left" w:pos="850"/>
      </w:tabs>
      <w:ind w:left="850" w:hanging="850"/>
      <w:outlineLvl w:val="1"/>
    </w:pPr>
    <w:rPr>
      <w:b/>
    </w:rPr>
  </w:style>
  <w:style w:type="paragraph" w:customStyle="1" w:styleId="ManualHeading3">
    <w:name w:val="Manual Heading 3"/>
    <w:basedOn w:val="Normal"/>
    <w:next w:val="Normal"/>
    <w:pPr>
      <w:keepNext/>
      <w:tabs>
        <w:tab w:val="left" w:pos="850"/>
      </w:tabs>
      <w:ind w:left="850" w:hanging="850"/>
      <w:outlineLvl w:val="2"/>
    </w:pPr>
    <w:rPr>
      <w:i/>
    </w:rPr>
  </w:style>
  <w:style w:type="paragraph" w:customStyle="1" w:styleId="ManualHeading4">
    <w:name w:val="Manual Heading 4"/>
    <w:basedOn w:val="Normal"/>
    <w:next w:val="Normal"/>
    <w:pPr>
      <w:keepNext/>
      <w:tabs>
        <w:tab w:val="left" w:pos="850"/>
      </w:tabs>
      <w:ind w:left="850" w:hanging="850"/>
      <w:outlineLvl w:val="3"/>
    </w:pPr>
  </w:style>
  <w:style w:type="paragraph" w:customStyle="1" w:styleId="ManualNumPar1">
    <w:name w:val="Manual NumPar 1"/>
    <w:basedOn w:val="Normal"/>
    <w:next w:val="Normal"/>
    <w:pPr>
      <w:ind w:left="850" w:hanging="850"/>
    </w:pPr>
  </w:style>
  <w:style w:type="paragraph" w:customStyle="1" w:styleId="ManualNumPar2">
    <w:name w:val="Manual NumPar 2"/>
    <w:basedOn w:val="Normal"/>
    <w:next w:val="Normal"/>
    <w:pPr>
      <w:ind w:left="850" w:hanging="850"/>
    </w:pPr>
  </w:style>
  <w:style w:type="paragraph" w:customStyle="1" w:styleId="ManualNumPar3">
    <w:name w:val="Manual NumPar 3"/>
    <w:basedOn w:val="Normal"/>
    <w:next w:val="Normal"/>
    <w:pPr>
      <w:ind w:left="850" w:hanging="850"/>
    </w:pPr>
  </w:style>
  <w:style w:type="paragraph" w:customStyle="1" w:styleId="ManualNumPar4">
    <w:name w:val="Manual NumPar 4"/>
    <w:basedOn w:val="Normal"/>
    <w:next w:val="Normal"/>
    <w:pPr>
      <w:ind w:left="850" w:hanging="850"/>
    </w:pPr>
  </w:style>
  <w:style w:type="character" w:customStyle="1" w:styleId="Marker">
    <w:name w:val="Marker"/>
    <w:rPr>
      <w:color w:val="0000FF"/>
      <w:shd w:val="clear" w:color="auto" w:fill="auto"/>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NumPar1">
    <w:name w:val="NumPar 1"/>
    <w:basedOn w:val="Normal"/>
    <w:next w:val="Normal"/>
    <w:pPr>
      <w:numPr>
        <w:numId w:val="9"/>
      </w:numPr>
    </w:pPr>
  </w:style>
  <w:style w:type="paragraph" w:customStyle="1" w:styleId="NumPar2">
    <w:name w:val="NumPar 2"/>
    <w:basedOn w:val="Normal"/>
    <w:next w:val="Normal"/>
    <w:pPr>
      <w:numPr>
        <w:ilvl w:val="1"/>
        <w:numId w:val="9"/>
      </w:numPr>
    </w:pPr>
  </w:style>
  <w:style w:type="paragraph" w:customStyle="1" w:styleId="NumPar3">
    <w:name w:val="NumPar 3"/>
    <w:basedOn w:val="Normal"/>
    <w:next w:val="Normal"/>
    <w:pPr>
      <w:numPr>
        <w:ilvl w:val="2"/>
        <w:numId w:val="9"/>
      </w:numPr>
    </w:pPr>
  </w:style>
  <w:style w:type="paragraph" w:customStyle="1" w:styleId="NumPar4">
    <w:name w:val="NumPar 4"/>
    <w:basedOn w:val="Normal"/>
    <w:next w:val="Normal"/>
    <w:pPr>
      <w:numPr>
        <w:ilvl w:val="3"/>
        <w:numId w:val="9"/>
      </w:numPr>
    </w:pPr>
  </w:style>
  <w:style w:type="paragraph" w:customStyle="1" w:styleId="Objetacteprincipal">
    <w:name w:val="Objet acte principal"/>
    <w:basedOn w:val="Normal"/>
    <w:next w:val="Normal"/>
    <w:pPr>
      <w:spacing w:before="0" w:after="360"/>
      <w:jc w:val="center"/>
    </w:pPr>
    <w:rPr>
      <w:b/>
    </w:rPr>
  </w:style>
  <w:style w:type="paragraph" w:customStyle="1" w:styleId="ObjetacteprincipalPagedecouverture">
    <w:name w:val="Objet acte principal (Page de couverture)"/>
    <w:basedOn w:val="Objetacteprincipal"/>
    <w:next w:val="Normal"/>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style>
  <w:style w:type="paragraph" w:customStyle="1" w:styleId="PartTitle">
    <w:name w:val="PartTitle"/>
    <w:basedOn w:val="Normal"/>
    <w:next w:val="ChapterTitle"/>
    <w:pPr>
      <w:keepNext/>
      <w:pageBreakBefore/>
      <w:spacing w:after="360"/>
      <w:jc w:val="center"/>
    </w:pPr>
    <w:rPr>
      <w:b/>
      <w:sz w:val="36"/>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Point0">
    <w:name w:val="Point 0"/>
    <w:basedOn w:val="Normal"/>
    <w:pPr>
      <w:ind w:left="850" w:hanging="850"/>
    </w:pPr>
  </w:style>
  <w:style w:type="paragraph" w:customStyle="1" w:styleId="Point0letter">
    <w:name w:val="Point 0 (letter)"/>
    <w:basedOn w:val="Normal"/>
    <w:pPr>
      <w:numPr>
        <w:ilvl w:val="1"/>
        <w:numId w:val="10"/>
      </w:numPr>
    </w:pPr>
  </w:style>
  <w:style w:type="paragraph" w:customStyle="1" w:styleId="Point0number">
    <w:name w:val="Point 0 (number)"/>
    <w:basedOn w:val="Normal"/>
    <w:pPr>
      <w:numPr>
        <w:numId w:val="10"/>
      </w:numPr>
    </w:pPr>
  </w:style>
  <w:style w:type="paragraph" w:customStyle="1" w:styleId="Point1">
    <w:name w:val="Point 1"/>
    <w:basedOn w:val="Normal"/>
    <w:pPr>
      <w:ind w:left="1417" w:hanging="567"/>
    </w:pPr>
  </w:style>
  <w:style w:type="paragraph" w:customStyle="1" w:styleId="Point1letter">
    <w:name w:val="Point 1 (letter)"/>
    <w:basedOn w:val="Normal"/>
    <w:pPr>
      <w:numPr>
        <w:ilvl w:val="3"/>
        <w:numId w:val="10"/>
      </w:numPr>
    </w:pPr>
  </w:style>
  <w:style w:type="paragraph" w:customStyle="1" w:styleId="Point1number">
    <w:name w:val="Point 1 (number)"/>
    <w:basedOn w:val="Normal"/>
    <w:pPr>
      <w:numPr>
        <w:ilvl w:val="2"/>
        <w:numId w:val="10"/>
      </w:numPr>
    </w:pPr>
  </w:style>
  <w:style w:type="paragraph" w:customStyle="1" w:styleId="Point2">
    <w:name w:val="Point 2"/>
    <w:basedOn w:val="Normal"/>
    <w:pPr>
      <w:ind w:left="1984" w:hanging="567"/>
    </w:pPr>
  </w:style>
  <w:style w:type="paragraph" w:customStyle="1" w:styleId="Point2letter">
    <w:name w:val="Point 2 (letter)"/>
    <w:basedOn w:val="Normal"/>
    <w:pPr>
      <w:numPr>
        <w:ilvl w:val="5"/>
        <w:numId w:val="10"/>
      </w:numPr>
    </w:pPr>
  </w:style>
  <w:style w:type="paragraph" w:customStyle="1" w:styleId="Point2number">
    <w:name w:val="Point 2 (number)"/>
    <w:basedOn w:val="Normal"/>
    <w:pPr>
      <w:numPr>
        <w:ilvl w:val="4"/>
        <w:numId w:val="10"/>
      </w:numPr>
    </w:pPr>
  </w:style>
  <w:style w:type="paragraph" w:customStyle="1" w:styleId="Point3">
    <w:name w:val="Point 3"/>
    <w:basedOn w:val="Normal"/>
    <w:pPr>
      <w:ind w:left="2551" w:hanging="567"/>
    </w:pPr>
  </w:style>
  <w:style w:type="paragraph" w:customStyle="1" w:styleId="Point3letter">
    <w:name w:val="Point 3 (letter)"/>
    <w:basedOn w:val="Normal"/>
    <w:pPr>
      <w:numPr>
        <w:ilvl w:val="7"/>
        <w:numId w:val="10"/>
      </w:numPr>
    </w:pPr>
  </w:style>
  <w:style w:type="paragraph" w:customStyle="1" w:styleId="Point3number">
    <w:name w:val="Point 3 (number)"/>
    <w:basedOn w:val="Normal"/>
    <w:pPr>
      <w:numPr>
        <w:ilvl w:val="6"/>
        <w:numId w:val="10"/>
      </w:numPr>
    </w:pPr>
  </w:style>
  <w:style w:type="paragraph" w:customStyle="1" w:styleId="Point4">
    <w:name w:val="Point 4"/>
    <w:basedOn w:val="Normal"/>
    <w:pPr>
      <w:ind w:left="3118" w:hanging="567"/>
    </w:pPr>
  </w:style>
  <w:style w:type="paragraph" w:customStyle="1" w:styleId="Point4letter">
    <w:name w:val="Point 4 (letter)"/>
    <w:basedOn w:val="Normal"/>
    <w:pPr>
      <w:numPr>
        <w:ilvl w:val="8"/>
        <w:numId w:val="1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QuotedNumPar">
    <w:name w:val="Quoted NumPar"/>
    <w:basedOn w:val="Normal"/>
    <w:pPr>
      <w:ind w:left="1417" w:hanging="567"/>
    </w:pPr>
  </w:style>
  <w:style w:type="paragraph" w:customStyle="1" w:styleId="QuotedText">
    <w:name w:val="Quoted Text"/>
    <w:basedOn w:val="Normal"/>
    <w:pPr>
      <w:ind w:left="1417"/>
    </w:pPr>
  </w:style>
  <w:style w:type="paragraph" w:customStyle="1" w:styleId="Rfrencecroise">
    <w:name w:val="Référence croisée"/>
    <w:basedOn w:val="Normal"/>
    <w:pPr>
      <w:spacing w:before="0" w:after="0"/>
      <w:jc w:val="center"/>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Normal"/>
    <w:pPr>
      <w:spacing w:before="0" w:after="0"/>
      <w:ind w:left="5103"/>
      <w:jc w:val="left"/>
    </w:pPr>
  </w:style>
  <w:style w:type="paragraph" w:customStyle="1" w:styleId="RfrenceinterinstitutionnellePagedecouverture">
    <w:name w:val="Référence interinstitutionnelle (Page de couverture)"/>
    <w:basedOn w:val="Rfrenceinterinstitutionnelle"/>
    <w:next w:val="Confidentialit"/>
  </w:style>
  <w:style w:type="paragraph" w:customStyle="1" w:styleId="Rfrenceinterne">
    <w:name w:val="Référence interne"/>
    <w:basedOn w:val="Normal"/>
    <w:next w:val="Rfrenceinterinstitutionnelle"/>
    <w:pPr>
      <w:spacing w:before="0" w:after="0"/>
      <w:ind w:left="5103"/>
      <w:jc w:val="left"/>
    </w:pPr>
  </w:style>
  <w:style w:type="paragraph" w:customStyle="1" w:styleId="SectionTitle">
    <w:name w:val="SectionTitle"/>
    <w:basedOn w:val="Normal"/>
    <w:next w:val="Heading1"/>
    <w:pPr>
      <w:keepNext/>
      <w:spacing w:after="360"/>
      <w:jc w:val="center"/>
    </w:pPr>
    <w:rPr>
      <w:b/>
      <w:smallCaps/>
      <w:sz w:val="28"/>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customStyle="1" w:styleId="Statut">
    <w:name w:val="Statut"/>
    <w:basedOn w:val="Normal"/>
    <w:next w:val="Normal"/>
    <w:pPr>
      <w:spacing w:before="360" w:after="0"/>
      <w:jc w:val="center"/>
    </w:pPr>
  </w:style>
  <w:style w:type="paragraph" w:customStyle="1" w:styleId="StatutPagedecouverture">
    <w:name w:val="Statut (Page de couverture)"/>
    <w:basedOn w:val="Statut"/>
    <w:next w:val="Normal"/>
  </w:style>
  <w:style w:type="paragraph" w:customStyle="1" w:styleId="Supertitre">
    <w:name w:val="Supertitre"/>
    <w:basedOn w:val="Normal"/>
    <w:next w:val="Normal"/>
    <w:pPr>
      <w:spacing w:before="0" w:after="600"/>
      <w:jc w:val="center"/>
    </w:pPr>
    <w:rPr>
      <w:b/>
    </w:rPr>
  </w:style>
  <w:style w:type="paragraph" w:customStyle="1" w:styleId="TableTitle">
    <w:name w:val="Table Title"/>
    <w:basedOn w:val="Normal"/>
    <w:next w:val="Normal"/>
    <w:pPr>
      <w:jc w:val="center"/>
    </w:pPr>
    <w:rPr>
      <w:b/>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Tiret0">
    <w:name w:val="Tiret 0"/>
    <w:basedOn w:val="Point0"/>
    <w:pPr>
      <w:numPr>
        <w:numId w:val="11"/>
      </w:numPr>
    </w:pPr>
  </w:style>
  <w:style w:type="paragraph" w:customStyle="1" w:styleId="Tiret1">
    <w:name w:val="Tiret 1"/>
    <w:basedOn w:val="Point1"/>
    <w:pPr>
      <w:numPr>
        <w:numId w:val="12"/>
      </w:numPr>
    </w:pPr>
  </w:style>
  <w:style w:type="paragraph" w:customStyle="1" w:styleId="Tiret2">
    <w:name w:val="Tiret 2"/>
    <w:basedOn w:val="Point2"/>
    <w:pPr>
      <w:numPr>
        <w:numId w:val="13"/>
      </w:numPr>
    </w:pPr>
  </w:style>
  <w:style w:type="paragraph" w:customStyle="1" w:styleId="Tiret3">
    <w:name w:val="Tiret 3"/>
    <w:basedOn w:val="Point3"/>
    <w:pPr>
      <w:numPr>
        <w:numId w:val="14"/>
      </w:numPr>
    </w:pPr>
  </w:style>
  <w:style w:type="paragraph" w:customStyle="1" w:styleId="Tiret4">
    <w:name w:val="Tiret 4"/>
    <w:basedOn w:val="Point4"/>
    <w:pPr>
      <w:numPr>
        <w:numId w:val="15"/>
      </w:numP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itreobjetPagedecouverture">
    <w:name w:val="Titre objet (Page de couverture)"/>
    <w:basedOn w:val="Titreobjet"/>
    <w:next w:val="Sous-titreobjetPagedecouverture"/>
  </w:style>
  <w:style w:type="paragraph" w:styleId="TOC1">
    <w:name w:val="toc 1"/>
    <w:basedOn w:val="Normal"/>
    <w:next w:val="Normal"/>
    <w:uiPriority w:val="39"/>
    <w:qFormat/>
    <w:pPr>
      <w:tabs>
        <w:tab w:val="right" w:leader="dot" w:pos="9071"/>
      </w:tabs>
      <w:spacing w:before="60"/>
      <w:ind w:left="850" w:hanging="850"/>
      <w:jc w:val="left"/>
    </w:pPr>
  </w:style>
  <w:style w:type="paragraph" w:styleId="TOC2">
    <w:name w:val="toc 2"/>
    <w:basedOn w:val="Normal"/>
    <w:next w:val="Normal"/>
    <w:uiPriority w:val="39"/>
    <w:qFormat/>
    <w:pPr>
      <w:tabs>
        <w:tab w:val="right" w:leader="dot" w:pos="9071"/>
      </w:tabs>
      <w:spacing w:before="60"/>
      <w:ind w:left="850" w:hanging="850"/>
      <w:jc w:val="left"/>
    </w:pPr>
  </w:style>
  <w:style w:type="paragraph" w:styleId="TOC3">
    <w:name w:val="toc 3"/>
    <w:basedOn w:val="Normal"/>
    <w:next w:val="Normal"/>
    <w:uiPriority w:val="39"/>
    <w:qFormat/>
    <w:pPr>
      <w:tabs>
        <w:tab w:val="right" w:leader="dot" w:pos="9071"/>
      </w:tabs>
      <w:spacing w:before="60"/>
      <w:ind w:left="850" w:hanging="850"/>
      <w:jc w:val="left"/>
    </w:pPr>
  </w:style>
  <w:style w:type="paragraph" w:styleId="TOC4">
    <w:name w:val="toc 4"/>
    <w:basedOn w:val="Normal"/>
    <w:next w:val="Normal"/>
    <w:semiHidden/>
    <w:pPr>
      <w:tabs>
        <w:tab w:val="right" w:leader="dot" w:pos="9071"/>
      </w:tabs>
      <w:spacing w:before="60"/>
      <w:ind w:left="850" w:hanging="850"/>
      <w:jc w:val="left"/>
    </w:pPr>
  </w:style>
  <w:style w:type="paragraph" w:styleId="TOC5">
    <w:name w:val="toc 5"/>
    <w:basedOn w:val="Normal"/>
    <w:next w:val="Normal"/>
    <w:semiHidden/>
    <w:pPr>
      <w:tabs>
        <w:tab w:val="right" w:leader="dot" w:pos="9071"/>
      </w:tabs>
      <w:spacing w:before="300"/>
      <w:jc w:val="left"/>
    </w:pPr>
  </w:style>
  <w:style w:type="paragraph" w:styleId="TOC6">
    <w:name w:val="toc 6"/>
    <w:basedOn w:val="Normal"/>
    <w:next w:val="Normal"/>
    <w:semiHidden/>
    <w:pPr>
      <w:tabs>
        <w:tab w:val="right" w:leader="dot" w:pos="9071"/>
      </w:tabs>
      <w:spacing w:before="240"/>
      <w:jc w:val="left"/>
    </w:pPr>
  </w:style>
  <w:style w:type="paragraph" w:styleId="TOC7">
    <w:name w:val="toc 7"/>
    <w:basedOn w:val="Normal"/>
    <w:next w:val="Normal"/>
    <w:semiHidden/>
    <w:pPr>
      <w:tabs>
        <w:tab w:val="right" w:leader="dot" w:pos="9071"/>
      </w:tabs>
      <w:spacing w:before="180"/>
      <w:jc w:val="left"/>
    </w:pPr>
  </w:style>
  <w:style w:type="paragraph" w:styleId="TOC8">
    <w:name w:val="toc 8"/>
    <w:basedOn w:val="Normal"/>
    <w:next w:val="Normal"/>
    <w:semiHidden/>
    <w:pPr>
      <w:tabs>
        <w:tab w:val="right" w:leader="dot" w:pos="9071"/>
      </w:tabs>
      <w:jc w:val="left"/>
    </w:pPr>
  </w:style>
  <w:style w:type="paragraph" w:styleId="TOC9">
    <w:name w:val="toc 9"/>
    <w:basedOn w:val="Normal"/>
    <w:next w:val="Normal"/>
    <w:semiHidden/>
    <w:pPr>
      <w:tabs>
        <w:tab w:val="right" w:leader="dot" w:pos="9071"/>
      </w:tabs>
    </w:pPr>
  </w:style>
  <w:style w:type="paragraph" w:styleId="TOCHeading">
    <w:name w:val="TOC Heading"/>
    <w:basedOn w:val="Normal"/>
    <w:next w:val="Normal"/>
    <w:link w:val="TOCHeadingChar"/>
    <w:uiPriority w:val="39"/>
    <w:qFormat/>
    <w:pPr>
      <w:spacing w:after="240"/>
      <w:jc w:val="center"/>
    </w:pPr>
    <w:rPr>
      <w:b/>
      <w:sz w:val="28"/>
    </w:rPr>
  </w:style>
  <w:style w:type="paragraph" w:customStyle="1" w:styleId="Typeacteprincipal">
    <w:name w:val="Type acte principal"/>
    <w:basedOn w:val="Normal"/>
    <w:next w:val="Objetacteprincipal"/>
    <w:pPr>
      <w:spacing w:before="0" w:after="240"/>
      <w:jc w:val="center"/>
    </w:pPr>
    <w:rPr>
      <w:b/>
    </w:rPr>
  </w:style>
  <w:style w:type="paragraph" w:customStyle="1" w:styleId="TypeacteprincipalPagedecouverture">
    <w:name w:val="Type acte principal (Page de couverture)"/>
    <w:basedOn w:val="Typeacteprincipal"/>
    <w:next w:val="ObjetacteprincipalPagedecouverture"/>
  </w:style>
  <w:style w:type="paragraph" w:customStyle="1" w:styleId="Typedudocument">
    <w:name w:val="Type du document"/>
    <w:basedOn w:val="Normal"/>
    <w:next w:val="Titreobjet"/>
    <w:pPr>
      <w:spacing w:before="360" w:after="0"/>
      <w:jc w:val="center"/>
    </w:pPr>
    <w:rPr>
      <w:b/>
    </w:rPr>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character" w:customStyle="1" w:styleId="Funotenzeichen">
    <w:name w:val="Fußnotenzeichen"/>
    <w:rPr>
      <w:rFonts w:cs="Times New Roman"/>
      <w:shd w:val="clear" w:color="auto" w:fill="auto"/>
      <w:vertAlign w:val="superscript"/>
    </w:rPr>
  </w:style>
  <w:style w:type="character" w:styleId="Hyperlink">
    <w:name w:val="Hyperlink"/>
    <w:uiPriority w:val="99"/>
    <w:rPr>
      <w:rFonts w:cs="Times New Roman"/>
      <w:color w:val="0000FF"/>
      <w:u w:val="single"/>
      <w:shd w:val="clear" w:color="auto" w:fill="auto"/>
    </w:rPr>
  </w:style>
  <w:style w:type="character" w:styleId="Emphasis">
    <w:name w:val="Emphasis"/>
    <w:qFormat/>
    <w:rPr>
      <w:rFonts w:cs="Times New Roman"/>
      <w:i/>
      <w:iCs/>
      <w:shd w:val="clear" w:color="auto" w:fill="auto"/>
    </w:rPr>
  </w:style>
  <w:style w:type="paragraph" w:styleId="ListBullet">
    <w:name w:val="List Bullet"/>
    <w:basedOn w:val="Normal"/>
    <w:pPr>
      <w:numPr>
        <w:numId w:val="30"/>
      </w:numPr>
    </w:pPr>
  </w:style>
  <w:style w:type="paragraph" w:styleId="ListNumber">
    <w:name w:val="List Number"/>
    <w:basedOn w:val="Normal"/>
    <w:pPr>
      <w:numPr>
        <w:numId w:val="16"/>
      </w:numPr>
    </w:pPr>
  </w:style>
  <w:style w:type="paragraph" w:customStyle="1" w:styleId="ListDash">
    <w:name w:val="List Dash"/>
    <w:basedOn w:val="Normal"/>
    <w:pPr>
      <w:numPr>
        <w:numId w:val="25"/>
      </w:numPr>
    </w:pPr>
  </w:style>
  <w:style w:type="paragraph" w:customStyle="1" w:styleId="ListNumberLevel2">
    <w:name w:val="List Number (Level 2)"/>
    <w:basedOn w:val="Normal"/>
    <w:pPr>
      <w:numPr>
        <w:ilvl w:val="1"/>
        <w:numId w:val="16"/>
      </w:numPr>
    </w:pPr>
  </w:style>
  <w:style w:type="paragraph" w:customStyle="1" w:styleId="ListNumberLevel3">
    <w:name w:val="List Number (Level 3)"/>
    <w:basedOn w:val="Normal"/>
    <w:pPr>
      <w:numPr>
        <w:ilvl w:val="2"/>
        <w:numId w:val="16"/>
      </w:numPr>
    </w:pPr>
  </w:style>
  <w:style w:type="paragraph" w:customStyle="1" w:styleId="ListNumberLevel4">
    <w:name w:val="List Number (Level 4)"/>
    <w:basedOn w:val="Normal"/>
    <w:pPr>
      <w:numPr>
        <w:ilvl w:val="3"/>
        <w:numId w:val="16"/>
      </w:numPr>
    </w:p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character" w:styleId="CommentReference">
    <w:name w:val="annotation reference"/>
    <w:rPr>
      <w:sz w:val="16"/>
      <w:szCs w:val="16"/>
      <w:shd w:val="clear" w:color="auto" w:fill="aut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link w:val="BalloonText"/>
    <w:rPr>
      <w:rFonts w:ascii="Tahoma" w:hAnsi="Tahoma" w:cs="Tahoma"/>
      <w:sz w:val="16"/>
      <w:szCs w:val="16"/>
      <w:shd w:val="clear" w:color="auto" w:fill="auto"/>
      <w:lang w:eastAsia="fr-FR"/>
    </w:rPr>
  </w:style>
  <w:style w:type="paragraph" w:styleId="ListNumber2">
    <w:name w:val="List Number 2"/>
    <w:basedOn w:val="Normal"/>
    <w:pPr>
      <w:numPr>
        <w:numId w:val="18"/>
      </w:numPr>
    </w:pPr>
  </w:style>
  <w:style w:type="paragraph" w:styleId="ListNumber3">
    <w:name w:val="List Number 3"/>
    <w:basedOn w:val="Normal"/>
    <w:pPr>
      <w:numPr>
        <w:numId w:val="19"/>
      </w:numPr>
    </w:pPr>
  </w:style>
  <w:style w:type="paragraph" w:styleId="ListNumber4">
    <w:name w:val="List Number 4"/>
    <w:basedOn w:val="Normal"/>
    <w:pPr>
      <w:numPr>
        <w:numId w:val="20"/>
      </w:numPr>
    </w:pPr>
  </w:style>
  <w:style w:type="paragraph" w:customStyle="1" w:styleId="ListNumber1">
    <w:name w:val="List Number 1"/>
    <w:basedOn w:val="Text1"/>
    <w:pPr>
      <w:numPr>
        <w:numId w:val="17"/>
      </w:numPr>
    </w:pPr>
  </w:style>
  <w:style w:type="paragraph" w:customStyle="1" w:styleId="ListNumber1Level2">
    <w:name w:val="List Number 1 (Level 2)"/>
    <w:basedOn w:val="Text1"/>
    <w:pPr>
      <w:numPr>
        <w:ilvl w:val="1"/>
        <w:numId w:val="17"/>
      </w:numPr>
    </w:pPr>
  </w:style>
  <w:style w:type="paragraph" w:customStyle="1" w:styleId="ListNumber2Level2">
    <w:name w:val="List Number 2 (Level 2)"/>
    <w:basedOn w:val="Text2"/>
    <w:pPr>
      <w:numPr>
        <w:ilvl w:val="1"/>
        <w:numId w:val="18"/>
      </w:numPr>
    </w:pPr>
  </w:style>
  <w:style w:type="paragraph" w:customStyle="1" w:styleId="ListNumber3Level2">
    <w:name w:val="List Number 3 (Level 2)"/>
    <w:basedOn w:val="Text3"/>
    <w:pPr>
      <w:numPr>
        <w:ilvl w:val="1"/>
        <w:numId w:val="19"/>
      </w:numPr>
    </w:pPr>
  </w:style>
  <w:style w:type="paragraph" w:customStyle="1" w:styleId="ListNumber4Level2">
    <w:name w:val="List Number 4 (Level 2)"/>
    <w:basedOn w:val="Text4"/>
    <w:pPr>
      <w:numPr>
        <w:ilvl w:val="1"/>
        <w:numId w:val="20"/>
      </w:numPr>
    </w:pPr>
  </w:style>
  <w:style w:type="paragraph" w:customStyle="1" w:styleId="ListNumber1Level3">
    <w:name w:val="List Number 1 (Level 3)"/>
    <w:basedOn w:val="Text1"/>
    <w:pPr>
      <w:numPr>
        <w:ilvl w:val="2"/>
        <w:numId w:val="17"/>
      </w:numPr>
    </w:pPr>
  </w:style>
  <w:style w:type="paragraph" w:customStyle="1" w:styleId="ListNumber2Level3">
    <w:name w:val="List Number 2 (Level 3)"/>
    <w:basedOn w:val="Text2"/>
    <w:pPr>
      <w:numPr>
        <w:ilvl w:val="2"/>
        <w:numId w:val="18"/>
      </w:numPr>
    </w:pPr>
  </w:style>
  <w:style w:type="paragraph" w:customStyle="1" w:styleId="ListNumber3Level3">
    <w:name w:val="List Number 3 (Level 3)"/>
    <w:basedOn w:val="Text3"/>
    <w:pPr>
      <w:numPr>
        <w:ilvl w:val="2"/>
        <w:numId w:val="19"/>
      </w:numPr>
    </w:pPr>
  </w:style>
  <w:style w:type="paragraph" w:customStyle="1" w:styleId="ListNumber4Level3">
    <w:name w:val="List Number 4 (Level 3)"/>
    <w:basedOn w:val="Text4"/>
    <w:pPr>
      <w:numPr>
        <w:ilvl w:val="2"/>
        <w:numId w:val="20"/>
      </w:numPr>
    </w:pPr>
  </w:style>
  <w:style w:type="paragraph" w:customStyle="1" w:styleId="ListNumber1Level4">
    <w:name w:val="List Number 1 (Level 4)"/>
    <w:basedOn w:val="Text1"/>
    <w:pPr>
      <w:numPr>
        <w:ilvl w:val="3"/>
        <w:numId w:val="17"/>
      </w:numPr>
    </w:pPr>
  </w:style>
  <w:style w:type="paragraph" w:customStyle="1" w:styleId="ListNumber2Level4">
    <w:name w:val="List Number 2 (Level 4)"/>
    <w:basedOn w:val="Text2"/>
    <w:pPr>
      <w:numPr>
        <w:ilvl w:val="3"/>
        <w:numId w:val="18"/>
      </w:numPr>
    </w:pPr>
  </w:style>
  <w:style w:type="paragraph" w:customStyle="1" w:styleId="ListNumber3Level4">
    <w:name w:val="List Number 3 (Level 4)"/>
    <w:basedOn w:val="Text3"/>
    <w:pPr>
      <w:numPr>
        <w:ilvl w:val="3"/>
        <w:numId w:val="19"/>
      </w:numPr>
    </w:pPr>
  </w:style>
  <w:style w:type="paragraph" w:customStyle="1" w:styleId="ListNumber4Level4">
    <w:name w:val="List Number 4 (Level 4)"/>
    <w:basedOn w:val="Text4"/>
    <w:pPr>
      <w:numPr>
        <w:ilvl w:val="3"/>
        <w:numId w:val="20"/>
      </w:numPr>
    </w:pPr>
  </w:style>
  <w:style w:type="paragraph" w:customStyle="1" w:styleId="ListBullet1">
    <w:name w:val="List Bullet 1"/>
    <w:basedOn w:val="Normal"/>
    <w:pPr>
      <w:numPr>
        <w:numId w:val="21"/>
      </w:numPr>
    </w:pPr>
  </w:style>
  <w:style w:type="paragraph" w:styleId="ListBullet2">
    <w:name w:val="List Bullet 2"/>
    <w:basedOn w:val="Normal"/>
    <w:pPr>
      <w:numPr>
        <w:numId w:val="22"/>
      </w:numPr>
    </w:pPr>
  </w:style>
  <w:style w:type="paragraph" w:styleId="ListBullet3">
    <w:name w:val="List Bullet 3"/>
    <w:basedOn w:val="Normal"/>
    <w:pPr>
      <w:numPr>
        <w:numId w:val="23"/>
      </w:numPr>
    </w:pPr>
  </w:style>
  <w:style w:type="paragraph" w:styleId="ListBullet4">
    <w:name w:val="List Bullet 4"/>
    <w:basedOn w:val="Normal"/>
    <w:pPr>
      <w:numPr>
        <w:numId w:val="24"/>
      </w:numPr>
    </w:pPr>
  </w:style>
  <w:style w:type="paragraph" w:customStyle="1" w:styleId="ListDash1">
    <w:name w:val="List Dash 1"/>
    <w:basedOn w:val="Normal"/>
    <w:pPr>
      <w:numPr>
        <w:numId w:val="26"/>
      </w:numPr>
    </w:pPr>
  </w:style>
  <w:style w:type="paragraph" w:customStyle="1" w:styleId="ListDash2">
    <w:name w:val="List Dash 2"/>
    <w:basedOn w:val="Normal"/>
    <w:pPr>
      <w:numPr>
        <w:numId w:val="27"/>
      </w:numPr>
    </w:pPr>
  </w:style>
  <w:style w:type="paragraph" w:customStyle="1" w:styleId="ListDash3">
    <w:name w:val="List Dash 3"/>
    <w:basedOn w:val="Normal"/>
    <w:pPr>
      <w:numPr>
        <w:numId w:val="28"/>
      </w:numPr>
    </w:pPr>
  </w:style>
  <w:style w:type="paragraph" w:customStyle="1" w:styleId="ListDash4">
    <w:name w:val="List Dash 4"/>
    <w:basedOn w:val="Normal"/>
    <w:pPr>
      <w:numPr>
        <w:numId w:val="29"/>
      </w:numPr>
    </w:pPr>
  </w:style>
  <w:style w:type="paragraph" w:styleId="CommentText">
    <w:name w:val="annotation text"/>
    <w:basedOn w:val="Normal"/>
    <w:link w:val="CommentTextChar"/>
    <w:rPr>
      <w:sz w:val="20"/>
      <w:szCs w:val="20"/>
    </w:rPr>
  </w:style>
  <w:style w:type="character" w:customStyle="1" w:styleId="CommentTextChar">
    <w:name w:val="Comment Text Char"/>
    <w:link w:val="CommentText"/>
    <w:rPr>
      <w:shd w:val="clear" w:color="auto" w:fill="auto"/>
      <w:lang w:eastAsia="fr-FR"/>
    </w:rPr>
  </w:style>
  <w:style w:type="paragraph" w:styleId="CommentSubject">
    <w:name w:val="annotation subject"/>
    <w:basedOn w:val="CommentText"/>
    <w:next w:val="CommentText"/>
    <w:link w:val="CommentSubjectChar"/>
    <w:rPr>
      <w:b/>
      <w:bCs/>
    </w:rPr>
  </w:style>
  <w:style w:type="character" w:customStyle="1" w:styleId="CommentSubjectChar">
    <w:name w:val="Comment Subject Char"/>
    <w:link w:val="CommentSubject"/>
    <w:rPr>
      <w:b/>
      <w:bCs/>
      <w:shd w:val="clear" w:color="auto" w:fill="auto"/>
      <w:lang w:eastAsia="fr-FR"/>
    </w:rPr>
  </w:style>
  <w:style w:type="paragraph" w:customStyle="1" w:styleId="Default">
    <w:name w:val="Default"/>
    <w:pPr>
      <w:autoSpaceDE w:val="0"/>
      <w:autoSpaceDN w:val="0"/>
      <w:adjustRightInd w:val="0"/>
    </w:pPr>
    <w:rPr>
      <w:color w:val="000000"/>
      <w:sz w:val="24"/>
      <w:szCs w:val="24"/>
    </w:rPr>
  </w:style>
  <w:style w:type="paragraph" w:styleId="DocumentMap">
    <w:name w:val="Document Map"/>
    <w:basedOn w:val="Normal"/>
    <w:link w:val="DocumentMapChar"/>
    <w:pPr>
      <w:shd w:val="clear" w:color="auto" w:fill="000080"/>
    </w:pPr>
    <w:rPr>
      <w:rFonts w:ascii="Tahoma" w:hAnsi="Tahoma" w:cs="Tahoma"/>
      <w:sz w:val="20"/>
      <w:szCs w:val="20"/>
    </w:rPr>
  </w:style>
  <w:style w:type="character" w:customStyle="1" w:styleId="DocumentMapChar">
    <w:name w:val="Document Map Char"/>
    <w:link w:val="DocumentMap"/>
    <w:rPr>
      <w:rFonts w:ascii="Tahoma" w:hAnsi="Tahoma" w:cs="Tahoma"/>
      <w:shd w:val="clear" w:color="auto" w:fill="000080"/>
      <w:lang w:eastAsia="fr-FR"/>
    </w:rPr>
  </w:style>
  <w:style w:type="character" w:customStyle="1" w:styleId="FootnoteTextChar">
    <w:name w:val="Footnote Text Char"/>
    <w:aliases w:val="Fodnotetekst Tegn Tegn Tegn Tegn Tegn Tegn Tegn Char Char Char,Fodnotetekst Tegn Tegn Tegn Tegn Tegn Tegn Tegn Char Char Char Char Char,Fodnotetekst Tegn Tegn Tegn Tegn Tegn Tegn Tegn Char"/>
    <w:link w:val="FootnoteText"/>
    <w:uiPriority w:val="99"/>
    <w:semiHidden/>
    <w:rPr>
      <w:lang w:eastAsia="fr-FR"/>
    </w:rPr>
  </w:style>
  <w:style w:type="paragraph" w:customStyle="1" w:styleId="FooterCoverPage">
    <w:name w:val="Footer Cover Page"/>
    <w:basedOn w:val="Normal"/>
    <w:link w:val="FooterCoverPageChar"/>
    <w:pPr>
      <w:tabs>
        <w:tab w:val="center" w:pos="4535"/>
        <w:tab w:val="right" w:pos="9071"/>
        <w:tab w:val="right" w:pos="9921"/>
      </w:tabs>
      <w:spacing w:before="360" w:after="0"/>
      <w:ind w:left="-850" w:right="-850"/>
      <w:jc w:val="left"/>
    </w:pPr>
  </w:style>
  <w:style w:type="character" w:customStyle="1" w:styleId="TOCHeadingChar">
    <w:name w:val="TOC Heading Char"/>
    <w:link w:val="TOCHeading"/>
    <w:uiPriority w:val="39"/>
    <w:rPr>
      <w:b/>
      <w:sz w:val="28"/>
      <w:szCs w:val="24"/>
      <w:shd w:val="clear" w:color="auto" w:fill="auto"/>
      <w:lang w:eastAsia="fr-FR"/>
    </w:rPr>
  </w:style>
  <w:style w:type="character" w:customStyle="1" w:styleId="FooterCoverPageChar">
    <w:name w:val="Footer Cover Page Char"/>
    <w:link w:val="FooterCoverPage"/>
    <w:rPr>
      <w:sz w:val="24"/>
      <w:szCs w:val="24"/>
    </w:rPr>
  </w:style>
  <w:style w:type="paragraph" w:customStyle="1" w:styleId="HeaderCoverPage">
    <w:name w:val="Header Cover Page"/>
    <w:basedOn w:val="Normal"/>
    <w:link w:val="HeaderCoverPageChar"/>
    <w:pPr>
      <w:tabs>
        <w:tab w:val="center" w:pos="4535"/>
        <w:tab w:val="right" w:pos="9071"/>
      </w:tabs>
      <w:spacing w:before="0"/>
    </w:pPr>
  </w:style>
  <w:style w:type="character" w:customStyle="1" w:styleId="HeaderCoverPageChar">
    <w:name w:val="Header Cover Page Char"/>
    <w:link w:val="HeaderCoverPage"/>
    <w:rPr>
      <w:sz w:val="24"/>
      <w:szCs w:val="24"/>
    </w:rPr>
  </w:style>
  <w:style w:type="character" w:customStyle="1" w:styleId="FooterChar">
    <w:name w:val="Footer Char"/>
    <w:link w:val="Footer"/>
    <w:uiPriority w:val="99"/>
    <w:rPr>
      <w:sz w:val="24"/>
      <w:szCs w:val="24"/>
      <w:lang w:eastAsia="fr-FR"/>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ubtitle">
    <w:name w:val="Subtitle"/>
    <w:basedOn w:val="Normal"/>
    <w:next w:val="Normal"/>
    <w:link w:val="SubtitleChar"/>
    <w:qFormat/>
    <w:pPr>
      <w:spacing w:after="60"/>
      <w:jc w:val="center"/>
      <w:outlineLvl w:val="1"/>
    </w:pPr>
    <w:rPr>
      <w:rFonts w:ascii="Cambria" w:hAnsi="Cambria"/>
    </w:rPr>
  </w:style>
  <w:style w:type="character" w:customStyle="1" w:styleId="SubtitleChar">
    <w:name w:val="Subtitle Char"/>
    <w:link w:val="Subtitle"/>
    <w:rPr>
      <w:rFonts w:ascii="Cambria" w:eastAsia="Times New Roman" w:hAnsi="Cambria" w:cs="Times New Roman"/>
      <w:sz w:val="24"/>
      <w:szCs w:val="24"/>
      <w:shd w:val="clear" w:color="auto" w:fill="auto"/>
      <w:lang w:eastAsia="fr-FR"/>
    </w:rPr>
  </w:style>
  <w:style w:type="paragraph" w:styleId="NormalWeb">
    <w:name w:val="Normal (Web)"/>
    <w:basedOn w:val="Normal"/>
    <w:uiPriority w:val="99"/>
    <w:unhideWhenUsed/>
    <w:pPr>
      <w:spacing w:before="100" w:beforeAutospacing="1" w:after="100" w:afterAutospacing="1"/>
      <w:jc w:val="left"/>
    </w:pPr>
  </w:style>
  <w:style w:type="character" w:styleId="Strong">
    <w:name w:val="Strong"/>
    <w:uiPriority w:val="22"/>
    <w:qFormat/>
    <w:rPr>
      <w:b/>
      <w:bCs/>
      <w:shd w:val="clear" w:color="auto" w:fill="auto"/>
    </w:rPr>
  </w:style>
  <w:style w:type="paragraph" w:styleId="Revision">
    <w:name w:val="Revision"/>
    <w:hidden/>
    <w:uiPriority w:val="99"/>
    <w:semiHidden/>
    <w:rPr>
      <w:sz w:val="24"/>
      <w:szCs w:val="24"/>
    </w:rPr>
  </w:style>
  <w:style w:type="character" w:customStyle="1" w:styleId="Heading1Char">
    <w:name w:val="Heading 1 Char"/>
    <w:link w:val="Heading1"/>
    <w:rPr>
      <w:b/>
      <w:bCs/>
      <w:smallCaps/>
      <w:sz w:val="24"/>
      <w:szCs w:val="32"/>
      <w:lang w:eastAsia="fr-FR"/>
    </w:rPr>
  </w:style>
  <w:style w:type="character" w:customStyle="1" w:styleId="Heading2Char">
    <w:name w:val="Heading 2 Char"/>
    <w:link w:val="Heading2"/>
    <w:rPr>
      <w:b/>
      <w:bCs/>
      <w:iCs/>
      <w:noProof/>
      <w:sz w:val="24"/>
      <w:szCs w:val="28"/>
      <w:lang w:eastAsia="fr-FR"/>
    </w:rPr>
  </w:style>
  <w:style w:type="character" w:styleId="FollowedHyperlink">
    <w:name w:val="FollowedHyperlink"/>
    <w:rPr>
      <w:color w:val="800080"/>
      <w:u w:val="single"/>
      <w:shd w:val="clear" w:color="auto" w:fill="auto"/>
    </w:rPr>
  </w:style>
  <w:style w:type="paragraph" w:styleId="EndnoteText">
    <w:name w:val="endnote text"/>
    <w:basedOn w:val="Normal"/>
    <w:link w:val="EndnoteTextChar"/>
    <w:rPr>
      <w:sz w:val="20"/>
      <w:szCs w:val="20"/>
    </w:rPr>
  </w:style>
  <w:style w:type="character" w:customStyle="1" w:styleId="EndnoteTextChar">
    <w:name w:val="Endnote Text Char"/>
    <w:link w:val="EndnoteText"/>
    <w:rPr>
      <w:shd w:val="clear" w:color="auto" w:fill="auto"/>
      <w:lang w:eastAsia="fr-FR"/>
    </w:rPr>
  </w:style>
  <w:style w:type="character" w:styleId="EndnoteReference">
    <w:name w:val="endnote reference"/>
    <w:rPr>
      <w:shd w:val="clear" w:color="auto" w:fill="auto"/>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9453083">
      <w:bodyDiv w:val="1"/>
      <w:marLeft w:val="0"/>
      <w:marRight w:val="0"/>
      <w:marTop w:val="0"/>
      <w:marBottom w:val="0"/>
      <w:divBdr>
        <w:top w:val="none" w:sz="0" w:space="0" w:color="auto"/>
        <w:left w:val="none" w:sz="0" w:space="0" w:color="auto"/>
        <w:bottom w:val="none" w:sz="0" w:space="0" w:color="auto"/>
        <w:right w:val="none" w:sz="0" w:space="0" w:color="auto"/>
      </w:divBdr>
    </w:div>
    <w:div w:id="552615252">
      <w:bodyDiv w:val="1"/>
      <w:marLeft w:val="0"/>
      <w:marRight w:val="0"/>
      <w:marTop w:val="0"/>
      <w:marBottom w:val="0"/>
      <w:divBdr>
        <w:top w:val="none" w:sz="0" w:space="0" w:color="auto"/>
        <w:left w:val="none" w:sz="0" w:space="0" w:color="auto"/>
        <w:bottom w:val="none" w:sz="0" w:space="0" w:color="auto"/>
        <w:right w:val="none" w:sz="0" w:space="0" w:color="auto"/>
      </w:divBdr>
    </w:div>
    <w:div w:id="983241643">
      <w:bodyDiv w:val="1"/>
      <w:marLeft w:val="0"/>
      <w:marRight w:val="0"/>
      <w:marTop w:val="0"/>
      <w:marBottom w:val="0"/>
      <w:divBdr>
        <w:top w:val="none" w:sz="0" w:space="0" w:color="auto"/>
        <w:left w:val="none" w:sz="0" w:space="0" w:color="auto"/>
        <w:bottom w:val="none" w:sz="0" w:space="0" w:color="auto"/>
        <w:right w:val="none" w:sz="0" w:space="0" w:color="auto"/>
      </w:divBdr>
    </w:div>
    <w:div w:id="1435828464">
      <w:bodyDiv w:val="1"/>
      <w:marLeft w:val="0"/>
      <w:marRight w:val="0"/>
      <w:marTop w:val="0"/>
      <w:marBottom w:val="0"/>
      <w:divBdr>
        <w:top w:val="none" w:sz="0" w:space="0" w:color="auto"/>
        <w:left w:val="none" w:sz="0" w:space="0" w:color="auto"/>
        <w:bottom w:val="none" w:sz="0" w:space="0" w:color="auto"/>
        <w:right w:val="none" w:sz="0" w:space="0" w:color="auto"/>
      </w:divBdr>
    </w:div>
    <w:div w:id="1449197605">
      <w:bodyDiv w:val="1"/>
      <w:marLeft w:val="0"/>
      <w:marRight w:val="0"/>
      <w:marTop w:val="0"/>
      <w:marBottom w:val="0"/>
      <w:divBdr>
        <w:top w:val="none" w:sz="0" w:space="0" w:color="auto"/>
        <w:left w:val="none" w:sz="0" w:space="0" w:color="auto"/>
        <w:bottom w:val="none" w:sz="0" w:space="0" w:color="auto"/>
        <w:right w:val="none" w:sz="0" w:space="0" w:color="auto"/>
      </w:divBdr>
      <w:divsChild>
        <w:div w:id="1638997413">
          <w:marLeft w:val="0"/>
          <w:marRight w:val="0"/>
          <w:marTop w:val="0"/>
          <w:marBottom w:val="0"/>
          <w:divBdr>
            <w:top w:val="none" w:sz="0" w:space="0" w:color="auto"/>
            <w:left w:val="none" w:sz="0" w:space="0" w:color="auto"/>
            <w:bottom w:val="none" w:sz="0" w:space="0" w:color="auto"/>
            <w:right w:val="none" w:sz="0" w:space="0" w:color="auto"/>
          </w:divBdr>
          <w:divsChild>
            <w:div w:id="1195967791">
              <w:marLeft w:val="-300"/>
              <w:marRight w:val="0"/>
              <w:marTop w:val="0"/>
              <w:marBottom w:val="270"/>
              <w:divBdr>
                <w:top w:val="none" w:sz="0" w:space="0" w:color="auto"/>
                <w:left w:val="none" w:sz="0" w:space="0" w:color="auto"/>
                <w:bottom w:val="none" w:sz="0" w:space="0" w:color="auto"/>
                <w:right w:val="none" w:sz="0" w:space="0" w:color="auto"/>
              </w:divBdr>
              <w:divsChild>
                <w:div w:id="1963266378">
                  <w:marLeft w:val="0"/>
                  <w:marRight w:val="0"/>
                  <w:marTop w:val="0"/>
                  <w:marBottom w:val="0"/>
                  <w:divBdr>
                    <w:top w:val="none" w:sz="0" w:space="0" w:color="auto"/>
                    <w:left w:val="none" w:sz="0" w:space="0" w:color="auto"/>
                    <w:bottom w:val="none" w:sz="0" w:space="0" w:color="auto"/>
                    <w:right w:val="none" w:sz="0" w:space="0" w:color="auto"/>
                  </w:divBdr>
                  <w:divsChild>
                    <w:div w:id="969550347">
                      <w:marLeft w:val="0"/>
                      <w:marRight w:val="0"/>
                      <w:marTop w:val="0"/>
                      <w:marBottom w:val="270"/>
                      <w:divBdr>
                        <w:top w:val="none" w:sz="0" w:space="0" w:color="auto"/>
                        <w:left w:val="none" w:sz="0" w:space="0" w:color="auto"/>
                        <w:bottom w:val="none" w:sz="0" w:space="0" w:color="auto"/>
                        <w:right w:val="none" w:sz="0" w:space="0" w:color="auto"/>
                      </w:divBdr>
                      <w:divsChild>
                        <w:div w:id="1118140803">
                          <w:marLeft w:val="0"/>
                          <w:marRight w:val="0"/>
                          <w:marTop w:val="0"/>
                          <w:marBottom w:val="0"/>
                          <w:divBdr>
                            <w:top w:val="none" w:sz="0" w:space="0" w:color="auto"/>
                            <w:left w:val="none" w:sz="0" w:space="0" w:color="auto"/>
                            <w:bottom w:val="none" w:sz="0" w:space="0" w:color="auto"/>
                            <w:right w:val="none" w:sz="0" w:space="0" w:color="auto"/>
                          </w:divBdr>
                          <w:divsChild>
                            <w:div w:id="2042395949">
                              <w:marLeft w:val="0"/>
                              <w:marRight w:val="0"/>
                              <w:marTop w:val="0"/>
                              <w:marBottom w:val="0"/>
                              <w:divBdr>
                                <w:top w:val="none" w:sz="0" w:space="0" w:color="auto"/>
                                <w:left w:val="none" w:sz="0" w:space="0" w:color="auto"/>
                                <w:bottom w:val="none" w:sz="0" w:space="0" w:color="auto"/>
                                <w:right w:val="none" w:sz="0" w:space="0" w:color="auto"/>
                              </w:divBdr>
                              <w:divsChild>
                                <w:div w:id="59836253">
                                  <w:marLeft w:val="0"/>
                                  <w:marRight w:val="0"/>
                                  <w:marTop w:val="0"/>
                                  <w:marBottom w:val="0"/>
                                  <w:divBdr>
                                    <w:top w:val="none" w:sz="0" w:space="0" w:color="auto"/>
                                    <w:left w:val="none" w:sz="0" w:space="0" w:color="auto"/>
                                    <w:bottom w:val="none" w:sz="0" w:space="0" w:color="auto"/>
                                    <w:right w:val="none" w:sz="0" w:space="0" w:color="auto"/>
                                  </w:divBdr>
                                  <w:divsChild>
                                    <w:div w:id="1570071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0337983">
      <w:bodyDiv w:val="1"/>
      <w:marLeft w:val="0"/>
      <w:marRight w:val="0"/>
      <w:marTop w:val="0"/>
      <w:marBottom w:val="0"/>
      <w:divBdr>
        <w:top w:val="none" w:sz="0" w:space="0" w:color="auto"/>
        <w:left w:val="none" w:sz="0" w:space="0" w:color="auto"/>
        <w:bottom w:val="none" w:sz="0" w:space="0" w:color="auto"/>
        <w:right w:val="none" w:sz="0" w:space="0" w:color="auto"/>
      </w:divBdr>
      <w:divsChild>
        <w:div w:id="557279205">
          <w:marLeft w:val="0"/>
          <w:marRight w:val="0"/>
          <w:marTop w:val="0"/>
          <w:marBottom w:val="0"/>
          <w:divBdr>
            <w:top w:val="none" w:sz="0" w:space="0" w:color="auto"/>
            <w:left w:val="none" w:sz="0" w:space="0" w:color="auto"/>
            <w:bottom w:val="none" w:sz="0" w:space="0" w:color="auto"/>
            <w:right w:val="none" w:sz="0" w:space="0" w:color="auto"/>
          </w:divBdr>
          <w:divsChild>
            <w:div w:id="1843855925">
              <w:marLeft w:val="0"/>
              <w:marRight w:val="0"/>
              <w:marTop w:val="0"/>
              <w:marBottom w:val="0"/>
              <w:divBdr>
                <w:top w:val="none" w:sz="0" w:space="0" w:color="auto"/>
                <w:left w:val="none" w:sz="0" w:space="0" w:color="auto"/>
                <w:bottom w:val="none" w:sz="0" w:space="0" w:color="auto"/>
                <w:right w:val="none" w:sz="0" w:space="0" w:color="auto"/>
              </w:divBdr>
              <w:divsChild>
                <w:div w:id="335615287">
                  <w:marLeft w:val="0"/>
                  <w:marRight w:val="0"/>
                  <w:marTop w:val="0"/>
                  <w:marBottom w:val="0"/>
                  <w:divBdr>
                    <w:top w:val="none" w:sz="0" w:space="0" w:color="auto"/>
                    <w:left w:val="none" w:sz="0" w:space="0" w:color="auto"/>
                    <w:bottom w:val="none" w:sz="0" w:space="0" w:color="auto"/>
                    <w:right w:val="none" w:sz="0" w:space="0" w:color="auto"/>
                  </w:divBdr>
                  <w:divsChild>
                    <w:div w:id="1252549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80966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esm.europa.eu/" TargetMode="External"/><Relationship Id="rId2" Type="http://schemas.openxmlformats.org/officeDocument/2006/relationships/hyperlink" Target="file:///E:\Software\odef-code\skrynna\AppData\Local\Microsoft\Windows\skrynna\AppData\Local\Microsoft\Windows\Temporary%20Internet%20Files\sinesca\AppData\Local\Microsoft\Windows\Temporary%20Internet%20Files\skrynna\AppData\Local\Microsoft\Windows\Temporary%20Internet%20Files\skrynna\AppData\Local\Microsoft\Windows\steimpa\AppData\Local\Microsoft\Windows\Temporary%20Internet%20Files\Content.Outlook\ASMTF00S\About%20the%20EFSF" TargetMode="External"/><Relationship Id="rId1" Type="http://schemas.openxmlformats.org/officeDocument/2006/relationships/hyperlink" Target="http://eur-lex.europa.eu/homepage.html" TargetMode="External"/><Relationship Id="rId4" Type="http://schemas.openxmlformats.org/officeDocument/2006/relationships/hyperlink" Target="http://www.consilium.europa.eu/uedocs/cms_data/docs/pressdata/fr/ecofin/11435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6CADBD-4C0A-4329-A55B-488B8F8A22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13</Pages>
  <Words>4371</Words>
  <Characters>21331</Characters>
  <Application>Microsoft Office Word</Application>
  <DocSecurity>0</DocSecurity>
  <Lines>646</Lines>
  <Paragraphs>450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25252</CharactersWithSpaces>
  <SharedDoc>false</SharedDoc>
  <HLinks>
    <vt:vector size="150" baseType="variant">
      <vt:variant>
        <vt:i4>1376313</vt:i4>
      </vt:variant>
      <vt:variant>
        <vt:i4>122</vt:i4>
      </vt:variant>
      <vt:variant>
        <vt:i4>0</vt:i4>
      </vt:variant>
      <vt:variant>
        <vt:i4>5</vt:i4>
      </vt:variant>
      <vt:variant>
        <vt:lpwstr/>
      </vt:variant>
      <vt:variant>
        <vt:lpwstr>_Toc418160324</vt:lpwstr>
      </vt:variant>
      <vt:variant>
        <vt:i4>1376313</vt:i4>
      </vt:variant>
      <vt:variant>
        <vt:i4>116</vt:i4>
      </vt:variant>
      <vt:variant>
        <vt:i4>0</vt:i4>
      </vt:variant>
      <vt:variant>
        <vt:i4>5</vt:i4>
      </vt:variant>
      <vt:variant>
        <vt:lpwstr/>
      </vt:variant>
      <vt:variant>
        <vt:lpwstr>_Toc418160323</vt:lpwstr>
      </vt:variant>
      <vt:variant>
        <vt:i4>1376313</vt:i4>
      </vt:variant>
      <vt:variant>
        <vt:i4>110</vt:i4>
      </vt:variant>
      <vt:variant>
        <vt:i4>0</vt:i4>
      </vt:variant>
      <vt:variant>
        <vt:i4>5</vt:i4>
      </vt:variant>
      <vt:variant>
        <vt:lpwstr/>
      </vt:variant>
      <vt:variant>
        <vt:lpwstr>_Toc418160322</vt:lpwstr>
      </vt:variant>
      <vt:variant>
        <vt:i4>1376313</vt:i4>
      </vt:variant>
      <vt:variant>
        <vt:i4>104</vt:i4>
      </vt:variant>
      <vt:variant>
        <vt:i4>0</vt:i4>
      </vt:variant>
      <vt:variant>
        <vt:i4>5</vt:i4>
      </vt:variant>
      <vt:variant>
        <vt:lpwstr/>
      </vt:variant>
      <vt:variant>
        <vt:lpwstr>_Toc418160321</vt:lpwstr>
      </vt:variant>
      <vt:variant>
        <vt:i4>1376313</vt:i4>
      </vt:variant>
      <vt:variant>
        <vt:i4>98</vt:i4>
      </vt:variant>
      <vt:variant>
        <vt:i4>0</vt:i4>
      </vt:variant>
      <vt:variant>
        <vt:i4>5</vt:i4>
      </vt:variant>
      <vt:variant>
        <vt:lpwstr/>
      </vt:variant>
      <vt:variant>
        <vt:lpwstr>_Toc418160320</vt:lpwstr>
      </vt:variant>
      <vt:variant>
        <vt:i4>1441849</vt:i4>
      </vt:variant>
      <vt:variant>
        <vt:i4>92</vt:i4>
      </vt:variant>
      <vt:variant>
        <vt:i4>0</vt:i4>
      </vt:variant>
      <vt:variant>
        <vt:i4>5</vt:i4>
      </vt:variant>
      <vt:variant>
        <vt:lpwstr/>
      </vt:variant>
      <vt:variant>
        <vt:lpwstr>_Toc418160319</vt:lpwstr>
      </vt:variant>
      <vt:variant>
        <vt:i4>1441849</vt:i4>
      </vt:variant>
      <vt:variant>
        <vt:i4>86</vt:i4>
      </vt:variant>
      <vt:variant>
        <vt:i4>0</vt:i4>
      </vt:variant>
      <vt:variant>
        <vt:i4>5</vt:i4>
      </vt:variant>
      <vt:variant>
        <vt:lpwstr/>
      </vt:variant>
      <vt:variant>
        <vt:lpwstr>_Toc418160318</vt:lpwstr>
      </vt:variant>
      <vt:variant>
        <vt:i4>1441849</vt:i4>
      </vt:variant>
      <vt:variant>
        <vt:i4>80</vt:i4>
      </vt:variant>
      <vt:variant>
        <vt:i4>0</vt:i4>
      </vt:variant>
      <vt:variant>
        <vt:i4>5</vt:i4>
      </vt:variant>
      <vt:variant>
        <vt:lpwstr/>
      </vt:variant>
      <vt:variant>
        <vt:lpwstr>_Toc418160317</vt:lpwstr>
      </vt:variant>
      <vt:variant>
        <vt:i4>1441849</vt:i4>
      </vt:variant>
      <vt:variant>
        <vt:i4>74</vt:i4>
      </vt:variant>
      <vt:variant>
        <vt:i4>0</vt:i4>
      </vt:variant>
      <vt:variant>
        <vt:i4>5</vt:i4>
      </vt:variant>
      <vt:variant>
        <vt:lpwstr/>
      </vt:variant>
      <vt:variant>
        <vt:lpwstr>_Toc418160316</vt:lpwstr>
      </vt:variant>
      <vt:variant>
        <vt:i4>1441849</vt:i4>
      </vt:variant>
      <vt:variant>
        <vt:i4>68</vt:i4>
      </vt:variant>
      <vt:variant>
        <vt:i4>0</vt:i4>
      </vt:variant>
      <vt:variant>
        <vt:i4>5</vt:i4>
      </vt:variant>
      <vt:variant>
        <vt:lpwstr/>
      </vt:variant>
      <vt:variant>
        <vt:lpwstr>_Toc418160315</vt:lpwstr>
      </vt:variant>
      <vt:variant>
        <vt:i4>1441849</vt:i4>
      </vt:variant>
      <vt:variant>
        <vt:i4>62</vt:i4>
      </vt:variant>
      <vt:variant>
        <vt:i4>0</vt:i4>
      </vt:variant>
      <vt:variant>
        <vt:i4>5</vt:i4>
      </vt:variant>
      <vt:variant>
        <vt:lpwstr/>
      </vt:variant>
      <vt:variant>
        <vt:lpwstr>_Toc418160314</vt:lpwstr>
      </vt:variant>
      <vt:variant>
        <vt:i4>1441849</vt:i4>
      </vt:variant>
      <vt:variant>
        <vt:i4>56</vt:i4>
      </vt:variant>
      <vt:variant>
        <vt:i4>0</vt:i4>
      </vt:variant>
      <vt:variant>
        <vt:i4>5</vt:i4>
      </vt:variant>
      <vt:variant>
        <vt:lpwstr/>
      </vt:variant>
      <vt:variant>
        <vt:lpwstr>_Toc418160313</vt:lpwstr>
      </vt:variant>
      <vt:variant>
        <vt:i4>1441849</vt:i4>
      </vt:variant>
      <vt:variant>
        <vt:i4>50</vt:i4>
      </vt:variant>
      <vt:variant>
        <vt:i4>0</vt:i4>
      </vt:variant>
      <vt:variant>
        <vt:i4>5</vt:i4>
      </vt:variant>
      <vt:variant>
        <vt:lpwstr/>
      </vt:variant>
      <vt:variant>
        <vt:lpwstr>_Toc418160312</vt:lpwstr>
      </vt:variant>
      <vt:variant>
        <vt:i4>1441849</vt:i4>
      </vt:variant>
      <vt:variant>
        <vt:i4>44</vt:i4>
      </vt:variant>
      <vt:variant>
        <vt:i4>0</vt:i4>
      </vt:variant>
      <vt:variant>
        <vt:i4>5</vt:i4>
      </vt:variant>
      <vt:variant>
        <vt:lpwstr/>
      </vt:variant>
      <vt:variant>
        <vt:lpwstr>_Toc418160311</vt:lpwstr>
      </vt:variant>
      <vt:variant>
        <vt:i4>1441849</vt:i4>
      </vt:variant>
      <vt:variant>
        <vt:i4>38</vt:i4>
      </vt:variant>
      <vt:variant>
        <vt:i4>0</vt:i4>
      </vt:variant>
      <vt:variant>
        <vt:i4>5</vt:i4>
      </vt:variant>
      <vt:variant>
        <vt:lpwstr/>
      </vt:variant>
      <vt:variant>
        <vt:lpwstr>_Toc418160310</vt:lpwstr>
      </vt:variant>
      <vt:variant>
        <vt:i4>1507385</vt:i4>
      </vt:variant>
      <vt:variant>
        <vt:i4>32</vt:i4>
      </vt:variant>
      <vt:variant>
        <vt:i4>0</vt:i4>
      </vt:variant>
      <vt:variant>
        <vt:i4>5</vt:i4>
      </vt:variant>
      <vt:variant>
        <vt:lpwstr/>
      </vt:variant>
      <vt:variant>
        <vt:lpwstr>_Toc418160309</vt:lpwstr>
      </vt:variant>
      <vt:variant>
        <vt:i4>1507385</vt:i4>
      </vt:variant>
      <vt:variant>
        <vt:i4>26</vt:i4>
      </vt:variant>
      <vt:variant>
        <vt:i4>0</vt:i4>
      </vt:variant>
      <vt:variant>
        <vt:i4>5</vt:i4>
      </vt:variant>
      <vt:variant>
        <vt:lpwstr/>
      </vt:variant>
      <vt:variant>
        <vt:lpwstr>_Toc418160308</vt:lpwstr>
      </vt:variant>
      <vt:variant>
        <vt:i4>1507385</vt:i4>
      </vt:variant>
      <vt:variant>
        <vt:i4>20</vt:i4>
      </vt:variant>
      <vt:variant>
        <vt:i4>0</vt:i4>
      </vt:variant>
      <vt:variant>
        <vt:i4>5</vt:i4>
      </vt:variant>
      <vt:variant>
        <vt:lpwstr/>
      </vt:variant>
      <vt:variant>
        <vt:lpwstr>_Toc418160307</vt:lpwstr>
      </vt:variant>
      <vt:variant>
        <vt:i4>1507385</vt:i4>
      </vt:variant>
      <vt:variant>
        <vt:i4>14</vt:i4>
      </vt:variant>
      <vt:variant>
        <vt:i4>0</vt:i4>
      </vt:variant>
      <vt:variant>
        <vt:i4>5</vt:i4>
      </vt:variant>
      <vt:variant>
        <vt:lpwstr/>
      </vt:variant>
      <vt:variant>
        <vt:lpwstr>_Toc418160306</vt:lpwstr>
      </vt:variant>
      <vt:variant>
        <vt:i4>1507385</vt:i4>
      </vt:variant>
      <vt:variant>
        <vt:i4>8</vt:i4>
      </vt:variant>
      <vt:variant>
        <vt:i4>0</vt:i4>
      </vt:variant>
      <vt:variant>
        <vt:i4>5</vt:i4>
      </vt:variant>
      <vt:variant>
        <vt:lpwstr/>
      </vt:variant>
      <vt:variant>
        <vt:lpwstr>_Toc418160305</vt:lpwstr>
      </vt:variant>
      <vt:variant>
        <vt:i4>1507385</vt:i4>
      </vt:variant>
      <vt:variant>
        <vt:i4>2</vt:i4>
      </vt:variant>
      <vt:variant>
        <vt:i4>0</vt:i4>
      </vt:variant>
      <vt:variant>
        <vt:i4>5</vt:i4>
      </vt:variant>
      <vt:variant>
        <vt:lpwstr/>
      </vt:variant>
      <vt:variant>
        <vt:lpwstr>_Toc418160304</vt:lpwstr>
      </vt:variant>
      <vt:variant>
        <vt:i4>786490</vt:i4>
      </vt:variant>
      <vt:variant>
        <vt:i4>9</vt:i4>
      </vt:variant>
      <vt:variant>
        <vt:i4>0</vt:i4>
      </vt:variant>
      <vt:variant>
        <vt:i4>5</vt:i4>
      </vt:variant>
      <vt:variant>
        <vt:lpwstr>http://www.consilium.europa.eu/uedocs/cms_data/docs/pressdata/en/ecofin/114324.pdf</vt:lpwstr>
      </vt:variant>
      <vt:variant>
        <vt:lpwstr/>
      </vt:variant>
      <vt:variant>
        <vt:i4>2031690</vt:i4>
      </vt:variant>
      <vt:variant>
        <vt:i4>6</vt:i4>
      </vt:variant>
      <vt:variant>
        <vt:i4>0</vt:i4>
      </vt:variant>
      <vt:variant>
        <vt:i4>5</vt:i4>
      </vt:variant>
      <vt:variant>
        <vt:lpwstr>http://esm.europa.eu/</vt:lpwstr>
      </vt:variant>
      <vt:variant>
        <vt:lpwstr/>
      </vt:variant>
      <vt:variant>
        <vt:i4>8192108</vt:i4>
      </vt:variant>
      <vt:variant>
        <vt:i4>3</vt:i4>
      </vt:variant>
      <vt:variant>
        <vt:i4>0</vt:i4>
      </vt:variant>
      <vt:variant>
        <vt:i4>5</vt:i4>
      </vt:variant>
      <vt:variant>
        <vt:lpwstr>../../skrynna/AppData/Local/Microsoft/Windows/skrynna/AppData/Local/Microsoft/Windows/Temporary Internet Files/sinesca/AppData/Local/Microsoft/Windows/Temporary Internet Files/skrynna/AppData/Local/Microsoft/Windows/Temporary Internet Files/skrynna/AppData/Local/Microsoft/Windows/steimpa/AppData/Local/Microsoft/Windows/Temporary Internet Files/Content.Outlook/ASMTF00S/About the EFSF</vt:lpwstr>
      </vt:variant>
      <vt:variant>
        <vt:lpwstr/>
      </vt:variant>
      <vt:variant>
        <vt:i4>3145760</vt:i4>
      </vt:variant>
      <vt:variant>
        <vt:i4>0</vt:i4>
      </vt:variant>
      <vt:variant>
        <vt:i4>0</vt:i4>
      </vt:variant>
      <vt:variant>
        <vt:i4>5</vt:i4>
      </vt:variant>
      <vt:variant>
        <vt:lpwstr>http://eur-lex.europa.eu/homepage.html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2015-06-25T08:14:00Z</cp:lastPrinted>
  <dcterms:created xsi:type="dcterms:W3CDTF">2015-07-02T15:33:00Z</dcterms:created>
  <dcterms:modified xsi:type="dcterms:W3CDTF">2015-07-29T12:46:00Z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Part">
    <vt:lpwstr>1</vt:lpwstr>
  </property>
  <property fmtid="{D5CDD505-2E9C-101B-9397-08002B2CF9AE}" pid="4" name="Total parts">
    <vt:lpwstr>1</vt:lpwstr>
  </property>
  <property fmtid="{D5CDD505-2E9C-101B-9397-08002B2CF9AE}" pid="5" name="DocStatus">
    <vt:lpwstr>Green</vt:lpwstr>
  </property>
</Properties>
</file>