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057E8B009854CFF9C31A9D5F6E593C8" style="width:450.45pt;height:393.4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pStyle w:val="ManualHeading1"/>
        <w:rPr>
          <w:noProof/>
        </w:rPr>
      </w:pPr>
      <w:r>
        <w:rPr>
          <w:noProof/>
        </w:rPr>
        <w:t>1.</w:t>
      </w:r>
      <w:r>
        <w:rPr>
          <w:noProof/>
        </w:rPr>
        <w:tab/>
        <w:t>КОНТЕКСТ НА ПРЕДЛОЖЕНИЕТО</w:t>
      </w:r>
    </w:p>
    <w:p>
      <w:pPr>
        <w:pStyle w:val="Bullet0"/>
        <w:numPr>
          <w:ilvl w:val="0"/>
          <w:numId w:val="1"/>
        </w:numPr>
        <w:rPr>
          <w:b/>
          <w:noProof/>
        </w:rPr>
      </w:pPr>
      <w:r>
        <w:rPr>
          <w:b/>
          <w:noProof/>
        </w:rPr>
        <w:t>Основания и цели на предложението</w:t>
      </w:r>
    </w:p>
    <w:p>
      <w:pPr>
        <w:rPr>
          <w:rFonts w:eastAsia="Times New Roman"/>
          <w:b/>
          <w:noProof/>
          <w:szCs w:val="20"/>
        </w:rPr>
      </w:pPr>
      <w:r>
        <w:rPr>
          <w:noProof/>
        </w:rPr>
        <w:t xml:space="preserve">Предложението за решение на Съвета представлява първата стъпка в прилагането на </w:t>
      </w:r>
      <w:r>
        <w:rPr>
          <w:b/>
          <w:noProof/>
        </w:rPr>
        <w:t>освобождаване от задължения в рамките на СТО в областта на услугите за най-слаборазвитите страни</w:t>
      </w:r>
      <w:r>
        <w:rPr>
          <w:noProof/>
        </w:rPr>
        <w:t>. С освобождаването от задължения в областта на услугите</w:t>
      </w:r>
      <w:r>
        <w:rPr>
          <w:rStyle w:val="FootnoteReference"/>
          <w:noProof/>
        </w:rPr>
        <w:footnoteReference w:id="1"/>
      </w:r>
      <w:r>
        <w:rPr>
          <w:noProof/>
        </w:rPr>
        <w:t xml:space="preserve"> на членовете на СТО се дава възможност да предоставят едностранни преференции в областта на услугите за най-слаборазвитите страни, като се изисква Съветът по търговията с услуги (СТУ) да приеме нотифицираните преференции, предоставени по отношение на мерки, различни от описаните в член XVI от ГАТС (Достъп до пазара). С предложението за </w:t>
      </w:r>
      <w:r>
        <w:rPr>
          <w:b/>
          <w:noProof/>
        </w:rPr>
        <w:t>решение на Съвета</w:t>
      </w:r>
      <w:r>
        <w:rPr>
          <w:noProof/>
        </w:rPr>
        <w:t xml:space="preserve"> се установява позицията, която Комисията да заеме от името на Съюза в рамките на СТУ.</w:t>
      </w:r>
      <w:r>
        <w:rPr>
          <w:b/>
          <w:noProof/>
        </w:rPr>
        <w:t xml:space="preserve"> </w:t>
      </w:r>
    </w:p>
    <w:p>
      <w:pPr>
        <w:rPr>
          <w:rFonts w:eastAsia="Times New Roman"/>
          <w:noProof/>
          <w:szCs w:val="20"/>
        </w:rPr>
      </w:pPr>
      <w:r>
        <w:rPr>
          <w:noProof/>
        </w:rPr>
        <w:t xml:space="preserve">В предложението за решение на Съвета </w:t>
      </w:r>
      <w:r>
        <w:rPr>
          <w:b/>
          <w:noProof/>
        </w:rPr>
        <w:t>не се прави позоваване на каквото и да е третиране, което ЕС от своя страна ще предостави на най-слаборазвитите страни</w:t>
      </w:r>
      <w:r>
        <w:rPr>
          <w:noProof/>
        </w:rPr>
        <w:t xml:space="preserve"> и което би представлявало следващата стъпка за привеждане в действие на освобождаването от задължения. Предвиденото третиране, за което СТУ трябва да бъде уведомен и което се предоставя на най-слаборазвитите страни, понастоящем е в процес на подготовка в рамките на подход, предмет на консултации с държавите членки, като членовете на СТО са информирани по време на срещата на високо равнище на СТУ, проведена на 5 февруари 2015 г. </w:t>
      </w:r>
    </w:p>
    <w:p>
      <w:pPr>
        <w:pStyle w:val="Bullet0"/>
        <w:rPr>
          <w:rFonts w:eastAsia="Arial Unicode MS"/>
          <w:b/>
          <w:noProof/>
          <w:color w:val="000000"/>
          <w:u w:color="000000"/>
          <w:bdr w:val="nil"/>
        </w:rPr>
      </w:pPr>
      <w:r>
        <w:rPr>
          <w:b/>
          <w:noProof/>
        </w:rPr>
        <w:t>Съгласуваност със съществуващите разпоредби в тази област на политиката, както и с други политики на Съюза</w:t>
      </w:r>
    </w:p>
    <w:p>
      <w:pPr>
        <w:rPr>
          <w:rFonts w:eastAsia="Times New Roman"/>
          <w:noProof/>
          <w:szCs w:val="20"/>
        </w:rPr>
      </w:pPr>
      <w:r>
        <w:rPr>
          <w:noProof/>
        </w:rPr>
        <w:t xml:space="preserve">На деветата министерска конференция на СТО в Бали Европейският съюз се присъедини към консенсуса относно приемането на освобождаване от задължения в областта на услугите за най-слаборазвитите страни. ЕС е ангажиран с постигането на успех на предстоящата десета министерска конференция на СТО в Найроби през декември 2015 г. и с постигането на решителен напредък в рамките на кръга от преговорите за развитие от Доха, както и с прилагането на пакета от мерки от Бали, включително елементите, свързани с най-слаборазвитите страни. Предложението за решение на Съвета е част от този процес на прилагане на резултатите от Бали. </w:t>
      </w:r>
    </w:p>
    <w:p>
      <w:pPr>
        <w:rPr>
          <w:rFonts w:eastAsia="Times New Roman"/>
          <w:noProof/>
          <w:szCs w:val="20"/>
        </w:rPr>
      </w:pPr>
      <w:r>
        <w:rPr>
          <w:noProof/>
        </w:rPr>
        <w:t>Чрез оказване на подкрепа за икономическото развитие на най-слаборазвитите страни предложението за приемане на преференциите, нотифицирани от други членове на СТО, ще допринесе за постигането на целите на Договора, в който се предвижда, че ЕС допринася за хармоничното развитие на световната търговия и определя и провежда общи политики за насърчаване на устойчивото развитие на развиващите се страни</w:t>
      </w:r>
      <w:r>
        <w:rPr>
          <w:rStyle w:val="FootnoteReference"/>
          <w:noProof/>
        </w:rPr>
        <w:footnoteReference w:id="2"/>
      </w:r>
      <w:r>
        <w:rPr>
          <w:noProof/>
        </w:rPr>
        <w:t>. Предложението за приемане ще благоприятства и приключването на част от преговорите относно услугите по Програмата за развитие от Доха.</w:t>
      </w:r>
    </w:p>
    <w:p>
      <w:pPr>
        <w:pStyle w:val="ManualHeading1"/>
        <w:rPr>
          <w:smallCaps w:val="0"/>
          <w:noProof/>
        </w:rPr>
      </w:pPr>
      <w:r>
        <w:rPr>
          <w:noProof/>
        </w:rPr>
        <w:t>2.</w:t>
      </w:r>
      <w:r>
        <w:rPr>
          <w:noProof/>
        </w:rPr>
        <w:tab/>
        <w:t>ПРАВНО ОСНОВАНИЕ, СУБСИДИАРНОСТ И ПРОПОРЦИОНАЛНОСТ</w:t>
      </w:r>
    </w:p>
    <w:p>
      <w:pPr>
        <w:pStyle w:val="Bullet0"/>
        <w:rPr>
          <w:rFonts w:eastAsia="Arial Unicode MS"/>
          <w:b/>
          <w:noProof/>
          <w:u w:color="000000"/>
          <w:bdr w:val="nil"/>
        </w:rPr>
      </w:pPr>
      <w:r>
        <w:rPr>
          <w:b/>
          <w:noProof/>
        </w:rPr>
        <w:t>Правно основание</w:t>
      </w:r>
    </w:p>
    <w:p>
      <w:pPr>
        <w:pBdr>
          <w:top w:val="nil"/>
          <w:left w:val="nil"/>
          <w:bottom w:val="nil"/>
          <w:right w:val="nil"/>
          <w:between w:val="nil"/>
          <w:bar w:val="nil"/>
        </w:pBdr>
        <w:spacing w:after="240"/>
        <w:rPr>
          <w:rFonts w:eastAsia="Arial Unicode MS"/>
          <w:noProof/>
        </w:rPr>
      </w:pPr>
      <w:r>
        <w:rPr>
          <w:noProof/>
        </w:rPr>
        <w:t xml:space="preserve">Правното основание за предложението за решение на Съвета са член 91, член 100 и член 207, параграф 4, първа алинея във връзка с член 218, параграф 9 от Договора за функционирането на Европейския съюз (ДФЕС). </w:t>
      </w:r>
    </w:p>
    <w:p>
      <w:pPr>
        <w:rPr>
          <w:rFonts w:eastAsia="Times New Roman"/>
          <w:noProof/>
          <w:szCs w:val="24"/>
        </w:rPr>
      </w:pPr>
      <w:r>
        <w:rPr>
          <w:noProof/>
        </w:rPr>
        <w:t>В член 218, параграф 9 от ДФЕС е предвидено, че когато в рамките на орган, създаден с международно споразумение, трябва да бъде приет акт с правно действие, Съветът, по предложение на Комисията или на върховния представител на Съюза по въпросите на външните работи и политиката на сигурност, приема решение за установяване на позицията, която трябва да се заеме от името на Съюза по отношение на приемането на посочения акт от този орган. Приемането на преференциите, нотифицирани от други членове на СТО, попада в обхвата на тази разпоредба, тъй като решението се взема в рамките на орган, създаден по силата на международно споразумение (Съвета по търговията с услуги), което засяга правата и задълженията на ЕС.</w:t>
      </w:r>
    </w:p>
    <w:p>
      <w:pPr>
        <w:rPr>
          <w:rFonts w:eastAsia="Arial Unicode MS"/>
          <w:noProof/>
        </w:rPr>
      </w:pPr>
      <w:r>
        <w:rPr>
          <w:noProof/>
        </w:rPr>
        <w:t xml:space="preserve">Предвидените преференции са свързани със задълженията по Общото споразумение по търговията с услуги и може да засягат всички сектори на услугите, включително транспортните услуги. Поради това предложението за решение попада в обхвата на член 91, член 100 и член 207, параграф 4, първа алинея от ДФЕС. </w:t>
      </w:r>
    </w:p>
    <w:p>
      <w:pPr>
        <w:pStyle w:val="ManualHeading1"/>
        <w:rPr>
          <w:smallCaps w:val="0"/>
          <w:noProof/>
        </w:rPr>
      </w:pPr>
      <w:r>
        <w:rPr>
          <w:noProof/>
        </w:rPr>
        <w:t>3.</w:t>
      </w:r>
      <w:r>
        <w:rPr>
          <w:noProof/>
        </w:rPr>
        <w:tab/>
        <w:t>ОТРАЖЕНИЕ ВЪРХУ БЮДЖЕТА</w:t>
      </w:r>
    </w:p>
    <w:p>
      <w:pPr>
        <w:pBdr>
          <w:top w:val="nil"/>
          <w:left w:val="nil"/>
          <w:bottom w:val="nil"/>
          <w:right w:val="nil"/>
          <w:between w:val="nil"/>
          <w:bar w:val="nil"/>
        </w:pBdr>
        <w:spacing w:after="240"/>
        <w:rPr>
          <w:rFonts w:eastAsia="Arial Unicode MS"/>
          <w:noProof/>
        </w:rPr>
      </w:pPr>
      <w:r>
        <w:rPr>
          <w:noProof/>
        </w:rPr>
        <w:t>Предложението няма отражение върху бюджета.</w:t>
      </w:r>
    </w:p>
    <w:p>
      <w:pPr>
        <w:pStyle w:val="ManualHeading1"/>
        <w:rPr>
          <w:smallCaps w:val="0"/>
          <w:noProof/>
        </w:rPr>
      </w:pPr>
      <w:r>
        <w:rPr>
          <w:noProof/>
        </w:rPr>
        <w:t>4.</w:t>
      </w:r>
      <w:r>
        <w:rPr>
          <w:noProof/>
        </w:rPr>
        <w:tab/>
        <w:t>ДРУГИ ЕЛЕМЕНТИ</w:t>
      </w:r>
    </w:p>
    <w:p>
      <w:pPr>
        <w:pStyle w:val="Bullet0"/>
        <w:rPr>
          <w:rFonts w:eastAsia="Arial Unicode MS"/>
          <w:b/>
          <w:noProof/>
          <w:u w:color="000000"/>
          <w:bdr w:val="nil"/>
        </w:rPr>
      </w:pPr>
      <w:r>
        <w:rPr>
          <w:b/>
          <w:noProof/>
        </w:rPr>
        <w:t>Планове за изпълнение и разпоредби за наблюдение, оценка и докладване</w:t>
      </w:r>
    </w:p>
    <w:p>
      <w:pPr>
        <w:pBdr>
          <w:top w:val="nil"/>
          <w:left w:val="nil"/>
          <w:bottom w:val="nil"/>
          <w:right w:val="nil"/>
          <w:between w:val="nil"/>
          <w:bar w:val="nil"/>
        </w:pBdr>
        <w:spacing w:after="240"/>
        <w:rPr>
          <w:rFonts w:eastAsia="Arial Unicode MS"/>
          <w:noProof/>
        </w:rPr>
      </w:pPr>
      <w:r>
        <w:rPr>
          <w:noProof/>
        </w:rPr>
        <w:t xml:space="preserve">Одобрението на преференциалното третиране, предоставено на най-слаборазвитите страни от други членове на СТО, не води до какъвто и да е процес на прилагане в ЕС.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2015/0156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установяване на позицията, която да бъде заета от името на Европейския съюз в рамките на Съвета по търговията с услуги към Световната търговска организация относно приемането на преференции, нотифицирани от членовете на СТО по отношение на услуги и доставчици на услуги от най-слаборазвитите страни, различни от описаните в член XVI от ГАТС</w:t>
      </w:r>
    </w:p>
    <w:p>
      <w:pPr>
        <w:pStyle w:val="Institutionquiagit"/>
        <w:rPr>
          <w:noProof/>
        </w:rPr>
      </w:pPr>
      <w:r>
        <w:rPr>
          <w:noProof/>
        </w:rPr>
        <w:t>СЪВЕТЪТ НА ЕВРОПЕЙСКИЯ СЪЮЗ,</w:t>
      </w:r>
    </w:p>
    <w:p>
      <w:pPr>
        <w:rPr>
          <w:rFonts w:eastAsia="Times New Roman"/>
          <w:noProof/>
          <w:szCs w:val="24"/>
        </w:rPr>
      </w:pPr>
      <w:r>
        <w:rPr>
          <w:noProof/>
        </w:rPr>
        <w:t xml:space="preserve">като взе предвид Договора за функционирането на Европейския съюз, и по-специално член 91, член 100 и член 207, параграф 4, първа алинея във връзка с член 218, параграф 9 от него, </w:t>
      </w:r>
    </w:p>
    <w:p>
      <w:pPr>
        <w:rPr>
          <w:rFonts w:eastAsia="Times New Roman"/>
          <w:noProof/>
          <w:szCs w:val="24"/>
        </w:rPr>
      </w:pPr>
      <w:r>
        <w:rPr>
          <w:noProof/>
        </w:rPr>
        <w:t xml:space="preserve">като взе предвид предложението на Европейската комисия, </w:t>
      </w:r>
    </w:p>
    <w:p>
      <w:pPr>
        <w:rPr>
          <w:rFonts w:eastAsia="Times New Roman"/>
          <w:noProof/>
          <w:szCs w:val="24"/>
        </w:rPr>
      </w:pPr>
      <w:r>
        <w:rPr>
          <w:noProof/>
        </w:rPr>
        <w:t>като има предвид, че:</w:t>
      </w:r>
    </w:p>
    <w:p>
      <w:pPr>
        <w:pStyle w:val="ManualConsidrant"/>
        <w:rPr>
          <w:noProof/>
        </w:rPr>
      </w:pPr>
      <w:r>
        <w:t>(1)</w:t>
      </w:r>
      <w:r>
        <w:tab/>
      </w:r>
      <w:r>
        <w:rPr>
          <w:noProof/>
        </w:rPr>
        <w:t>В член IX от Маракешкото споразумение за създаване на Световната търговска организация (СТО) се установяват процедурите за предоставяне на освобождавания от задължения по отношение на многостранните търговски споразумения в приложение 1А, 1Б или 1В към посоченото споразумение и приложенията към тях.</w:t>
      </w:r>
    </w:p>
    <w:p>
      <w:pPr>
        <w:pStyle w:val="ManualConsidrant"/>
        <w:rPr>
          <w:noProof/>
        </w:rPr>
      </w:pPr>
      <w:r>
        <w:t>(2)</w:t>
      </w:r>
      <w:r>
        <w:tab/>
      </w:r>
      <w:r>
        <w:rPr>
          <w:noProof/>
        </w:rPr>
        <w:t>Постъпило е искане за освобождаване от задължения, в съответствие с което членовете на СТО да могат да предоставят преференциално третиране за услуги и доставчици на услуги от най-слаборазвитите страни членки, без да предоставят същото третиране на подобни услуги и доставчици на услуги от всички останали членове на СТО, чрез допускане по изключение на дерогация от задължението по член II, параграф 1 от Общото споразумение по търговията с услуги (ГАТС). Съветът прие позицията на Съюза в подкрепа на освобождаването от задължения с решение на Съвета от 14 декември 2011 г. (2012/8/ЕС).</w:t>
      </w:r>
    </w:p>
    <w:p>
      <w:pPr>
        <w:pStyle w:val="ManualConsidrant"/>
        <w:rPr>
          <w:noProof/>
        </w:rPr>
      </w:pPr>
      <w:r>
        <w:t>(3)</w:t>
      </w:r>
      <w:r>
        <w:tab/>
      </w:r>
      <w:r>
        <w:rPr>
          <w:noProof/>
        </w:rPr>
        <w:t xml:space="preserve">В параграфи 1 и 2 от решението на министрите на държавите от СТО от 17 декември 2011 г., с което на членовете на СТО се разрешава да предоставят такова преференциално третиране за услуги и доставчици на услуги от най-слаборазвитите страни членки за период от 15 години, се предвижда, че членовете, които предоставят такова преференциално третиране в съответствие с настоящото освобождаване от задължения, уведомяват Съвета по търговията с услуги (СТУ), като това преференциално третиране по отношение на прилагането на мерки, различни от описаните в член XVI от ГАТС, подлежи на одобрение от СТУ в съответствие с неговите процедури. </w:t>
      </w:r>
    </w:p>
    <w:p>
      <w:pPr>
        <w:pStyle w:val="ManualConsidrant"/>
        <w:rPr>
          <w:noProof/>
        </w:rPr>
      </w:pPr>
      <w:r>
        <w:t>(4)</w:t>
      </w:r>
      <w:r>
        <w:tab/>
      </w:r>
      <w:r>
        <w:rPr>
          <w:noProof/>
        </w:rPr>
        <w:t xml:space="preserve">Изискването за одобрение от страна на СТУ по отношение на тези мерки бе посочено отново в параграф 1.3 от решението от 7 декември 2013 г. на министрите на държавите от СТО. </w:t>
      </w:r>
    </w:p>
    <w:p>
      <w:pPr>
        <w:pStyle w:val="ManualConsidrant"/>
        <w:rPr>
          <w:noProof/>
        </w:rPr>
      </w:pPr>
      <w:r>
        <w:t>(5)</w:t>
      </w:r>
      <w:r>
        <w:tab/>
      </w:r>
      <w:r>
        <w:rPr>
          <w:noProof/>
        </w:rPr>
        <w:t xml:space="preserve">Приемането на преференциите, предоставени от други членове на СТО по отношение на услуги и доставчици на услуги от най-слаборазвитите страни членки, е в интерес на целите за развитие на Европейския съюз и благоприятства приключването на част от преговорите относно услугите по Програмата за развитие от Доха. </w:t>
      </w:r>
    </w:p>
    <w:p>
      <w:pPr>
        <w:pStyle w:val="ManualConsidrant"/>
        <w:rPr>
          <w:noProof/>
        </w:rPr>
      </w:pPr>
      <w:r>
        <w:t>(6)</w:t>
      </w:r>
      <w:r>
        <w:tab/>
      </w:r>
      <w:r>
        <w:rPr>
          <w:noProof/>
        </w:rPr>
        <w:t>Поради това е целесъобразно да се установи позицията, която Съюзът да заеме в рамките на СТУ за одобряване на преференциалното третиране, предоставено от членовете на СТО по отношение на мерки, различни от описаните в член XVI от ГАТС,</w:t>
      </w:r>
    </w:p>
    <w:p>
      <w:pPr>
        <w:pStyle w:val="Formuledadoption"/>
        <w:rPr>
          <w:noProof/>
        </w:rPr>
      </w:pPr>
      <w:r>
        <w:rPr>
          <w:noProof/>
        </w:rPr>
        <w:t xml:space="preserve">ПРИЕ НАСТОЯЩОТО РЕШЕНИЕ: </w:t>
      </w:r>
    </w:p>
    <w:p>
      <w:pPr>
        <w:pStyle w:val="Titrearticle"/>
        <w:rPr>
          <w:noProof/>
        </w:rPr>
      </w:pPr>
      <w:r>
        <w:rPr>
          <w:noProof/>
        </w:rPr>
        <w:t>Член 1</w:t>
      </w:r>
    </w:p>
    <w:p>
      <w:pPr>
        <w:keepNext/>
        <w:spacing w:after="0"/>
        <w:rPr>
          <w:rFonts w:eastAsia="Times New Roman"/>
          <w:noProof/>
          <w:szCs w:val="24"/>
        </w:rPr>
      </w:pPr>
      <w:r>
        <w:rPr>
          <w:noProof/>
        </w:rPr>
        <w:t xml:space="preserve">Позицията на Съюза в рамките на Съвета по търговията с услуги към СТО е да се подкрепи одобряването на преференциалното третиране, предоставено от членовете на СТО за услуги и доставчици на услуги от най-слаборазвитите страни по отношение на прилагането на мерки, различни от описаните в член XVI от ГАТС („Достъп до пазара“), в съответствие с решението от 7 декември 2013 г. на министрите на държавите от СТО (WT/L/918). </w:t>
      </w:r>
    </w:p>
    <w:p>
      <w:pPr>
        <w:keepNext/>
        <w:spacing w:after="0"/>
        <w:rPr>
          <w:rFonts w:eastAsia="Times New Roman"/>
          <w:noProof/>
          <w:szCs w:val="24"/>
        </w:rPr>
      </w:pPr>
      <w:r>
        <w:rPr>
          <w:noProof/>
        </w:rPr>
        <w:t>Тази позиция ще бъде представена от Европейската комисия.</w:t>
      </w:r>
    </w:p>
    <w:p>
      <w:pPr>
        <w:pStyle w:val="Titrearticle"/>
        <w:spacing w:before="120"/>
        <w:rPr>
          <w:noProof/>
        </w:rPr>
      </w:pPr>
      <w:r>
        <w:rPr>
          <w:noProof/>
        </w:rPr>
        <w:t>Член 2</w:t>
      </w:r>
    </w:p>
    <w:p>
      <w:pPr>
        <w:keepNext/>
        <w:keepLines/>
        <w:autoSpaceDE w:val="0"/>
        <w:autoSpaceDN w:val="0"/>
        <w:adjustRightInd w:val="0"/>
        <w:rPr>
          <w:noProof/>
          <w:szCs w:val="24"/>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keepNext/>
        <w:rPr>
          <w:noProof/>
        </w:rPr>
      </w:pPr>
      <w:r>
        <w:rPr>
          <w:noProof/>
        </w:rPr>
        <w:tab/>
        <w:t>Председател</w:t>
      </w:r>
    </w:p>
    <w:p>
      <w:pPr>
        <w:pStyle w:val="Personnequisigne"/>
        <w:rPr>
          <w:noProof/>
        </w:rPr>
      </w:pPr>
      <w:r>
        <w:rPr>
          <w:noProof/>
        </w:rPr>
        <w:tab/>
      </w:r>
      <w:r>
        <w:rPr>
          <w:i w:val="0"/>
          <w:noProof/>
        </w:rPr>
        <w: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Освобождаването е разрешение, предоставено от Общия съвет на СТО/Министерската конференция на СТО, за временна дерогация от някои от задълженията, поети в рамките на СТО, които в противен случай са приложими.</w:t>
      </w:r>
    </w:p>
  </w:footnote>
  <w:footnote w:id="2">
    <w:p>
      <w:pPr>
        <w:pStyle w:val="FootnoteText"/>
      </w:pPr>
      <w:r>
        <w:rPr>
          <w:rStyle w:val="FootnoteReference"/>
        </w:rPr>
        <w:footnoteRef/>
      </w:r>
      <w:r>
        <w:tab/>
        <w:t>Членове 205 и 206 от ДФЕС и член 21 от ДЕС.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4EE26B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BBE81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20408A00"/>
    <w:lvl w:ilvl="0">
      <w:start w:val="1"/>
      <w:numFmt w:val="decimal"/>
      <w:pStyle w:val="ListNumber2"/>
      <w:lvlText w:val="%1."/>
      <w:lvlJc w:val="left"/>
      <w:pPr>
        <w:tabs>
          <w:tab w:val="num" w:pos="643"/>
        </w:tabs>
        <w:ind w:left="643" w:hanging="360"/>
      </w:pPr>
    </w:lvl>
  </w:abstractNum>
  <w:abstractNum w:abstractNumId="3">
    <w:nsid w:val="FFFFFF81"/>
    <w:multiLevelType w:val="singleLevel"/>
    <w:tmpl w:val="17E892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6968C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B0CB88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1A4F520"/>
    <w:lvl w:ilvl="0">
      <w:start w:val="1"/>
      <w:numFmt w:val="decimal"/>
      <w:pStyle w:val="ListNumber"/>
      <w:lvlText w:val="%1."/>
      <w:lvlJc w:val="left"/>
      <w:pPr>
        <w:tabs>
          <w:tab w:val="num" w:pos="360"/>
        </w:tabs>
        <w:ind w:left="360" w:hanging="360"/>
      </w:pPr>
    </w:lvl>
  </w:abstractNum>
  <w:abstractNum w:abstractNumId="7">
    <w:nsid w:val="FFFFFF89"/>
    <w:multiLevelType w:val="singleLevel"/>
    <w:tmpl w:val="4A8A10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lvlOverride w:ilvl="0">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characterSpacingControl w:val="doNotCompress"/>
  <w:hdrShapeDefaults>
    <o:shapedefaults v:ext="edit" spidmax="2150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7-15 12:51:4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D057E8B009854CFF9C31A9D5F6E593C8"/>
    <w:docVar w:name="LW_CROSSREFERENCE" w:val="&lt;UNUSED&gt;"/>
    <w:docVar w:name="LW_DocType" w:val="COM"/>
    <w:docVar w:name="LW_EMISSION" w:val="23.7.2015"/>
    <w:docVar w:name="LW_EMISSION_ISODATE" w:val="2015-07-23"/>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56"/>
    <w:docVar w:name="LW_REF.II.NEW.CP_YEAR" w:val="2015"/>
    <w:docVar w:name="LW_REF.INST.NEW" w:val="COM"/>
    <w:docVar w:name="LW_REF.INST.NEW_ADOPTED" w:val="final"/>
    <w:docVar w:name="LW_REF.INST.NEW_TEXT" w:val="(2015) 356"/>
    <w:docVar w:name="LW_REF.INTERNE" w:val="&lt;UNUSED&gt;"/>
    <w:docVar w:name="LW_SOUS.TITRE.OBJ.CP" w:val="&lt;UNUSED&gt;"/>
    <w:docVar w:name="LW_STATUT.CP" w:val="\u1055?\u1088?\u1077?\u1076?\u1083?\u1086?\u1078?\u1077?\u1085?\u1080?\u1077? \u1079?\u1072?"/>
    <w:docVar w:name="LW_SUPERTITRE" w:val="&lt;UNUSED&gt;"/>
    <w:docVar w:name="LW_TITRE.OBJ.CP" w:val="\u1079?\u1072? \u1091?\u1089?\u1090?\u1072?\u1085?\u1086?\u1074?\u1103?\u1074?\u1072?\u1085?\u1077? \u1085?\u1072? \u1087?\u1086?\u1079?\u1080?\u1094?\u1080?\u1103?\u1090?\u1072?, \u1082?\u1086?\u1103?\u1090?\u1086? \u1076?\u1072? \u1073?\u1098?\u1076?\u1077? \u1079?\u1072?\u1077?\u1090?\u1072? \u1086?\u1090? \u1080?\u1084?\u1077?\u1090?\u1086? \u1085?\u1072? \u1045?\u1074?\u1088?\u1086?\u1087?\u1077?\u1081?\u1089?\u1082?\u1080?\u1103? \u1089?\u1098?\u1102?\u1079? \u1074? \u1088?\u1072?\u1084?\u1082?\u1080?\u1090?\u1077? \u1085?\u1072? \u1057?\u1098?\u1074?\u1077?\u1090?\u1072? \u1087?\u1086? \u1090?\u1098?\u1088?\u1075?\u1086?\u1074?\u1080?\u1103?\u1090?\u1072? \u1089? \u1091?\u1089?\u1083?\u1091?\u1075?\u1080? \u1082?\u1098?\u1084? \u1057?\u1074?\u1077?\u1090?\u1086?\u1074?\u1085?\u1072?\u1090?\u1072? \u1090?\u1098?\u1088?\u1075?\u1086?\u1074?\u1089?\u1082?\u1072? \u1086?\u1088?\u1075?\u1072?\u1085?\u1080?\u1079?\u1072?\u1094?\u1080?\u1103? \u1086?\u1090?\u1085?\u1086?\u1089?\u1085?\u1086? \u1087?\u1088?\u1080?\u1077?\u1084?\u1072?\u1085?\u1077?\u1090?\u1086? \u1085?\u1072? \u1087?\u1088?\u1077?\u1092?\u1077?\u1088?\u1077?\u1085?\u1094?\u1080?\u1080?, \u1085?\u1086?\u1090?\u1080?\u1092?\u1080?\u1094?\u1080?\u1088?\u1072?\u1085?\u1080? \u1086?\u1090? \u1095?\u1083?\u1077?\u1085?\u1086?\u1074?\u1077?\u1090?\u1077? \u1085?\u1072? \u1057?\u1058?\u1054? \u1087?\u1086? \u1086?\u1090?\u1085?\u1086?\u1096?\u1077?\u1085?\u1080?\u1077? \u1085?\u1072? \u1091?\u1089?\u1083?\u1091?\u1075?\u1080? \u1080? \u1076?\u1086?\u1089?\u1090?\u1072?\u1074?\u1095?\u1080?\u1094?\u1080? \u1085?\u1072? \u1091?\u1089?\u1083?\u1091?\u1075?\u1080? \u1086?\u1090? \u1085?\u1072?\u1081?-\u1089?\u1083?\u1072?\u1073?\u1086?\u1088?\u1072?\u1079?\u1074?\u1080?\u1090?\u1080?\u1090?\u1077? \u1089?\u1090?\u1088?\u1072?\u1085?\u1080?, \u1088?\u1072?\u1079?\u1083?\u1080?\u1095?\u1085?\u1080? \u1086?\u1090? \u1086?\u1087?\u1080?\u1089?\u1072?\u1085?\u1080?\u1090?\u1077? \u1074? \u1095?\u1083?\u1077?\u1085? XVI \u1086?\u1090? \u1043?\u1040?\u1058?\u105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Revision">
    <w:name w:val="Revision"/>
    <w:hidden/>
    <w:uiPriority w:val="99"/>
    <w:semiHidden/>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5ABC4-6CCE-4FAA-81F4-72605F571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Pages>
  <Words>1203</Words>
  <Characters>6631</Characters>
  <Application>Microsoft Office Word</Application>
  <DocSecurity>0</DocSecurity>
  <Lines>127</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2015-06-11T10:00:00Z</cp:lastPrinted>
  <dcterms:created xsi:type="dcterms:W3CDTF">2015-07-10T12:46:00Z</dcterms:created>
  <dcterms:modified xsi:type="dcterms:W3CDTF">2015-07-15T10:51:00Z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02)</vt:lpwstr>
  </property>
</Properties>
</file>