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82" w:rsidRDefault="00B51E5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C7E714643AE4E649C91A43852BDA1B0" style="width:450.75pt;height:321pt">
            <v:imagedata r:id="rId9" o:title=""/>
          </v:shape>
        </w:pict>
      </w:r>
    </w:p>
    <w:bookmarkEnd w:id="0"/>
    <w:p w:rsidR="00B37682" w:rsidRDefault="00B37682">
      <w:pPr>
        <w:rPr>
          <w:noProof/>
        </w:rPr>
        <w:sectPr w:rsidR="00B3768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37682" w:rsidRDefault="00B51E54">
      <w:pPr>
        <w:spacing w:before="100" w:beforeAutospacing="1" w:after="360" w:line="240" w:lineRule="auto"/>
        <w:jc w:val="center"/>
        <w:rPr>
          <w:rFonts w:ascii="Times New Roman" w:eastAsia="Times New Roman" w:hAnsi="Times New Roman"/>
          <w:b/>
          <w:noProof/>
          <w:sz w:val="24"/>
          <w:szCs w:val="24"/>
        </w:rPr>
      </w:pPr>
      <w:r>
        <w:rPr>
          <w:rFonts w:ascii="Times New Roman" w:hAnsi="Times New Roman"/>
          <w:b/>
          <w:noProof/>
          <w:sz w:val="24"/>
        </w:rPr>
        <w:lastRenderedPageBreak/>
        <w:t>RAPPORT ANNUEL 2014</w:t>
      </w:r>
      <w:r>
        <w:rPr>
          <w:noProof/>
        </w:rPr>
        <w:br/>
      </w:r>
      <w:r>
        <w:rPr>
          <w:rFonts w:ascii="Times New Roman" w:hAnsi="Times New Roman"/>
          <w:b/>
          <w:noProof/>
          <w:sz w:val="24"/>
        </w:rPr>
        <w:t>SUR LES RELATIONS ENTRE LA COMMISSION EUROPÉENNE ET LES PARLEMENTS NATIONAUX</w:t>
      </w:r>
      <w:r>
        <w:rPr>
          <w:noProof/>
        </w:rPr>
        <w:t xml:space="preserve"> </w:t>
      </w:r>
    </w:p>
    <w:p w:rsidR="00B37682" w:rsidRDefault="00B37682">
      <w:pPr>
        <w:keepNext/>
        <w:tabs>
          <w:tab w:val="left" w:pos="850"/>
        </w:tabs>
        <w:spacing w:before="100" w:beforeAutospacing="1" w:after="120" w:line="240" w:lineRule="auto"/>
        <w:ind w:left="850" w:hanging="850"/>
        <w:jc w:val="both"/>
        <w:outlineLvl w:val="0"/>
        <w:rPr>
          <w:rFonts w:ascii="Times New Roman" w:eastAsia="Times New Roman" w:hAnsi="Times New Roman"/>
          <w:b/>
          <w:smallCaps/>
          <w:noProof/>
          <w:sz w:val="24"/>
          <w:szCs w:val="24"/>
        </w:rPr>
      </w:pPr>
    </w:p>
    <w:p w:rsidR="00B37682" w:rsidRDefault="00B51E54">
      <w:pPr>
        <w:keepNext/>
        <w:tabs>
          <w:tab w:val="left" w:pos="850"/>
        </w:tabs>
        <w:spacing w:before="100" w:beforeAutospacing="1" w:after="120" w:line="240" w:lineRule="auto"/>
        <w:ind w:left="850" w:hanging="850"/>
        <w:jc w:val="both"/>
        <w:outlineLvl w:val="0"/>
        <w:rPr>
          <w:rFonts w:ascii="Times New Roman" w:eastAsia="Times New Roman" w:hAnsi="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Introduction</w:t>
      </w:r>
    </w:p>
    <w:p w:rsidR="00B37682" w:rsidRDefault="00B37682">
      <w:pPr>
        <w:spacing w:before="120" w:after="120" w:line="240" w:lineRule="auto"/>
        <w:jc w:val="both"/>
        <w:rPr>
          <w:rFonts w:ascii="Times New Roman" w:hAnsi="Times New Roman"/>
          <w:noProof/>
          <w:sz w:val="24"/>
          <w:szCs w:val="24"/>
        </w:rPr>
      </w:pP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L'année 2014, année de transition sur le plan institutionnel, a été marquée par l’élection en mai d’un nouveau Parlement européen et par la mise en place de la nouvelle Commission présidée par M. Jean-Claude Juncker. Celle-ci a fait part d</w:t>
      </w:r>
      <w:r>
        <w:rPr>
          <w:rFonts w:ascii="Times New Roman" w:hAnsi="Times New Roman"/>
          <w:noProof/>
          <w:sz w:val="24"/>
        </w:rPr>
        <w:t>e son intention d’établir un nouveau partenariat avec les parlements nationaux et a souligné que les commissaires se rendraient plus fréquemment dans ces enceintes afin de présenter les initiatives de la Commission et d'en débattre.</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En 2014, les questions institutionnelles ont également été à l’ordre du jour, plusieurs chambres parlementaires ayant réclamé un débat approfondi sur le rôle que les parlements nationaux seraient appelés à jouer dans le cadre interinstitutionnel. Entre jan</w:t>
      </w:r>
      <w:r>
        <w:rPr>
          <w:rFonts w:ascii="Times New Roman" w:hAnsi="Times New Roman"/>
          <w:noProof/>
          <w:sz w:val="24"/>
        </w:rPr>
        <w:t xml:space="preserve">vier et mai, le </w:t>
      </w:r>
      <w:r>
        <w:rPr>
          <w:rFonts w:ascii="Times New Roman" w:hAnsi="Times New Roman"/>
          <w:i/>
          <w:noProof/>
          <w:sz w:val="24"/>
        </w:rPr>
        <w:t>Folketing</w:t>
      </w:r>
      <w:r>
        <w:rPr>
          <w:rFonts w:ascii="Times New Roman" w:hAnsi="Times New Roman"/>
          <w:noProof/>
          <w:sz w:val="24"/>
        </w:rPr>
        <w:t xml:space="preserve"> danois, la Chambre des Lords britannique et la </w:t>
      </w:r>
      <w:r>
        <w:rPr>
          <w:rFonts w:ascii="Times New Roman" w:hAnsi="Times New Roman"/>
          <w:i/>
          <w:noProof/>
          <w:sz w:val="24"/>
        </w:rPr>
        <w:t>Tweede Kamer</w:t>
      </w:r>
      <w:r>
        <w:rPr>
          <w:rFonts w:ascii="Times New Roman" w:hAnsi="Times New Roman"/>
          <w:noProof/>
          <w:sz w:val="24"/>
        </w:rPr>
        <w:t xml:space="preserve"> néerlandaise ont soumis un rapport contenant des propositions détaillées sur la manière de renforcer le rôle des parlements nationaux dans le processus décisionnel europé</w:t>
      </w:r>
      <w:r>
        <w:rPr>
          <w:rFonts w:ascii="Times New Roman" w:hAnsi="Times New Roman"/>
          <w:noProof/>
          <w:sz w:val="24"/>
        </w:rPr>
        <w:t>en. Les discussions sur ces questions se poursuivent entre les parlements nationaux.</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Dans l'intervalle, les relations entre la Commission et les parlements nationaux ont continué à se développer autour des deux axes habituels: le mécanisme de contrôle de l</w:t>
      </w:r>
      <w:r>
        <w:rPr>
          <w:rFonts w:ascii="Times New Roman" w:hAnsi="Times New Roman"/>
          <w:noProof/>
          <w:sz w:val="24"/>
        </w:rPr>
        <w:t>a subsidiarité instauré par le traité de Lisbonne afin d'évaluer si les nouvelles propositions législatives dans les domaines relevant de la compétence partagée entre l'UE et les États membres respectent le principe de subsidiarité, et le dialogue politiqu</w:t>
      </w:r>
      <w:r>
        <w:rPr>
          <w:rFonts w:ascii="Times New Roman" w:hAnsi="Times New Roman"/>
          <w:noProof/>
          <w:sz w:val="24"/>
        </w:rPr>
        <w:t xml:space="preserve">e lancé par la Commission en 2006 afin d'échanger des informations et des avis sur divers dossiers stratégiques ainsi que sur des initiatives législatives et non législatives. </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Ce dixième rapport annuel sur les relations entre la Commission et les parlemen</w:t>
      </w:r>
      <w:r>
        <w:rPr>
          <w:rFonts w:ascii="Times New Roman" w:hAnsi="Times New Roman"/>
          <w:noProof/>
          <w:sz w:val="24"/>
        </w:rPr>
        <w:t>ts nationaux traite du dialogue politique. Certains aspects spécifiques touchant au mécanisme de contrôle de la subsidiarité sont abordés dans le rapport annuel 2014 sur la subsidiarité et la proportionnalité, qui est publié parallèlement au présent rappor</w:t>
      </w:r>
      <w:r>
        <w:rPr>
          <w:rFonts w:ascii="Times New Roman" w:hAnsi="Times New Roman"/>
          <w:noProof/>
          <w:sz w:val="24"/>
        </w:rPr>
        <w:t>t et doit être considéré comme complémentaire de celui-ci.</w:t>
      </w:r>
    </w:p>
    <w:p w:rsidR="00B37682" w:rsidRDefault="00B37682">
      <w:pPr>
        <w:spacing w:before="120" w:after="120" w:line="240" w:lineRule="auto"/>
        <w:jc w:val="both"/>
        <w:rPr>
          <w:rFonts w:ascii="Times New Roman" w:hAnsi="Times New Roman"/>
          <w:noProof/>
          <w:sz w:val="24"/>
          <w:szCs w:val="24"/>
        </w:rPr>
      </w:pPr>
    </w:p>
    <w:p w:rsidR="00B37682" w:rsidRDefault="00B51E54">
      <w:pPr>
        <w:keepNext/>
        <w:tabs>
          <w:tab w:val="left" w:pos="850"/>
        </w:tabs>
        <w:spacing w:before="120" w:after="120" w:line="240" w:lineRule="auto"/>
        <w:jc w:val="both"/>
        <w:rPr>
          <w:rFonts w:ascii="Times New Roman" w:eastAsia="Times New Roman" w:hAnsi="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 xml:space="preserve">Avis écrits des parlements nationaux </w:t>
      </w:r>
    </w:p>
    <w:p w:rsidR="00B37682" w:rsidRDefault="00B37682">
      <w:pPr>
        <w:autoSpaceDE w:val="0"/>
        <w:autoSpaceDN w:val="0"/>
        <w:adjustRightInd w:val="0"/>
        <w:spacing w:before="120" w:after="120" w:line="240" w:lineRule="auto"/>
        <w:ind w:left="284"/>
        <w:jc w:val="both"/>
        <w:rPr>
          <w:rFonts w:ascii="Times New Roman" w:hAnsi="Times New Roman"/>
          <w:i/>
          <w:noProof/>
          <w:sz w:val="24"/>
          <w:szCs w:val="24"/>
        </w:rPr>
      </w:pPr>
    </w:p>
    <w:p w:rsidR="00B37682" w:rsidRDefault="00B51E54">
      <w:pPr>
        <w:numPr>
          <w:ilvl w:val="0"/>
          <w:numId w:val="10"/>
        </w:numPr>
        <w:autoSpaceDE w:val="0"/>
        <w:autoSpaceDN w:val="0"/>
        <w:adjustRightInd w:val="0"/>
        <w:spacing w:before="120" w:after="120" w:line="240" w:lineRule="auto"/>
        <w:ind w:left="284" w:hanging="284"/>
        <w:jc w:val="both"/>
        <w:rPr>
          <w:rFonts w:ascii="Times New Roman" w:hAnsi="Times New Roman"/>
          <w:i/>
          <w:noProof/>
          <w:sz w:val="24"/>
          <w:szCs w:val="24"/>
        </w:rPr>
      </w:pPr>
      <w:r>
        <w:rPr>
          <w:rFonts w:ascii="Times New Roman" w:hAnsi="Times New Roman"/>
          <w:i/>
          <w:noProof/>
          <w:sz w:val="24"/>
        </w:rPr>
        <w:t>Observations générales</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Après une augmentation régulière du nombre d’avis reçus des parlements nationaux depuis le coup d'envoi du dialogue politique en </w:t>
      </w:r>
      <w:r>
        <w:rPr>
          <w:rFonts w:ascii="Times New Roman" w:hAnsi="Times New Roman"/>
          <w:noProof/>
          <w:sz w:val="24"/>
        </w:rPr>
        <w:t xml:space="preserve">2006, une diminution sensible a été observée en 2014 (y compris pour ce qui est des avis motivés - voir annexe 1). La diminution, constatée en 2014, du nombre d'avis écrits adressés par les parlements nationaux est toutefois essentiellement imputable à la </w:t>
      </w:r>
      <w:r>
        <w:rPr>
          <w:rFonts w:ascii="Times New Roman" w:hAnsi="Times New Roman"/>
          <w:noProof/>
          <w:sz w:val="24"/>
        </w:rPr>
        <w:t>baisse du nombre de nouvelles initiatives, enregistrée au cours de l'année du fait du changement de Commission.</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Les tendances générales suivantes se dégagent:</w:t>
      </w:r>
    </w:p>
    <w:p w:rsidR="00B37682" w:rsidRDefault="00B51E54">
      <w:pPr>
        <w:numPr>
          <w:ilvl w:val="0"/>
          <w:numId w:val="7"/>
        </w:numPr>
        <w:spacing w:before="120" w:after="120" w:line="240" w:lineRule="auto"/>
        <w:jc w:val="both"/>
        <w:rPr>
          <w:rFonts w:ascii="Times New Roman" w:hAnsi="Times New Roman"/>
          <w:noProof/>
          <w:sz w:val="24"/>
          <w:szCs w:val="24"/>
        </w:rPr>
      </w:pPr>
      <w:r>
        <w:rPr>
          <w:rFonts w:ascii="Times New Roman" w:hAnsi="Times New Roman"/>
          <w:noProof/>
          <w:sz w:val="24"/>
        </w:rPr>
        <w:lastRenderedPageBreak/>
        <w:t>le nombre d’avis transmis par les parlements nationaux en 2014 a diminué de 19 % par rapport à 20</w:t>
      </w:r>
      <w:r>
        <w:rPr>
          <w:rFonts w:ascii="Times New Roman" w:hAnsi="Times New Roman"/>
          <w:noProof/>
          <w:sz w:val="24"/>
        </w:rPr>
        <w:t>13;</w:t>
      </w:r>
    </w:p>
    <w:p w:rsidR="00B37682" w:rsidRDefault="00B51E54">
      <w:pPr>
        <w:numPr>
          <w:ilvl w:val="0"/>
          <w:numId w:val="7"/>
        </w:numPr>
        <w:spacing w:before="120" w:after="120" w:line="240" w:lineRule="auto"/>
        <w:jc w:val="both"/>
        <w:rPr>
          <w:rFonts w:ascii="Times New Roman" w:hAnsi="Times New Roman"/>
          <w:noProof/>
          <w:sz w:val="24"/>
          <w:szCs w:val="24"/>
        </w:rPr>
      </w:pPr>
      <w:r>
        <w:rPr>
          <w:rFonts w:ascii="Times New Roman" w:hAnsi="Times New Roman"/>
          <w:noProof/>
          <w:sz w:val="24"/>
        </w:rPr>
        <w:t>comme les années précédentes, le dialogue politique a été, pour la plus grande partie (80 %), le fait des dix chambres les plus actives;</w:t>
      </w:r>
    </w:p>
    <w:p w:rsidR="00B37682" w:rsidRDefault="00B51E54">
      <w:pPr>
        <w:numPr>
          <w:ilvl w:val="0"/>
          <w:numId w:val="7"/>
        </w:numPr>
        <w:spacing w:before="120" w:after="120" w:line="240" w:lineRule="auto"/>
        <w:jc w:val="both"/>
        <w:rPr>
          <w:rFonts w:ascii="Times New Roman" w:hAnsi="Times New Roman"/>
          <w:noProof/>
          <w:sz w:val="24"/>
          <w:szCs w:val="24"/>
        </w:rPr>
      </w:pPr>
      <w:r>
        <w:rPr>
          <w:rFonts w:ascii="Times New Roman" w:hAnsi="Times New Roman"/>
          <w:noProof/>
          <w:sz w:val="24"/>
        </w:rPr>
        <w:t>les parlements nationaux ont continué à se concentrer sur les documents législatifs, dans le cadre de leur dialogue</w:t>
      </w:r>
      <w:r>
        <w:rPr>
          <w:rFonts w:ascii="Times New Roman" w:hAnsi="Times New Roman"/>
          <w:noProof/>
          <w:sz w:val="24"/>
        </w:rPr>
        <w:t xml:space="preserve"> politique avec la Commission, quelques-uns seulement de leurs avis se rapportant à des documents de consultation et à d'autres documents non législatifs.</w:t>
      </w:r>
    </w:p>
    <w:p w:rsidR="00B37682" w:rsidRDefault="00B37682">
      <w:pPr>
        <w:spacing w:before="120" w:after="120" w:line="240" w:lineRule="auto"/>
        <w:jc w:val="both"/>
        <w:rPr>
          <w:rFonts w:ascii="Times New Roman" w:hAnsi="Times New Roman"/>
          <w:iCs/>
          <w:noProof/>
          <w:sz w:val="24"/>
          <w:szCs w:val="24"/>
        </w:rPr>
      </w:pPr>
    </w:p>
    <w:p w:rsidR="00B37682" w:rsidRDefault="00B51E54">
      <w:pPr>
        <w:numPr>
          <w:ilvl w:val="0"/>
          <w:numId w:val="10"/>
        </w:numPr>
        <w:autoSpaceDE w:val="0"/>
        <w:autoSpaceDN w:val="0"/>
        <w:adjustRightInd w:val="0"/>
        <w:spacing w:before="120" w:after="120" w:line="240" w:lineRule="auto"/>
        <w:ind w:left="284" w:hanging="284"/>
        <w:jc w:val="both"/>
        <w:rPr>
          <w:rFonts w:ascii="Times New Roman" w:hAnsi="Times New Roman"/>
          <w:i/>
          <w:noProof/>
          <w:sz w:val="24"/>
          <w:szCs w:val="24"/>
        </w:rPr>
      </w:pPr>
      <w:r>
        <w:rPr>
          <w:rFonts w:ascii="Times New Roman" w:hAnsi="Times New Roman"/>
          <w:i/>
          <w:noProof/>
          <w:sz w:val="24"/>
        </w:rPr>
        <w:t>Participation et portée</w:t>
      </w:r>
    </w:p>
    <w:p w:rsidR="00B37682" w:rsidRDefault="00B51E54">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En 2014, la Commission a reçu au total 506 avis des parlements nationaux</w:t>
      </w:r>
      <w:r>
        <w:rPr>
          <w:rStyle w:val="FootnoteReference"/>
          <w:noProof/>
        </w:rPr>
        <w:footnoteReference w:id="1"/>
      </w:r>
      <w:r>
        <w:rPr>
          <w:rFonts w:ascii="Times New Roman" w:hAnsi="Times New Roman"/>
          <w:noProof/>
          <w:sz w:val="24"/>
        </w:rPr>
        <w:t xml:space="preserve">. </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w:t>
      </w:r>
      <w:r>
        <w:rPr>
          <w:rFonts w:ascii="Times New Roman" w:hAnsi="Times New Roman"/>
          <w:i/>
          <w:noProof/>
          <w:sz w:val="24"/>
        </w:rPr>
        <w:t xml:space="preserve">Assembleia da República </w:t>
      </w:r>
      <w:r>
        <w:rPr>
          <w:rFonts w:ascii="Times New Roman" w:hAnsi="Times New Roman"/>
          <w:noProof/>
          <w:sz w:val="24"/>
        </w:rPr>
        <w:t>portugaise a de nouveau été la chambre qui a transmis le plus d'avis en 2014 et ses 118 avis ont représenté plus de 23 % du nombre total reçu. Elle a toutefois adressé moins d'avis que les années précédentes (192 en 2013 et 227 en</w:t>
      </w:r>
      <w:r>
        <w:rPr>
          <w:rFonts w:ascii="Times New Roman" w:hAnsi="Times New Roman"/>
          <w:noProof/>
          <w:sz w:val="24"/>
        </w:rPr>
        <w:t xml:space="preserve"> 2012). Les autres parlements nationaux ou chambres nationales qui ont adressé dix avis au moins en 2014 ont été:</w:t>
      </w:r>
      <w:r>
        <w:rPr>
          <w:noProof/>
        </w:rPr>
        <w:t xml:space="preserve"> </w:t>
      </w:r>
      <w:r>
        <w:rPr>
          <w:rFonts w:ascii="Times New Roman" w:hAnsi="Times New Roman"/>
          <w:noProof/>
          <w:sz w:val="24"/>
        </w:rPr>
        <w:t xml:space="preserve">le </w:t>
      </w:r>
      <w:r>
        <w:rPr>
          <w:rFonts w:ascii="Times New Roman" w:hAnsi="Times New Roman"/>
          <w:i/>
          <w:noProof/>
          <w:sz w:val="24"/>
        </w:rPr>
        <w:t>Senato della Repubblica</w:t>
      </w:r>
      <w:r>
        <w:rPr>
          <w:rFonts w:ascii="Times New Roman" w:hAnsi="Times New Roman"/>
          <w:noProof/>
          <w:sz w:val="24"/>
        </w:rPr>
        <w:t xml:space="preserve"> italien (63 avis), le </w:t>
      </w:r>
      <w:r>
        <w:rPr>
          <w:rFonts w:ascii="Times New Roman" w:hAnsi="Times New Roman"/>
          <w:i/>
          <w:noProof/>
          <w:sz w:val="24"/>
        </w:rPr>
        <w:t>Congreso de los Diputados</w:t>
      </w:r>
      <w:r>
        <w:rPr>
          <w:rFonts w:ascii="Times New Roman" w:hAnsi="Times New Roman"/>
          <w:noProof/>
          <w:sz w:val="24"/>
        </w:rPr>
        <w:t xml:space="preserve"> et </w:t>
      </w:r>
      <w:r>
        <w:rPr>
          <w:rFonts w:ascii="Times New Roman" w:hAnsi="Times New Roman"/>
          <w:i/>
          <w:noProof/>
          <w:sz w:val="24"/>
        </w:rPr>
        <w:t>Senado</w:t>
      </w:r>
      <w:r>
        <w:rPr>
          <w:rFonts w:ascii="Times New Roman" w:hAnsi="Times New Roman"/>
          <w:noProof/>
          <w:sz w:val="24"/>
        </w:rPr>
        <w:t xml:space="preserve"> espagnol (45 avis), le </w:t>
      </w:r>
      <w:r>
        <w:rPr>
          <w:rFonts w:ascii="Times New Roman" w:hAnsi="Times New Roman"/>
          <w:i/>
          <w:noProof/>
          <w:sz w:val="24"/>
        </w:rPr>
        <w:t>Senát</w:t>
      </w:r>
      <w:r>
        <w:rPr>
          <w:rFonts w:ascii="Times New Roman" w:hAnsi="Times New Roman"/>
          <w:noProof/>
          <w:sz w:val="24"/>
        </w:rPr>
        <w:t xml:space="preserve"> tchèque (41 avis), l'Assembl</w:t>
      </w:r>
      <w:r>
        <w:rPr>
          <w:rFonts w:ascii="Times New Roman" w:hAnsi="Times New Roman"/>
          <w:noProof/>
          <w:sz w:val="24"/>
        </w:rPr>
        <w:t xml:space="preserve">ée nationale française (35 avis), la </w:t>
      </w:r>
      <w:r>
        <w:rPr>
          <w:rFonts w:ascii="Times New Roman" w:hAnsi="Times New Roman"/>
          <w:i/>
          <w:noProof/>
          <w:sz w:val="24"/>
        </w:rPr>
        <w:t>Camera Deputaților</w:t>
      </w:r>
      <w:r>
        <w:rPr>
          <w:rFonts w:ascii="Times New Roman" w:hAnsi="Times New Roman"/>
          <w:noProof/>
          <w:sz w:val="24"/>
        </w:rPr>
        <w:t xml:space="preserve"> roumaine (30 avis), le </w:t>
      </w:r>
      <w:r>
        <w:rPr>
          <w:rFonts w:ascii="Times New Roman" w:hAnsi="Times New Roman"/>
          <w:i/>
          <w:noProof/>
          <w:sz w:val="24"/>
        </w:rPr>
        <w:t>Bundesrat</w:t>
      </w:r>
      <w:r>
        <w:rPr>
          <w:rFonts w:ascii="Times New Roman" w:hAnsi="Times New Roman"/>
          <w:noProof/>
          <w:sz w:val="24"/>
        </w:rPr>
        <w:t xml:space="preserve"> allemand (24 avis), la Chambre des Lords britannique (21 avis), la </w:t>
      </w:r>
      <w:r>
        <w:rPr>
          <w:rFonts w:ascii="Times New Roman" w:hAnsi="Times New Roman"/>
          <w:i/>
          <w:noProof/>
          <w:sz w:val="24"/>
        </w:rPr>
        <w:t>Camera dei Deputati</w:t>
      </w:r>
      <w:r>
        <w:rPr>
          <w:rFonts w:ascii="Times New Roman" w:hAnsi="Times New Roman"/>
          <w:noProof/>
          <w:sz w:val="24"/>
        </w:rPr>
        <w:t xml:space="preserve"> italienne (15 avis), la Chambre des communes britannique (12 avis), le </w:t>
      </w:r>
      <w:r>
        <w:rPr>
          <w:rFonts w:ascii="Times New Roman" w:hAnsi="Times New Roman"/>
          <w:i/>
          <w:noProof/>
          <w:sz w:val="24"/>
        </w:rPr>
        <w:t>Bundesrat</w:t>
      </w:r>
      <w:r>
        <w:rPr>
          <w:rFonts w:ascii="Times New Roman" w:hAnsi="Times New Roman"/>
          <w:noProof/>
          <w:sz w:val="24"/>
        </w:rPr>
        <w:t xml:space="preserve"> autrichien (10 avis), la </w:t>
      </w:r>
      <w:r>
        <w:rPr>
          <w:rFonts w:ascii="Times New Roman" w:hAnsi="Times New Roman"/>
          <w:i/>
          <w:noProof/>
          <w:sz w:val="24"/>
        </w:rPr>
        <w:t>Tweede Kamer</w:t>
      </w:r>
      <w:r>
        <w:rPr>
          <w:rFonts w:ascii="Times New Roman" w:hAnsi="Times New Roman"/>
          <w:noProof/>
          <w:sz w:val="24"/>
        </w:rPr>
        <w:t xml:space="preserve"> néerlandaise (10 avis) et le </w:t>
      </w:r>
      <w:r>
        <w:rPr>
          <w:rFonts w:ascii="Times New Roman" w:hAnsi="Times New Roman"/>
          <w:i/>
          <w:noProof/>
          <w:sz w:val="24"/>
        </w:rPr>
        <w:t>Riksdag</w:t>
      </w:r>
      <w:r>
        <w:rPr>
          <w:rFonts w:ascii="Times New Roman" w:hAnsi="Times New Roman"/>
          <w:noProof/>
          <w:sz w:val="24"/>
        </w:rPr>
        <w:t xml:space="preserve"> suédois (10 avis). </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Comme les années précédentes, le dialogue politique entre les parlements nationaux et la Commission a été axé sur les propositions législatives, et seul un peti</w:t>
      </w:r>
      <w:r>
        <w:rPr>
          <w:rFonts w:ascii="Times New Roman" w:hAnsi="Times New Roman"/>
          <w:noProof/>
          <w:sz w:val="24"/>
        </w:rPr>
        <w:t>t nombre d’avis adressés par les parlements nationaux en 2014 portait sur des initiatives non législatives. À cet égard, les 13 documents de la Commission qui ont suscité en 2014 le plus grand nombre d’avis (six ou plus) de la part des parlements nationaux</w:t>
      </w:r>
      <w:r>
        <w:rPr>
          <w:rFonts w:ascii="Times New Roman" w:hAnsi="Times New Roman"/>
          <w:noProof/>
          <w:sz w:val="24"/>
        </w:rPr>
        <w:t xml:space="preserve"> étaient des propositions législatives (voir annexe 2). Il s'agit d'une tendance qui semble s'être intensifiée au fil des années. La Commission encourage les parlements nationaux à s’impliquer au cours de la phase pré-législative, soit en réagissant aux co</w:t>
      </w:r>
      <w:r>
        <w:rPr>
          <w:rFonts w:ascii="Times New Roman" w:hAnsi="Times New Roman"/>
          <w:noProof/>
          <w:sz w:val="24"/>
        </w:rPr>
        <w:t>nsultations publiques soit en formulant des observations sur des documents stratégiques, tels que les livres verts. Toutefois, jusqu’à présent, rares sont les chambres qui ont fait connaître leur point de vue avant l’adoption d’une proposition législative.</w:t>
      </w:r>
    </w:p>
    <w:p w:rsidR="00B37682" w:rsidRDefault="00B37682">
      <w:pPr>
        <w:spacing w:before="120" w:after="120" w:line="240" w:lineRule="auto"/>
        <w:jc w:val="both"/>
        <w:rPr>
          <w:rFonts w:ascii="Times New Roman" w:hAnsi="Times New Roman"/>
          <w:noProof/>
          <w:sz w:val="24"/>
          <w:szCs w:val="24"/>
        </w:rPr>
      </w:pPr>
    </w:p>
    <w:p w:rsidR="00B37682" w:rsidRDefault="00B51E54">
      <w:pPr>
        <w:numPr>
          <w:ilvl w:val="0"/>
          <w:numId w:val="10"/>
        </w:numPr>
        <w:autoSpaceDE w:val="0"/>
        <w:autoSpaceDN w:val="0"/>
        <w:adjustRightInd w:val="0"/>
        <w:spacing w:before="120" w:after="120" w:line="240" w:lineRule="auto"/>
        <w:ind w:left="284" w:hanging="284"/>
        <w:jc w:val="both"/>
        <w:rPr>
          <w:rFonts w:ascii="Times New Roman" w:hAnsi="Times New Roman"/>
          <w:i/>
          <w:noProof/>
          <w:sz w:val="24"/>
          <w:szCs w:val="24"/>
        </w:rPr>
      </w:pPr>
      <w:r>
        <w:rPr>
          <w:rFonts w:ascii="Times New Roman" w:hAnsi="Times New Roman"/>
          <w:i/>
          <w:noProof/>
          <w:sz w:val="24"/>
        </w:rPr>
        <w:t>Sujets clés du dialogue politique</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Les propositions législatives suivantes figurent parmi celles qui ont suscité, en 2014, le plus grand nombre d'avis de la part des parlements nationaux (pour plus de détails, voir l’annexe 2). </w:t>
      </w:r>
    </w:p>
    <w:p w:rsidR="00B37682" w:rsidRDefault="00B51E54">
      <w:pPr>
        <w:numPr>
          <w:ilvl w:val="0"/>
          <w:numId w:val="5"/>
        </w:numPr>
        <w:spacing w:before="120" w:after="120" w:line="240" w:lineRule="auto"/>
        <w:ind w:left="567" w:hanging="567"/>
        <w:jc w:val="both"/>
        <w:rPr>
          <w:rFonts w:ascii="Times New Roman" w:hAnsi="Times New Roman"/>
          <w:noProof/>
          <w:sz w:val="24"/>
          <w:szCs w:val="24"/>
        </w:rPr>
      </w:pPr>
      <w:r>
        <w:rPr>
          <w:rFonts w:ascii="Times New Roman" w:hAnsi="Times New Roman"/>
          <w:i/>
          <w:noProof/>
          <w:sz w:val="24"/>
        </w:rPr>
        <w:t xml:space="preserve">La proposition de </w:t>
      </w:r>
      <w:r>
        <w:rPr>
          <w:rFonts w:ascii="Times New Roman" w:hAnsi="Times New Roman"/>
          <w:i/>
          <w:noProof/>
          <w:sz w:val="24"/>
        </w:rPr>
        <w:t>directive du Parlement européen et du Conseil modifiant les directives relatives aux déchets, aux emballages et aux déchets d’emballages, à la mise en décharge des déchets, aux véhicules hors d’usage, aux piles et accumulateurs ainsi qu’aux déchets de pile</w:t>
      </w:r>
      <w:r>
        <w:rPr>
          <w:rFonts w:ascii="Times New Roman" w:hAnsi="Times New Roman"/>
          <w:i/>
          <w:noProof/>
          <w:sz w:val="24"/>
        </w:rPr>
        <w:t>s et d’accumulateurs et aux déchets d’équipements électriques et électroniques (directive relative aux objectifs de recyclage et aux autres objectifs associés aux déchets)</w:t>
      </w:r>
      <w:r>
        <w:rPr>
          <w:rStyle w:val="FootnoteReference"/>
          <w:rFonts w:ascii="Times New Roman" w:hAnsi="Times New Roman"/>
          <w:i/>
          <w:noProof/>
          <w:sz w:val="24"/>
        </w:rPr>
        <w:footnoteReference w:id="2"/>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Le 2 juillet 2014, la Commission a publié une proposition dans le cadre d’un ensemb</w:t>
      </w:r>
      <w:r>
        <w:rPr>
          <w:rFonts w:ascii="Times New Roman" w:hAnsi="Times New Roman"/>
          <w:noProof/>
          <w:sz w:val="24"/>
        </w:rPr>
        <w:t>le de mesures destinées à créer une économie plus circulaire en vue d’accroître la compétitivité de l’Europe et de réduire la demande en ressources rares et coûteuses. Dans cette proposition, la Commission suggère de recycler 70 % des déchets municipaux et</w:t>
      </w:r>
      <w:r>
        <w:rPr>
          <w:rFonts w:ascii="Times New Roman" w:hAnsi="Times New Roman"/>
          <w:noProof/>
          <w:sz w:val="24"/>
        </w:rPr>
        <w:t xml:space="preserve"> 80 % des déchets d’emballage d’ici à 2030 et d'interdire la mise en décharge des déchets recyclables à compter de 2025. Cette proposition fixe des objectifs ambitieux et prévoit des dispositions importantes concernant les instruments nécessaires pour atte</w:t>
      </w:r>
      <w:r>
        <w:rPr>
          <w:rFonts w:ascii="Times New Roman" w:hAnsi="Times New Roman"/>
          <w:noProof/>
          <w:sz w:val="24"/>
        </w:rPr>
        <w:t xml:space="preserve">indre ces objectifs et assurer leur suivi. </w:t>
      </w:r>
    </w:p>
    <w:p w:rsidR="00B37682" w:rsidRDefault="00B51E54">
      <w:pPr>
        <w:pStyle w:val="astandard3520normal"/>
        <w:rPr>
          <w:noProof/>
        </w:rPr>
      </w:pPr>
      <w:r>
        <w:rPr>
          <w:noProof/>
        </w:rPr>
        <w:t>La Commission a reçu 13 avis sur cette proposition, dont trois avis motivés contestant la conformité de la proposition avec le principe de subsidiarité. Les arguments concernant la subsidiarité et les réponses de</w:t>
      </w:r>
      <w:r>
        <w:rPr>
          <w:noProof/>
        </w:rPr>
        <w:t xml:space="preserve"> la Commission sont exposés de manière détaillée dans le rapport annuel 2014 sur la subsidiarité et la proportionnalité.</w:t>
      </w:r>
    </w:p>
    <w:p w:rsidR="00B37682" w:rsidRDefault="00B51E54">
      <w:pPr>
        <w:pStyle w:val="astandard3520normal"/>
        <w:rPr>
          <w:noProof/>
        </w:rPr>
      </w:pPr>
      <w:r>
        <w:rPr>
          <w:noProof/>
        </w:rPr>
        <w:t>Bien que les parlements nationaux aient soutenu dans l'ensemble l’objectif en matière d'utilisation efficace des ressources et le passa</w:t>
      </w:r>
      <w:r>
        <w:rPr>
          <w:noProof/>
        </w:rPr>
        <w:t>ge à une économie plus circulaire, un certain nombre d’objections ont été soulevées à l'encontre de cette proposition. Ces objections concernaient, en particulier, le niveau élevé ou le caractère contraignant de ces objectifs (4 chambres)</w:t>
      </w:r>
      <w:r>
        <w:rPr>
          <w:rStyle w:val="FootnoteReference"/>
          <w:noProof/>
        </w:rPr>
        <w:footnoteReference w:id="3"/>
      </w:r>
      <w:r>
        <w:rPr>
          <w:noProof/>
        </w:rPr>
        <w:t>, le délai fixé p</w:t>
      </w:r>
      <w:r>
        <w:rPr>
          <w:noProof/>
        </w:rPr>
        <w:t>our la réalisation des objectifs par les États membres (4 chambres)</w:t>
      </w:r>
      <w:r>
        <w:rPr>
          <w:rStyle w:val="FootnoteReference"/>
          <w:noProof/>
        </w:rPr>
        <w:footnoteReference w:id="4"/>
      </w:r>
      <w:r>
        <w:rPr>
          <w:noProof/>
        </w:rPr>
        <w:t>, la non-prise en compte des résultats déjà obtenus par certains États membres (2 chambres)</w:t>
      </w:r>
      <w:r>
        <w:rPr>
          <w:rStyle w:val="FootnoteReference"/>
          <w:noProof/>
        </w:rPr>
        <w:footnoteReference w:id="5"/>
      </w:r>
      <w:r>
        <w:rPr>
          <w:noProof/>
        </w:rPr>
        <w:t>, les conséquences économiques de la proposition pour les États membres et les entreprises (2 ch</w:t>
      </w:r>
      <w:r>
        <w:rPr>
          <w:noProof/>
        </w:rPr>
        <w:t>ambres)</w:t>
      </w:r>
      <w:r>
        <w:rPr>
          <w:rStyle w:val="FootnoteReference"/>
          <w:noProof/>
        </w:rPr>
        <w:footnoteReference w:id="6"/>
      </w:r>
      <w:r>
        <w:rPr>
          <w:noProof/>
        </w:rPr>
        <w:t>, le choix des méthodes retenues pour la réalisation des objectifs environnementaux (4 chambres)</w:t>
      </w:r>
      <w:r>
        <w:rPr>
          <w:rStyle w:val="FootnoteReference"/>
          <w:noProof/>
        </w:rPr>
        <w:footnoteReference w:id="7"/>
      </w:r>
      <w:r>
        <w:rPr>
          <w:noProof/>
        </w:rPr>
        <w:t>, le nombre et la teneur des dispositions habilitant la Commission à adopter des actes délégués (4 chambres)</w:t>
      </w:r>
      <w:r>
        <w:rPr>
          <w:rStyle w:val="FootnoteReference"/>
          <w:noProof/>
        </w:rPr>
        <w:footnoteReference w:id="8"/>
      </w:r>
      <w:r>
        <w:rPr>
          <w:noProof/>
        </w:rPr>
        <w:t>, et l'utilisation de données statistiques</w:t>
      </w:r>
      <w:r>
        <w:rPr>
          <w:noProof/>
        </w:rPr>
        <w:t xml:space="preserve"> (2 chambres)</w:t>
      </w:r>
      <w:r>
        <w:rPr>
          <w:rStyle w:val="FootnoteReference"/>
          <w:noProof/>
        </w:rPr>
        <w:footnoteReference w:id="9"/>
      </w:r>
      <w:r>
        <w:rPr>
          <w:noProof/>
        </w:rPr>
        <w:t xml:space="preserve">. </w:t>
      </w:r>
    </w:p>
    <w:p w:rsidR="00B37682" w:rsidRDefault="00B51E54">
      <w:pPr>
        <w:autoSpaceDE w:val="0"/>
        <w:autoSpaceDN w:val="0"/>
        <w:adjustRightInd w:val="0"/>
        <w:spacing w:after="0" w:line="240" w:lineRule="auto"/>
        <w:jc w:val="both"/>
        <w:rPr>
          <w:rFonts w:ascii="Times New Roman" w:eastAsia="Times New Roman" w:hAnsi="Times New Roman"/>
          <w:b/>
          <w:bCs/>
          <w:i/>
          <w:noProof/>
          <w:sz w:val="24"/>
          <w:szCs w:val="24"/>
        </w:rPr>
      </w:pPr>
      <w:r>
        <w:rPr>
          <w:rFonts w:ascii="Times New Roman" w:hAnsi="Times New Roman"/>
          <w:noProof/>
          <w:sz w:val="24"/>
        </w:rPr>
        <w:t>Le 16 décembre 2014, la Commission a adopté son programme de travail pour 2014, dans le cadre duquel elle a proposé de retirer ou de modifier 80 des 450 propositions devant encore faire l'objet d’une décision du Parlement européen et du Co</w:t>
      </w:r>
      <w:r>
        <w:rPr>
          <w:rFonts w:ascii="Times New Roman" w:hAnsi="Times New Roman"/>
          <w:noProof/>
          <w:sz w:val="24"/>
        </w:rPr>
        <w:t>nseil</w:t>
      </w:r>
      <w:r>
        <w:rPr>
          <w:rStyle w:val="FootnoteReference"/>
          <w:noProof/>
        </w:rPr>
        <w:footnoteReference w:id="10"/>
      </w:r>
      <w:r>
        <w:rPr>
          <w:noProof/>
        </w:rPr>
        <w:t>.</w:t>
      </w:r>
      <w:r>
        <w:rPr>
          <w:rFonts w:ascii="Times New Roman" w:hAnsi="Times New Roman"/>
          <w:noProof/>
          <w:sz w:val="24"/>
        </w:rPr>
        <w:t xml:space="preserve"> Elle a indiqué qu’elle avait l’intention de retirer la proposition de directive, tout en annonçant qu’elle la remplacerait d’ici la fin de 2015 par une nouvelle proposition, plus ambitieuse, visant à promouvoir l’économie circulaire. Elle a égaleme</w:t>
      </w:r>
      <w:r>
        <w:rPr>
          <w:rFonts w:ascii="Times New Roman" w:hAnsi="Times New Roman"/>
          <w:noProof/>
          <w:sz w:val="24"/>
        </w:rPr>
        <w:t>nt réaffirmé sa détermination à encourager le passage à une économie circulaire dans l'UE, s'appuyant sur une utilisation efficace des ressources, ce qui aurait un effet très positif sur l’emploi, la croissance, la compétitivité et l’innovation.</w:t>
      </w:r>
      <w:r>
        <w:rPr>
          <w:rFonts w:ascii="Times New Roman" w:hAnsi="Times New Roman"/>
          <w:i/>
          <w:noProof/>
          <w:sz w:val="24"/>
        </w:rPr>
        <w:t xml:space="preserve"> </w:t>
      </w:r>
      <w:r>
        <w:rPr>
          <w:rFonts w:ascii="Times New Roman" w:hAnsi="Times New Roman"/>
          <w:noProof/>
          <w:sz w:val="24"/>
        </w:rPr>
        <w:t>Après cons</w:t>
      </w:r>
      <w:r>
        <w:rPr>
          <w:rFonts w:ascii="Times New Roman" w:hAnsi="Times New Roman"/>
          <w:noProof/>
          <w:sz w:val="24"/>
        </w:rPr>
        <w:t>ultation du Parlement européen et du Conseil, la Commission a confirmé le retrait de ces propositions le 25 février 2015</w:t>
      </w:r>
      <w:r>
        <w:rPr>
          <w:rStyle w:val="FootnoteReference"/>
          <w:rFonts w:ascii="Times New Roman" w:hAnsi="Times New Roman"/>
          <w:noProof/>
          <w:sz w:val="24"/>
        </w:rPr>
        <w:footnoteReference w:id="11"/>
      </w:r>
      <w:r>
        <w:rPr>
          <w:noProof/>
        </w:rPr>
        <w:t>.</w:t>
      </w:r>
    </w:p>
    <w:p w:rsidR="00B37682" w:rsidRDefault="00B51E54">
      <w:pPr>
        <w:numPr>
          <w:ilvl w:val="0"/>
          <w:numId w:val="5"/>
        </w:numPr>
        <w:spacing w:before="240" w:after="240" w:line="240" w:lineRule="auto"/>
        <w:ind w:left="426" w:hanging="426"/>
        <w:jc w:val="both"/>
        <w:rPr>
          <w:rFonts w:ascii="Times New Roman" w:hAnsi="Times New Roman"/>
          <w:i/>
          <w:noProof/>
          <w:sz w:val="24"/>
          <w:szCs w:val="24"/>
        </w:rPr>
      </w:pPr>
      <w:r>
        <w:rPr>
          <w:rFonts w:ascii="Times New Roman" w:hAnsi="Times New Roman"/>
          <w:i/>
          <w:noProof/>
          <w:sz w:val="24"/>
        </w:rPr>
        <w:t>Proposition de règlement du Parlement européen et du Conseil relatif à la production biologique et à l’étiquetage des produits biolog</w:t>
      </w:r>
      <w:r>
        <w:rPr>
          <w:rFonts w:ascii="Times New Roman" w:hAnsi="Times New Roman"/>
          <w:i/>
          <w:noProof/>
          <w:sz w:val="24"/>
        </w:rPr>
        <w:t>iques</w:t>
      </w:r>
      <w:r>
        <w:rPr>
          <w:rStyle w:val="FootnoteReference"/>
          <w:rFonts w:ascii="Times New Roman" w:hAnsi="Times New Roman"/>
          <w:i/>
          <w:noProof/>
          <w:sz w:val="24"/>
        </w:rPr>
        <w:footnoteReference w:id="12"/>
      </w:r>
    </w:p>
    <w:p w:rsidR="00B37682" w:rsidRDefault="00B51E54">
      <w:pPr>
        <w:pStyle w:val="astandard3520normal"/>
        <w:rPr>
          <w:noProof/>
        </w:rPr>
      </w:pPr>
      <w:r>
        <w:rPr>
          <w:noProof/>
        </w:rPr>
        <w:t>Le 25 mars 2014, la Commission a publié une proposition visant à garantir que les exigences des consommateurs en matière d’environnement et de qualité sont satisfaites. Cette proposition comporte trois grands objectifs: préserver la confiance des co</w:t>
      </w:r>
      <w:r>
        <w:rPr>
          <w:noProof/>
        </w:rPr>
        <w:t xml:space="preserve">nsommateurs, maintenir celle des producteurs et permettre aux exploitants agricoles de passer plus facilement à un mode de production biologique. La Commission a proposé en particulier i) de renforcer et d’harmoniser les règles applicables tant au sein de </w:t>
      </w:r>
      <w:r>
        <w:rPr>
          <w:noProof/>
        </w:rPr>
        <w:t>l’Union qu'en ce qui concerne les produits importés, en supprimant une grande partie des dérogations actuelles en matière de production et de contrôles, ii) de mettre en place un système de contrôle fondé sur les risques, iii) de permettre aux petits agric</w:t>
      </w:r>
      <w:r>
        <w:rPr>
          <w:noProof/>
        </w:rPr>
        <w:t>ulteurs de passer plus facilement à l’agriculture biologique en leur offrant la possibilité d’adhérer à un système de certification de groupe, iv) de mieux prendre en compte la dimension internationale des échanges de produits biologiques grâce à l'ajout d</w:t>
      </w:r>
      <w:r>
        <w:rPr>
          <w:noProof/>
        </w:rPr>
        <w:t>e nouvelles dispositions concernant les exportations; et v) de simplifier la législation afin de réduire les coûts administratifs pesant sur les agriculteurs et d'accroître la transparence.</w:t>
      </w:r>
    </w:p>
    <w:p w:rsidR="00B37682" w:rsidRDefault="00B51E54">
      <w:pPr>
        <w:pStyle w:val="astandard3520normal"/>
        <w:rPr>
          <w:noProof/>
        </w:rPr>
      </w:pPr>
      <w:r>
        <w:rPr>
          <w:noProof/>
        </w:rPr>
        <w:t>La Commission a reçu 12 avis sur cette proposition, dont deux avis</w:t>
      </w:r>
      <w:r>
        <w:rPr>
          <w:noProof/>
        </w:rPr>
        <w:t xml:space="preserve"> motivés contestant la conformité de la proposition avec le principe de subsidiarité. Les arguments concernant la subsidiarité et les réponses de la Commission sont exposés de manière détaillée dans le rapport annuel 2014 sur la subsidiarité et la proporti</w:t>
      </w:r>
      <w:r>
        <w:rPr>
          <w:noProof/>
        </w:rPr>
        <w:t>onnalité.</w:t>
      </w:r>
    </w:p>
    <w:p w:rsidR="00B37682" w:rsidRDefault="00B51E54">
      <w:pPr>
        <w:pStyle w:val="astandard3520normal"/>
        <w:rPr>
          <w:noProof/>
        </w:rPr>
      </w:pPr>
      <w:r>
        <w:rPr>
          <w:noProof/>
        </w:rPr>
        <w:t>S'agissant d’autres questions, la plupart des parlements nationaux se sont félicités de l’objectif de la proposition de simplifier la législation existante et d’améliorer la confiance des consommateurs dans la production biologique. Les préoccupa</w:t>
      </w:r>
      <w:r>
        <w:rPr>
          <w:noProof/>
        </w:rPr>
        <w:t>tions exprimées dans les avis des parlements nationaux avaient trait essentiellement à la proposition concernant la suppression des dérogations existantes aux règles européennes en matière de production biologique (4 chambres)</w:t>
      </w:r>
      <w:r>
        <w:rPr>
          <w:rStyle w:val="FootnoteReference"/>
          <w:noProof/>
        </w:rPr>
        <w:footnoteReference w:id="13"/>
      </w:r>
      <w:r>
        <w:rPr>
          <w:noProof/>
        </w:rPr>
        <w:t>, à la proposition d'interdir</w:t>
      </w:r>
      <w:r>
        <w:rPr>
          <w:noProof/>
        </w:rPr>
        <w:t>e les exploitations mixtes combinant production biologique et non biologique (4 chambres)</w:t>
      </w:r>
      <w:r>
        <w:rPr>
          <w:rStyle w:val="FootnoteReference"/>
          <w:noProof/>
        </w:rPr>
        <w:footnoteReference w:id="14"/>
      </w:r>
      <w:r>
        <w:rPr>
          <w:noProof/>
        </w:rPr>
        <w:t>, au nombre et à la portée des dispositions habilitant la Commission à adopter des actes délégués (5 chambres)</w:t>
      </w:r>
      <w:r>
        <w:rPr>
          <w:rStyle w:val="FootnoteReference"/>
          <w:noProof/>
        </w:rPr>
        <w:footnoteReference w:id="15"/>
      </w:r>
      <w:r>
        <w:rPr>
          <w:noProof/>
        </w:rPr>
        <w:t>, à la proposition de transférer les dispositions sur l</w:t>
      </w:r>
      <w:r>
        <w:rPr>
          <w:noProof/>
        </w:rPr>
        <w:t>es contrôles relatifs à la production biologique au règlement établissant les principes généraux en matière de contrôle (3 chambres)</w:t>
      </w:r>
      <w:r>
        <w:rPr>
          <w:rStyle w:val="FootnoteReference"/>
          <w:noProof/>
        </w:rPr>
        <w:footnoteReference w:id="16"/>
      </w:r>
      <w:r>
        <w:rPr>
          <w:noProof/>
        </w:rPr>
        <w:t>, et à l'instauration d'un système de contrôle fondé sur les risques (3 chambres)</w:t>
      </w:r>
      <w:r>
        <w:rPr>
          <w:rStyle w:val="FootnoteReference"/>
          <w:noProof/>
        </w:rPr>
        <w:footnoteReference w:id="17"/>
      </w:r>
      <w:r>
        <w:rPr>
          <w:noProof/>
        </w:rPr>
        <w:t>.</w:t>
      </w:r>
    </w:p>
    <w:p w:rsidR="00B37682" w:rsidRDefault="00B51E54">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Compte tenu de la durée du processus de</w:t>
      </w:r>
      <w:r>
        <w:rPr>
          <w:rFonts w:ascii="Times New Roman" w:hAnsi="Times New Roman"/>
          <w:noProof/>
          <w:sz w:val="24"/>
        </w:rPr>
        <w:t xml:space="preserve"> négociation au Parlement européen et au Conseil, la Commission a annoncé, en décembre 2014, dans son programme de travail, son intention de retirer la proposition de règlement pour la remplacer par une nouvelle initiative, à moins qu'un accord ne puisse i</w:t>
      </w:r>
      <w:r>
        <w:rPr>
          <w:rFonts w:ascii="Times New Roman" w:hAnsi="Times New Roman"/>
          <w:noProof/>
          <w:sz w:val="24"/>
        </w:rPr>
        <w:t>ntervenir dans un délai de six mois.</w:t>
      </w:r>
    </w:p>
    <w:p w:rsidR="00B37682" w:rsidRDefault="00B51E54">
      <w:pPr>
        <w:numPr>
          <w:ilvl w:val="0"/>
          <w:numId w:val="5"/>
        </w:numPr>
        <w:spacing w:before="240" w:after="240" w:line="240" w:lineRule="auto"/>
        <w:ind w:left="426" w:hanging="426"/>
        <w:jc w:val="both"/>
        <w:rPr>
          <w:rFonts w:ascii="Times New Roman" w:hAnsi="Times New Roman"/>
          <w:noProof/>
          <w:sz w:val="24"/>
          <w:szCs w:val="24"/>
        </w:rPr>
      </w:pPr>
      <w:r>
        <w:rPr>
          <w:rFonts w:ascii="Times New Roman" w:hAnsi="Times New Roman"/>
          <w:i/>
          <w:noProof/>
          <w:sz w:val="24"/>
        </w:rPr>
        <w:t>Proposition de règlement du Conseil portant création du Parquet européen</w:t>
      </w:r>
      <w:r>
        <w:rPr>
          <w:rStyle w:val="FootnoteReference"/>
          <w:rFonts w:ascii="Times New Roman" w:hAnsi="Times New Roman"/>
          <w:i/>
          <w:noProof/>
          <w:sz w:val="24"/>
        </w:rPr>
        <w:footnoteReference w:id="18"/>
      </w:r>
    </w:p>
    <w:p w:rsidR="00B37682" w:rsidRDefault="00B51E54">
      <w:pPr>
        <w:spacing w:after="120" w:line="240" w:lineRule="auto"/>
        <w:ind w:right="57"/>
        <w:jc w:val="both"/>
        <w:rPr>
          <w:rFonts w:ascii="Times New Roman" w:eastAsia="Times New Roman" w:hAnsi="Times New Roman"/>
          <w:noProof/>
          <w:sz w:val="24"/>
          <w:szCs w:val="24"/>
        </w:rPr>
      </w:pPr>
      <w:r>
        <w:rPr>
          <w:rFonts w:ascii="Times New Roman" w:hAnsi="Times New Roman"/>
          <w:noProof/>
          <w:sz w:val="24"/>
        </w:rPr>
        <w:t xml:space="preserve">En 2014, les parlements nationaux ont continué à s'intéresser de très près à la proposition de règlement portant création du Parquet européen. </w:t>
      </w:r>
      <w:r>
        <w:rPr>
          <w:rFonts w:ascii="Times New Roman" w:hAnsi="Times New Roman"/>
          <w:noProof/>
          <w:sz w:val="24"/>
        </w:rPr>
        <w:t>L'objet de cette proposition est de garantir que les États membres donneront suite aux cas de fraude présumée au détriment du budget de l’UE et que les auteurs d'infractions de ce type seront poursuivis et traduits en justice. En 2013, la Commission a reçu</w:t>
      </w:r>
      <w:r>
        <w:rPr>
          <w:rFonts w:ascii="Times New Roman" w:hAnsi="Times New Roman"/>
          <w:noProof/>
          <w:sz w:val="24"/>
        </w:rPr>
        <w:t xml:space="preserve"> 20 avis, dont 13 avis motivés, ce qui a déclenché la deuxième procédure de «carton jaune»</w:t>
      </w:r>
      <w:r>
        <w:rPr>
          <w:rStyle w:val="FootnoteReference"/>
          <w:rFonts w:ascii="Times New Roman" w:hAnsi="Times New Roman"/>
          <w:noProof/>
          <w:sz w:val="24"/>
        </w:rPr>
        <w:footnoteReference w:id="19"/>
      </w:r>
      <w:r>
        <w:rPr>
          <w:rFonts w:ascii="Times New Roman" w:hAnsi="Times New Roman"/>
          <w:noProof/>
          <w:sz w:val="24"/>
        </w:rPr>
        <w:t>. En novembre 2013, la Commission a adopté une communication</w:t>
      </w:r>
      <w:r>
        <w:rPr>
          <w:rStyle w:val="FootnoteReference"/>
          <w:rFonts w:ascii="Times New Roman" w:hAnsi="Times New Roman"/>
          <w:noProof/>
          <w:sz w:val="24"/>
        </w:rPr>
        <w:footnoteReference w:id="20"/>
      </w:r>
      <w:r>
        <w:rPr>
          <w:rFonts w:ascii="Times New Roman" w:hAnsi="Times New Roman"/>
          <w:noProof/>
          <w:sz w:val="24"/>
        </w:rPr>
        <w:t xml:space="preserve"> dans laquelle elle a annoncé son intention de maintenir sa proposition, ayant estimé que celle-ci était</w:t>
      </w:r>
      <w:r>
        <w:rPr>
          <w:rFonts w:ascii="Times New Roman" w:hAnsi="Times New Roman"/>
          <w:noProof/>
          <w:sz w:val="24"/>
        </w:rPr>
        <w:t xml:space="preserve"> conforme au principe de subsidiarité. La Commission a ensuite envoyé des réponses à chacun des parlements ou des chambres qui avaient présenté un avis.</w:t>
      </w:r>
    </w:p>
    <w:p w:rsidR="00B37682" w:rsidRDefault="00B51E54">
      <w:pPr>
        <w:spacing w:after="120" w:line="240" w:lineRule="auto"/>
        <w:ind w:right="57"/>
        <w:jc w:val="both"/>
        <w:rPr>
          <w:rFonts w:ascii="Times New Roman" w:eastAsia="Times New Roman" w:hAnsi="Times New Roman"/>
          <w:noProof/>
          <w:sz w:val="24"/>
          <w:szCs w:val="24"/>
        </w:rPr>
      </w:pPr>
      <w:r>
        <w:rPr>
          <w:rFonts w:ascii="Times New Roman" w:hAnsi="Times New Roman"/>
          <w:noProof/>
          <w:sz w:val="24"/>
        </w:rPr>
        <w:t>En 2014, 10 parlements nationaux ou chambres de ces Parlements ont transmis des avis à la Commission su</w:t>
      </w:r>
      <w:r>
        <w:rPr>
          <w:rFonts w:ascii="Times New Roman" w:hAnsi="Times New Roman"/>
          <w:noProof/>
          <w:sz w:val="24"/>
        </w:rPr>
        <w:t>r cette proposition. La plupart de ces avis constituaient une suite aux réponses apportées par la Commission aux avis présentés en 2013, et exprimaient un mécontentement face à la décision de la Commission, exposée dans sa communication de novembre 2013, d</w:t>
      </w:r>
      <w:r>
        <w:rPr>
          <w:rFonts w:ascii="Times New Roman" w:hAnsi="Times New Roman"/>
          <w:noProof/>
          <w:sz w:val="24"/>
        </w:rPr>
        <w:t>e maintenir sa proposition</w:t>
      </w:r>
      <w:r>
        <w:rPr>
          <w:rStyle w:val="FootnoteReference"/>
          <w:rFonts w:ascii="Times New Roman" w:hAnsi="Times New Roman"/>
          <w:noProof/>
          <w:sz w:val="24"/>
        </w:rPr>
        <w:footnoteReference w:id="21"/>
      </w:r>
      <w:r>
        <w:rPr>
          <w:rFonts w:ascii="Times New Roman" w:hAnsi="Times New Roman"/>
          <w:noProof/>
          <w:sz w:val="24"/>
        </w:rPr>
        <w:t xml:space="preserve">. </w:t>
      </w:r>
    </w:p>
    <w:p w:rsidR="00B37682" w:rsidRDefault="00B51E54">
      <w:pPr>
        <w:spacing w:after="120" w:line="240" w:lineRule="auto"/>
        <w:ind w:right="57"/>
        <w:jc w:val="both"/>
        <w:rPr>
          <w:rFonts w:ascii="Times New Roman" w:hAnsi="Times New Roman"/>
          <w:noProof/>
          <w:sz w:val="24"/>
          <w:szCs w:val="24"/>
        </w:rPr>
      </w:pPr>
      <w:r>
        <w:rPr>
          <w:rFonts w:ascii="Times New Roman" w:hAnsi="Times New Roman"/>
          <w:noProof/>
          <w:sz w:val="24"/>
        </w:rPr>
        <w:t>En particulier, les parlements nationaux ont contesté la distinction établie par la Commission (dans la communication et dans ses réponses aux avis motivés des parlements nationaux), entre les arguments touchant au principe de</w:t>
      </w:r>
      <w:r>
        <w:rPr>
          <w:rFonts w:ascii="Times New Roman" w:hAnsi="Times New Roman"/>
          <w:noProof/>
          <w:sz w:val="24"/>
        </w:rPr>
        <w:t xml:space="preserve"> subsidiarité et ceux qui n’y étaient pas directement liés. La Commission s’est en outre vu reprocher de n'avoir répondu à chacun des avis motivés qu'une fois sa décision prise de maintenir la proposition. Certains parlements nationaux ont également soumis</w:t>
      </w:r>
      <w:r>
        <w:rPr>
          <w:rFonts w:ascii="Times New Roman" w:hAnsi="Times New Roman"/>
          <w:noProof/>
          <w:sz w:val="24"/>
        </w:rPr>
        <w:t xml:space="preserve"> des observations sur le fond qui se voulaient une contribution aux négociations qui devaient avoir lieu au sein du Parlement européen et du Conseil sur la proposition, notamment sur sa conformité avec le principe de proportionnalité.</w:t>
      </w:r>
    </w:p>
    <w:p w:rsidR="00B37682" w:rsidRDefault="00B37682">
      <w:pPr>
        <w:spacing w:after="120" w:line="240" w:lineRule="auto"/>
        <w:ind w:right="57"/>
        <w:jc w:val="both"/>
        <w:rPr>
          <w:rFonts w:ascii="Times New Roman" w:hAnsi="Times New Roman"/>
          <w:noProof/>
          <w:sz w:val="24"/>
          <w:szCs w:val="24"/>
        </w:rPr>
      </w:pPr>
    </w:p>
    <w:p w:rsidR="00B37682" w:rsidRDefault="00B51E54">
      <w:pPr>
        <w:numPr>
          <w:ilvl w:val="0"/>
          <w:numId w:val="10"/>
        </w:numPr>
        <w:autoSpaceDE w:val="0"/>
        <w:autoSpaceDN w:val="0"/>
        <w:adjustRightInd w:val="0"/>
        <w:spacing w:before="120" w:after="120" w:line="240" w:lineRule="auto"/>
        <w:ind w:left="284" w:hanging="284"/>
        <w:jc w:val="both"/>
        <w:rPr>
          <w:rFonts w:ascii="Times New Roman" w:hAnsi="Times New Roman"/>
          <w:i/>
          <w:noProof/>
          <w:sz w:val="24"/>
          <w:szCs w:val="24"/>
        </w:rPr>
      </w:pPr>
      <w:r>
        <w:rPr>
          <w:rFonts w:ascii="Times New Roman" w:hAnsi="Times New Roman"/>
          <w:i/>
          <w:noProof/>
          <w:sz w:val="24"/>
        </w:rPr>
        <w:t>Dialogue politique e</w:t>
      </w:r>
      <w:r>
        <w:rPr>
          <w:rFonts w:ascii="Times New Roman" w:hAnsi="Times New Roman"/>
          <w:i/>
          <w:noProof/>
          <w:sz w:val="24"/>
        </w:rPr>
        <w:t xml:space="preserve">t résultats stratégiques </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Deux des trois propositions législatives qui ont le plus retenu l'attention des parlements nationaux en 2013 ont été adoptées en 2014. Il s’agissait des propositions suivantes:</w:t>
      </w:r>
    </w:p>
    <w:p w:rsidR="00B37682" w:rsidRDefault="00B51E54">
      <w:pPr>
        <w:numPr>
          <w:ilvl w:val="0"/>
          <w:numId w:val="7"/>
        </w:numPr>
        <w:spacing w:before="120" w:after="120" w:line="240" w:lineRule="auto"/>
        <w:jc w:val="both"/>
        <w:rPr>
          <w:rFonts w:ascii="Times New Roman" w:hAnsi="Times New Roman"/>
          <w:bCs/>
          <w:noProof/>
          <w:sz w:val="24"/>
          <w:szCs w:val="24"/>
        </w:rPr>
      </w:pPr>
      <w:r>
        <w:rPr>
          <w:rFonts w:ascii="Times New Roman" w:hAnsi="Times New Roman"/>
          <w:noProof/>
          <w:sz w:val="24"/>
        </w:rPr>
        <w:t xml:space="preserve">la proposition de directive du Parlement européen et </w:t>
      </w:r>
      <w:r>
        <w:rPr>
          <w:rFonts w:ascii="Times New Roman" w:hAnsi="Times New Roman"/>
          <w:noProof/>
          <w:sz w:val="24"/>
        </w:rPr>
        <w:t>du Conseil relative au rapprochement des dispositions législatives, réglementaires et administratives des États membres en matière de fabrication, de présentation et de vente du tabac et de ses produits (</w:t>
      </w:r>
      <w:r>
        <w:rPr>
          <w:rFonts w:ascii="Times New Roman" w:hAnsi="Times New Roman"/>
          <w:i/>
          <w:noProof/>
          <w:sz w:val="24"/>
        </w:rPr>
        <w:t>directive sur les produits du tabac</w:t>
      </w:r>
      <w:r>
        <w:rPr>
          <w:rFonts w:ascii="Times New Roman" w:hAnsi="Times New Roman"/>
          <w:noProof/>
          <w:sz w:val="24"/>
        </w:rPr>
        <w:t>)</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22"/>
      </w:r>
      <w:r>
        <w:rPr>
          <w:rFonts w:ascii="Times New Roman" w:hAnsi="Times New Roman"/>
          <w:noProof/>
          <w:sz w:val="24"/>
        </w:rPr>
        <w:t xml:space="preserve"> et </w:t>
      </w:r>
    </w:p>
    <w:p w:rsidR="00B37682" w:rsidRDefault="00B51E54">
      <w:pPr>
        <w:numPr>
          <w:ilvl w:val="0"/>
          <w:numId w:val="7"/>
        </w:numPr>
        <w:spacing w:before="120" w:after="120" w:line="240" w:lineRule="auto"/>
        <w:jc w:val="both"/>
        <w:rPr>
          <w:rFonts w:ascii="Times New Roman" w:hAnsi="Times New Roman"/>
          <w:i/>
          <w:noProof/>
          <w:sz w:val="24"/>
          <w:szCs w:val="24"/>
        </w:rPr>
      </w:pPr>
      <w:r>
        <w:rPr>
          <w:rFonts w:ascii="Times New Roman" w:hAnsi="Times New Roman"/>
          <w:noProof/>
          <w:sz w:val="24"/>
        </w:rPr>
        <w:t>la propos</w:t>
      </w:r>
      <w:r>
        <w:rPr>
          <w:rFonts w:ascii="Times New Roman" w:hAnsi="Times New Roman"/>
          <w:noProof/>
          <w:sz w:val="24"/>
        </w:rPr>
        <w:t>ition de directive du Parlement européen et du Conseil établissant un cadre</w:t>
      </w:r>
      <w:r>
        <w:rPr>
          <w:rFonts w:ascii="Times New Roman" w:hAnsi="Times New Roman"/>
          <w:noProof/>
          <w:color w:val="000033"/>
          <w:sz w:val="24"/>
        </w:rPr>
        <w:t xml:space="preserve"> pour la planification de l'espace maritime et la gestion intégrée des zones côtières. </w:t>
      </w:r>
      <w:r>
        <w:rPr>
          <w:rStyle w:val="FootnoteReference"/>
          <w:rFonts w:ascii="Times New Roman" w:hAnsi="Times New Roman"/>
          <w:noProof/>
          <w:color w:val="000033"/>
          <w:sz w:val="24"/>
        </w:rPr>
        <w:footnoteReference w:id="23"/>
      </w:r>
      <w:r>
        <w:rPr>
          <w:rFonts w:ascii="Times New Roman" w:hAnsi="Times New Roman"/>
          <w:noProof/>
          <w:color w:val="000033"/>
          <w:sz w:val="24"/>
        </w:rPr>
        <w:t xml:space="preserve"> </w:t>
      </w:r>
    </w:p>
    <w:p w:rsidR="00B37682" w:rsidRDefault="00B51E54">
      <w:pPr>
        <w:spacing w:before="240" w:after="240" w:line="240" w:lineRule="auto"/>
        <w:jc w:val="both"/>
        <w:rPr>
          <w:rFonts w:ascii="Times New Roman" w:hAnsi="Times New Roman"/>
          <w:i/>
          <w:noProof/>
          <w:sz w:val="24"/>
          <w:szCs w:val="24"/>
        </w:rPr>
      </w:pPr>
      <w:r>
        <w:rPr>
          <w:rFonts w:ascii="Times New Roman" w:hAnsi="Times New Roman"/>
          <w:i/>
          <w:noProof/>
          <w:sz w:val="24"/>
        </w:rPr>
        <w:t>Directive sur les produits du tabac:</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i/>
          <w:noProof/>
          <w:sz w:val="24"/>
        </w:rPr>
        <w:t>directive sur les produits du tabac</w:t>
      </w:r>
      <w:r>
        <w:rPr>
          <w:rFonts w:ascii="Times New Roman" w:hAnsi="Times New Roman"/>
          <w:noProof/>
          <w:sz w:val="24"/>
        </w:rPr>
        <w:t xml:space="preserve"> a été adoptée p</w:t>
      </w:r>
      <w:r>
        <w:rPr>
          <w:rFonts w:ascii="Times New Roman" w:hAnsi="Times New Roman"/>
          <w:noProof/>
          <w:sz w:val="24"/>
        </w:rPr>
        <w:t>ar les colégislateurs le 3 avril 2014</w:t>
      </w:r>
      <w:r>
        <w:rPr>
          <w:rStyle w:val="FootnoteReference"/>
          <w:rFonts w:ascii="Times New Roman" w:hAnsi="Times New Roman"/>
          <w:noProof/>
          <w:sz w:val="24"/>
        </w:rPr>
        <w:footnoteReference w:id="24"/>
      </w:r>
      <w:r>
        <w:rPr>
          <w:rFonts w:ascii="Times New Roman" w:hAnsi="Times New Roman"/>
          <w:noProof/>
          <w:sz w:val="24"/>
        </w:rPr>
        <w:t xml:space="preserve">. En 2013, la Commission avait reçu 17 avis sur sa proposition de directive, dont 7 avis motivés dans lesquels les parlements nationaux faisaient valoir que certaines parties de la proposition n’étaient pas conformes </w:t>
      </w:r>
      <w:r>
        <w:rPr>
          <w:rFonts w:ascii="Times New Roman" w:hAnsi="Times New Roman"/>
          <w:noProof/>
          <w:sz w:val="24"/>
        </w:rPr>
        <w:t>au principe de subsidiarité.</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D’une manière générale, les parlements nationaux ont pleinement soutenu l'objectif général de la proposition qui était d'améliorer le fonctionnement du marché intérieur, tout en garantissant un niveau élevé de protection de la </w:t>
      </w:r>
      <w:r>
        <w:rPr>
          <w:rFonts w:ascii="Times New Roman" w:hAnsi="Times New Roman"/>
          <w:noProof/>
          <w:sz w:val="24"/>
        </w:rPr>
        <w:t>santé, et, en particulier, l’objectif visant à dissuader les enfants et les jeunes de commencer à fumer. Ils ont toutefois également soulevé un certain nombre d’objections en ce qui concerne certains éléments spécifiques de la proposition. La plupart de ce</w:t>
      </w:r>
      <w:r>
        <w:rPr>
          <w:rFonts w:ascii="Times New Roman" w:hAnsi="Times New Roman"/>
          <w:noProof/>
          <w:sz w:val="24"/>
        </w:rPr>
        <w:t>s objections portaient sur le nombre et le contenu des dispositions habilitant la Commission à adopter des actes délégués conformément à l’article 290 du TFUE (8 chambres)</w:t>
      </w:r>
      <w:r>
        <w:rPr>
          <w:rStyle w:val="FootnoteReference"/>
          <w:rFonts w:ascii="Times New Roman" w:hAnsi="Times New Roman"/>
          <w:noProof/>
          <w:sz w:val="24"/>
        </w:rPr>
        <w:footnoteReference w:id="25"/>
      </w:r>
      <w:r>
        <w:rPr>
          <w:rFonts w:ascii="Times New Roman" w:hAnsi="Times New Roman"/>
          <w:noProof/>
          <w:sz w:val="24"/>
        </w:rPr>
        <w:t>. D'autres objections concernaient la proposition d'interdire les cigarettes fines (</w:t>
      </w:r>
      <w:r>
        <w:rPr>
          <w:rFonts w:ascii="Times New Roman" w:hAnsi="Times New Roman"/>
          <w:noProof/>
          <w:sz w:val="24"/>
        </w:rPr>
        <w:t>4 chambres)</w:t>
      </w:r>
      <w:r>
        <w:rPr>
          <w:rStyle w:val="FootnoteReference"/>
          <w:rFonts w:ascii="Times New Roman" w:hAnsi="Times New Roman"/>
          <w:noProof/>
          <w:sz w:val="24"/>
        </w:rPr>
        <w:footnoteReference w:id="26"/>
      </w:r>
      <w:r>
        <w:rPr>
          <w:rFonts w:ascii="Times New Roman" w:hAnsi="Times New Roman"/>
          <w:noProof/>
          <w:sz w:val="24"/>
        </w:rPr>
        <w:t>, le choix de l'article 114 du TFEU comme base juridique de la proposition (3 chambres)</w:t>
      </w:r>
      <w:r>
        <w:rPr>
          <w:rStyle w:val="FootnoteReference"/>
          <w:rFonts w:ascii="Times New Roman" w:hAnsi="Times New Roman"/>
          <w:noProof/>
          <w:sz w:val="24"/>
        </w:rPr>
        <w:footnoteReference w:id="27"/>
      </w:r>
      <w:r>
        <w:rPr>
          <w:rFonts w:ascii="Times New Roman" w:hAnsi="Times New Roman"/>
          <w:noProof/>
          <w:sz w:val="24"/>
        </w:rPr>
        <w:t>, la taille des avertissements sanitaires sur les emballages (2 chambres)</w:t>
      </w:r>
      <w:r>
        <w:rPr>
          <w:rStyle w:val="FootnoteReference"/>
          <w:rFonts w:ascii="Times New Roman" w:hAnsi="Times New Roman"/>
          <w:noProof/>
          <w:sz w:val="24"/>
        </w:rPr>
        <w:footnoteReference w:id="28"/>
      </w:r>
      <w:r>
        <w:rPr>
          <w:rFonts w:ascii="Times New Roman" w:hAnsi="Times New Roman"/>
          <w:noProof/>
          <w:sz w:val="24"/>
        </w:rPr>
        <w:t>, et le maintien de l'interdiction, exception faite de la Suède,</w:t>
      </w:r>
      <w:r>
        <w:rPr>
          <w:rStyle w:val="FootnoteReference"/>
          <w:rFonts w:ascii="Times New Roman" w:hAnsi="Times New Roman"/>
          <w:noProof/>
          <w:sz w:val="24"/>
        </w:rPr>
        <w:footnoteReference w:id="29"/>
      </w:r>
      <w:r>
        <w:rPr>
          <w:rFonts w:ascii="Times New Roman" w:hAnsi="Times New Roman"/>
          <w:noProof/>
          <w:sz w:val="24"/>
        </w:rPr>
        <w:t xml:space="preserve"> du tabac à usage</w:t>
      </w:r>
      <w:r>
        <w:rPr>
          <w:rFonts w:ascii="Times New Roman" w:hAnsi="Times New Roman"/>
          <w:noProof/>
          <w:sz w:val="24"/>
        </w:rPr>
        <w:t xml:space="preserve"> oral («snus») (2 chambres)</w:t>
      </w:r>
      <w:r>
        <w:rPr>
          <w:rStyle w:val="FootnoteReference"/>
          <w:rFonts w:ascii="Times New Roman" w:hAnsi="Times New Roman"/>
          <w:noProof/>
          <w:sz w:val="24"/>
        </w:rPr>
        <w:footnoteReference w:id="30"/>
      </w:r>
      <w:r>
        <w:rPr>
          <w:rFonts w:ascii="Times New Roman" w:hAnsi="Times New Roman"/>
          <w:noProof/>
          <w:sz w:val="24"/>
        </w:rPr>
        <w:t>.</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La version définitive de la directive s'écartait de la proposition initiale de la Commission sur plusieurs points. S'agissant des questions soulevées par les parlements nationaux, les colégislateurs ont convenu de réduire de 1</w:t>
      </w:r>
      <w:r>
        <w:rPr>
          <w:rFonts w:ascii="Times New Roman" w:hAnsi="Times New Roman"/>
          <w:noProof/>
          <w:sz w:val="24"/>
        </w:rPr>
        <w:t>6 à 10 le nombre de dispositions habilitant la Commission à adopter des actes délégués, ont modifié le contenu de certaines habilitations et leurs conditions d’utilisation et ont limité leur durée à cinq ans. En outre, la proposition de la Commission d’int</w:t>
      </w:r>
      <w:r>
        <w:rPr>
          <w:rFonts w:ascii="Times New Roman" w:hAnsi="Times New Roman"/>
          <w:noProof/>
          <w:sz w:val="24"/>
        </w:rPr>
        <w:t>erdire les cigarettes fines n'a pas été maintenue dans la version définitive, et l'article 53, paragraphe 1, ainsi que l'article 62 ont été ajoutés à la base juridique. L’interdiction en vigueur frappant le tabac à usage oral («snus») a été maintenue. Pour</w:t>
      </w:r>
      <w:r>
        <w:rPr>
          <w:rFonts w:ascii="Times New Roman" w:hAnsi="Times New Roman"/>
          <w:noProof/>
          <w:sz w:val="24"/>
        </w:rPr>
        <w:t xml:space="preserve"> ce qui est des avertissements sanitaires combinés, les colégislateurs ont décidé que ceux-ci devaient recouvrir 65 % de la surface extérieure avant et arrière de l’unité de conditionnement et de tout emballage extérieur, soit 10 points de pourcentage de m</w:t>
      </w:r>
      <w:r>
        <w:rPr>
          <w:rFonts w:ascii="Times New Roman" w:hAnsi="Times New Roman"/>
          <w:noProof/>
          <w:sz w:val="24"/>
        </w:rPr>
        <w:t>oins que ce qui avait été proposé initialement par la Commission.</w:t>
      </w:r>
    </w:p>
    <w:p w:rsidR="00B37682" w:rsidRDefault="00B51E54">
      <w:pPr>
        <w:spacing w:before="240" w:after="240" w:line="240" w:lineRule="auto"/>
        <w:jc w:val="both"/>
        <w:rPr>
          <w:rFonts w:ascii="Times New Roman" w:hAnsi="Times New Roman"/>
          <w:i/>
          <w:noProof/>
          <w:sz w:val="24"/>
          <w:szCs w:val="24"/>
        </w:rPr>
      </w:pPr>
      <w:r>
        <w:rPr>
          <w:rFonts w:ascii="Times New Roman" w:hAnsi="Times New Roman"/>
          <w:i/>
          <w:noProof/>
          <w:sz w:val="24"/>
        </w:rPr>
        <w:t>Directive établissant un cadre pour la planification de l’espace maritime</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i/>
          <w:noProof/>
          <w:sz w:val="24"/>
        </w:rPr>
        <w:t>directive établissant un cadre pour la planification de l’espace maritime</w:t>
      </w:r>
      <w:r>
        <w:rPr>
          <w:rFonts w:ascii="Times New Roman" w:hAnsi="Times New Roman"/>
          <w:noProof/>
          <w:sz w:val="24"/>
        </w:rPr>
        <w:t xml:space="preserve"> a été adoptée par les colégislateurs le</w:t>
      </w:r>
      <w:r>
        <w:rPr>
          <w:rFonts w:ascii="Times New Roman" w:hAnsi="Times New Roman"/>
          <w:noProof/>
          <w:sz w:val="24"/>
        </w:rPr>
        <w:t xml:space="preserve"> 23 juillet 2014</w:t>
      </w:r>
      <w:r>
        <w:rPr>
          <w:rStyle w:val="FootnoteReference"/>
          <w:rFonts w:ascii="Times New Roman" w:hAnsi="Times New Roman"/>
          <w:noProof/>
          <w:sz w:val="24"/>
        </w:rPr>
        <w:footnoteReference w:id="31"/>
      </w:r>
      <w:r>
        <w:rPr>
          <w:rFonts w:ascii="Times New Roman" w:hAnsi="Times New Roman"/>
          <w:noProof/>
          <w:sz w:val="24"/>
        </w:rPr>
        <w:t>. En 2013, la Commission avait reçu 14 avis en réaction à cette proposition, dont 9 avis motivés contestant la conformité de la proposition avec le principe de subsidiarité.</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Plusieurs chambres de parlements nationaux avaient contesté la va</w:t>
      </w:r>
      <w:r>
        <w:rPr>
          <w:rFonts w:ascii="Times New Roman" w:hAnsi="Times New Roman"/>
          <w:noProof/>
          <w:sz w:val="24"/>
        </w:rPr>
        <w:t>leur ajoutée de la proposition de la Commission (6 chambres)</w:t>
      </w:r>
      <w:r>
        <w:rPr>
          <w:rStyle w:val="FootnoteReference"/>
          <w:rFonts w:ascii="Times New Roman" w:hAnsi="Times New Roman"/>
          <w:noProof/>
          <w:sz w:val="24"/>
        </w:rPr>
        <w:footnoteReference w:id="32"/>
      </w:r>
      <w:r>
        <w:rPr>
          <w:rFonts w:ascii="Times New Roman" w:hAnsi="Times New Roman"/>
          <w:noProof/>
          <w:sz w:val="24"/>
        </w:rPr>
        <w:t xml:space="preserve">, estimant que celle-ci empiétait sur les compétences nationales, régionales et locales en matière de planification de l'espace, laquelle relevait de la compétence exclusive des États membres (2 </w:t>
      </w:r>
      <w:r>
        <w:rPr>
          <w:rFonts w:ascii="Times New Roman" w:hAnsi="Times New Roman"/>
          <w:noProof/>
          <w:sz w:val="24"/>
        </w:rPr>
        <w:t>chambres)</w:t>
      </w:r>
      <w:r>
        <w:rPr>
          <w:rStyle w:val="FootnoteReference"/>
          <w:rFonts w:ascii="Times New Roman" w:hAnsi="Times New Roman"/>
          <w:noProof/>
          <w:sz w:val="24"/>
        </w:rPr>
        <w:footnoteReference w:id="33"/>
      </w:r>
      <w:r>
        <w:rPr>
          <w:rFonts w:ascii="Times New Roman" w:hAnsi="Times New Roman"/>
          <w:noProof/>
          <w:sz w:val="24"/>
        </w:rPr>
        <w:t>. Certaines chambres ont aussi contesté le choix de la base juridique opéré par la Commission pour cette proposition (2 chambres)</w:t>
      </w:r>
      <w:r>
        <w:rPr>
          <w:rStyle w:val="FootnoteReference"/>
          <w:rFonts w:ascii="Times New Roman" w:hAnsi="Times New Roman"/>
          <w:noProof/>
          <w:sz w:val="24"/>
        </w:rPr>
        <w:footnoteReference w:id="34"/>
      </w:r>
      <w:r>
        <w:rPr>
          <w:rFonts w:ascii="Times New Roman" w:hAnsi="Times New Roman"/>
          <w:noProof/>
          <w:sz w:val="24"/>
        </w:rPr>
        <w:t xml:space="preserve">, ou ont invoqué la nécessité d’une plus grande participation des pays tiers ou d'une meilleure prise en compte des </w:t>
      </w:r>
      <w:r>
        <w:rPr>
          <w:rFonts w:ascii="Times New Roman" w:hAnsi="Times New Roman"/>
          <w:noProof/>
          <w:sz w:val="24"/>
        </w:rPr>
        <w:t>dispositions internationales (4 chambres)</w:t>
      </w:r>
      <w:r>
        <w:rPr>
          <w:rStyle w:val="FootnoteReference"/>
          <w:rFonts w:ascii="Times New Roman" w:hAnsi="Times New Roman"/>
          <w:noProof/>
          <w:sz w:val="24"/>
        </w:rPr>
        <w:footnoteReference w:id="35"/>
      </w:r>
      <w:r>
        <w:rPr>
          <w:rFonts w:ascii="Times New Roman" w:hAnsi="Times New Roman"/>
          <w:noProof/>
          <w:sz w:val="24"/>
        </w:rPr>
        <w:t>, tandis que d’autres ont remis en cause l'attribution de compétences d’exécution à la Commission prévue par la proposition (2 chambres)</w:t>
      </w:r>
      <w:r>
        <w:rPr>
          <w:rStyle w:val="FootnoteReference"/>
          <w:rFonts w:ascii="Times New Roman" w:hAnsi="Times New Roman"/>
          <w:noProof/>
          <w:sz w:val="24"/>
        </w:rPr>
        <w:footnoteReference w:id="36"/>
      </w:r>
      <w:r>
        <w:rPr>
          <w:rFonts w:ascii="Times New Roman" w:hAnsi="Times New Roman"/>
          <w:noProof/>
          <w:sz w:val="24"/>
        </w:rPr>
        <w:t>, ou ont fait valoir que cette proposition entraînerait pour les États membre</w:t>
      </w:r>
      <w:r>
        <w:rPr>
          <w:rFonts w:ascii="Times New Roman" w:hAnsi="Times New Roman"/>
          <w:noProof/>
          <w:sz w:val="24"/>
        </w:rPr>
        <w:t>s une lourde charge administrative, notamment des obligations de notification (2 chambres)</w:t>
      </w:r>
      <w:r>
        <w:rPr>
          <w:rStyle w:val="FootnoteReference"/>
          <w:rFonts w:ascii="Times New Roman" w:hAnsi="Times New Roman"/>
          <w:noProof/>
          <w:sz w:val="24"/>
        </w:rPr>
        <w:footnoteReference w:id="37"/>
      </w:r>
      <w:r>
        <w:rPr>
          <w:rFonts w:ascii="Times New Roman" w:hAnsi="Times New Roman"/>
          <w:noProof/>
          <w:sz w:val="24"/>
        </w:rPr>
        <w:t>.</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La différence la plus significative entre la proposition initiale de la Commission et la version finale de la directive est l’exclusion expresse des terres du cham</w:t>
      </w:r>
      <w:r>
        <w:rPr>
          <w:rFonts w:ascii="Times New Roman" w:hAnsi="Times New Roman"/>
          <w:noProof/>
          <w:sz w:val="24"/>
        </w:rPr>
        <w:t>p d’application de la directive. Les eaux côtières ou des parties de celles-ci relevant de l’aménagement urbain et rural au niveau d'un État membre ont également été exclues du champ d’application de la directive. En ce qui concerne la prétendue atteinte à</w:t>
      </w:r>
      <w:r>
        <w:rPr>
          <w:rFonts w:ascii="Times New Roman" w:hAnsi="Times New Roman"/>
          <w:noProof/>
          <w:sz w:val="24"/>
        </w:rPr>
        <w:t xml:space="preserve"> la souveraineté nationale, la directive précise qu’elle ne porte pas atteinte aux droits souverains et à la juridiction des États membres sur les eaux marines qui découlent du droit international en la matière, notamment en ce qui concerne le tracé et la </w:t>
      </w:r>
      <w:r>
        <w:rPr>
          <w:rFonts w:ascii="Times New Roman" w:hAnsi="Times New Roman"/>
          <w:noProof/>
          <w:sz w:val="24"/>
        </w:rPr>
        <w:t>délimitation des frontières maritimes. Dans la version définitive de la directive, les obligations de notification proposées sont devenues des obligations d’envoyer à la Commission des copies des plans issus de la planification de l’espace maritime. Enfin,</w:t>
      </w:r>
      <w:r>
        <w:rPr>
          <w:rFonts w:ascii="Times New Roman" w:hAnsi="Times New Roman"/>
          <w:noProof/>
          <w:sz w:val="24"/>
        </w:rPr>
        <w:t xml:space="preserve"> la directive ne confère pas de compétences d’exécution à la Commission. La base juridique est restée inchangée. </w:t>
      </w:r>
    </w:p>
    <w:p w:rsidR="00B37682" w:rsidRDefault="00B37682">
      <w:pPr>
        <w:spacing w:before="120" w:after="120" w:line="240" w:lineRule="auto"/>
        <w:jc w:val="both"/>
        <w:rPr>
          <w:rFonts w:ascii="Times New Roman" w:hAnsi="Times New Roman"/>
          <w:noProof/>
          <w:sz w:val="24"/>
          <w:szCs w:val="24"/>
        </w:rPr>
      </w:pPr>
    </w:p>
    <w:p w:rsidR="00B37682" w:rsidRDefault="00B51E54">
      <w:pPr>
        <w:keepNext/>
        <w:tabs>
          <w:tab w:val="left" w:pos="850"/>
        </w:tabs>
        <w:spacing w:before="120" w:after="120" w:line="240" w:lineRule="auto"/>
        <w:jc w:val="both"/>
        <w:rPr>
          <w:rFonts w:ascii="Times New Roman" w:eastAsia="Times New Roman" w:hAnsi="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Principales réunions et conférences</w:t>
      </w:r>
    </w:p>
    <w:p w:rsidR="00B37682" w:rsidRDefault="00B37682">
      <w:pPr>
        <w:keepNext/>
        <w:tabs>
          <w:tab w:val="left" w:pos="850"/>
        </w:tabs>
        <w:spacing w:before="120" w:after="120" w:line="240" w:lineRule="auto"/>
        <w:jc w:val="both"/>
        <w:rPr>
          <w:rFonts w:ascii="Times New Roman" w:eastAsia="Times New Roman" w:hAnsi="Times New Roman"/>
          <w:b/>
          <w:smallCaps/>
          <w:noProof/>
          <w:sz w:val="24"/>
          <w:szCs w:val="24"/>
        </w:rPr>
      </w:pP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Malgré des signes perceptibles de stabilisation de l’économie européenne, les mesures à prendre au ni</w:t>
      </w:r>
      <w:r>
        <w:rPr>
          <w:rFonts w:ascii="Times New Roman" w:hAnsi="Times New Roman"/>
          <w:noProof/>
          <w:sz w:val="24"/>
        </w:rPr>
        <w:t>veau européen pour faire face à la crise et la relance des économies nationales sont restées en 2014 des thèmes de discussion importants avec les parlements nationaux et entre ceux-ci, en particulier en ce qui concerne la question de savoir comment garanti</w:t>
      </w:r>
      <w:r>
        <w:rPr>
          <w:rFonts w:ascii="Times New Roman" w:hAnsi="Times New Roman"/>
          <w:noProof/>
          <w:sz w:val="24"/>
        </w:rPr>
        <w:t xml:space="preserve">r la légitimité démocratique et l’obligation de rendre des comptes lors de l'élaboration de ces mesures. </w:t>
      </w:r>
    </w:p>
    <w:p w:rsidR="00B37682" w:rsidRDefault="00B37682">
      <w:pPr>
        <w:spacing w:before="240" w:after="240" w:line="240" w:lineRule="auto"/>
        <w:jc w:val="both"/>
        <w:rPr>
          <w:rFonts w:ascii="Times New Roman" w:hAnsi="Times New Roman"/>
          <w:i/>
          <w:noProof/>
          <w:sz w:val="24"/>
          <w:szCs w:val="24"/>
        </w:rPr>
      </w:pPr>
    </w:p>
    <w:p w:rsidR="00B37682" w:rsidRDefault="00B51E54">
      <w:pPr>
        <w:spacing w:before="240" w:after="240" w:line="240" w:lineRule="auto"/>
        <w:jc w:val="both"/>
        <w:rPr>
          <w:rFonts w:ascii="Times New Roman" w:hAnsi="Times New Roman"/>
          <w:i/>
          <w:noProof/>
          <w:sz w:val="24"/>
          <w:szCs w:val="24"/>
        </w:rPr>
      </w:pPr>
      <w:r>
        <w:rPr>
          <w:rFonts w:ascii="Times New Roman" w:hAnsi="Times New Roman"/>
          <w:i/>
          <w:noProof/>
          <w:sz w:val="24"/>
        </w:rPr>
        <w:t>COSAC</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Les débats entre les parlements nationaux et avec les institutions de l’UE ont continué de se dérouler dans le cadre des forums </w:t>
      </w:r>
      <w:r>
        <w:rPr>
          <w:rFonts w:ascii="Times New Roman" w:hAnsi="Times New Roman"/>
          <w:noProof/>
          <w:sz w:val="24"/>
        </w:rPr>
        <w:t>interparlementaires constitués, en particulier dans celui de la COSAC (Conférence des organes parlementaires spécialisés dans les affaires de l’Union des parlements de l’Union européenne).</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En janvier 2014, les présidents de la COSAC se sont rencontrés à At</w:t>
      </w:r>
      <w:r>
        <w:rPr>
          <w:rFonts w:ascii="Times New Roman" w:hAnsi="Times New Roman"/>
          <w:noProof/>
          <w:sz w:val="24"/>
        </w:rPr>
        <w:t>hènes; lors de cette rencontre, le rôle des parlements nationaux ainsi que la légitimité démocratique et l'obligation de rendre des comptes ont constitué des thèmes récurrents. De nouvelles idées et propositions sur le rôle et les droits des parlements nat</w:t>
      </w:r>
      <w:r>
        <w:rPr>
          <w:rFonts w:ascii="Times New Roman" w:hAnsi="Times New Roman"/>
          <w:noProof/>
          <w:sz w:val="24"/>
        </w:rPr>
        <w:t xml:space="preserve">ionaux en ce qui concerne les questions européennes ont été présentées par la </w:t>
      </w:r>
      <w:r>
        <w:rPr>
          <w:rFonts w:ascii="Times New Roman" w:hAnsi="Times New Roman"/>
          <w:i/>
          <w:noProof/>
          <w:sz w:val="24"/>
        </w:rPr>
        <w:t>Tweede Kamer</w:t>
      </w:r>
      <w:r>
        <w:rPr>
          <w:rFonts w:ascii="Times New Roman" w:hAnsi="Times New Roman"/>
          <w:noProof/>
          <w:sz w:val="24"/>
        </w:rPr>
        <w:t xml:space="preserve"> néerlandaise et par le </w:t>
      </w:r>
      <w:r>
        <w:rPr>
          <w:rFonts w:ascii="Times New Roman" w:hAnsi="Times New Roman"/>
          <w:i/>
          <w:noProof/>
          <w:sz w:val="24"/>
        </w:rPr>
        <w:t>Folketing</w:t>
      </w:r>
      <w:r>
        <w:rPr>
          <w:rFonts w:ascii="Times New Roman" w:hAnsi="Times New Roman"/>
          <w:noProof/>
          <w:sz w:val="24"/>
        </w:rPr>
        <w:t xml:space="preserve"> danois en vue d'alimenter le débat prévu lors de la séance plénière de la COSAC.</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La 51</w:t>
      </w:r>
      <w:r>
        <w:rPr>
          <w:rFonts w:ascii="Times New Roman" w:hAnsi="Times New Roman"/>
          <w:noProof/>
          <w:sz w:val="24"/>
          <w:vertAlign w:val="superscript"/>
        </w:rPr>
        <w:t>e</w:t>
      </w:r>
      <w:r>
        <w:rPr>
          <w:rFonts w:ascii="Times New Roman" w:hAnsi="Times New Roman"/>
          <w:noProof/>
          <w:sz w:val="24"/>
        </w:rPr>
        <w:t> réunion plénière de la COSAC, qui s’est tenue à Athènes en juin 2014, a essentiellement porté sur les résultats des élections européennes de mai. Le commissaire Andor a présenté la stratégie européenne pour l’emploi, en soulignant la nécessité de réaliser</w:t>
      </w:r>
      <w:r>
        <w:rPr>
          <w:rFonts w:ascii="Times New Roman" w:hAnsi="Times New Roman"/>
          <w:noProof/>
          <w:sz w:val="24"/>
        </w:rPr>
        <w:t xml:space="preserve"> des réformes du marché du travail et des investissements dans le développement des compétences afin de remédier à l'inadéquation entre l'offre et la demande d'emplois. Les parlements ont également discuté de mesures concrètes pour lutter contre le chômage</w:t>
      </w:r>
      <w:r>
        <w:rPr>
          <w:rFonts w:ascii="Times New Roman" w:hAnsi="Times New Roman"/>
          <w:noProof/>
          <w:sz w:val="24"/>
        </w:rPr>
        <w:t xml:space="preserve"> des jeunes et encourager l’esprit d’entreprise chez ces derniers. La crise en Ukraine et l’annexion de la Crimée par la Russie ont également fait l'objet d'un débat. </w:t>
      </w:r>
    </w:p>
    <w:p w:rsidR="00B37682" w:rsidRDefault="00B51E54">
      <w:pPr>
        <w:spacing w:after="0" w:line="240" w:lineRule="auto"/>
        <w:jc w:val="both"/>
        <w:rPr>
          <w:rFonts w:ascii="Times New Roman" w:eastAsia="Times New Roman" w:hAnsi="Times New Roman"/>
          <w:noProof/>
          <w:sz w:val="24"/>
          <w:szCs w:val="24"/>
        </w:rPr>
      </w:pPr>
      <w:r>
        <w:rPr>
          <w:rFonts w:ascii="Times New Roman" w:hAnsi="Times New Roman"/>
          <w:noProof/>
          <w:sz w:val="24"/>
        </w:rPr>
        <w:t>Lors de la réunion des présidents de la COSAC en juillet 2014, M. Sandro Gozi, sous-secr</w:t>
      </w:r>
      <w:r>
        <w:rPr>
          <w:rFonts w:ascii="Times New Roman" w:hAnsi="Times New Roman"/>
          <w:noProof/>
          <w:sz w:val="24"/>
        </w:rPr>
        <w:t>étaire d’État italien chargé des affaires européennes, a présenté les priorités de la présidence italienne, et M. Šefčovič, vice-président de la Commission, a prononcé un discours liminaire sur les perspectives s'ouvrant à l’Union européenne après les élec</w:t>
      </w:r>
      <w:r>
        <w:rPr>
          <w:rFonts w:ascii="Times New Roman" w:hAnsi="Times New Roman"/>
          <w:noProof/>
          <w:sz w:val="24"/>
        </w:rPr>
        <w:t>tions européennes. En outre, M. Graziano Delrio, sous-secrétaire d’État italien, et le commissaire Hahn ont fait des présentations sur les Fonds structurels et d’investissement européens pour la période 2014-2020. Les présidents de la COSAC ont également s</w:t>
      </w:r>
      <w:r>
        <w:rPr>
          <w:rFonts w:ascii="Times New Roman" w:hAnsi="Times New Roman"/>
          <w:noProof/>
          <w:sz w:val="24"/>
        </w:rPr>
        <w:t xml:space="preserve">alué la proposition de la </w:t>
      </w:r>
      <w:r>
        <w:rPr>
          <w:rFonts w:ascii="Times New Roman" w:hAnsi="Times New Roman"/>
          <w:i/>
          <w:noProof/>
          <w:sz w:val="24"/>
        </w:rPr>
        <w:t>Tweede Kamer</w:t>
      </w:r>
      <w:r>
        <w:rPr>
          <w:rFonts w:ascii="Times New Roman" w:hAnsi="Times New Roman"/>
          <w:noProof/>
          <w:sz w:val="24"/>
        </w:rPr>
        <w:t xml:space="preserve"> néerlandaise de demander aux membres du Parlement européen d’interroger les commissaires désignés, lors de leurs prochaines auditions, sur leur conception du rôle des parlements nationaux.</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Lors de la plénière de la CO</w:t>
      </w:r>
      <w:r>
        <w:rPr>
          <w:rFonts w:ascii="Times New Roman" w:hAnsi="Times New Roman"/>
          <w:noProof/>
          <w:sz w:val="24"/>
        </w:rPr>
        <w:t>SAC en novembre et décembre 2014, le premier vice-président, M. Timmermans, a rencontré les membres de la COSAC. Il a confirmé la volonté de la nouvelle Commission d'établir un nouveau partenariat avec les parlements nationaux en collaboration avec le Parl</w:t>
      </w:r>
      <w:r>
        <w:rPr>
          <w:rFonts w:ascii="Times New Roman" w:hAnsi="Times New Roman"/>
          <w:noProof/>
          <w:sz w:val="24"/>
        </w:rPr>
        <w:t>ement européen. Il a également salué les efforts déployés par les parlements nationaux qui ont joué un rôle actif en présentant des propositions touchant à leur rôle. Il a par ailleurs confirmé que la Commission se montrerait plus proactive dans ses relati</w:t>
      </w:r>
      <w:r>
        <w:rPr>
          <w:rFonts w:ascii="Times New Roman" w:hAnsi="Times New Roman"/>
          <w:noProof/>
          <w:sz w:val="24"/>
        </w:rPr>
        <w:t>ons avec les parlements nationaux, et que les membres de la Commission se rendraient dans ces enceintes pour y expliquer les propositions et initiatives clés de la Commission, en soulignant l’importance du principe de subsidiarité. Rappelant que la Commiss</w:t>
      </w:r>
      <w:r>
        <w:rPr>
          <w:rFonts w:ascii="Times New Roman" w:hAnsi="Times New Roman"/>
          <w:noProof/>
          <w:sz w:val="24"/>
        </w:rPr>
        <w:t>ion était tenue de respecter le traité, M. Timmermans a confirmé que celle-ci était disposée à examiner les suggestions des parlements nationaux concernant les actes législatifs. Les questions du réexamen de la stratégie Europe 2020, du rôle de l’UE dans l</w:t>
      </w:r>
      <w:r>
        <w:rPr>
          <w:rFonts w:ascii="Times New Roman" w:hAnsi="Times New Roman"/>
          <w:noProof/>
          <w:sz w:val="24"/>
        </w:rPr>
        <w:t>a région méditerranéenne et en Europe orientale, ainsi que du contrôle démocratique des agences européennes ont également fait l'objet de débats dans le cadre de la COSAC.</w:t>
      </w:r>
    </w:p>
    <w:p w:rsidR="00B37682" w:rsidRDefault="00B51E54">
      <w:pPr>
        <w:spacing w:before="240" w:after="240" w:line="240" w:lineRule="auto"/>
        <w:jc w:val="both"/>
        <w:rPr>
          <w:rFonts w:ascii="Times New Roman" w:hAnsi="Times New Roman"/>
          <w:i/>
          <w:noProof/>
          <w:sz w:val="24"/>
          <w:szCs w:val="24"/>
        </w:rPr>
      </w:pPr>
      <w:r>
        <w:rPr>
          <w:rFonts w:ascii="Times New Roman" w:hAnsi="Times New Roman"/>
          <w:i/>
          <w:noProof/>
          <w:sz w:val="24"/>
        </w:rPr>
        <w:t>Semaine parlementaire européenne et conférences prévues à l'article 13</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Les débats su</w:t>
      </w:r>
      <w:r>
        <w:rPr>
          <w:rFonts w:ascii="Times New Roman" w:hAnsi="Times New Roman"/>
          <w:noProof/>
          <w:sz w:val="24"/>
        </w:rPr>
        <w:t xml:space="preserve">r la gouvernance économique auxquels participent les parlements nationaux se sont poursuivis dans le cadre de la deuxième «Semaine parlementaire européenne» organisée conjointement par le Parlement européen et par le </w:t>
      </w:r>
      <w:r>
        <w:rPr>
          <w:rFonts w:ascii="Times New Roman" w:hAnsi="Times New Roman"/>
          <w:i/>
          <w:noProof/>
          <w:sz w:val="24"/>
        </w:rPr>
        <w:t>Vouli ton Ellinon</w:t>
      </w:r>
      <w:r>
        <w:rPr>
          <w:rFonts w:ascii="Times New Roman" w:hAnsi="Times New Roman"/>
          <w:noProof/>
          <w:sz w:val="24"/>
        </w:rPr>
        <w:t xml:space="preserve"> grec en janvier 2014.</w:t>
      </w:r>
      <w:r>
        <w:rPr>
          <w:rFonts w:ascii="Times New Roman" w:hAnsi="Times New Roman"/>
          <w:noProof/>
          <w:sz w:val="24"/>
        </w:rPr>
        <w:t xml:space="preserve"> Le nombre important de participants (plus de 150 membres des parlements nationaux et de nombreux membres du Parlement européen) témoigne de l’importance croissante de cet événement. En 2014, l’un des temps forts de la semaine parlementaire européenne a ét</w:t>
      </w:r>
      <w:r>
        <w:rPr>
          <w:rFonts w:ascii="Times New Roman" w:hAnsi="Times New Roman"/>
          <w:noProof/>
          <w:sz w:val="24"/>
        </w:rPr>
        <w:t>é la conférence interparlementaire sur la gouvernance économique prévue à l’article 13 du pacte budgétaire. Quatre réunions plénières portant sur les déséquilibres macroéconomiques, la légitimité démocratique des programmes d’ajustement économique, la prom</w:t>
      </w:r>
      <w:r>
        <w:rPr>
          <w:rFonts w:ascii="Times New Roman" w:hAnsi="Times New Roman"/>
          <w:noProof/>
          <w:sz w:val="24"/>
        </w:rPr>
        <w:t>otion de la croissance et de l’emploi et le renforcement de la surveillance budgétaire au sein de l’Union économique et monétaire ont été organisées dans le cadre de cette conférence.</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La deuxième session de la conférence interparlementaire prévue à l’artic</w:t>
      </w:r>
      <w:r>
        <w:rPr>
          <w:rFonts w:ascii="Times New Roman" w:hAnsi="Times New Roman"/>
          <w:noProof/>
          <w:sz w:val="24"/>
        </w:rPr>
        <w:t>le 13 du pacte budgétaire et organisée deux fois par an, s’est tenue en septembre 2014, à Rome. Les débats ont porté sur quatre thèmes généraux, à savoir la relance de l’investissement et la réduction des inégalités, les outils de gouvernance économique et</w:t>
      </w:r>
      <w:r>
        <w:rPr>
          <w:rFonts w:ascii="Times New Roman" w:hAnsi="Times New Roman"/>
          <w:noProof/>
          <w:sz w:val="24"/>
        </w:rPr>
        <w:t xml:space="preserve"> financière de l'UE, le parachèvement de l’Union bancaire et le financement de l’économie réelle, la coordination des politiques fiscales et l’économie numérique. Les participants ont également examiné le règlement intérieur applicable à la conférence. </w:t>
      </w:r>
    </w:p>
    <w:p w:rsidR="00B37682" w:rsidRDefault="00B51E54">
      <w:pPr>
        <w:spacing w:before="240" w:after="240" w:line="240" w:lineRule="auto"/>
        <w:jc w:val="both"/>
        <w:rPr>
          <w:rFonts w:ascii="Times New Roman" w:hAnsi="Times New Roman"/>
          <w:i/>
          <w:noProof/>
          <w:sz w:val="24"/>
          <w:szCs w:val="24"/>
        </w:rPr>
      </w:pPr>
      <w:r>
        <w:rPr>
          <w:rFonts w:ascii="Times New Roman" w:hAnsi="Times New Roman"/>
          <w:i/>
          <w:noProof/>
          <w:sz w:val="24"/>
        </w:rPr>
        <w:t>Co</w:t>
      </w:r>
      <w:r>
        <w:rPr>
          <w:rFonts w:ascii="Times New Roman" w:hAnsi="Times New Roman"/>
          <w:i/>
          <w:noProof/>
          <w:sz w:val="24"/>
        </w:rPr>
        <w:t>nférences PESC/PSDC</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La conférence interparlementaire sur la politique étrangère et de sécurité commune (PESC) et sur la politique de sécurité et de défense commune (PSDC) constitue une autre enceinte importante pour les échanges entre les parlements nation</w:t>
      </w:r>
      <w:r>
        <w:rPr>
          <w:rFonts w:ascii="Times New Roman" w:hAnsi="Times New Roman"/>
          <w:noProof/>
          <w:sz w:val="24"/>
        </w:rPr>
        <w:t xml:space="preserve">aux et les institutions de l’Union européenne. La quatrième session de la conférence a été organisée à Athènes en avril 2014 par le </w:t>
      </w:r>
      <w:r>
        <w:rPr>
          <w:rFonts w:ascii="Times New Roman" w:hAnsi="Times New Roman"/>
          <w:i/>
          <w:noProof/>
          <w:sz w:val="24"/>
        </w:rPr>
        <w:t>Vouli ton Ellinon</w:t>
      </w:r>
      <w:r>
        <w:rPr>
          <w:rFonts w:ascii="Times New Roman" w:hAnsi="Times New Roman"/>
          <w:noProof/>
          <w:sz w:val="24"/>
        </w:rPr>
        <w:t xml:space="preserve"> grec. Parmi les thèmes examinés ont figuré les problèmes sécuritaires dans les pays du voisinage méridiona</w:t>
      </w:r>
      <w:r>
        <w:rPr>
          <w:rFonts w:ascii="Times New Roman" w:hAnsi="Times New Roman"/>
          <w:noProof/>
          <w:sz w:val="24"/>
        </w:rPr>
        <w:t>l et oriental de l’UE, en particulier la situation en Ukraine et la dimension maritime de la politique de sécurité et de défense commune. Des débats ont eu lieu entre M</w:t>
      </w:r>
      <w:r>
        <w:rPr>
          <w:rFonts w:ascii="Times New Roman" w:hAnsi="Times New Roman"/>
          <w:noProof/>
          <w:sz w:val="24"/>
          <w:vertAlign w:val="superscript"/>
        </w:rPr>
        <w:t>me</w:t>
      </w:r>
      <w:r>
        <w:rPr>
          <w:rFonts w:ascii="Times New Roman" w:hAnsi="Times New Roman"/>
          <w:noProof/>
          <w:sz w:val="24"/>
        </w:rPr>
        <w:t xml:space="preserve"> Ashton, haute représentante de l’Union pour les affaires étrangères et la politique d</w:t>
      </w:r>
      <w:r>
        <w:rPr>
          <w:rFonts w:ascii="Times New Roman" w:hAnsi="Times New Roman"/>
          <w:noProof/>
          <w:sz w:val="24"/>
        </w:rPr>
        <w:t>e sécurité et vice-présidente de la Commission, M. Venizelos, vice-Premier ministre et ministre des affaires étrangères de la République hellénique, et M. Avramopoulos, ministre de la défense nationale de la République hellénique.</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La cinquième réunion de l</w:t>
      </w:r>
      <w:r>
        <w:rPr>
          <w:rFonts w:ascii="Times New Roman" w:hAnsi="Times New Roman"/>
          <w:noProof/>
          <w:sz w:val="24"/>
        </w:rPr>
        <w:t>a conférence interparlementaire sur la PESC et la PSDC, organisée par le Sénat italien, s'est tenue à Rome, en novembre 2014. Les discussions sur le partenariat oriental, le voisinage méridional et les questions de défense se sont poursuivies. Des débats e</w:t>
      </w:r>
      <w:r>
        <w:rPr>
          <w:rFonts w:ascii="Times New Roman" w:hAnsi="Times New Roman"/>
          <w:noProof/>
          <w:sz w:val="24"/>
        </w:rPr>
        <w:t>n plénière ont eu lieu avec M</w:t>
      </w:r>
      <w:r>
        <w:rPr>
          <w:rFonts w:ascii="Times New Roman" w:hAnsi="Times New Roman"/>
          <w:noProof/>
          <w:sz w:val="24"/>
          <w:vertAlign w:val="superscript"/>
        </w:rPr>
        <w:t>me</w:t>
      </w:r>
      <w:r>
        <w:rPr>
          <w:rFonts w:ascii="Times New Roman" w:hAnsi="Times New Roman"/>
          <w:noProof/>
          <w:sz w:val="24"/>
        </w:rPr>
        <w:t xml:space="preserve"> Mogherini, haute représentante de l’Union pour les affaires étrangères et la politique de sécurité et vice-présidente de la Commission, M. Gentiloni, ministre italien des affaires étrangères, et M</w:t>
      </w:r>
      <w:r>
        <w:rPr>
          <w:rFonts w:ascii="Times New Roman" w:hAnsi="Times New Roman"/>
          <w:noProof/>
          <w:sz w:val="24"/>
          <w:vertAlign w:val="superscript"/>
        </w:rPr>
        <w:t>me</w:t>
      </w:r>
      <w:r>
        <w:rPr>
          <w:rFonts w:ascii="Times New Roman" w:hAnsi="Times New Roman"/>
          <w:noProof/>
          <w:sz w:val="24"/>
        </w:rPr>
        <w:t xml:space="preserve"> Pinotti, ministre italien</w:t>
      </w:r>
      <w:r>
        <w:rPr>
          <w:rFonts w:ascii="Times New Roman" w:hAnsi="Times New Roman"/>
          <w:noProof/>
          <w:sz w:val="24"/>
        </w:rPr>
        <w:t>ne de la défense. Plus de 100 parlementaires nationaux et 16 membres du Parlement européen ont participé à cette conférence.</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La Commission était également représentée au niveau politique à la plupart des autres réunions interparlementaires qui se sont tenu</w:t>
      </w:r>
      <w:r>
        <w:rPr>
          <w:rFonts w:ascii="Times New Roman" w:hAnsi="Times New Roman"/>
          <w:noProof/>
          <w:sz w:val="24"/>
        </w:rPr>
        <w:t xml:space="preserve">es en 2014. </w:t>
      </w:r>
    </w:p>
    <w:p w:rsidR="00B37682" w:rsidRDefault="00B37682">
      <w:pPr>
        <w:spacing w:before="120" w:after="120" w:line="240" w:lineRule="auto"/>
        <w:jc w:val="both"/>
        <w:rPr>
          <w:rFonts w:ascii="Times New Roman" w:hAnsi="Times New Roman"/>
          <w:noProof/>
          <w:sz w:val="24"/>
          <w:szCs w:val="24"/>
        </w:rPr>
      </w:pPr>
    </w:p>
    <w:p w:rsidR="00B37682" w:rsidRDefault="00B51E54">
      <w:pPr>
        <w:keepNext/>
        <w:tabs>
          <w:tab w:val="left" w:pos="850"/>
        </w:tabs>
        <w:spacing w:before="120" w:after="120" w:line="240" w:lineRule="auto"/>
        <w:jc w:val="both"/>
        <w:rPr>
          <w:rFonts w:ascii="Times New Roman" w:eastAsia="Times New Roman" w:hAnsi="Times New Roman"/>
          <w:b/>
          <w:smallCaps/>
          <w:noProof/>
          <w:sz w:val="24"/>
          <w:szCs w:val="24"/>
        </w:rPr>
      </w:pPr>
      <w:r>
        <w:rPr>
          <w:rFonts w:ascii="Times New Roman" w:hAnsi="Times New Roman"/>
          <w:b/>
          <w:smallCaps/>
          <w:noProof/>
          <w:sz w:val="24"/>
        </w:rPr>
        <w:t>4.</w:t>
      </w:r>
      <w:r>
        <w:rPr>
          <w:noProof/>
        </w:rPr>
        <w:tab/>
      </w:r>
      <w:r>
        <w:rPr>
          <w:rFonts w:ascii="Times New Roman" w:hAnsi="Times New Roman"/>
          <w:b/>
          <w:smallCaps/>
          <w:noProof/>
          <w:sz w:val="24"/>
        </w:rPr>
        <w:t xml:space="preserve">Contexte plus large </w:t>
      </w:r>
    </w:p>
    <w:p w:rsidR="00B37682" w:rsidRDefault="00B37682">
      <w:pPr>
        <w:keepNext/>
        <w:tabs>
          <w:tab w:val="left" w:pos="850"/>
        </w:tabs>
        <w:spacing w:before="120" w:after="120" w:line="240" w:lineRule="auto"/>
        <w:jc w:val="both"/>
        <w:rPr>
          <w:rFonts w:ascii="Times New Roman" w:eastAsia="Times New Roman" w:hAnsi="Times New Roman"/>
          <w:b/>
          <w:smallCaps/>
          <w:noProof/>
          <w:sz w:val="24"/>
          <w:szCs w:val="24"/>
        </w:rPr>
      </w:pP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En 2014, plusieurs parlements nationaux et le Parlement européen ont présenté de nouvelles idées et propositions sur le rôle des parlements nationaux dans le processus décisionnel européen. </w:t>
      </w:r>
    </w:p>
    <w:p w:rsidR="00B37682" w:rsidRDefault="00B51E54">
      <w:pPr>
        <w:spacing w:before="240" w:after="240" w:line="240" w:lineRule="auto"/>
        <w:jc w:val="both"/>
        <w:rPr>
          <w:rFonts w:ascii="Times New Roman" w:hAnsi="Times New Roman"/>
          <w:i/>
          <w:noProof/>
          <w:sz w:val="24"/>
          <w:szCs w:val="24"/>
        </w:rPr>
      </w:pPr>
      <w:r>
        <w:rPr>
          <w:rFonts w:ascii="Times New Roman" w:hAnsi="Times New Roman"/>
          <w:i/>
          <w:noProof/>
          <w:sz w:val="24"/>
        </w:rPr>
        <w:t>Propositions sur le rôle f</w:t>
      </w:r>
      <w:r>
        <w:rPr>
          <w:rFonts w:ascii="Times New Roman" w:hAnsi="Times New Roman"/>
          <w:i/>
          <w:noProof/>
          <w:sz w:val="24"/>
        </w:rPr>
        <w:t xml:space="preserve">utur des parlements nationaux </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Une réflexion sur le rôle des parlements nationaux a été engagée lors de la réunion des présidents de la COSAC à Athènes les 26 et 27 janvier 2014. À cette occasion, le </w:t>
      </w:r>
      <w:r>
        <w:rPr>
          <w:rFonts w:ascii="Times New Roman" w:hAnsi="Times New Roman"/>
          <w:i/>
          <w:noProof/>
          <w:sz w:val="24"/>
        </w:rPr>
        <w:t>Folketing</w:t>
      </w:r>
      <w:r>
        <w:rPr>
          <w:rFonts w:ascii="Times New Roman" w:hAnsi="Times New Roman"/>
          <w:noProof/>
          <w:sz w:val="24"/>
        </w:rPr>
        <w:t xml:space="preserve"> danois a présenté un document intitulé «</w:t>
      </w:r>
      <w:r>
        <w:rPr>
          <w:rFonts w:ascii="Times New Roman" w:hAnsi="Times New Roman"/>
          <w:i/>
          <w:noProof/>
          <w:sz w:val="24"/>
        </w:rPr>
        <w:t>Twenty</w:t>
      </w:r>
      <w:r>
        <w:rPr>
          <w:rFonts w:ascii="Times New Roman" w:hAnsi="Times New Roman"/>
          <w:i/>
          <w:noProof/>
          <w:sz w:val="24"/>
        </w:rPr>
        <w:t>-three recommendations to strengthen the role of national Parliaments in changing European governance» (Vingt-trois recommandations en vue de renforcer le rôle des parlements nationaux dans l’évolution de la gouvernance européenne)</w:t>
      </w:r>
      <w:r>
        <w:rPr>
          <w:rFonts w:ascii="Times New Roman" w:hAnsi="Times New Roman"/>
          <w:noProof/>
          <w:sz w:val="24"/>
        </w:rPr>
        <w:t>. Ce document contient un</w:t>
      </w:r>
      <w:r>
        <w:rPr>
          <w:rFonts w:ascii="Times New Roman" w:hAnsi="Times New Roman"/>
          <w:noProof/>
          <w:sz w:val="24"/>
        </w:rPr>
        <w:t xml:space="preserve"> certain nombre de propositions, qui portent notamment sur les questions suivantes: i) la façon dont les parlements nationaux peuvent jouer un rôle plus proactif dans le processus décisionnel européen, ii) la manière dont ils peuvent améliorer leur prépara</w:t>
      </w:r>
      <w:r>
        <w:rPr>
          <w:rFonts w:ascii="Times New Roman" w:hAnsi="Times New Roman"/>
          <w:noProof/>
          <w:sz w:val="24"/>
        </w:rPr>
        <w:t>tion des contrôles de la subsidiarité, iii) un nouveau cadre démocratique de gouvernance économique européenne, et (iv) la réforme de la coopération interparlementaire au sein de l’UE.</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Le 11 mars 2014, la Commission pour l’Union européenne de la Chambre de</w:t>
      </w:r>
      <w:r>
        <w:rPr>
          <w:rFonts w:ascii="Times New Roman" w:hAnsi="Times New Roman"/>
          <w:noProof/>
          <w:sz w:val="24"/>
        </w:rPr>
        <w:t>s Lords britannique a adopté un rapport intitulé «</w:t>
      </w:r>
      <w:r>
        <w:rPr>
          <w:rFonts w:ascii="Times New Roman" w:hAnsi="Times New Roman"/>
          <w:i/>
          <w:noProof/>
          <w:sz w:val="24"/>
        </w:rPr>
        <w:t>The Role of National Parliaments in the European Union (Le rôle des parlements nationaux dans l’Union européenne)</w:t>
      </w:r>
      <w:r>
        <w:rPr>
          <w:rFonts w:ascii="Times New Roman" w:hAnsi="Times New Roman"/>
          <w:noProof/>
          <w:sz w:val="24"/>
        </w:rPr>
        <w:t xml:space="preserve">». Ce rapport, fruit d’une large consultation menée par la Chambre des Lords, s'appuyait sur </w:t>
      </w:r>
      <w:r>
        <w:rPr>
          <w:rFonts w:ascii="Times New Roman" w:hAnsi="Times New Roman"/>
          <w:noProof/>
          <w:sz w:val="24"/>
        </w:rPr>
        <w:t>des données probantes fournies par plusieurs acteurs clés, dont le vice-président Šefčovič. Les suggestions formulées dans le rapport portent sur i) l’association à un stade précoce des parlements nationaux à l'élaboration des propositions stratégiques, ii</w:t>
      </w:r>
      <w:r>
        <w:rPr>
          <w:rFonts w:ascii="Times New Roman" w:hAnsi="Times New Roman"/>
          <w:noProof/>
          <w:sz w:val="24"/>
        </w:rPr>
        <w:t>) l’établissement de contacts directs avec les commissaires et les fonctionnaires de la Commission, iii) l’introduction d’un «carton vert» («green card»)</w:t>
      </w:r>
      <w:r>
        <w:rPr>
          <w:rStyle w:val="FootnoteReference"/>
          <w:rFonts w:ascii="Times New Roman" w:hAnsi="Times New Roman"/>
          <w:noProof/>
          <w:sz w:val="24"/>
        </w:rPr>
        <w:footnoteReference w:id="38"/>
      </w:r>
      <w:r>
        <w:rPr>
          <w:rFonts w:ascii="Times New Roman" w:hAnsi="Times New Roman"/>
          <w:noProof/>
          <w:sz w:val="24"/>
        </w:rPr>
        <w:t xml:space="preserve">, iv) des modifications du mécanisme de contrôle de la subsidiarité, v) la coopération </w:t>
      </w:r>
      <w:r>
        <w:rPr>
          <w:rFonts w:ascii="Times New Roman" w:hAnsi="Times New Roman"/>
          <w:noProof/>
          <w:sz w:val="24"/>
        </w:rPr>
        <w:t>interparlementaire et vi) la gouvernance économique et financière.</w:t>
      </w:r>
    </w:p>
    <w:p w:rsidR="00B37682" w:rsidRDefault="00B51E54">
      <w:pPr>
        <w:spacing w:before="120" w:after="120" w:line="240" w:lineRule="auto"/>
        <w:jc w:val="both"/>
        <w:rPr>
          <w:rFonts w:ascii="Times New Roman" w:hAnsi="Times New Roman"/>
          <w:iCs/>
          <w:noProof/>
          <w:sz w:val="24"/>
          <w:szCs w:val="24"/>
        </w:rPr>
      </w:pPr>
      <w:r>
        <w:rPr>
          <w:rFonts w:ascii="Times New Roman" w:hAnsi="Times New Roman"/>
          <w:noProof/>
          <w:sz w:val="24"/>
        </w:rPr>
        <w:t xml:space="preserve">Le 20 mai 2014, la </w:t>
      </w:r>
      <w:r>
        <w:rPr>
          <w:rFonts w:ascii="Times New Roman" w:hAnsi="Times New Roman"/>
          <w:i/>
          <w:noProof/>
          <w:sz w:val="24"/>
        </w:rPr>
        <w:t>Tweede Kamer</w:t>
      </w:r>
      <w:r>
        <w:rPr>
          <w:rFonts w:ascii="Times New Roman" w:hAnsi="Times New Roman"/>
          <w:noProof/>
          <w:sz w:val="24"/>
        </w:rPr>
        <w:t xml:space="preserve"> néerlandaise a adopté un rapport intitulé «</w:t>
      </w:r>
      <w:r>
        <w:rPr>
          <w:rFonts w:ascii="Times New Roman" w:hAnsi="Times New Roman"/>
          <w:i/>
          <w:noProof/>
          <w:sz w:val="24"/>
        </w:rPr>
        <w:t>Ahead in Europe – on the role of the Tweede Kamer and national parliaments in the European Union» (Rôle de la Twee</w:t>
      </w:r>
      <w:r>
        <w:rPr>
          <w:rFonts w:ascii="Times New Roman" w:hAnsi="Times New Roman"/>
          <w:i/>
          <w:noProof/>
          <w:sz w:val="24"/>
        </w:rPr>
        <w:t>de Kamer et des parlements nationaux dans l'Union européenne»)</w:t>
      </w:r>
      <w:r>
        <w:rPr>
          <w:rFonts w:ascii="Times New Roman" w:hAnsi="Times New Roman"/>
          <w:noProof/>
          <w:sz w:val="24"/>
        </w:rPr>
        <w:t xml:space="preserve"> qui formule des recommandations sur la manière dont les parlements nationaux pourraient améliorer leurs méthodes de travail et renforcer leur coopération avec d’autres parlements, en mettant l’</w:t>
      </w:r>
      <w:r>
        <w:rPr>
          <w:rFonts w:ascii="Times New Roman" w:hAnsi="Times New Roman"/>
          <w:noProof/>
          <w:sz w:val="24"/>
        </w:rPr>
        <w:t xml:space="preserve">accent sur la transparence et l’efficacité, qui sont deux facteurs essentiels de légitimité. Ce rapport formule des recommandations qui s'adressent aux parlements nationaux d'Europe et qui portent également sur le fonctionnement de la </w:t>
      </w:r>
      <w:r>
        <w:rPr>
          <w:rFonts w:ascii="Times New Roman" w:hAnsi="Times New Roman"/>
          <w:i/>
          <w:noProof/>
          <w:sz w:val="24"/>
        </w:rPr>
        <w:t>Tweede Kamer</w:t>
      </w:r>
      <w:r>
        <w:rPr>
          <w:rFonts w:ascii="Times New Roman" w:hAnsi="Times New Roman"/>
          <w:noProof/>
          <w:sz w:val="24"/>
        </w:rPr>
        <w:t xml:space="preserve"> en ce qu</w:t>
      </w:r>
      <w:r>
        <w:rPr>
          <w:rFonts w:ascii="Times New Roman" w:hAnsi="Times New Roman"/>
          <w:noProof/>
          <w:sz w:val="24"/>
        </w:rPr>
        <w:t>i concerne les affaires européennes.</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Si les rapports du </w:t>
      </w:r>
      <w:r>
        <w:rPr>
          <w:rFonts w:ascii="Times New Roman" w:hAnsi="Times New Roman"/>
          <w:i/>
          <w:noProof/>
          <w:sz w:val="24"/>
        </w:rPr>
        <w:t>Folketing</w:t>
      </w:r>
      <w:r>
        <w:rPr>
          <w:rFonts w:ascii="Times New Roman" w:hAnsi="Times New Roman"/>
          <w:noProof/>
          <w:sz w:val="24"/>
        </w:rPr>
        <w:t xml:space="preserve"> danois, de la Chambre des Lords britannique et de la </w:t>
      </w:r>
      <w:r>
        <w:rPr>
          <w:rFonts w:ascii="Times New Roman" w:hAnsi="Times New Roman"/>
          <w:i/>
          <w:noProof/>
          <w:sz w:val="24"/>
        </w:rPr>
        <w:t>Tweede Kamer</w:t>
      </w:r>
      <w:r>
        <w:rPr>
          <w:rFonts w:ascii="Times New Roman" w:hAnsi="Times New Roman"/>
          <w:noProof/>
          <w:sz w:val="24"/>
        </w:rPr>
        <w:t xml:space="preserve"> néerlandaise diffèrent sur le plan du contenu, ils présentent des similitudes. En particulier, les trois chambres préconisen</w:t>
      </w:r>
      <w:r>
        <w:rPr>
          <w:rFonts w:ascii="Times New Roman" w:hAnsi="Times New Roman"/>
          <w:noProof/>
          <w:sz w:val="24"/>
        </w:rPr>
        <w:t>t que les parlements nationaux jouent un rôle plus proactif et, notamment, qu’ils aient la possibilité de suggérer à la Commission de présenter de nouvelles propositions. Les trois rapports soulignent la nécessité que les parlements nationaux participent d</w:t>
      </w:r>
      <w:r>
        <w:rPr>
          <w:rFonts w:ascii="Times New Roman" w:hAnsi="Times New Roman"/>
          <w:noProof/>
          <w:sz w:val="24"/>
        </w:rPr>
        <w:t>avantage à la phase pré-législative pour pouvoir influer sur les propositions présentées par la Commission. Ces trois rapports proposent également d'améliorer le mécanisme de contrôle de la subsidiarité en ce qui concerne la coordination des avis des parle</w:t>
      </w:r>
      <w:r>
        <w:rPr>
          <w:rFonts w:ascii="Times New Roman" w:hAnsi="Times New Roman"/>
          <w:noProof/>
          <w:sz w:val="24"/>
        </w:rPr>
        <w:t xml:space="preserve">ments nationaux. La Chambre des Lords britannique et la </w:t>
      </w:r>
      <w:r>
        <w:rPr>
          <w:rFonts w:ascii="Times New Roman" w:hAnsi="Times New Roman"/>
          <w:i/>
          <w:noProof/>
          <w:sz w:val="24"/>
        </w:rPr>
        <w:t>Tweede Kamer</w:t>
      </w:r>
      <w:r>
        <w:rPr>
          <w:rFonts w:ascii="Times New Roman" w:hAnsi="Times New Roman"/>
          <w:noProof/>
          <w:sz w:val="24"/>
        </w:rPr>
        <w:t xml:space="preserve"> néerlandaise ont proposé d'apporter des modifications substantielles au mécanisme de contrôle de la subsidiarité, afin que les avis motivés des parlements nationaux puissent avoir un plus</w:t>
      </w:r>
      <w:r>
        <w:rPr>
          <w:rFonts w:ascii="Times New Roman" w:hAnsi="Times New Roman"/>
          <w:noProof/>
          <w:sz w:val="24"/>
        </w:rPr>
        <w:t xml:space="preserve"> grand effet. Bien que les deux chambres reconnaissent que l'apport de modifications formelles au mécanisme supposerait de modifier le traité, elles proposent que des modifications soient apportées sous la forme d’un accord informel ou d'un engagement pris</w:t>
      </w:r>
      <w:r>
        <w:rPr>
          <w:rFonts w:ascii="Times New Roman" w:hAnsi="Times New Roman"/>
          <w:noProof/>
          <w:sz w:val="24"/>
        </w:rPr>
        <w:t xml:space="preserve"> par la Commission envers les parlements nationaux. </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Le Parlement européen a également apporté sa contribution au débat sur le rôle des parlements nationaux. Peu avant les élections européennes, la commission des affaires constitutionnelles du Parlement européen a adopté, en avril, un rapport de M. Carlo Cas</w:t>
      </w:r>
      <w:r>
        <w:rPr>
          <w:rFonts w:ascii="Times New Roman" w:hAnsi="Times New Roman"/>
          <w:noProof/>
          <w:sz w:val="24"/>
        </w:rPr>
        <w:t xml:space="preserve">ini (PPE/IT) sur les parlements nationaux. Ce rapport recommande, entre autres, (...) aux parlements nationaux de </w:t>
      </w:r>
      <w:r>
        <w:rPr>
          <w:rFonts w:ascii="Times New Roman" w:hAnsi="Times New Roman"/>
          <w:i/>
          <w:noProof/>
          <w:sz w:val="24"/>
        </w:rPr>
        <w:t>«prendre des mesures pour améliorer les procédures d'orientation et de contrôle dans le but de renforcer la cohérence».</w:t>
      </w:r>
      <w:r>
        <w:rPr>
          <w:rFonts w:ascii="Times New Roman" w:hAnsi="Times New Roman"/>
          <w:noProof/>
          <w:sz w:val="24"/>
        </w:rPr>
        <w:t xml:space="preserve"> Il indique également q</w:t>
      </w:r>
      <w:r>
        <w:rPr>
          <w:rFonts w:ascii="Times New Roman" w:hAnsi="Times New Roman"/>
          <w:noProof/>
          <w:sz w:val="24"/>
        </w:rPr>
        <w:t>ue le mécanisme d’alerte précoce constitue l’un des instruments garantissant une collaboration effective entre institutions européennes et nationales et se félicite du fait que ce mécanisme soit également utilisé comme un outil de consultation et de dialog</w:t>
      </w:r>
      <w:r>
        <w:rPr>
          <w:rFonts w:ascii="Times New Roman" w:hAnsi="Times New Roman"/>
          <w:noProof/>
          <w:sz w:val="24"/>
        </w:rPr>
        <w:t xml:space="preserve">ue coopératif entre les divers niveaux institutionnels du système de gouvernance européen. </w:t>
      </w:r>
    </w:p>
    <w:p w:rsidR="00B37682" w:rsidRDefault="00B51E54">
      <w:pPr>
        <w:spacing w:before="120" w:after="120" w:line="240" w:lineRule="auto"/>
        <w:jc w:val="both"/>
        <w:rPr>
          <w:rFonts w:ascii="Times New Roman" w:hAnsi="Times New Roman"/>
          <w:iCs/>
          <w:noProof/>
          <w:sz w:val="24"/>
          <w:szCs w:val="24"/>
        </w:rPr>
      </w:pPr>
      <w:r>
        <w:rPr>
          <w:rFonts w:ascii="Times New Roman" w:hAnsi="Times New Roman"/>
          <w:noProof/>
          <w:sz w:val="24"/>
        </w:rPr>
        <w:t>Le 30 juin 2014, 29 signataires issus de chambres de parlements nationaux ont adressé au président désigné M. Juncker une lettre sur le rôle des parlements nationau</w:t>
      </w:r>
      <w:r>
        <w:rPr>
          <w:rFonts w:ascii="Times New Roman" w:hAnsi="Times New Roman"/>
          <w:noProof/>
          <w:sz w:val="24"/>
        </w:rPr>
        <w:t xml:space="preserve">x dans l’Union européenne. La lettre invitait la nouvelle Commission </w:t>
      </w:r>
      <w:r>
        <w:rPr>
          <w:rFonts w:ascii="Times New Roman" w:hAnsi="Times New Roman"/>
          <w:i/>
          <w:noProof/>
          <w:sz w:val="24"/>
        </w:rPr>
        <w:t>à mettre en place un groupe de travail composé de députés nationaux et de représentants des institutions de l’UE et chargé de réfléchir au rôle des parlements nationaux dans l’Union europ</w:t>
      </w:r>
      <w:r>
        <w:rPr>
          <w:rFonts w:ascii="Times New Roman" w:hAnsi="Times New Roman"/>
          <w:i/>
          <w:noProof/>
          <w:sz w:val="24"/>
        </w:rPr>
        <w:t>éenne</w:t>
      </w:r>
      <w:r>
        <w:rPr>
          <w:rFonts w:ascii="Times New Roman" w:hAnsi="Times New Roman"/>
          <w:noProof/>
          <w:sz w:val="24"/>
        </w:rPr>
        <w:t>.</w:t>
      </w:r>
    </w:p>
    <w:p w:rsidR="00B37682" w:rsidRDefault="00B51E54">
      <w:pPr>
        <w:spacing w:before="240" w:after="240" w:line="240" w:lineRule="auto"/>
        <w:jc w:val="both"/>
        <w:rPr>
          <w:rFonts w:ascii="Times New Roman" w:hAnsi="Times New Roman"/>
          <w:i/>
          <w:noProof/>
          <w:sz w:val="24"/>
          <w:szCs w:val="24"/>
        </w:rPr>
      </w:pPr>
      <w:r>
        <w:rPr>
          <w:rFonts w:ascii="Times New Roman" w:hAnsi="Times New Roman"/>
          <w:i/>
          <w:noProof/>
          <w:sz w:val="24"/>
        </w:rPr>
        <w:t>Importance accordée par la Commission Juncker aux parlements nationaux</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La Commission Juncker a pris ses fonctions le 1</w:t>
      </w:r>
      <w:r>
        <w:rPr>
          <w:rFonts w:ascii="Times New Roman" w:hAnsi="Times New Roman"/>
          <w:noProof/>
          <w:sz w:val="24"/>
          <w:vertAlign w:val="superscript"/>
        </w:rPr>
        <w:t xml:space="preserve">er </w:t>
      </w:r>
      <w:r>
        <w:rPr>
          <w:rFonts w:ascii="Times New Roman" w:hAnsi="Times New Roman"/>
          <w:noProof/>
          <w:sz w:val="24"/>
        </w:rPr>
        <w:t>novembre 2014. Dans les lettres de mission qu'il a adressées aux membres de la Commission, le président Juncker a indiqué que la</w:t>
      </w:r>
      <w:r>
        <w:rPr>
          <w:rFonts w:ascii="Times New Roman" w:hAnsi="Times New Roman"/>
          <w:noProof/>
          <w:sz w:val="24"/>
        </w:rPr>
        <w:t xml:space="preserve"> Commission avait l'intention d’établir un nouveau partenariat avec les parlements nationaux et qu'elle était particulièrement déterminée à ce que des membres du collège se rendent dans les parlements nationaux aussi souvent que possible afin de présenter </w:t>
      </w:r>
      <w:r>
        <w:rPr>
          <w:rFonts w:ascii="Times New Roman" w:hAnsi="Times New Roman"/>
          <w:noProof/>
          <w:sz w:val="24"/>
        </w:rPr>
        <w:t>et de débattre de propositions ou d'initiatives importantes émanant de ses services. La Commission suit avec intérêt les discussions sur le rôle des parlements nationaux dans le processus décisionnel européen.</w:t>
      </w:r>
    </w:p>
    <w:p w:rsidR="00B37682" w:rsidRDefault="00B37682">
      <w:pPr>
        <w:spacing w:before="120" w:after="120" w:line="240" w:lineRule="auto"/>
        <w:jc w:val="both"/>
        <w:rPr>
          <w:rFonts w:ascii="Times New Roman" w:hAnsi="Times New Roman"/>
          <w:noProof/>
          <w:sz w:val="24"/>
          <w:szCs w:val="24"/>
        </w:rPr>
      </w:pPr>
    </w:p>
    <w:p w:rsidR="00B37682" w:rsidRDefault="00B51E54">
      <w:pPr>
        <w:keepNext/>
        <w:tabs>
          <w:tab w:val="left" w:pos="850"/>
        </w:tabs>
        <w:spacing w:before="120" w:after="120" w:line="240" w:lineRule="auto"/>
        <w:jc w:val="both"/>
        <w:rPr>
          <w:rFonts w:ascii="Times New Roman" w:eastAsia="Times New Roman" w:hAnsi="Times New Roman"/>
          <w:b/>
          <w:smallCaps/>
          <w:noProof/>
          <w:sz w:val="24"/>
          <w:szCs w:val="24"/>
        </w:rPr>
      </w:pPr>
      <w:r>
        <w:rPr>
          <w:rFonts w:ascii="Times New Roman" w:hAnsi="Times New Roman"/>
          <w:b/>
          <w:smallCaps/>
          <w:noProof/>
          <w:sz w:val="24"/>
        </w:rPr>
        <w:t>5.</w:t>
      </w:r>
      <w:r>
        <w:rPr>
          <w:noProof/>
        </w:rPr>
        <w:tab/>
      </w:r>
      <w:r>
        <w:rPr>
          <w:rFonts w:ascii="Times New Roman" w:hAnsi="Times New Roman"/>
          <w:b/>
          <w:smallCaps/>
          <w:noProof/>
          <w:sz w:val="24"/>
        </w:rPr>
        <w:t>Contacts bilatéraux et visites</w:t>
      </w:r>
    </w:p>
    <w:p w:rsidR="00B37682" w:rsidRDefault="00B37682">
      <w:pPr>
        <w:keepNext/>
        <w:tabs>
          <w:tab w:val="left" w:pos="850"/>
        </w:tabs>
        <w:spacing w:before="120" w:after="120" w:line="240" w:lineRule="auto"/>
        <w:jc w:val="both"/>
        <w:rPr>
          <w:rFonts w:ascii="Times New Roman" w:eastAsia="Times New Roman" w:hAnsi="Times New Roman"/>
          <w:b/>
          <w:smallCaps/>
          <w:noProof/>
          <w:sz w:val="24"/>
          <w:szCs w:val="24"/>
        </w:rPr>
      </w:pP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Le dialogu</w:t>
      </w:r>
      <w:r>
        <w:rPr>
          <w:rFonts w:ascii="Times New Roman" w:hAnsi="Times New Roman"/>
          <w:noProof/>
          <w:sz w:val="24"/>
        </w:rPr>
        <w:t>e politique entre la Commission et les parlements nationaux s'est aussi poursuivi sous la forme de réunions et de contacts, au niveau tant politique qu'administratif, à Bruxelles et dans les États membres.</w:t>
      </w:r>
    </w:p>
    <w:p w:rsidR="00B37682" w:rsidRDefault="00B51E54">
      <w:pPr>
        <w:spacing w:before="240" w:after="240" w:line="240" w:lineRule="auto"/>
        <w:jc w:val="both"/>
        <w:rPr>
          <w:rFonts w:ascii="Times New Roman" w:hAnsi="Times New Roman"/>
          <w:i/>
          <w:noProof/>
          <w:sz w:val="24"/>
          <w:szCs w:val="24"/>
        </w:rPr>
      </w:pPr>
      <w:r>
        <w:rPr>
          <w:rFonts w:ascii="Times New Roman" w:hAnsi="Times New Roman"/>
          <w:i/>
          <w:noProof/>
          <w:sz w:val="24"/>
        </w:rPr>
        <w:t>Réunions bilatérales entre la Commission Barroso e</w:t>
      </w:r>
      <w:r>
        <w:rPr>
          <w:rFonts w:ascii="Times New Roman" w:hAnsi="Times New Roman"/>
          <w:i/>
          <w:noProof/>
          <w:sz w:val="24"/>
        </w:rPr>
        <w:t>t les parlements nationaux</w:t>
      </w:r>
    </w:p>
    <w:p w:rsidR="00B37682" w:rsidRDefault="00B51E54">
      <w:pPr>
        <w:spacing w:line="240" w:lineRule="auto"/>
        <w:jc w:val="both"/>
        <w:rPr>
          <w:rFonts w:ascii="Times New Roman" w:hAnsi="Times New Roman"/>
          <w:noProof/>
          <w:sz w:val="24"/>
          <w:szCs w:val="24"/>
        </w:rPr>
      </w:pPr>
      <w:r>
        <w:rPr>
          <w:rFonts w:ascii="Times New Roman" w:hAnsi="Times New Roman"/>
          <w:noProof/>
          <w:sz w:val="24"/>
        </w:rPr>
        <w:t xml:space="preserve">Le vice-président Šefčovič s'est rendu dans cinq parlements nationaux en 2014 (le </w:t>
      </w:r>
      <w:r>
        <w:rPr>
          <w:rFonts w:ascii="Times New Roman" w:hAnsi="Times New Roman"/>
          <w:i/>
          <w:noProof/>
          <w:sz w:val="24"/>
        </w:rPr>
        <w:t>Vouli ton Ellinon</w:t>
      </w:r>
      <w:r>
        <w:rPr>
          <w:rFonts w:ascii="Times New Roman" w:hAnsi="Times New Roman"/>
          <w:noProof/>
          <w:sz w:val="24"/>
        </w:rPr>
        <w:t xml:space="preserve"> grec, la </w:t>
      </w:r>
      <w:r>
        <w:rPr>
          <w:rFonts w:ascii="Times New Roman" w:hAnsi="Times New Roman"/>
          <w:i/>
          <w:noProof/>
          <w:sz w:val="24"/>
        </w:rPr>
        <w:t>Kamra tad-Deputati</w:t>
      </w:r>
      <w:r>
        <w:rPr>
          <w:rFonts w:ascii="Times New Roman" w:hAnsi="Times New Roman"/>
          <w:noProof/>
          <w:sz w:val="24"/>
        </w:rPr>
        <w:t xml:space="preserve"> maltaise, les deux chambres du Parlement roumain, le </w:t>
      </w:r>
      <w:r>
        <w:rPr>
          <w:rFonts w:ascii="Times New Roman" w:hAnsi="Times New Roman"/>
          <w:i/>
          <w:noProof/>
          <w:sz w:val="24"/>
        </w:rPr>
        <w:t>Národná Rada</w:t>
      </w:r>
      <w:r>
        <w:rPr>
          <w:rFonts w:ascii="Times New Roman" w:hAnsi="Times New Roman"/>
          <w:noProof/>
          <w:sz w:val="24"/>
        </w:rPr>
        <w:t xml:space="preserve"> slovaque et le </w:t>
      </w:r>
      <w:r>
        <w:rPr>
          <w:rFonts w:ascii="Times New Roman" w:hAnsi="Times New Roman"/>
          <w:i/>
          <w:noProof/>
          <w:sz w:val="24"/>
        </w:rPr>
        <w:t>Riksdag</w:t>
      </w:r>
      <w:r>
        <w:rPr>
          <w:rFonts w:ascii="Times New Roman" w:hAnsi="Times New Roman"/>
          <w:noProof/>
          <w:sz w:val="24"/>
        </w:rPr>
        <w:t xml:space="preserve"> suédois). Il a également reçu des délégations de la </w:t>
      </w:r>
      <w:r>
        <w:rPr>
          <w:rFonts w:ascii="Times New Roman" w:hAnsi="Times New Roman"/>
          <w:i/>
          <w:noProof/>
          <w:sz w:val="24"/>
        </w:rPr>
        <w:t>House of Lords</w:t>
      </w:r>
      <w:r>
        <w:rPr>
          <w:rFonts w:ascii="Times New Roman" w:hAnsi="Times New Roman"/>
          <w:noProof/>
          <w:sz w:val="24"/>
        </w:rPr>
        <w:t xml:space="preserve"> britannique, des chambres de l'</w:t>
      </w:r>
      <w:r>
        <w:rPr>
          <w:rFonts w:ascii="Times New Roman" w:hAnsi="Times New Roman"/>
          <w:i/>
          <w:noProof/>
          <w:sz w:val="24"/>
        </w:rPr>
        <w:t>Oireachtas</w:t>
      </w:r>
      <w:r>
        <w:rPr>
          <w:rFonts w:ascii="Times New Roman" w:hAnsi="Times New Roman"/>
          <w:noProof/>
          <w:sz w:val="24"/>
        </w:rPr>
        <w:t xml:space="preserve"> irlandais ainsi que du </w:t>
      </w:r>
      <w:r>
        <w:rPr>
          <w:rFonts w:ascii="Times New Roman" w:hAnsi="Times New Roman"/>
          <w:i/>
          <w:noProof/>
          <w:sz w:val="24"/>
        </w:rPr>
        <w:t>Senát</w:t>
      </w:r>
      <w:r>
        <w:rPr>
          <w:rFonts w:ascii="Times New Roman" w:hAnsi="Times New Roman"/>
          <w:noProof/>
          <w:sz w:val="24"/>
        </w:rPr>
        <w:t xml:space="preserve"> tchèque.</w:t>
      </w:r>
    </w:p>
    <w:p w:rsidR="00B37682" w:rsidRDefault="00B51E54">
      <w:pPr>
        <w:spacing w:line="240" w:lineRule="auto"/>
        <w:jc w:val="both"/>
        <w:rPr>
          <w:rFonts w:ascii="Times New Roman" w:hAnsi="Times New Roman"/>
          <w:noProof/>
          <w:sz w:val="24"/>
          <w:szCs w:val="24"/>
        </w:rPr>
      </w:pPr>
      <w:r>
        <w:rPr>
          <w:rFonts w:ascii="Times New Roman" w:hAnsi="Times New Roman"/>
          <w:noProof/>
          <w:sz w:val="24"/>
        </w:rPr>
        <w:t xml:space="preserve">La commissaire Hedegaard a rencontré des représentants de l'Assemblée nationale française, des </w:t>
      </w:r>
      <w:r>
        <w:rPr>
          <w:rFonts w:ascii="Times New Roman" w:hAnsi="Times New Roman"/>
          <w:i/>
          <w:noProof/>
          <w:sz w:val="24"/>
        </w:rPr>
        <w:t>Camera dei De</w:t>
      </w:r>
      <w:r>
        <w:rPr>
          <w:rFonts w:ascii="Times New Roman" w:hAnsi="Times New Roman"/>
          <w:i/>
          <w:noProof/>
          <w:sz w:val="24"/>
        </w:rPr>
        <w:t>putati</w:t>
      </w:r>
      <w:r>
        <w:rPr>
          <w:rFonts w:ascii="Times New Roman" w:hAnsi="Times New Roman"/>
          <w:noProof/>
          <w:sz w:val="24"/>
        </w:rPr>
        <w:t xml:space="preserve"> et </w:t>
      </w:r>
      <w:r>
        <w:rPr>
          <w:rFonts w:ascii="Times New Roman" w:hAnsi="Times New Roman"/>
          <w:i/>
          <w:noProof/>
          <w:sz w:val="24"/>
        </w:rPr>
        <w:t>Senato della Repubblica</w:t>
      </w:r>
      <w:r>
        <w:rPr>
          <w:rFonts w:ascii="Times New Roman" w:hAnsi="Times New Roman"/>
          <w:noProof/>
          <w:sz w:val="24"/>
        </w:rPr>
        <w:t xml:space="preserve"> italiens, de la </w:t>
      </w:r>
      <w:r>
        <w:rPr>
          <w:rFonts w:ascii="Times New Roman" w:hAnsi="Times New Roman"/>
          <w:i/>
          <w:noProof/>
          <w:sz w:val="24"/>
        </w:rPr>
        <w:t>House of Commons</w:t>
      </w:r>
      <w:r>
        <w:rPr>
          <w:rFonts w:ascii="Times New Roman" w:hAnsi="Times New Roman"/>
          <w:noProof/>
          <w:sz w:val="24"/>
        </w:rPr>
        <w:t xml:space="preserve"> britannique et des </w:t>
      </w:r>
      <w:r>
        <w:rPr>
          <w:rFonts w:ascii="Times New Roman" w:hAnsi="Times New Roman"/>
          <w:i/>
          <w:noProof/>
          <w:sz w:val="24"/>
        </w:rPr>
        <w:t>Poslanecká Snemovna</w:t>
      </w:r>
      <w:r>
        <w:rPr>
          <w:rFonts w:ascii="Times New Roman" w:hAnsi="Times New Roman"/>
          <w:noProof/>
          <w:sz w:val="24"/>
        </w:rPr>
        <w:t xml:space="preserve"> et </w:t>
      </w:r>
      <w:r>
        <w:rPr>
          <w:rFonts w:ascii="Times New Roman" w:hAnsi="Times New Roman"/>
          <w:i/>
          <w:noProof/>
          <w:sz w:val="24"/>
        </w:rPr>
        <w:t>Senát</w:t>
      </w:r>
      <w:r>
        <w:rPr>
          <w:rFonts w:ascii="Times New Roman" w:hAnsi="Times New Roman"/>
          <w:noProof/>
          <w:sz w:val="24"/>
        </w:rPr>
        <w:t xml:space="preserve"> tchèques, pour aborder des questions en lien avec le cadre d'action dans le domaine du changement climatique pour les années 2020</w:t>
      </w:r>
      <w:r>
        <w:rPr>
          <w:noProof/>
        </w:rPr>
        <w:noBreakHyphen/>
      </w:r>
      <w:r>
        <w:rPr>
          <w:rFonts w:ascii="Times New Roman" w:hAnsi="Times New Roman"/>
          <w:noProof/>
          <w:sz w:val="24"/>
        </w:rPr>
        <w:t xml:space="preserve">2030. Elle </w:t>
      </w:r>
      <w:r>
        <w:rPr>
          <w:rFonts w:ascii="Times New Roman" w:hAnsi="Times New Roman"/>
          <w:noProof/>
          <w:sz w:val="24"/>
        </w:rPr>
        <w:t xml:space="preserve">a aussi eu des contacts avec des représentants du </w:t>
      </w:r>
      <w:r>
        <w:rPr>
          <w:rFonts w:ascii="Times New Roman" w:hAnsi="Times New Roman"/>
          <w:i/>
          <w:noProof/>
          <w:sz w:val="24"/>
        </w:rPr>
        <w:t>Folketing</w:t>
      </w:r>
      <w:r>
        <w:rPr>
          <w:rFonts w:ascii="Times New Roman" w:hAnsi="Times New Roman"/>
          <w:noProof/>
          <w:sz w:val="24"/>
        </w:rPr>
        <w:t xml:space="preserve"> danois pour évoquer les questions européennes du moment.</w:t>
      </w:r>
    </w:p>
    <w:p w:rsidR="00B37682" w:rsidRDefault="00B51E54">
      <w:pPr>
        <w:spacing w:line="240" w:lineRule="auto"/>
        <w:jc w:val="both"/>
        <w:rPr>
          <w:rFonts w:ascii="Times New Roman" w:hAnsi="Times New Roman"/>
          <w:noProof/>
          <w:sz w:val="24"/>
          <w:szCs w:val="24"/>
        </w:rPr>
      </w:pPr>
      <w:r>
        <w:rPr>
          <w:rFonts w:ascii="Times New Roman" w:hAnsi="Times New Roman"/>
          <w:noProof/>
          <w:sz w:val="24"/>
        </w:rPr>
        <w:t>Un autre grand sujet de discussion en 2014 a été le partenariat transatlantique de commerce et d’investissement (le «TTIP»), que la Commiss</w:t>
      </w:r>
      <w:r>
        <w:rPr>
          <w:rFonts w:ascii="Times New Roman" w:hAnsi="Times New Roman"/>
          <w:noProof/>
          <w:sz w:val="24"/>
        </w:rPr>
        <w:t xml:space="preserve">ion négocie avec les États-Unis. Dans ce contexte, le commissaire De Gucht s'est rendu à la Chambre des représentants belge, au </w:t>
      </w:r>
      <w:r>
        <w:rPr>
          <w:rFonts w:ascii="Times New Roman" w:hAnsi="Times New Roman"/>
          <w:i/>
          <w:noProof/>
          <w:sz w:val="24"/>
        </w:rPr>
        <w:t xml:space="preserve">Bundesrat </w:t>
      </w:r>
      <w:r>
        <w:rPr>
          <w:rFonts w:ascii="Times New Roman" w:hAnsi="Times New Roman"/>
          <w:noProof/>
          <w:sz w:val="24"/>
        </w:rPr>
        <w:t xml:space="preserve">allemand et à la </w:t>
      </w:r>
      <w:r>
        <w:rPr>
          <w:rFonts w:ascii="Times New Roman" w:hAnsi="Times New Roman"/>
          <w:i/>
          <w:noProof/>
          <w:sz w:val="24"/>
        </w:rPr>
        <w:t>House of Lords</w:t>
      </w:r>
      <w:r>
        <w:rPr>
          <w:rFonts w:ascii="Times New Roman" w:hAnsi="Times New Roman"/>
          <w:noProof/>
          <w:sz w:val="24"/>
        </w:rPr>
        <w:t xml:space="preserve"> britannique.</w:t>
      </w:r>
    </w:p>
    <w:p w:rsidR="00B37682" w:rsidRDefault="00B51E54">
      <w:pPr>
        <w:spacing w:line="240" w:lineRule="auto"/>
        <w:jc w:val="both"/>
        <w:rPr>
          <w:rFonts w:ascii="Times New Roman" w:hAnsi="Times New Roman"/>
          <w:noProof/>
          <w:sz w:val="24"/>
          <w:szCs w:val="24"/>
        </w:rPr>
      </w:pPr>
      <w:r>
        <w:rPr>
          <w:rFonts w:ascii="Times New Roman" w:hAnsi="Times New Roman"/>
          <w:noProof/>
          <w:sz w:val="24"/>
        </w:rPr>
        <w:t>Par ailleurs, un certain nombre de commissaires se sont rendus dans des p</w:t>
      </w:r>
      <w:r>
        <w:rPr>
          <w:rFonts w:ascii="Times New Roman" w:hAnsi="Times New Roman"/>
          <w:noProof/>
          <w:sz w:val="24"/>
        </w:rPr>
        <w:t xml:space="preserve">arlements nationaux en 2014: les commissaires Almunia et Šemeta ont été auditionnés par le Sénat français, le commissaire Lewandowski s'est rendu au </w:t>
      </w:r>
      <w:r>
        <w:rPr>
          <w:rFonts w:ascii="Times New Roman" w:hAnsi="Times New Roman"/>
          <w:i/>
          <w:noProof/>
          <w:sz w:val="24"/>
        </w:rPr>
        <w:t>Congreso de los Diputados</w:t>
      </w:r>
      <w:r>
        <w:rPr>
          <w:rFonts w:ascii="Times New Roman" w:hAnsi="Times New Roman"/>
          <w:noProof/>
          <w:sz w:val="24"/>
        </w:rPr>
        <w:t xml:space="preserve"> et au </w:t>
      </w:r>
      <w:r>
        <w:rPr>
          <w:rFonts w:ascii="Times New Roman" w:hAnsi="Times New Roman"/>
          <w:i/>
          <w:noProof/>
          <w:sz w:val="24"/>
        </w:rPr>
        <w:t>Senado</w:t>
      </w:r>
      <w:r>
        <w:rPr>
          <w:rFonts w:ascii="Times New Roman" w:hAnsi="Times New Roman"/>
          <w:noProof/>
          <w:sz w:val="24"/>
        </w:rPr>
        <w:t xml:space="preserve"> espagnols, les commissaires Cioloş, Dominik et Oettinger ont rendu v</w:t>
      </w:r>
      <w:r>
        <w:rPr>
          <w:rFonts w:ascii="Times New Roman" w:hAnsi="Times New Roman"/>
          <w:noProof/>
          <w:sz w:val="24"/>
        </w:rPr>
        <w:t xml:space="preserve">isite au </w:t>
      </w:r>
      <w:r>
        <w:rPr>
          <w:rFonts w:ascii="Times New Roman" w:hAnsi="Times New Roman"/>
          <w:i/>
          <w:noProof/>
          <w:sz w:val="24"/>
        </w:rPr>
        <w:t>Bundestag</w:t>
      </w:r>
      <w:r>
        <w:rPr>
          <w:rFonts w:ascii="Times New Roman" w:hAnsi="Times New Roman"/>
          <w:noProof/>
          <w:sz w:val="24"/>
        </w:rPr>
        <w:t xml:space="preserve"> allemand, la commissaire Georgieva s'est rendue au </w:t>
      </w:r>
      <w:r>
        <w:rPr>
          <w:rFonts w:ascii="Times New Roman" w:hAnsi="Times New Roman"/>
          <w:i/>
          <w:noProof/>
          <w:sz w:val="24"/>
        </w:rPr>
        <w:t>Congreso de los Diputados</w:t>
      </w:r>
      <w:r>
        <w:rPr>
          <w:rFonts w:ascii="Times New Roman" w:hAnsi="Times New Roman"/>
          <w:noProof/>
          <w:sz w:val="24"/>
        </w:rPr>
        <w:t xml:space="preserve"> et au </w:t>
      </w:r>
      <w:r>
        <w:rPr>
          <w:rFonts w:ascii="Times New Roman" w:hAnsi="Times New Roman"/>
          <w:i/>
          <w:noProof/>
          <w:sz w:val="24"/>
        </w:rPr>
        <w:t>Senado</w:t>
      </w:r>
      <w:r>
        <w:rPr>
          <w:rFonts w:ascii="Times New Roman" w:hAnsi="Times New Roman"/>
          <w:noProof/>
          <w:sz w:val="24"/>
        </w:rPr>
        <w:t xml:space="preserve"> espagnols, tandis que le commissaire Borg a rendu visite à la </w:t>
      </w:r>
      <w:r>
        <w:rPr>
          <w:rFonts w:ascii="Times New Roman" w:hAnsi="Times New Roman"/>
          <w:i/>
          <w:noProof/>
          <w:sz w:val="24"/>
        </w:rPr>
        <w:t>Kamra tad-Deputati</w:t>
      </w:r>
      <w:r>
        <w:rPr>
          <w:rFonts w:ascii="Times New Roman" w:hAnsi="Times New Roman"/>
          <w:noProof/>
          <w:sz w:val="24"/>
        </w:rPr>
        <w:t xml:space="preserve"> maltaise.</w:t>
      </w:r>
    </w:p>
    <w:p w:rsidR="00B37682" w:rsidRDefault="00B51E54">
      <w:pPr>
        <w:spacing w:before="240" w:after="240" w:line="240" w:lineRule="auto"/>
        <w:jc w:val="both"/>
        <w:rPr>
          <w:rFonts w:ascii="Times New Roman" w:hAnsi="Times New Roman"/>
          <w:i/>
          <w:noProof/>
          <w:sz w:val="24"/>
          <w:szCs w:val="24"/>
        </w:rPr>
      </w:pPr>
      <w:r>
        <w:rPr>
          <w:rFonts w:ascii="Times New Roman" w:hAnsi="Times New Roman"/>
          <w:i/>
          <w:noProof/>
          <w:sz w:val="24"/>
        </w:rPr>
        <w:t xml:space="preserve">Réunions bilatérales entre la Commission Juncker et les </w:t>
      </w:r>
      <w:r>
        <w:rPr>
          <w:rFonts w:ascii="Times New Roman" w:hAnsi="Times New Roman"/>
          <w:i/>
          <w:noProof/>
          <w:sz w:val="24"/>
        </w:rPr>
        <w:t>parlements nationaux</w:t>
      </w:r>
    </w:p>
    <w:p w:rsidR="00B37682" w:rsidRDefault="00B51E54">
      <w:pPr>
        <w:spacing w:line="240" w:lineRule="auto"/>
        <w:jc w:val="both"/>
        <w:rPr>
          <w:rFonts w:ascii="Times New Roman" w:hAnsi="Times New Roman"/>
          <w:noProof/>
          <w:sz w:val="24"/>
          <w:szCs w:val="24"/>
        </w:rPr>
      </w:pPr>
      <w:r>
        <w:rPr>
          <w:rFonts w:ascii="Times New Roman" w:hAnsi="Times New Roman"/>
          <w:noProof/>
          <w:sz w:val="24"/>
        </w:rPr>
        <w:t xml:space="preserve">Le premier vice-président Timmermans a rencontré des représentants des commissions des affaires européennes du Parlement italien en novembre 2014 et, en décembre 2014, il a reçu une délégation de la commission des affaires européennes </w:t>
      </w:r>
      <w:r>
        <w:rPr>
          <w:rFonts w:ascii="Times New Roman" w:hAnsi="Times New Roman"/>
          <w:noProof/>
          <w:sz w:val="24"/>
        </w:rPr>
        <w:t xml:space="preserve">du </w:t>
      </w:r>
      <w:r>
        <w:rPr>
          <w:rFonts w:ascii="Times New Roman" w:hAnsi="Times New Roman"/>
          <w:i/>
          <w:noProof/>
          <w:sz w:val="24"/>
        </w:rPr>
        <w:t xml:space="preserve">Bundestag </w:t>
      </w:r>
      <w:r>
        <w:rPr>
          <w:rFonts w:ascii="Times New Roman" w:hAnsi="Times New Roman"/>
          <w:noProof/>
          <w:sz w:val="24"/>
        </w:rPr>
        <w:t>allemand.</w:t>
      </w:r>
    </w:p>
    <w:p w:rsidR="00B37682" w:rsidRDefault="00B51E54">
      <w:pPr>
        <w:spacing w:line="240" w:lineRule="auto"/>
        <w:jc w:val="both"/>
        <w:rPr>
          <w:rFonts w:ascii="Times New Roman" w:hAnsi="Times New Roman"/>
          <w:noProof/>
          <w:sz w:val="24"/>
          <w:szCs w:val="24"/>
        </w:rPr>
      </w:pPr>
      <w:r>
        <w:rPr>
          <w:rFonts w:ascii="Times New Roman" w:hAnsi="Times New Roman"/>
          <w:noProof/>
          <w:sz w:val="24"/>
        </w:rPr>
        <w:t xml:space="preserve">D'autres membres de la nouvelle Commission ont également rendu visite à des parlements nationaux en 2014: en novembre 2014, la vice-présidente Georgieva a rencontré le vice-président du </w:t>
      </w:r>
      <w:r>
        <w:rPr>
          <w:rFonts w:ascii="Times New Roman" w:hAnsi="Times New Roman"/>
          <w:i/>
          <w:noProof/>
          <w:sz w:val="24"/>
        </w:rPr>
        <w:t>Bundestag</w:t>
      </w:r>
      <w:r>
        <w:rPr>
          <w:rFonts w:ascii="Times New Roman" w:hAnsi="Times New Roman"/>
          <w:noProof/>
          <w:sz w:val="24"/>
        </w:rPr>
        <w:t xml:space="preserve"> allemand et, en décembre, le vice-pré</w:t>
      </w:r>
      <w:r>
        <w:rPr>
          <w:rFonts w:ascii="Times New Roman" w:hAnsi="Times New Roman"/>
          <w:noProof/>
          <w:sz w:val="24"/>
        </w:rPr>
        <w:t xml:space="preserve">sident Dombrovskis s'est rendu à la </w:t>
      </w:r>
      <w:r>
        <w:rPr>
          <w:rFonts w:ascii="Times New Roman" w:hAnsi="Times New Roman"/>
          <w:i/>
          <w:noProof/>
          <w:sz w:val="24"/>
        </w:rPr>
        <w:t>Saeima</w:t>
      </w:r>
      <w:r>
        <w:rPr>
          <w:rFonts w:ascii="Times New Roman" w:hAnsi="Times New Roman"/>
          <w:noProof/>
          <w:sz w:val="24"/>
        </w:rPr>
        <w:t xml:space="preserve"> lettonne et au </w:t>
      </w:r>
      <w:r>
        <w:rPr>
          <w:rFonts w:ascii="Times New Roman" w:hAnsi="Times New Roman"/>
          <w:i/>
          <w:noProof/>
          <w:sz w:val="24"/>
        </w:rPr>
        <w:t>Riigikogu</w:t>
      </w:r>
      <w:r>
        <w:rPr>
          <w:rFonts w:ascii="Times New Roman" w:hAnsi="Times New Roman"/>
          <w:noProof/>
          <w:sz w:val="24"/>
        </w:rPr>
        <w:t xml:space="preserve"> estonien.</w:t>
      </w:r>
      <w:r>
        <w:rPr>
          <w:rFonts w:ascii="Times New Roman" w:hAnsi="Times New Roman"/>
          <w:i/>
          <w:noProof/>
          <w:sz w:val="24"/>
        </w:rPr>
        <w:t xml:space="preserve"> </w:t>
      </w:r>
      <w:r>
        <w:rPr>
          <w:rFonts w:ascii="Times New Roman" w:hAnsi="Times New Roman"/>
          <w:noProof/>
          <w:sz w:val="24"/>
        </w:rPr>
        <w:t xml:space="preserve">En décembre 2014, le vice-président Ansip et le commissaire Andriukaitis ont rencontré des présidents de commission de la </w:t>
      </w:r>
      <w:r>
        <w:rPr>
          <w:rFonts w:ascii="Times New Roman" w:hAnsi="Times New Roman"/>
          <w:i/>
          <w:noProof/>
          <w:sz w:val="24"/>
        </w:rPr>
        <w:t>Saeima</w:t>
      </w:r>
      <w:r>
        <w:rPr>
          <w:rFonts w:ascii="Times New Roman" w:hAnsi="Times New Roman"/>
          <w:noProof/>
          <w:sz w:val="24"/>
        </w:rPr>
        <w:t xml:space="preserve"> lettonne, le commissaire Hahn s'est rendu au </w:t>
      </w:r>
      <w:r>
        <w:rPr>
          <w:rFonts w:ascii="Times New Roman" w:hAnsi="Times New Roman"/>
          <w:i/>
          <w:noProof/>
          <w:sz w:val="24"/>
        </w:rPr>
        <w:t>Bund</w:t>
      </w:r>
      <w:r>
        <w:rPr>
          <w:rFonts w:ascii="Times New Roman" w:hAnsi="Times New Roman"/>
          <w:i/>
          <w:noProof/>
          <w:sz w:val="24"/>
        </w:rPr>
        <w:t>esrat</w:t>
      </w:r>
      <w:r>
        <w:rPr>
          <w:rFonts w:ascii="Times New Roman" w:hAnsi="Times New Roman"/>
          <w:noProof/>
          <w:sz w:val="24"/>
        </w:rPr>
        <w:t xml:space="preserve"> autrichien, le vice-président Katainen s'est rendu au </w:t>
      </w:r>
      <w:r>
        <w:rPr>
          <w:rFonts w:ascii="Times New Roman" w:hAnsi="Times New Roman"/>
          <w:i/>
          <w:noProof/>
          <w:sz w:val="24"/>
        </w:rPr>
        <w:t>Senat</w:t>
      </w:r>
      <w:r>
        <w:rPr>
          <w:rFonts w:ascii="Times New Roman" w:hAnsi="Times New Roman"/>
          <w:noProof/>
          <w:sz w:val="24"/>
        </w:rPr>
        <w:t xml:space="preserve"> roumain et la commissaire Bulc s'est rendue à l'Assemblée nationale française.</w:t>
      </w:r>
    </w:p>
    <w:p w:rsidR="00B37682" w:rsidRDefault="00B37682">
      <w:pPr>
        <w:spacing w:before="240" w:line="240" w:lineRule="auto"/>
        <w:jc w:val="both"/>
        <w:rPr>
          <w:rFonts w:ascii="Times New Roman" w:hAnsi="Times New Roman"/>
          <w:i/>
          <w:noProof/>
          <w:sz w:val="24"/>
          <w:szCs w:val="24"/>
        </w:rPr>
      </w:pPr>
    </w:p>
    <w:p w:rsidR="00B37682" w:rsidRDefault="00B51E54">
      <w:pPr>
        <w:spacing w:before="240" w:line="240" w:lineRule="auto"/>
        <w:jc w:val="both"/>
        <w:rPr>
          <w:rFonts w:ascii="Times New Roman" w:hAnsi="Times New Roman"/>
          <w:i/>
          <w:noProof/>
          <w:sz w:val="24"/>
          <w:szCs w:val="24"/>
        </w:rPr>
      </w:pPr>
      <w:r>
        <w:rPr>
          <w:rFonts w:ascii="Times New Roman" w:hAnsi="Times New Roman"/>
          <w:i/>
          <w:noProof/>
          <w:sz w:val="24"/>
        </w:rPr>
        <w:t>Réunions entre des fonctionnaires de la Commission et des parlements nationaux</w:t>
      </w:r>
    </w:p>
    <w:p w:rsidR="00B37682" w:rsidRDefault="00B51E54">
      <w:pPr>
        <w:spacing w:before="120" w:after="120" w:line="240" w:lineRule="auto"/>
        <w:jc w:val="both"/>
        <w:rPr>
          <w:rFonts w:ascii="Times New Roman" w:hAnsi="Times New Roman"/>
          <w:noProof/>
          <w:sz w:val="24"/>
          <w:szCs w:val="24"/>
          <w:highlight w:val="yellow"/>
        </w:rPr>
      </w:pPr>
      <w:r>
        <w:rPr>
          <w:rFonts w:ascii="Times New Roman" w:hAnsi="Times New Roman"/>
          <w:noProof/>
          <w:sz w:val="24"/>
        </w:rPr>
        <w:t>Comme les années précédentes, d</w:t>
      </w:r>
      <w:r>
        <w:rPr>
          <w:rFonts w:ascii="Times New Roman" w:hAnsi="Times New Roman"/>
          <w:noProof/>
          <w:sz w:val="24"/>
        </w:rPr>
        <w:t>es fonctionnaires de la Commission travaillant pour le Secrétariat général et les directions générales («DG») COMM, TAXUD, TRADE, ECFIN, ENER, MARKT, OLAF, JRC, JUST, SANCO, HOME, ELARG, ENTR, ENV, COMP, ESTAT, DEVCO, MARE et CNECT ont assisté à diverses r</w:t>
      </w:r>
      <w:r>
        <w:rPr>
          <w:rFonts w:ascii="Times New Roman" w:hAnsi="Times New Roman"/>
          <w:noProof/>
          <w:sz w:val="24"/>
        </w:rPr>
        <w:t>éunions de commissions de parlements nationaux. En outre, des fonctionnaires de la Commission (en particulier des DG COMM, TAXUD, ECFIN, MARKT, DEVCO, HOME, MARE, ENER, OLAF, JUST et ENTR) ont assisté aux réunions des représentants permanents des parlement</w:t>
      </w:r>
      <w:r>
        <w:rPr>
          <w:rFonts w:ascii="Times New Roman" w:hAnsi="Times New Roman"/>
          <w:noProof/>
          <w:sz w:val="24"/>
        </w:rPr>
        <w:t>s nationaux basés à Bruxelles afin de discuter de divers dossiers en cours et initiatives actuelles.</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Par ailleurs, les responsables du semestre européen au sein des représentations de la Commission dans les États membres entretiennent des contacts </w:t>
      </w:r>
      <w:r>
        <w:rPr>
          <w:rFonts w:ascii="Times New Roman" w:hAnsi="Times New Roman"/>
          <w:noProof/>
          <w:sz w:val="24"/>
        </w:rPr>
        <w:t>réguliers avec les parlements nationaux, que ce soit sur le semestre européen ou sur d'autres questions économiques.</w:t>
      </w:r>
    </w:p>
    <w:p w:rsidR="00B37682" w:rsidRDefault="00B37682">
      <w:pPr>
        <w:keepNext/>
        <w:tabs>
          <w:tab w:val="left" w:pos="850"/>
        </w:tabs>
        <w:spacing w:before="120" w:after="120" w:line="240" w:lineRule="auto"/>
        <w:ind w:hanging="850"/>
        <w:jc w:val="both"/>
        <w:rPr>
          <w:rFonts w:ascii="Times New Roman" w:eastAsia="Times New Roman" w:hAnsi="Times New Roman"/>
          <w:b/>
          <w:smallCaps/>
          <w:noProof/>
          <w:sz w:val="24"/>
          <w:szCs w:val="24"/>
        </w:rPr>
      </w:pPr>
    </w:p>
    <w:p w:rsidR="00B37682" w:rsidRDefault="00B51E54">
      <w:pPr>
        <w:keepNext/>
        <w:tabs>
          <w:tab w:val="left" w:pos="850"/>
        </w:tabs>
        <w:spacing w:before="120" w:after="120" w:line="240" w:lineRule="auto"/>
        <w:jc w:val="both"/>
        <w:rPr>
          <w:rFonts w:ascii="Times New Roman" w:eastAsia="Times New Roman" w:hAnsi="Times New Roman"/>
          <w:b/>
          <w:smallCaps/>
          <w:noProof/>
          <w:sz w:val="24"/>
          <w:szCs w:val="24"/>
        </w:rPr>
      </w:pPr>
      <w:r>
        <w:rPr>
          <w:rFonts w:ascii="Times New Roman" w:hAnsi="Times New Roman"/>
          <w:b/>
          <w:smallCaps/>
          <w:noProof/>
          <w:sz w:val="24"/>
        </w:rPr>
        <w:t>6.</w:t>
      </w:r>
      <w:r>
        <w:rPr>
          <w:noProof/>
        </w:rPr>
        <w:tab/>
      </w:r>
      <w:r>
        <w:rPr>
          <w:rFonts w:ascii="Times New Roman" w:hAnsi="Times New Roman"/>
          <w:b/>
          <w:smallCaps/>
          <w:noProof/>
          <w:sz w:val="24"/>
        </w:rPr>
        <w:t>Conclusions et perspectives</w:t>
      </w:r>
    </w:p>
    <w:p w:rsidR="00B37682" w:rsidRDefault="00B37682">
      <w:pPr>
        <w:keepNext/>
        <w:tabs>
          <w:tab w:val="left" w:pos="850"/>
        </w:tabs>
        <w:spacing w:before="120" w:after="120" w:line="240" w:lineRule="auto"/>
        <w:jc w:val="both"/>
        <w:rPr>
          <w:rFonts w:ascii="Times New Roman" w:eastAsia="Times New Roman" w:hAnsi="Times New Roman"/>
          <w:b/>
          <w:smallCaps/>
          <w:noProof/>
          <w:sz w:val="24"/>
          <w:szCs w:val="24"/>
        </w:rPr>
      </w:pP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 xml:space="preserve">L'année 2014 a été marquée par l'entrée en fonction de la Commission Juncker et par l'annonce de son </w:t>
      </w:r>
      <w:r>
        <w:rPr>
          <w:rFonts w:ascii="Times New Roman" w:hAnsi="Times New Roman"/>
          <w:noProof/>
          <w:sz w:val="24"/>
        </w:rPr>
        <w:t>intention d'établir un nouveau partenariat avec les parlements nationaux, en soulignant que les commissaires étaient prêts à se présenter devant ceux-ci lorsqu'ils y seraient conviés afin d'expliquer les grandes propositions et initiatives de la Commission</w:t>
      </w:r>
      <w:r>
        <w:rPr>
          <w:rFonts w:ascii="Times New Roman" w:hAnsi="Times New Roman"/>
          <w:noProof/>
          <w:sz w:val="24"/>
        </w:rPr>
        <w:t xml:space="preserve"> et d'en débattre. Ce changement a coïncidé avec la reprise, par plusieurs parlements nationaux, du débat sur le rôle des parlements nationaux dans les affaires européennes.</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Dès son installation, la nouvelle Commission a montré sa détermination à forger ce</w:t>
      </w:r>
      <w:r>
        <w:rPr>
          <w:rFonts w:ascii="Times New Roman" w:hAnsi="Times New Roman"/>
          <w:noProof/>
          <w:sz w:val="24"/>
        </w:rPr>
        <w:t xml:space="preserve"> nouveau partenariat en augmentant le nombre de visites de commissaires dans les parlements nationaux. Le programme de travail de la Commission pour 2015, adopté en décembre 2014, a été l'un des sujets les plus fréquemment évoqués avec les parlements natio</w:t>
      </w:r>
      <w:r>
        <w:rPr>
          <w:rFonts w:ascii="Times New Roman" w:hAnsi="Times New Roman"/>
          <w:noProof/>
          <w:sz w:val="24"/>
        </w:rPr>
        <w:t>naux au cours des premiers mois du mandat de la nouvelle Commission. Dans la lettre qu'il leur a adressée, le premier vice-président Timmermans invitait spécifiquement tous les parlements nationaux à formuler leurs observations sur ce programme de travail.</w:t>
      </w:r>
    </w:p>
    <w:p w:rsidR="00B37682" w:rsidRDefault="00B51E54">
      <w:pPr>
        <w:spacing w:before="120" w:after="120" w:line="240" w:lineRule="auto"/>
        <w:jc w:val="both"/>
        <w:rPr>
          <w:rFonts w:ascii="Times New Roman" w:hAnsi="Times New Roman"/>
          <w:noProof/>
          <w:sz w:val="24"/>
          <w:szCs w:val="24"/>
        </w:rPr>
      </w:pPr>
      <w:r>
        <w:rPr>
          <w:rFonts w:ascii="Times New Roman" w:hAnsi="Times New Roman"/>
          <w:noProof/>
          <w:sz w:val="24"/>
        </w:rPr>
        <w:t>Le dialogue politique avec les parlements nationaux a fait ses preuves depuis son instauration en 2006. Toutefois, la plupart des avis continuent d'être présentés par un groupe relativement restreint de parlements ou de chambres. En outre, la participatio</w:t>
      </w:r>
      <w:r>
        <w:rPr>
          <w:rFonts w:ascii="Times New Roman" w:hAnsi="Times New Roman"/>
          <w:noProof/>
          <w:sz w:val="24"/>
        </w:rPr>
        <w:t xml:space="preserve">n des parlements nationaux au stade prélégislatif du processus décisionnel européen, que ce soit en répondant aux consultations publiques ou en commentant les documents de stratégie (comme les livres verts), recèle encore un potentiel inexploité. </w:t>
      </w:r>
    </w:p>
    <w:p w:rsidR="00B37682" w:rsidRDefault="00B37682">
      <w:pPr>
        <w:spacing w:before="120" w:after="120" w:line="240" w:lineRule="auto"/>
        <w:jc w:val="both"/>
        <w:rPr>
          <w:rFonts w:ascii="Times New Roman" w:hAnsi="Times New Roman"/>
          <w:noProof/>
          <w:sz w:val="24"/>
          <w:szCs w:val="24"/>
        </w:rPr>
      </w:pPr>
    </w:p>
    <w:p w:rsidR="00B37682" w:rsidRDefault="00B37682">
      <w:pPr>
        <w:spacing w:before="120" w:after="120" w:line="240" w:lineRule="auto"/>
        <w:jc w:val="both"/>
        <w:rPr>
          <w:rFonts w:ascii="Times New Roman" w:hAnsi="Times New Roman"/>
          <w:noProof/>
          <w:sz w:val="24"/>
          <w:szCs w:val="24"/>
        </w:rPr>
      </w:pPr>
    </w:p>
    <w:p w:rsidR="00B37682" w:rsidRDefault="00B51E54">
      <w:pPr>
        <w:jc w:val="center"/>
        <w:rPr>
          <w:rFonts w:ascii="Times New Roman" w:hAnsi="Times New Roman"/>
          <w:b/>
          <w:noProof/>
          <w:sz w:val="24"/>
          <w:szCs w:val="24"/>
          <w:u w:val="single"/>
        </w:rPr>
      </w:pPr>
      <w:r>
        <w:rPr>
          <w:rFonts w:ascii="Times New Roman" w:hAnsi="Times New Roman"/>
          <w:b/>
          <w:noProof/>
          <w:sz w:val="24"/>
          <w:u w:val="single"/>
        </w:rPr>
        <w:t xml:space="preserve"> </w:t>
      </w:r>
    </w:p>
    <w:p w:rsidR="00B37682" w:rsidRDefault="00B37682">
      <w:pPr>
        <w:spacing w:before="120" w:after="120" w:line="240" w:lineRule="auto"/>
        <w:jc w:val="both"/>
        <w:rPr>
          <w:rFonts w:ascii="Times New Roman" w:hAnsi="Times New Roman"/>
          <w:noProof/>
          <w:sz w:val="24"/>
          <w:szCs w:val="24"/>
        </w:rPr>
      </w:pPr>
    </w:p>
    <w:sectPr w:rsidR="00B3768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82" w:rsidRDefault="00B51E54">
      <w:pPr>
        <w:spacing w:after="0" w:line="240" w:lineRule="auto"/>
      </w:pPr>
      <w:r>
        <w:separator/>
      </w:r>
    </w:p>
  </w:endnote>
  <w:endnote w:type="continuationSeparator" w:id="0">
    <w:p w:rsidR="00B37682" w:rsidRDefault="00B5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51E5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51E54">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8</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82" w:rsidRDefault="00B51E54">
      <w:pPr>
        <w:spacing w:after="0" w:line="240" w:lineRule="auto"/>
      </w:pPr>
      <w:r>
        <w:separator/>
      </w:r>
    </w:p>
  </w:footnote>
  <w:footnote w:type="continuationSeparator" w:id="0">
    <w:p w:rsidR="00B37682" w:rsidRDefault="00B51E54">
      <w:pPr>
        <w:spacing w:after="0" w:line="240" w:lineRule="auto"/>
      </w:pPr>
      <w:r>
        <w:continuationSeparator/>
      </w:r>
    </w:p>
  </w:footnote>
  <w:footnote w:id="1">
    <w:p w:rsidR="00B37682" w:rsidRDefault="00B51E54">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Dont 21 avis motivés reçus dans le cadre du mécanisme de contrôle de la subsidiarité.</w:t>
      </w:r>
    </w:p>
  </w:footnote>
  <w:footnote w:id="2">
    <w:p w:rsidR="00B37682" w:rsidRDefault="00B51E5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COM(2014) 397 final.</w:t>
      </w:r>
    </w:p>
  </w:footnote>
  <w:footnote w:id="3">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La </w:t>
      </w:r>
      <w:r>
        <w:rPr>
          <w:rFonts w:ascii="Times New Roman" w:hAnsi="Times New Roman"/>
          <w:i/>
        </w:rPr>
        <w:t>Kamra tad-Deputati</w:t>
      </w:r>
      <w:r>
        <w:rPr>
          <w:rFonts w:ascii="Times New Roman" w:hAnsi="Times New Roman"/>
        </w:rPr>
        <w:t xml:space="preserve"> maltaise, le </w:t>
      </w:r>
      <w:r>
        <w:rPr>
          <w:rFonts w:ascii="Times New Roman" w:hAnsi="Times New Roman"/>
          <w:i/>
        </w:rPr>
        <w:t>Senát</w:t>
      </w:r>
      <w:r>
        <w:rPr>
          <w:rFonts w:ascii="Times New Roman" w:hAnsi="Times New Roman"/>
        </w:rPr>
        <w:t xml:space="preserve"> tchèque, le </w:t>
      </w:r>
      <w:r>
        <w:rPr>
          <w:rFonts w:ascii="Times New Roman" w:hAnsi="Times New Roman"/>
          <w:i/>
        </w:rPr>
        <w:t>Sénat</w:t>
      </w:r>
      <w:r>
        <w:rPr>
          <w:rFonts w:ascii="Times New Roman" w:hAnsi="Times New Roman"/>
        </w:rPr>
        <w:t xml:space="preserve"> polonais, le </w:t>
      </w:r>
      <w:r>
        <w:rPr>
          <w:rFonts w:ascii="Times New Roman" w:hAnsi="Times New Roman"/>
          <w:i/>
        </w:rPr>
        <w:t>Hrvatski Sabor</w:t>
      </w:r>
      <w:r>
        <w:rPr>
          <w:rFonts w:ascii="Times New Roman" w:hAnsi="Times New Roman"/>
        </w:rPr>
        <w:t xml:space="preserve"> croate.</w:t>
      </w:r>
    </w:p>
  </w:footnote>
  <w:footnote w:id="4">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La </w:t>
      </w:r>
      <w:r>
        <w:rPr>
          <w:rFonts w:ascii="Times New Roman" w:hAnsi="Times New Roman"/>
          <w:i/>
        </w:rPr>
        <w:t xml:space="preserve">Kamra </w:t>
      </w:r>
      <w:r>
        <w:rPr>
          <w:rFonts w:ascii="Times New Roman" w:hAnsi="Times New Roman"/>
          <w:i/>
        </w:rPr>
        <w:t>tad-Deputati</w:t>
      </w:r>
      <w:r>
        <w:rPr>
          <w:rFonts w:ascii="Times New Roman" w:hAnsi="Times New Roman"/>
        </w:rPr>
        <w:t xml:space="preserve"> maltaise, le </w:t>
      </w:r>
      <w:r>
        <w:rPr>
          <w:rFonts w:ascii="Times New Roman" w:hAnsi="Times New Roman"/>
          <w:i/>
        </w:rPr>
        <w:t>Senát</w:t>
      </w:r>
      <w:r>
        <w:rPr>
          <w:rFonts w:ascii="Times New Roman" w:hAnsi="Times New Roman"/>
        </w:rPr>
        <w:t xml:space="preserve"> tchèque, le Sénat français et le </w:t>
      </w:r>
      <w:r>
        <w:rPr>
          <w:rFonts w:ascii="Times New Roman" w:hAnsi="Times New Roman"/>
          <w:i/>
        </w:rPr>
        <w:t>Senat</w:t>
      </w:r>
      <w:r>
        <w:rPr>
          <w:rFonts w:ascii="Times New Roman" w:hAnsi="Times New Roman"/>
        </w:rPr>
        <w:t xml:space="preserve"> polonais.</w:t>
      </w:r>
    </w:p>
  </w:footnote>
  <w:footnote w:id="5">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Le </w:t>
      </w:r>
      <w:r>
        <w:rPr>
          <w:rFonts w:ascii="Times New Roman" w:hAnsi="Times New Roman"/>
          <w:i/>
        </w:rPr>
        <w:t>Bundesrat</w:t>
      </w:r>
      <w:r>
        <w:rPr>
          <w:rFonts w:ascii="Times New Roman" w:hAnsi="Times New Roman"/>
        </w:rPr>
        <w:t xml:space="preserve"> autrichien et le Sénat français.</w:t>
      </w:r>
    </w:p>
  </w:footnote>
  <w:footnote w:id="6">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Le </w:t>
      </w:r>
      <w:r>
        <w:rPr>
          <w:rFonts w:ascii="Times New Roman" w:hAnsi="Times New Roman"/>
          <w:i/>
        </w:rPr>
        <w:t>Senát</w:t>
      </w:r>
      <w:r>
        <w:rPr>
          <w:rFonts w:ascii="Times New Roman" w:hAnsi="Times New Roman"/>
        </w:rPr>
        <w:t xml:space="preserve"> tchèque et le </w:t>
      </w:r>
      <w:r>
        <w:rPr>
          <w:rFonts w:ascii="Times New Roman" w:hAnsi="Times New Roman"/>
          <w:i/>
        </w:rPr>
        <w:t>Bundesrat</w:t>
      </w:r>
      <w:r>
        <w:rPr>
          <w:rFonts w:ascii="Times New Roman" w:hAnsi="Times New Roman"/>
        </w:rPr>
        <w:t xml:space="preserve"> allemand.</w:t>
      </w:r>
    </w:p>
  </w:footnote>
  <w:footnote w:id="7">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La </w:t>
      </w:r>
      <w:r>
        <w:rPr>
          <w:rFonts w:ascii="Times New Roman" w:hAnsi="Times New Roman"/>
          <w:i/>
        </w:rPr>
        <w:t>Kamra tad-Deputati</w:t>
      </w:r>
      <w:r>
        <w:rPr>
          <w:rFonts w:ascii="Times New Roman" w:hAnsi="Times New Roman"/>
        </w:rPr>
        <w:t xml:space="preserve"> maltaise, le </w:t>
      </w:r>
      <w:r>
        <w:rPr>
          <w:rFonts w:ascii="Times New Roman" w:hAnsi="Times New Roman"/>
          <w:i/>
        </w:rPr>
        <w:t>Folketing</w:t>
      </w:r>
      <w:r>
        <w:rPr>
          <w:rFonts w:ascii="Times New Roman" w:hAnsi="Times New Roman"/>
        </w:rPr>
        <w:t xml:space="preserve"> danois, le </w:t>
      </w:r>
      <w:r>
        <w:rPr>
          <w:rFonts w:ascii="Times New Roman" w:hAnsi="Times New Roman"/>
          <w:i/>
        </w:rPr>
        <w:t>Bundesrat</w:t>
      </w:r>
      <w:r>
        <w:rPr>
          <w:rFonts w:ascii="Times New Roman" w:hAnsi="Times New Roman"/>
        </w:rPr>
        <w:t xml:space="preserve"> allemand et le</w:t>
      </w:r>
      <w:r>
        <w:rPr>
          <w:rFonts w:ascii="Times New Roman" w:hAnsi="Times New Roman"/>
        </w:rPr>
        <w:t xml:space="preserve"> </w:t>
      </w:r>
      <w:r>
        <w:rPr>
          <w:rFonts w:ascii="Times New Roman" w:hAnsi="Times New Roman"/>
          <w:i/>
        </w:rPr>
        <w:t>Sénat</w:t>
      </w:r>
      <w:r>
        <w:rPr>
          <w:rFonts w:ascii="Times New Roman" w:hAnsi="Times New Roman"/>
        </w:rPr>
        <w:t xml:space="preserve"> français.</w:t>
      </w:r>
    </w:p>
  </w:footnote>
  <w:footnote w:id="8">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Le Sénat français, le </w:t>
      </w:r>
      <w:r>
        <w:rPr>
          <w:rFonts w:ascii="Times New Roman" w:hAnsi="Times New Roman"/>
          <w:i/>
        </w:rPr>
        <w:t>Bundesrat</w:t>
      </w:r>
      <w:r>
        <w:rPr>
          <w:rFonts w:ascii="Times New Roman" w:hAnsi="Times New Roman"/>
        </w:rPr>
        <w:t xml:space="preserve"> autrichien, le </w:t>
      </w:r>
      <w:r>
        <w:rPr>
          <w:rFonts w:ascii="Times New Roman" w:hAnsi="Times New Roman"/>
          <w:i/>
        </w:rPr>
        <w:t>Poslanecká sněmovna</w:t>
      </w:r>
      <w:r>
        <w:rPr>
          <w:rFonts w:ascii="Times New Roman" w:hAnsi="Times New Roman"/>
        </w:rPr>
        <w:t xml:space="preserve"> tchèque et le </w:t>
      </w:r>
      <w:r>
        <w:rPr>
          <w:rFonts w:ascii="Times New Roman" w:hAnsi="Times New Roman"/>
          <w:i/>
        </w:rPr>
        <w:t>Senat</w:t>
      </w:r>
      <w:r>
        <w:rPr>
          <w:rFonts w:ascii="Times New Roman" w:hAnsi="Times New Roman"/>
        </w:rPr>
        <w:t xml:space="preserve"> polonais.</w:t>
      </w:r>
    </w:p>
  </w:footnote>
  <w:footnote w:id="9">
    <w:p w:rsidR="00B37682" w:rsidRDefault="00B51E54">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 xml:space="preserve">Le </w:t>
      </w:r>
      <w:r>
        <w:rPr>
          <w:rFonts w:ascii="Times New Roman" w:hAnsi="Times New Roman"/>
          <w:i/>
        </w:rPr>
        <w:t>Bundesrat</w:t>
      </w:r>
      <w:r>
        <w:rPr>
          <w:rFonts w:ascii="Times New Roman" w:hAnsi="Times New Roman"/>
        </w:rPr>
        <w:t xml:space="preserve"> allemand et le Sénat français.</w:t>
      </w:r>
    </w:p>
  </w:footnote>
  <w:footnote w:id="10">
    <w:p w:rsidR="00B37682" w:rsidRDefault="00B51E54">
      <w:pPr>
        <w:pStyle w:val="FootnoteText"/>
        <w:spacing w:after="0" w:line="240" w:lineRule="auto"/>
      </w:pPr>
      <w:r>
        <w:rPr>
          <w:rStyle w:val="FootnoteReference"/>
        </w:rPr>
        <w:footnoteRef/>
      </w:r>
      <w:r>
        <w:t xml:space="preserve"> </w:t>
      </w:r>
      <w:r>
        <w:rPr>
          <w:rFonts w:ascii="Times New Roman" w:hAnsi="Times New Roman"/>
        </w:rPr>
        <w:t>Le retrait de certaines initiatives a été proposé car elles ne correspondaient pas aux prior</w:t>
      </w:r>
      <w:r>
        <w:rPr>
          <w:rFonts w:ascii="Times New Roman" w:hAnsi="Times New Roman"/>
        </w:rPr>
        <w:t>ités de la nouvelle Commission; dans d’autres cas, la Commission est restée pleinement résolue à poursuivre les objectifs recherchés mais (en raison de négociations prolongées au Parlement européen et au Conseil), il n'a plus été possible d'atteindre l'obj</w:t>
      </w:r>
      <w:r>
        <w:rPr>
          <w:rFonts w:ascii="Times New Roman" w:hAnsi="Times New Roman"/>
        </w:rPr>
        <w:t>ectif initial fixé dans les propositions. Dans ce dernier cas, la Commission a l'intention de proposer de nouveaux moyens, mieux adaptés, d'atteindre les objectifs recherchés.</w:t>
      </w:r>
    </w:p>
  </w:footnote>
  <w:footnote w:id="11">
    <w:p w:rsidR="00B37682" w:rsidRDefault="00B51E54">
      <w:pPr>
        <w:spacing w:after="0"/>
      </w:pPr>
      <w:r>
        <w:rPr>
          <w:rStyle w:val="FootnoteReference"/>
        </w:rPr>
        <w:footnoteRef/>
      </w:r>
      <w:r>
        <w:t xml:space="preserve"> </w:t>
      </w:r>
      <w:r>
        <w:rPr>
          <w:rFonts w:ascii="Times New Roman" w:hAnsi="Times New Roman"/>
          <w:sz w:val="20"/>
        </w:rPr>
        <w:t xml:space="preserve">JO C 80 du 7.3.2015, p. 17. </w:t>
      </w:r>
    </w:p>
  </w:footnote>
  <w:footnote w:id="12">
    <w:p w:rsidR="00B37682" w:rsidRDefault="00B51E5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COM(2014) 180.</w:t>
      </w:r>
    </w:p>
  </w:footnote>
  <w:footnote w:id="13">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Le </w:t>
      </w:r>
      <w:r>
        <w:rPr>
          <w:rFonts w:ascii="Times New Roman" w:hAnsi="Times New Roman"/>
          <w:i/>
        </w:rPr>
        <w:t>Bundesrat</w:t>
      </w:r>
      <w:r>
        <w:rPr>
          <w:rFonts w:ascii="Times New Roman" w:hAnsi="Times New Roman"/>
        </w:rPr>
        <w:t xml:space="preserve"> autrichien, les </w:t>
      </w:r>
      <w:r>
        <w:rPr>
          <w:rFonts w:ascii="Times New Roman" w:hAnsi="Times New Roman"/>
          <w:i/>
        </w:rPr>
        <w:t>H</w:t>
      </w:r>
      <w:r>
        <w:rPr>
          <w:rFonts w:ascii="Times New Roman" w:hAnsi="Times New Roman"/>
          <w:i/>
        </w:rPr>
        <w:t>ouses of the Oireachtas</w:t>
      </w:r>
      <w:r>
        <w:rPr>
          <w:rFonts w:ascii="Times New Roman" w:hAnsi="Times New Roman"/>
        </w:rPr>
        <w:t xml:space="preserve"> irlandaises, la </w:t>
      </w:r>
      <w:r>
        <w:rPr>
          <w:rFonts w:ascii="Times New Roman" w:hAnsi="Times New Roman"/>
          <w:i/>
        </w:rPr>
        <w:t>Tweede Kamer</w:t>
      </w:r>
      <w:r>
        <w:rPr>
          <w:rFonts w:ascii="Times New Roman" w:hAnsi="Times New Roman"/>
        </w:rPr>
        <w:t xml:space="preserve"> néerlandaise.</w:t>
      </w:r>
    </w:p>
  </w:footnote>
  <w:footnote w:id="14">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Le </w:t>
      </w:r>
      <w:r>
        <w:rPr>
          <w:rFonts w:ascii="Times New Roman" w:hAnsi="Times New Roman"/>
          <w:i/>
        </w:rPr>
        <w:t>Seimas</w:t>
      </w:r>
      <w:r>
        <w:rPr>
          <w:rFonts w:ascii="Times New Roman" w:hAnsi="Times New Roman"/>
        </w:rPr>
        <w:t xml:space="preserve"> lituanien, les </w:t>
      </w:r>
      <w:r>
        <w:rPr>
          <w:rFonts w:ascii="Times New Roman" w:hAnsi="Times New Roman"/>
          <w:i/>
        </w:rPr>
        <w:t>Houses of the Oireachtas</w:t>
      </w:r>
      <w:r>
        <w:rPr>
          <w:rFonts w:ascii="Times New Roman" w:hAnsi="Times New Roman"/>
        </w:rPr>
        <w:t xml:space="preserve"> irlandaises, la </w:t>
      </w:r>
      <w:r>
        <w:rPr>
          <w:rFonts w:ascii="Times New Roman" w:hAnsi="Times New Roman"/>
          <w:i/>
        </w:rPr>
        <w:t>Tweede Kamer</w:t>
      </w:r>
      <w:r>
        <w:rPr>
          <w:rFonts w:ascii="Times New Roman" w:hAnsi="Times New Roman"/>
        </w:rPr>
        <w:t xml:space="preserve"> néerlandaise.</w:t>
      </w:r>
    </w:p>
  </w:footnote>
  <w:footnote w:id="15">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Le </w:t>
      </w:r>
      <w:r>
        <w:rPr>
          <w:rFonts w:ascii="Times New Roman" w:hAnsi="Times New Roman"/>
          <w:i/>
        </w:rPr>
        <w:t>Bundesrat</w:t>
      </w:r>
      <w:r>
        <w:rPr>
          <w:rFonts w:ascii="Times New Roman" w:hAnsi="Times New Roman"/>
        </w:rPr>
        <w:t xml:space="preserve"> autrichien, la Chambre des députés luxembourgeoise, les </w:t>
      </w:r>
      <w:r>
        <w:rPr>
          <w:rFonts w:ascii="Times New Roman" w:hAnsi="Times New Roman"/>
          <w:i/>
        </w:rPr>
        <w:t xml:space="preserve">Houses of the </w:t>
      </w:r>
      <w:r>
        <w:rPr>
          <w:rFonts w:ascii="Times New Roman" w:hAnsi="Times New Roman"/>
          <w:i/>
        </w:rPr>
        <w:t>Oireachtas</w:t>
      </w:r>
      <w:r>
        <w:rPr>
          <w:rFonts w:ascii="Times New Roman" w:hAnsi="Times New Roman"/>
        </w:rPr>
        <w:t xml:space="preserve"> irlandaises, la </w:t>
      </w:r>
      <w:r>
        <w:rPr>
          <w:rFonts w:ascii="Times New Roman" w:hAnsi="Times New Roman"/>
          <w:i/>
        </w:rPr>
        <w:t>Tweede Kamer</w:t>
      </w:r>
      <w:r>
        <w:rPr>
          <w:rFonts w:ascii="Times New Roman" w:hAnsi="Times New Roman"/>
        </w:rPr>
        <w:t xml:space="preserve"> néerlandaise.</w:t>
      </w:r>
    </w:p>
  </w:footnote>
  <w:footnote w:id="16">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La Chambre des députés luxembourgeoise et les </w:t>
      </w:r>
      <w:r>
        <w:rPr>
          <w:rFonts w:ascii="Times New Roman" w:hAnsi="Times New Roman"/>
          <w:i/>
        </w:rPr>
        <w:t>Houses of the Oireachtas</w:t>
      </w:r>
      <w:r>
        <w:rPr>
          <w:rFonts w:ascii="Times New Roman" w:hAnsi="Times New Roman"/>
        </w:rPr>
        <w:t xml:space="preserve"> irlandaises.</w:t>
      </w:r>
    </w:p>
  </w:footnote>
  <w:footnote w:id="17">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Le </w:t>
      </w:r>
      <w:r>
        <w:rPr>
          <w:rFonts w:ascii="Times New Roman" w:hAnsi="Times New Roman"/>
          <w:i/>
        </w:rPr>
        <w:t>Senát</w:t>
      </w:r>
      <w:r>
        <w:rPr>
          <w:rFonts w:ascii="Times New Roman" w:hAnsi="Times New Roman"/>
        </w:rPr>
        <w:t xml:space="preserve"> tchèque et les </w:t>
      </w:r>
      <w:r>
        <w:rPr>
          <w:rFonts w:ascii="Times New Roman" w:hAnsi="Times New Roman"/>
          <w:i/>
        </w:rPr>
        <w:t>Houses of the Oireachtas</w:t>
      </w:r>
      <w:r>
        <w:rPr>
          <w:rFonts w:ascii="Times New Roman" w:hAnsi="Times New Roman"/>
        </w:rPr>
        <w:t xml:space="preserve"> irlandaises.</w:t>
      </w:r>
    </w:p>
  </w:footnote>
  <w:footnote w:id="18">
    <w:p w:rsidR="00B37682" w:rsidRDefault="00B51E5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COM(2013) 534 final.</w:t>
      </w:r>
    </w:p>
  </w:footnote>
  <w:footnote w:id="19">
    <w:p w:rsidR="00B37682" w:rsidRDefault="00B51E5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Voir le rapport annuel 2013</w:t>
      </w:r>
      <w:r>
        <w:rPr>
          <w:rFonts w:ascii="Times New Roman" w:hAnsi="Times New Roman"/>
        </w:rPr>
        <w:t xml:space="preserve"> sur les relations entre la Commission européenne et les parlements nationaux. </w:t>
      </w:r>
    </w:p>
  </w:footnote>
  <w:footnote w:id="20">
    <w:p w:rsidR="00B37682" w:rsidRDefault="00B51E5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COM(2013) 851 final.</w:t>
      </w:r>
    </w:p>
  </w:footnote>
  <w:footnote w:id="21">
    <w:p w:rsidR="00B37682" w:rsidRDefault="00B51E54">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 xml:space="preserve">Sur les textes transmis, deux constituaient de nouveaux avis (émanant du </w:t>
      </w:r>
      <w:r>
        <w:rPr>
          <w:rFonts w:ascii="Times New Roman" w:hAnsi="Times New Roman"/>
          <w:i/>
        </w:rPr>
        <w:t>Bundestag</w:t>
      </w:r>
      <w:r>
        <w:rPr>
          <w:rFonts w:ascii="Times New Roman" w:hAnsi="Times New Roman"/>
        </w:rPr>
        <w:t xml:space="preserve"> allemand et du </w:t>
      </w:r>
      <w:r>
        <w:rPr>
          <w:rFonts w:ascii="Times New Roman" w:hAnsi="Times New Roman"/>
          <w:i/>
        </w:rPr>
        <w:t>Hrvatski Sabor</w:t>
      </w:r>
      <w:r>
        <w:rPr>
          <w:rFonts w:ascii="Times New Roman" w:hAnsi="Times New Roman"/>
        </w:rPr>
        <w:t xml:space="preserve"> croate), six constituaient un deuxième</w:t>
      </w:r>
      <w:r>
        <w:rPr>
          <w:rFonts w:ascii="Times New Roman" w:hAnsi="Times New Roman"/>
        </w:rPr>
        <w:t xml:space="preserve"> avis (de la chambre des Communes et de la chambre des Lords britanniques, de la </w:t>
      </w:r>
      <w:r>
        <w:rPr>
          <w:rFonts w:ascii="Times New Roman" w:hAnsi="Times New Roman"/>
          <w:i/>
        </w:rPr>
        <w:t>Eerste</w:t>
      </w:r>
      <w:r>
        <w:rPr>
          <w:rFonts w:ascii="Times New Roman" w:hAnsi="Times New Roman"/>
        </w:rPr>
        <w:t xml:space="preserve"> et de la </w:t>
      </w:r>
      <w:r>
        <w:rPr>
          <w:rFonts w:ascii="Times New Roman" w:hAnsi="Times New Roman"/>
          <w:i/>
        </w:rPr>
        <w:t>Tweede Kamer</w:t>
      </w:r>
      <w:r>
        <w:rPr>
          <w:rFonts w:ascii="Times New Roman" w:hAnsi="Times New Roman"/>
        </w:rPr>
        <w:t xml:space="preserve"> néerlandaises, de l'Assemblée nationale française et de la </w:t>
      </w:r>
      <w:r>
        <w:rPr>
          <w:rFonts w:ascii="Times New Roman" w:hAnsi="Times New Roman"/>
          <w:i/>
        </w:rPr>
        <w:t>Camera Deputaţilor</w:t>
      </w:r>
      <w:r>
        <w:rPr>
          <w:rFonts w:ascii="Times New Roman" w:hAnsi="Times New Roman"/>
        </w:rPr>
        <w:t xml:space="preserve"> roumaine) et deux représentaient un troisième avis (de la </w:t>
      </w:r>
      <w:r>
        <w:rPr>
          <w:rFonts w:ascii="Times New Roman" w:hAnsi="Times New Roman"/>
          <w:i/>
        </w:rPr>
        <w:t>Eerste and</w:t>
      </w:r>
      <w:r>
        <w:rPr>
          <w:rFonts w:ascii="Times New Roman" w:hAnsi="Times New Roman"/>
          <w:i/>
        </w:rPr>
        <w:t xml:space="preserve"> Tweede Kamer</w:t>
      </w:r>
      <w:r>
        <w:rPr>
          <w:rFonts w:ascii="Times New Roman" w:hAnsi="Times New Roman"/>
        </w:rPr>
        <w:t xml:space="preserve"> néerlandaises).</w:t>
      </w:r>
      <w:r>
        <w:t xml:space="preserve"> </w:t>
      </w:r>
      <w:r>
        <w:rPr>
          <w:rFonts w:ascii="Times New Roman" w:hAnsi="Times New Roman"/>
        </w:rPr>
        <w:t>En outre, cinq avis concernant la communication COM(2013) 851 final ont été transmis.</w:t>
      </w:r>
    </w:p>
  </w:footnote>
  <w:footnote w:id="22">
    <w:p w:rsidR="00B37682" w:rsidRDefault="00B51E5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COM(2012) 788 final.</w:t>
      </w:r>
    </w:p>
  </w:footnote>
  <w:footnote w:id="23">
    <w:p w:rsidR="00B37682" w:rsidRDefault="00B51E5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COM(2013) 133 final.</w:t>
      </w:r>
    </w:p>
  </w:footnote>
  <w:footnote w:id="24">
    <w:p w:rsidR="00B37682" w:rsidRDefault="00B51E54">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2014/40/UE du Parlement européen et du Conseil du 3 avril 2014 relative au rapproc</w:t>
      </w:r>
      <w:r>
        <w:rPr>
          <w:rFonts w:ascii="Times New Roman" w:hAnsi="Times New Roman"/>
        </w:rPr>
        <w:t>hement des dispositions législatives, réglementaires et administratives des États membres en matière de fabrication, de présentation et de vente des produits du tabac et des produits connexes, et abrogeant la directive 2001/37/CE.</w:t>
      </w:r>
    </w:p>
  </w:footnote>
  <w:footnote w:id="25">
    <w:p w:rsidR="00B37682" w:rsidRDefault="00B51E54">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Avis du </w:t>
      </w:r>
      <w:r>
        <w:rPr>
          <w:rFonts w:ascii="Times New Roman" w:hAnsi="Times New Roman"/>
          <w:i/>
        </w:rPr>
        <w:t>Narodno Sabrani</w:t>
      </w:r>
      <w:r>
        <w:rPr>
          <w:rFonts w:ascii="Times New Roman" w:hAnsi="Times New Roman"/>
          <w:i/>
        </w:rPr>
        <w:t>e</w:t>
      </w:r>
      <w:r>
        <w:rPr>
          <w:rFonts w:ascii="Times New Roman" w:hAnsi="Times New Roman"/>
        </w:rPr>
        <w:t xml:space="preserve"> bulgare, du </w:t>
      </w:r>
      <w:r>
        <w:rPr>
          <w:rFonts w:ascii="Times New Roman" w:hAnsi="Times New Roman"/>
          <w:i/>
        </w:rPr>
        <w:t>Sénat</w:t>
      </w:r>
      <w:r>
        <w:rPr>
          <w:rFonts w:ascii="Times New Roman" w:hAnsi="Times New Roman"/>
        </w:rPr>
        <w:t xml:space="preserve"> tchèque, de la </w:t>
      </w:r>
      <w:r>
        <w:rPr>
          <w:rFonts w:ascii="Times New Roman" w:hAnsi="Times New Roman"/>
          <w:i/>
        </w:rPr>
        <w:t>Poslanecka Snemovrna</w:t>
      </w:r>
      <w:r>
        <w:rPr>
          <w:rFonts w:ascii="Times New Roman" w:hAnsi="Times New Roman"/>
        </w:rPr>
        <w:t xml:space="preserve"> tchèque, du </w:t>
      </w:r>
      <w:r>
        <w:rPr>
          <w:rFonts w:ascii="Times New Roman" w:hAnsi="Times New Roman"/>
          <w:i/>
        </w:rPr>
        <w:t>Bundesrat</w:t>
      </w:r>
      <w:r>
        <w:rPr>
          <w:rFonts w:ascii="Times New Roman" w:hAnsi="Times New Roman"/>
        </w:rPr>
        <w:t xml:space="preserve"> allemand, de la </w:t>
      </w:r>
      <w:r>
        <w:rPr>
          <w:rFonts w:ascii="Times New Roman" w:hAnsi="Times New Roman"/>
          <w:i/>
        </w:rPr>
        <w:t>Camera Deputaţilor</w:t>
      </w:r>
      <w:r>
        <w:rPr>
          <w:rFonts w:ascii="Times New Roman" w:hAnsi="Times New Roman"/>
        </w:rPr>
        <w:t xml:space="preserve"> roumaine, du </w:t>
      </w:r>
      <w:r>
        <w:rPr>
          <w:rFonts w:ascii="Times New Roman" w:hAnsi="Times New Roman"/>
          <w:i/>
        </w:rPr>
        <w:t>Folketing</w:t>
      </w:r>
      <w:r>
        <w:rPr>
          <w:rFonts w:ascii="Times New Roman" w:hAnsi="Times New Roman"/>
        </w:rPr>
        <w:t xml:space="preserve"> danois, du </w:t>
      </w:r>
      <w:r>
        <w:rPr>
          <w:rFonts w:ascii="Times New Roman" w:hAnsi="Times New Roman"/>
          <w:i/>
        </w:rPr>
        <w:t>Vouli ton Ellinon</w:t>
      </w:r>
      <w:r>
        <w:rPr>
          <w:rFonts w:ascii="Times New Roman" w:hAnsi="Times New Roman"/>
        </w:rPr>
        <w:t xml:space="preserve"> grec, et du </w:t>
      </w:r>
      <w:r>
        <w:rPr>
          <w:rFonts w:ascii="Times New Roman" w:hAnsi="Times New Roman"/>
          <w:i/>
        </w:rPr>
        <w:t>Senato della Repubblica</w:t>
      </w:r>
      <w:r>
        <w:rPr>
          <w:rFonts w:ascii="Times New Roman" w:hAnsi="Times New Roman"/>
        </w:rPr>
        <w:t xml:space="preserve"> italien.</w:t>
      </w:r>
    </w:p>
  </w:footnote>
  <w:footnote w:id="26">
    <w:p w:rsidR="00B37682" w:rsidRDefault="00B51E54">
      <w:pPr>
        <w:pStyle w:val="FootnoteText"/>
        <w:spacing w:after="0" w:line="240" w:lineRule="auto"/>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Le </w:t>
      </w:r>
      <w:r>
        <w:rPr>
          <w:rFonts w:ascii="Times New Roman" w:hAnsi="Times New Roman"/>
          <w:i/>
          <w:lang w:val="it-IT"/>
        </w:rPr>
        <w:t>Vouli ton Ellinon</w:t>
      </w:r>
      <w:r>
        <w:rPr>
          <w:rFonts w:ascii="Times New Roman" w:hAnsi="Times New Roman"/>
          <w:lang w:val="it-IT"/>
        </w:rPr>
        <w:t xml:space="preserve"> grec, le </w:t>
      </w:r>
      <w:r>
        <w:rPr>
          <w:rFonts w:ascii="Times New Roman" w:hAnsi="Times New Roman"/>
          <w:i/>
          <w:lang w:val="it-IT"/>
        </w:rPr>
        <w:t xml:space="preserve">Senato della </w:t>
      </w:r>
      <w:r>
        <w:rPr>
          <w:rFonts w:ascii="Times New Roman" w:hAnsi="Times New Roman"/>
          <w:i/>
          <w:lang w:val="it-IT"/>
        </w:rPr>
        <w:t>Repubblica</w:t>
      </w:r>
      <w:r>
        <w:rPr>
          <w:rFonts w:ascii="Times New Roman" w:hAnsi="Times New Roman"/>
          <w:lang w:val="it-IT"/>
        </w:rPr>
        <w:t xml:space="preserve"> italien, la </w:t>
      </w:r>
      <w:r>
        <w:rPr>
          <w:rFonts w:ascii="Times New Roman" w:hAnsi="Times New Roman"/>
          <w:i/>
          <w:lang w:val="it-IT"/>
        </w:rPr>
        <w:t>Camera Deputaţilor</w:t>
      </w:r>
      <w:r>
        <w:rPr>
          <w:rFonts w:ascii="Times New Roman" w:hAnsi="Times New Roman"/>
          <w:lang w:val="it-IT"/>
        </w:rPr>
        <w:t xml:space="preserve"> roumaine et le </w:t>
      </w:r>
      <w:r>
        <w:rPr>
          <w:rFonts w:ascii="Times New Roman" w:hAnsi="Times New Roman"/>
          <w:i/>
          <w:lang w:val="it-IT"/>
        </w:rPr>
        <w:t>Sénat</w:t>
      </w:r>
      <w:r>
        <w:rPr>
          <w:rFonts w:ascii="Times New Roman" w:hAnsi="Times New Roman"/>
          <w:lang w:val="it-IT"/>
        </w:rPr>
        <w:t xml:space="preserve"> tchèque.</w:t>
      </w:r>
    </w:p>
  </w:footnote>
  <w:footnote w:id="27">
    <w:p w:rsidR="00B37682" w:rsidRDefault="00B51E54">
      <w:pPr>
        <w:pStyle w:val="FootnoteText"/>
        <w:spacing w:after="0" w:line="240" w:lineRule="auto"/>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 xml:space="preserve"> Le </w:t>
      </w:r>
      <w:r>
        <w:rPr>
          <w:rFonts w:ascii="Times New Roman" w:hAnsi="Times New Roman"/>
          <w:i/>
          <w:lang w:val="it-IT"/>
        </w:rPr>
        <w:t>Sénat</w:t>
      </w:r>
      <w:r>
        <w:rPr>
          <w:rFonts w:ascii="Times New Roman" w:hAnsi="Times New Roman"/>
          <w:lang w:val="it-IT"/>
        </w:rPr>
        <w:t xml:space="preserve"> tchèque, le </w:t>
      </w:r>
      <w:r>
        <w:rPr>
          <w:rFonts w:ascii="Times New Roman" w:hAnsi="Times New Roman"/>
          <w:i/>
          <w:lang w:val="it-IT"/>
        </w:rPr>
        <w:t>Senato della Repubblica</w:t>
      </w:r>
      <w:r>
        <w:rPr>
          <w:rFonts w:ascii="Times New Roman" w:hAnsi="Times New Roman"/>
          <w:lang w:val="it-IT"/>
        </w:rPr>
        <w:t xml:space="preserve"> italien, la </w:t>
      </w:r>
      <w:r>
        <w:rPr>
          <w:rFonts w:ascii="Times New Roman" w:hAnsi="Times New Roman"/>
          <w:i/>
          <w:lang w:val="it-IT"/>
        </w:rPr>
        <w:t>Camera dei Deputati</w:t>
      </w:r>
      <w:r>
        <w:rPr>
          <w:rFonts w:ascii="Times New Roman" w:hAnsi="Times New Roman"/>
          <w:lang w:val="it-IT"/>
        </w:rPr>
        <w:t xml:space="preserve"> italienne.</w:t>
      </w:r>
    </w:p>
  </w:footnote>
  <w:footnote w:id="28">
    <w:p w:rsidR="00B37682" w:rsidRDefault="00B51E54">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w:t>
      </w:r>
      <w:r>
        <w:rPr>
          <w:rFonts w:ascii="Times New Roman" w:hAnsi="Times New Roman"/>
          <w:i/>
        </w:rPr>
        <w:t>Vouli ton Ellinon</w:t>
      </w:r>
      <w:r>
        <w:rPr>
          <w:rFonts w:ascii="Times New Roman" w:hAnsi="Times New Roman"/>
        </w:rPr>
        <w:t xml:space="preserve"> grec, le </w:t>
      </w:r>
      <w:r>
        <w:rPr>
          <w:rFonts w:ascii="Times New Roman" w:hAnsi="Times New Roman"/>
          <w:i/>
        </w:rPr>
        <w:t>Sénat</w:t>
      </w:r>
      <w:r>
        <w:rPr>
          <w:rFonts w:ascii="Times New Roman" w:hAnsi="Times New Roman"/>
        </w:rPr>
        <w:t xml:space="preserve"> tchèque, le </w:t>
      </w:r>
      <w:r>
        <w:rPr>
          <w:rFonts w:ascii="Times New Roman" w:hAnsi="Times New Roman"/>
          <w:i/>
        </w:rPr>
        <w:t>Bundesrat</w:t>
      </w:r>
      <w:r>
        <w:rPr>
          <w:rFonts w:ascii="Times New Roman" w:hAnsi="Times New Roman"/>
        </w:rPr>
        <w:t xml:space="preserve"> autrichien.</w:t>
      </w:r>
    </w:p>
  </w:footnote>
  <w:footnote w:id="29">
    <w:p w:rsidR="00B37682" w:rsidRDefault="00B51E54">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Où il peut être comm</w:t>
      </w:r>
      <w:r>
        <w:rPr>
          <w:rFonts w:ascii="Times New Roman" w:hAnsi="Times New Roman"/>
        </w:rPr>
        <w:t>ercialisé conformément à l’article 151 de l’acte d’adhésion de l’Autriche, de la Finlande et de la Suède.</w:t>
      </w:r>
    </w:p>
  </w:footnote>
  <w:footnote w:id="30">
    <w:p w:rsidR="00B37682" w:rsidRDefault="00B51E54">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w:t>
      </w:r>
      <w:r>
        <w:rPr>
          <w:rFonts w:ascii="Times New Roman" w:hAnsi="Times New Roman"/>
          <w:i/>
        </w:rPr>
        <w:t>Folketing</w:t>
      </w:r>
      <w:r>
        <w:rPr>
          <w:rFonts w:ascii="Times New Roman" w:hAnsi="Times New Roman"/>
        </w:rPr>
        <w:t xml:space="preserve"> danois et le </w:t>
      </w:r>
      <w:r>
        <w:rPr>
          <w:rFonts w:ascii="Times New Roman" w:hAnsi="Times New Roman"/>
          <w:i/>
        </w:rPr>
        <w:t>Riksdag</w:t>
      </w:r>
      <w:r>
        <w:rPr>
          <w:rFonts w:ascii="Times New Roman" w:hAnsi="Times New Roman"/>
        </w:rPr>
        <w:t xml:space="preserve"> suédois.</w:t>
      </w:r>
    </w:p>
  </w:footnote>
  <w:footnote w:id="31">
    <w:p w:rsidR="00B37682" w:rsidRDefault="00B51E54">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2014/89/UE du Parlement européen et du Conseil du 23 juillet 2014 établissant un cadre pour la planification de l’espace maritime.</w:t>
      </w:r>
    </w:p>
  </w:footnote>
  <w:footnote w:id="32">
    <w:p w:rsidR="00B37682" w:rsidRDefault="00B51E54">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 </w:t>
      </w:r>
      <w:r>
        <w:rPr>
          <w:rFonts w:ascii="Times New Roman" w:hAnsi="Times New Roman"/>
          <w:i/>
        </w:rPr>
        <w:t>Eduskunta</w:t>
      </w:r>
      <w:r>
        <w:rPr>
          <w:rFonts w:ascii="Times New Roman" w:hAnsi="Times New Roman"/>
        </w:rPr>
        <w:t xml:space="preserve"> finlandais, les </w:t>
      </w:r>
      <w:r>
        <w:rPr>
          <w:rFonts w:ascii="Times New Roman" w:hAnsi="Times New Roman"/>
          <w:i/>
        </w:rPr>
        <w:t>Houses of the Oireachtas</w:t>
      </w:r>
      <w:r>
        <w:rPr>
          <w:rFonts w:ascii="Times New Roman" w:hAnsi="Times New Roman"/>
        </w:rPr>
        <w:t xml:space="preserve"> irlandaises, la </w:t>
      </w:r>
      <w:r>
        <w:rPr>
          <w:rFonts w:ascii="Times New Roman" w:hAnsi="Times New Roman"/>
          <w:i/>
        </w:rPr>
        <w:t>Eerste</w:t>
      </w:r>
      <w:r>
        <w:rPr>
          <w:rFonts w:ascii="Times New Roman" w:hAnsi="Times New Roman"/>
        </w:rPr>
        <w:t xml:space="preserve"> et la </w:t>
      </w:r>
      <w:r>
        <w:rPr>
          <w:rFonts w:ascii="Times New Roman" w:hAnsi="Times New Roman"/>
          <w:i/>
        </w:rPr>
        <w:t>Tweede Kamer</w:t>
      </w:r>
      <w:r>
        <w:rPr>
          <w:rFonts w:ascii="Times New Roman" w:hAnsi="Times New Roman"/>
        </w:rPr>
        <w:t xml:space="preserve"> néerlandaises, l</w:t>
      </w:r>
      <w:r>
        <w:rPr>
          <w:rFonts w:ascii="Times New Roman" w:hAnsi="Times New Roman"/>
        </w:rPr>
        <w:t xml:space="preserve">e </w:t>
      </w:r>
      <w:r>
        <w:rPr>
          <w:rFonts w:ascii="Times New Roman" w:hAnsi="Times New Roman"/>
          <w:i/>
        </w:rPr>
        <w:t>Senat</w:t>
      </w:r>
      <w:r>
        <w:rPr>
          <w:rFonts w:ascii="Times New Roman" w:hAnsi="Times New Roman"/>
        </w:rPr>
        <w:t xml:space="preserve"> polonais.</w:t>
      </w:r>
    </w:p>
  </w:footnote>
  <w:footnote w:id="33">
    <w:p w:rsidR="00B37682" w:rsidRDefault="00B51E54">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w:t>
      </w:r>
      <w:r>
        <w:rPr>
          <w:rFonts w:ascii="Times New Roman" w:hAnsi="Times New Roman"/>
          <w:i/>
        </w:rPr>
        <w:t>Seimas</w:t>
      </w:r>
      <w:r>
        <w:rPr>
          <w:rFonts w:ascii="Times New Roman" w:hAnsi="Times New Roman"/>
        </w:rPr>
        <w:t xml:space="preserve"> lituanien, le </w:t>
      </w:r>
      <w:r>
        <w:rPr>
          <w:rFonts w:ascii="Times New Roman" w:hAnsi="Times New Roman"/>
          <w:i/>
        </w:rPr>
        <w:t>Riksdag</w:t>
      </w:r>
      <w:r>
        <w:rPr>
          <w:rFonts w:ascii="Times New Roman" w:hAnsi="Times New Roman"/>
        </w:rPr>
        <w:t xml:space="preserve"> suédois.</w:t>
      </w:r>
    </w:p>
  </w:footnote>
  <w:footnote w:id="34">
    <w:p w:rsidR="00B37682" w:rsidRDefault="00B51E54">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w:t>
      </w:r>
      <w:r>
        <w:rPr>
          <w:rFonts w:ascii="Times New Roman" w:hAnsi="Times New Roman"/>
          <w:i/>
        </w:rPr>
        <w:t>Seimas</w:t>
      </w:r>
      <w:r>
        <w:rPr>
          <w:rFonts w:ascii="Times New Roman" w:hAnsi="Times New Roman"/>
        </w:rPr>
        <w:t xml:space="preserve"> lituanien, la </w:t>
      </w:r>
      <w:r>
        <w:rPr>
          <w:rFonts w:ascii="Times New Roman" w:hAnsi="Times New Roman"/>
          <w:i/>
        </w:rPr>
        <w:t>Tweede Kamer</w:t>
      </w:r>
      <w:r>
        <w:rPr>
          <w:rFonts w:ascii="Times New Roman" w:hAnsi="Times New Roman"/>
        </w:rPr>
        <w:t xml:space="preserve"> néerlandaise.</w:t>
      </w:r>
    </w:p>
  </w:footnote>
  <w:footnote w:id="35">
    <w:p w:rsidR="00B37682" w:rsidRDefault="00B51E54">
      <w:pPr>
        <w:pStyle w:val="FootnoteText"/>
        <w:spacing w:after="0" w:line="240" w:lineRule="auto"/>
      </w:pPr>
      <w:r>
        <w:rPr>
          <w:rStyle w:val="FootnoteReference"/>
        </w:rPr>
        <w:footnoteRef/>
      </w:r>
      <w:r>
        <w:t xml:space="preserve"> </w:t>
      </w:r>
      <w:r>
        <w:rPr>
          <w:rFonts w:ascii="Times New Roman" w:hAnsi="Times New Roman"/>
        </w:rPr>
        <w:t xml:space="preserve">L' </w:t>
      </w:r>
      <w:r>
        <w:rPr>
          <w:rFonts w:ascii="Times New Roman" w:hAnsi="Times New Roman"/>
          <w:i/>
        </w:rPr>
        <w:t>Eduskunta</w:t>
      </w:r>
      <w:r>
        <w:rPr>
          <w:rFonts w:ascii="Times New Roman" w:hAnsi="Times New Roman"/>
        </w:rPr>
        <w:t xml:space="preserve"> finlandais, les </w:t>
      </w:r>
      <w:r>
        <w:rPr>
          <w:rFonts w:ascii="Times New Roman" w:hAnsi="Times New Roman"/>
          <w:i/>
        </w:rPr>
        <w:t>Houses of the Oireachtas</w:t>
      </w:r>
      <w:r>
        <w:rPr>
          <w:rFonts w:ascii="Times New Roman" w:hAnsi="Times New Roman"/>
        </w:rPr>
        <w:t xml:space="preserve"> irlandaises, le </w:t>
      </w:r>
      <w:r>
        <w:rPr>
          <w:rFonts w:ascii="Times New Roman" w:hAnsi="Times New Roman"/>
          <w:i/>
        </w:rPr>
        <w:t>Se</w:t>
      </w:r>
      <w:bookmarkStart w:id="1" w:name="_GoBack"/>
      <w:bookmarkEnd w:id="1"/>
      <w:r>
        <w:rPr>
          <w:rFonts w:ascii="Times New Roman" w:hAnsi="Times New Roman"/>
          <w:i/>
        </w:rPr>
        <w:t>nat</w:t>
      </w:r>
      <w:r>
        <w:rPr>
          <w:rFonts w:ascii="Times New Roman" w:hAnsi="Times New Roman"/>
        </w:rPr>
        <w:t xml:space="preserve"> polonais.</w:t>
      </w:r>
    </w:p>
  </w:footnote>
  <w:footnote w:id="36">
    <w:p w:rsidR="00B37682" w:rsidRDefault="00B51E5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Le </w:t>
      </w:r>
      <w:r>
        <w:rPr>
          <w:rFonts w:ascii="Times New Roman" w:hAnsi="Times New Roman"/>
          <w:i/>
        </w:rPr>
        <w:t>Folketing</w:t>
      </w:r>
      <w:r>
        <w:rPr>
          <w:rFonts w:ascii="Times New Roman" w:hAnsi="Times New Roman"/>
        </w:rPr>
        <w:t xml:space="preserve"> danois, l' </w:t>
      </w:r>
      <w:r>
        <w:rPr>
          <w:rFonts w:ascii="Times New Roman" w:hAnsi="Times New Roman"/>
          <w:i/>
        </w:rPr>
        <w:t>Eduskunta</w:t>
      </w:r>
      <w:r>
        <w:rPr>
          <w:rFonts w:ascii="Times New Roman" w:hAnsi="Times New Roman"/>
        </w:rPr>
        <w:t xml:space="preserve"> finlandais.</w:t>
      </w:r>
    </w:p>
  </w:footnote>
  <w:footnote w:id="37">
    <w:p w:rsidR="00B37682" w:rsidRDefault="00B51E5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L' </w:t>
      </w:r>
      <w:r>
        <w:rPr>
          <w:rFonts w:ascii="Times New Roman" w:hAnsi="Times New Roman"/>
          <w:i/>
        </w:rPr>
        <w:t>Eduskunta</w:t>
      </w:r>
      <w:r>
        <w:rPr>
          <w:rFonts w:ascii="Times New Roman" w:hAnsi="Times New Roman"/>
        </w:rPr>
        <w:t xml:space="preserve"> finlandais, les </w:t>
      </w:r>
      <w:r>
        <w:rPr>
          <w:rFonts w:ascii="Times New Roman" w:hAnsi="Times New Roman"/>
          <w:i/>
        </w:rPr>
        <w:t xml:space="preserve">Houses of the Oireachtas </w:t>
      </w:r>
      <w:r>
        <w:rPr>
          <w:rFonts w:ascii="Times New Roman" w:hAnsi="Times New Roman"/>
        </w:rPr>
        <w:t>irlandaises.</w:t>
      </w:r>
    </w:p>
  </w:footnote>
  <w:footnote w:id="38">
    <w:p w:rsidR="00B37682" w:rsidRDefault="00B51E5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Il s'agirait d'établir une procédure qui permettrait à un groupe de parlements nationaux d’inviter la Commission à présenter une proposition.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2" w:rsidRDefault="00B37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FAB1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1616F"/>
    <w:multiLevelType w:val="hybridMultilevel"/>
    <w:tmpl w:val="56B25248"/>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nsid w:val="14F23AF0"/>
    <w:multiLevelType w:val="hybridMultilevel"/>
    <w:tmpl w:val="C466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B136D4"/>
    <w:multiLevelType w:val="hybridMultilevel"/>
    <w:tmpl w:val="6B6223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611E03"/>
    <w:multiLevelType w:val="hybridMultilevel"/>
    <w:tmpl w:val="26ACF830"/>
    <w:lvl w:ilvl="0" w:tplc="140C000F">
      <w:start w:val="1"/>
      <w:numFmt w:val="decimal"/>
      <w:lvlText w:val="%1."/>
      <w:lvlJc w:val="left"/>
      <w:pPr>
        <w:ind w:left="720" w:hanging="360"/>
      </w:p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5">
    <w:nsid w:val="40B10931"/>
    <w:multiLevelType w:val="hybridMultilevel"/>
    <w:tmpl w:val="7E6C6CF6"/>
    <w:lvl w:ilvl="0" w:tplc="0874BE28">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CD3CE7"/>
    <w:multiLevelType w:val="hybridMultilevel"/>
    <w:tmpl w:val="907A2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652087"/>
    <w:multiLevelType w:val="hybridMultilevel"/>
    <w:tmpl w:val="2A0A090A"/>
    <w:lvl w:ilvl="0" w:tplc="0874BE28">
      <w:start w:val="1"/>
      <w:numFmt w:val="bullet"/>
      <w:lvlText w:val="-"/>
      <w:lvlJc w:val="left"/>
      <w:pPr>
        <w:ind w:left="1500" w:hanging="360"/>
      </w:pPr>
      <w:rPr>
        <w:rFonts w:ascii="Calibri" w:eastAsia="Times New Roman" w:hAnsi="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nsid w:val="493F2E55"/>
    <w:multiLevelType w:val="hybridMultilevel"/>
    <w:tmpl w:val="3FE0E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EB11684"/>
    <w:multiLevelType w:val="hybridMultilevel"/>
    <w:tmpl w:val="1330786C"/>
    <w:lvl w:ilvl="0" w:tplc="0874BE28">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DA3E89"/>
    <w:multiLevelType w:val="hybridMultilevel"/>
    <w:tmpl w:val="91342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ED5352"/>
    <w:multiLevelType w:val="hybridMultilevel"/>
    <w:tmpl w:val="78F2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0C74B9"/>
    <w:multiLevelType w:val="hybridMultilevel"/>
    <w:tmpl w:val="DCE60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59A0619"/>
    <w:multiLevelType w:val="hybridMultilevel"/>
    <w:tmpl w:val="3DA4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64774C"/>
    <w:multiLevelType w:val="hybridMultilevel"/>
    <w:tmpl w:val="C430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2"/>
  </w:num>
  <w:num w:numId="4">
    <w:abstractNumId w:val="14"/>
  </w:num>
  <w:num w:numId="5">
    <w:abstractNumId w:val="12"/>
  </w:num>
  <w:num w:numId="6">
    <w:abstractNumId w:val="1"/>
  </w:num>
  <w:num w:numId="7">
    <w:abstractNumId w:val="11"/>
  </w:num>
  <w:num w:numId="8">
    <w:abstractNumId w:val="13"/>
  </w:num>
  <w:num w:numId="9">
    <w:abstractNumId w:val="5"/>
  </w:num>
  <w:num w:numId="10">
    <w:abstractNumId w:val="3"/>
  </w:num>
  <w:num w:numId="11">
    <w:abstractNumId w:val="7"/>
  </w:num>
  <w:num w:numId="12">
    <w:abstractNumId w:val="9"/>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8C7E714643AE4E649C91A43852BDA1B0"/>
    <w:docVar w:name="LW_CROSSREFERENCE" w:val="&lt;UNUSED&gt;"/>
    <w:docVar w:name="LW_DocType" w:val="NORMAL"/>
    <w:docVar w:name="LW_EMISSION" w:val="2.7.2015"/>
    <w:docVar w:name="LW_EMISSION_ISODATE" w:val="2015-07-02"/>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16"/>
    <w:docVar w:name="LW_REF.INTERNE" w:val="&lt;UNUSED&gt;"/>
    <w:docVar w:name="LW_SOUS.TITRE.OBJ.CP" w:val="&lt;UNUSED&gt;"/>
    <w:docVar w:name="LW_SUPERTITRE" w:val="&lt;UNUSED&gt;"/>
    <w:docVar w:name="LW_TITRE.OBJ.CP" w:val="RAPPORT ANNUEL 2014_x000b_SUR LES RELATIONS ENTRE LA COMMISSION EUROPÉENNE ET LES PARLEMENTS NATIONAUX"/>
    <w:docVar w:name="LW_TYPE.DOC.CP" w:val="RAPPORT DE LA COMMISSION"/>
    <w:docVar w:name="Stamp" w:val="\\dossiers.dgt.cec.eu.int\dossiers\SG\SG-2015-00344\SG-2015-00344-00-00-EN-REV-00.DOC"/>
  </w:docVars>
  <w:rsids>
    <w:rsidRoot w:val="00B37682"/>
    <w:rsid w:val="00B37682"/>
    <w:rsid w:val="00B5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lang w:eastAsia="fr-FR"/>
    </w:rPr>
  </w:style>
  <w:style w:type="character" w:styleId="FootnoteReference">
    <w:name w:val="footnote reference"/>
    <w:uiPriority w:val="99"/>
    <w:semiHidden/>
    <w:qFormat/>
    <w:rPr>
      <w:shd w:val="clear" w:color="auto" w:fill="auto"/>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Author">
    <w:name w:val="Author"/>
    <w:basedOn w:val="Signature"/>
    <w:autoRedefine/>
    <w:pPr>
      <w:spacing w:after="120" w:line="240" w:lineRule="auto"/>
      <w:ind w:left="0"/>
      <w:jc w:val="both"/>
    </w:pPr>
    <w:rPr>
      <w:rFonts w:ascii="Times New Roman" w:eastAsia="Times New Roman" w:hAnsi="Times New Roman"/>
      <w:sz w:val="24"/>
      <w:szCs w:val="24"/>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2"/>
      <w:szCs w:val="22"/>
      <w:lang w:eastAsia="fr-FR"/>
    </w:rPr>
  </w:style>
  <w:style w:type="paragraph" w:customStyle="1" w:styleId="Typedudocument">
    <w:name w:val="Type du document"/>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olorfulShading-Accent11">
    <w:name w:val="Colorful Shading - Accent 11"/>
    <w:hidden/>
    <w:uiPriority w:val="99"/>
    <w:semiHidden/>
    <w:rPr>
      <w:sz w:val="22"/>
      <w:szCs w:val="22"/>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rPr>
  </w:style>
  <w:style w:type="paragraph" w:customStyle="1" w:styleId="astandardsous-titre201">
    <w:name w:val="a_standard_sous-titre_20_1"/>
    <w:basedOn w:val="Normal"/>
    <w:pPr>
      <w:spacing w:before="240" w:after="80" w:line="240" w:lineRule="auto"/>
      <w:ind w:right="57"/>
    </w:pPr>
    <w:rPr>
      <w:rFonts w:ascii="Times New Roman" w:eastAsia="Times New Roman" w:hAnsi="Times New Roman"/>
      <w:b/>
      <w:bCs/>
      <w:sz w:val="24"/>
      <w:szCs w:val="24"/>
    </w:rPr>
  </w:style>
  <w:style w:type="character" w:customStyle="1" w:styleId="at11">
    <w:name w:val="a__t11"/>
    <w:rPr>
      <w:i/>
      <w:iCs/>
    </w:rPr>
  </w:style>
  <w:style w:type="character" w:customStyle="1" w:styleId="at21">
    <w:name w:val="a__t21"/>
    <w:rPr>
      <w:b/>
      <w:bCs/>
    </w:rPr>
  </w:style>
  <w:style w:type="character" w:styleId="Emphasis">
    <w:name w:val="Emphasis"/>
    <w:uiPriority w:val="20"/>
    <w:qFormat/>
    <w:rPr>
      <w:i/>
      <w:iCs/>
    </w:rPr>
  </w:style>
  <w:style w:type="paragraph" w:customStyle="1" w:styleId="ColorfulList-Accent11">
    <w:name w:val="Colorful List - Accent 11"/>
    <w:basedOn w:val="Normal"/>
    <w:uiPriority w:val="34"/>
    <w:qFormat/>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1079">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90842292">
      <w:bodyDiv w:val="1"/>
      <w:marLeft w:val="0"/>
      <w:marRight w:val="0"/>
      <w:marTop w:val="0"/>
      <w:marBottom w:val="0"/>
      <w:divBdr>
        <w:top w:val="none" w:sz="0" w:space="0" w:color="auto"/>
        <w:left w:val="none" w:sz="0" w:space="0" w:color="auto"/>
        <w:bottom w:val="none" w:sz="0" w:space="0" w:color="auto"/>
        <w:right w:val="none" w:sz="0" w:space="0" w:color="auto"/>
      </w:divBdr>
    </w:div>
    <w:div w:id="456485755">
      <w:bodyDiv w:val="1"/>
      <w:marLeft w:val="0"/>
      <w:marRight w:val="0"/>
      <w:marTop w:val="0"/>
      <w:marBottom w:val="0"/>
      <w:divBdr>
        <w:top w:val="none" w:sz="0" w:space="0" w:color="auto"/>
        <w:left w:val="none" w:sz="0" w:space="0" w:color="auto"/>
        <w:bottom w:val="none" w:sz="0" w:space="0" w:color="auto"/>
        <w:right w:val="none" w:sz="0" w:space="0" w:color="auto"/>
      </w:divBdr>
      <w:divsChild>
        <w:div w:id="112138800">
          <w:marLeft w:val="0"/>
          <w:marRight w:val="0"/>
          <w:marTop w:val="0"/>
          <w:marBottom w:val="0"/>
          <w:divBdr>
            <w:top w:val="none" w:sz="0" w:space="0" w:color="auto"/>
            <w:left w:val="none" w:sz="0" w:space="0" w:color="auto"/>
            <w:bottom w:val="none" w:sz="0" w:space="0" w:color="auto"/>
            <w:right w:val="none" w:sz="0" w:space="0" w:color="auto"/>
          </w:divBdr>
        </w:div>
        <w:div w:id="736439460">
          <w:marLeft w:val="0"/>
          <w:marRight w:val="0"/>
          <w:marTop w:val="0"/>
          <w:marBottom w:val="0"/>
          <w:divBdr>
            <w:top w:val="none" w:sz="0" w:space="0" w:color="auto"/>
            <w:left w:val="none" w:sz="0" w:space="0" w:color="auto"/>
            <w:bottom w:val="none" w:sz="0" w:space="0" w:color="auto"/>
            <w:right w:val="none" w:sz="0" w:space="0" w:color="auto"/>
          </w:divBdr>
        </w:div>
      </w:divsChild>
    </w:div>
    <w:div w:id="815995226">
      <w:bodyDiv w:val="1"/>
      <w:marLeft w:val="0"/>
      <w:marRight w:val="0"/>
      <w:marTop w:val="0"/>
      <w:marBottom w:val="0"/>
      <w:divBdr>
        <w:top w:val="none" w:sz="0" w:space="0" w:color="auto"/>
        <w:left w:val="none" w:sz="0" w:space="0" w:color="auto"/>
        <w:bottom w:val="none" w:sz="0" w:space="0" w:color="auto"/>
        <w:right w:val="none" w:sz="0" w:space="0" w:color="auto"/>
      </w:divBdr>
    </w:div>
    <w:div w:id="834613289">
      <w:bodyDiv w:val="1"/>
      <w:marLeft w:val="0"/>
      <w:marRight w:val="0"/>
      <w:marTop w:val="0"/>
      <w:marBottom w:val="0"/>
      <w:divBdr>
        <w:top w:val="none" w:sz="0" w:space="0" w:color="auto"/>
        <w:left w:val="none" w:sz="0" w:space="0" w:color="auto"/>
        <w:bottom w:val="none" w:sz="0" w:space="0" w:color="auto"/>
        <w:right w:val="none" w:sz="0" w:space="0" w:color="auto"/>
      </w:divBdr>
    </w:div>
    <w:div w:id="18218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21F8-E47A-4B89-AB4E-F676BC7E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5910</Words>
  <Characters>32505</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ANTONACCIO Raimondo (SG)</cp:lastModifiedBy>
  <cp:revision>25</cp:revision>
  <cp:lastPrinted>2015-06-18T12:30:00Z</cp:lastPrinted>
  <dcterms:created xsi:type="dcterms:W3CDTF">2015-06-09T14:54:00Z</dcterms:created>
  <dcterms:modified xsi:type="dcterms:W3CDTF">2015-07-02T08:30:00Z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