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917D1898ED340B6A2B929D18DF23F17" style="width:450.75pt;height:406.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pPr>
        <w:jc w:val="center"/>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Annexe 1</w:t>
      </w:r>
    </w:p>
    <w:p>
      <w:pPr>
        <w:jc w:val="center"/>
        <w:rPr>
          <w:rFonts w:ascii="Times New Roman" w:hAnsi="Times New Roman"/>
          <w:b/>
          <w:noProof/>
          <w:sz w:val="24"/>
          <w:szCs w:val="24"/>
        </w:rPr>
      </w:pPr>
      <w:r>
        <w:rPr>
          <w:rFonts w:ascii="Times New Roman" w:hAnsi="Times New Roman"/>
          <w:b/>
          <w:noProof/>
          <w:sz w:val="24"/>
        </w:rPr>
        <w:t>Nombre d'avis reçus par la Commission en 2014 par parlement national/chambre nationale (dialogue politique et mécanisme de contrôle de la subsidiarité)</w:t>
      </w:r>
    </w:p>
    <w:tbl>
      <w:tblPr>
        <w:tblpPr w:leftFromText="180" w:rightFromText="180" w:vertAnchor="page" w:horzAnchor="margin" w:tblpY="280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gridCol w:w="1985"/>
        <w:gridCol w:w="2693"/>
      </w:tblGrid>
      <w:tr>
        <w:tc>
          <w:tcPr>
            <w:tcW w:w="1951" w:type="dxa"/>
            <w:shd w:val="clear" w:color="auto" w:fill="auto"/>
            <w:vAlign w:val="center"/>
          </w:tcPr>
          <w:p>
            <w:pPr>
              <w:spacing w:after="0"/>
              <w:jc w:val="center"/>
              <w:rPr>
                <w:rFonts w:ascii="Times New Roman" w:hAnsi="Times New Roman"/>
                <w:b/>
                <w:noProof/>
                <w:sz w:val="24"/>
                <w:szCs w:val="24"/>
              </w:rPr>
            </w:pPr>
            <w:r>
              <w:rPr>
                <w:rFonts w:ascii="Times New Roman" w:hAnsi="Times New Roman"/>
                <w:b/>
                <w:noProof/>
                <w:sz w:val="24"/>
              </w:rPr>
              <w:t>État membre</w:t>
            </w:r>
          </w:p>
        </w:tc>
        <w:tc>
          <w:tcPr>
            <w:tcW w:w="3260" w:type="dxa"/>
            <w:shd w:val="clear" w:color="auto" w:fill="auto"/>
            <w:vAlign w:val="center"/>
          </w:tcPr>
          <w:p>
            <w:pPr>
              <w:spacing w:after="0"/>
              <w:jc w:val="center"/>
              <w:rPr>
                <w:rFonts w:ascii="Times New Roman" w:hAnsi="Times New Roman"/>
                <w:b/>
                <w:noProof/>
                <w:sz w:val="24"/>
                <w:szCs w:val="24"/>
              </w:rPr>
            </w:pPr>
            <w:r>
              <w:rPr>
                <w:rFonts w:ascii="Times New Roman" w:hAnsi="Times New Roman"/>
                <w:b/>
                <w:noProof/>
                <w:sz w:val="24"/>
              </w:rPr>
              <w:t>Chambre</w:t>
            </w:r>
          </w:p>
        </w:tc>
        <w:tc>
          <w:tcPr>
            <w:tcW w:w="1985" w:type="dxa"/>
            <w:shd w:val="clear" w:color="auto" w:fill="auto"/>
            <w:vAlign w:val="center"/>
          </w:tcPr>
          <w:p>
            <w:pPr>
              <w:spacing w:after="0"/>
              <w:jc w:val="center"/>
              <w:rPr>
                <w:rFonts w:ascii="Times New Roman" w:hAnsi="Times New Roman"/>
                <w:b/>
                <w:noProof/>
                <w:sz w:val="24"/>
                <w:szCs w:val="24"/>
              </w:rPr>
            </w:pPr>
            <w:r>
              <w:rPr>
                <w:rFonts w:ascii="Times New Roman" w:hAnsi="Times New Roman"/>
                <w:b/>
                <w:noProof/>
                <w:sz w:val="24"/>
              </w:rPr>
              <w:t>Nombre total d'avis</w:t>
            </w:r>
            <w:r>
              <w:rPr>
                <w:rFonts w:ascii="Times New Roman" w:hAnsi="Times New Roman"/>
                <w:b/>
                <w:noProof/>
                <w:sz w:val="24"/>
                <w:vertAlign w:val="superscript"/>
              </w:rPr>
              <w:footnoteReference w:id="1"/>
            </w:r>
          </w:p>
        </w:tc>
        <w:tc>
          <w:tcPr>
            <w:tcW w:w="2693" w:type="dxa"/>
            <w:shd w:val="clear" w:color="auto" w:fill="auto"/>
            <w:vAlign w:val="center"/>
          </w:tcPr>
          <w:p>
            <w:pPr>
              <w:spacing w:after="0"/>
              <w:jc w:val="center"/>
              <w:rPr>
                <w:rFonts w:ascii="Times New Roman" w:hAnsi="Times New Roman"/>
                <w:b/>
                <w:noProof/>
                <w:sz w:val="24"/>
                <w:szCs w:val="24"/>
              </w:rPr>
            </w:pPr>
            <w:r>
              <w:rPr>
                <w:rFonts w:ascii="Times New Roman" w:hAnsi="Times New Roman"/>
                <w:b/>
                <w:noProof/>
                <w:sz w:val="24"/>
              </w:rPr>
              <w:t>Dont avis motivés (protocole n° 2)</w:t>
            </w:r>
            <w:r>
              <w:rPr>
                <w:rFonts w:ascii="Times New Roman" w:hAnsi="Times New Roman"/>
                <w:b/>
                <w:noProof/>
                <w:sz w:val="24"/>
                <w:vertAlign w:val="superscript"/>
              </w:rPr>
              <w:footnoteReference w:id="2"/>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 xml:space="preserve">Portugal </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Assembleia da República</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118</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Italie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Senato della Repubblica</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63</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Espagne</w:t>
            </w:r>
          </w:p>
        </w:tc>
        <w:tc>
          <w:tcPr>
            <w:tcW w:w="3260" w:type="dxa"/>
            <w:shd w:val="clear" w:color="auto" w:fill="auto"/>
          </w:tcPr>
          <w:p>
            <w:pPr>
              <w:spacing w:before="60" w:after="60"/>
              <w:rPr>
                <w:rFonts w:ascii="Times New Roman" w:hAnsi="Times New Roman"/>
                <w:noProof/>
                <w:sz w:val="24"/>
                <w:szCs w:val="24"/>
                <w:lang w:val="es-ES"/>
              </w:rPr>
            </w:pPr>
            <w:r>
              <w:rPr>
                <w:rFonts w:ascii="Times New Roman" w:hAnsi="Times New Roman"/>
                <w:i/>
                <w:noProof/>
                <w:sz w:val="24"/>
                <w:lang w:val="es-ES"/>
              </w:rPr>
              <w:t>Congreso de los Diputados</w:t>
            </w:r>
            <w:r>
              <w:rPr>
                <w:rFonts w:ascii="Times New Roman" w:hAnsi="Times New Roman"/>
                <w:noProof/>
                <w:sz w:val="24"/>
                <w:lang w:val="es-ES"/>
              </w:rPr>
              <w:t xml:space="preserve"> et </w:t>
            </w:r>
            <w:r>
              <w:rPr>
                <w:rFonts w:ascii="Times New Roman" w:hAnsi="Times New Roman"/>
                <w:i/>
                <w:noProof/>
                <w:sz w:val="24"/>
                <w:lang w:val="es-ES"/>
              </w:rPr>
              <w:t>Senado</w:t>
            </w:r>
            <w:r>
              <w:rPr>
                <w:rFonts w:ascii="Times New Roman" w:hAnsi="Times New Roman"/>
                <w:noProof/>
                <w:sz w:val="24"/>
                <w:lang w:val="es-ES"/>
              </w:rPr>
              <w:t xml:space="preserve"> (les deux chambres)</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45</w:t>
            </w:r>
            <w:r>
              <w:rPr>
                <w:rFonts w:ascii="Times New Roman" w:hAnsi="Times New Roman"/>
                <w:noProof/>
                <w:sz w:val="24"/>
                <w:vertAlign w:val="superscript"/>
              </w:rPr>
              <w:footnoteReference w:id="3"/>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r>
              <w:rPr>
                <w:rFonts w:ascii="Times New Roman" w:hAnsi="Times New Roman"/>
                <w:noProof/>
                <w:sz w:val="24"/>
                <w:vertAlign w:val="superscript"/>
              </w:rPr>
              <w:footnoteReference w:id="4"/>
            </w:r>
          </w:p>
        </w:tc>
      </w:tr>
      <w:tr>
        <w:trPr>
          <w:trHeight w:val="816"/>
        </w:trP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République tchèque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Senát</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41</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France</w:t>
            </w:r>
          </w:p>
        </w:tc>
        <w:tc>
          <w:tcPr>
            <w:tcW w:w="3260" w:type="dxa"/>
            <w:shd w:val="clear" w:color="auto" w:fill="auto"/>
          </w:tcPr>
          <w:p>
            <w:pPr>
              <w:spacing w:before="60" w:after="60"/>
              <w:rPr>
                <w:rFonts w:ascii="Times New Roman" w:hAnsi="Times New Roman"/>
                <w:noProof/>
                <w:sz w:val="24"/>
                <w:szCs w:val="24"/>
              </w:rPr>
            </w:pPr>
            <w:r>
              <w:rPr>
                <w:rFonts w:ascii="Times New Roman" w:hAnsi="Times New Roman"/>
                <w:noProof/>
                <w:sz w:val="24"/>
              </w:rPr>
              <w:t>Assemblée nationale</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35</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Roumanie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Camera Deputatilor</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30</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Allemagne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Bundesrat</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24</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Royaume-Uni</w:t>
            </w:r>
          </w:p>
        </w:tc>
        <w:tc>
          <w:tcPr>
            <w:tcW w:w="3260" w:type="dxa"/>
            <w:shd w:val="clear" w:color="auto" w:fill="auto"/>
          </w:tcPr>
          <w:p>
            <w:pPr>
              <w:spacing w:before="60" w:after="60"/>
              <w:rPr>
                <w:rFonts w:ascii="Times New Roman" w:hAnsi="Times New Roman"/>
                <w:noProof/>
                <w:sz w:val="24"/>
                <w:szCs w:val="24"/>
              </w:rPr>
            </w:pPr>
            <w:r>
              <w:rPr>
                <w:rFonts w:ascii="Times New Roman" w:hAnsi="Times New Roman"/>
                <w:i/>
                <w:noProof/>
                <w:sz w:val="24"/>
              </w:rPr>
              <w:t>House of Lords</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21</w:t>
            </w:r>
          </w:p>
        </w:tc>
        <w:tc>
          <w:tcPr>
            <w:tcW w:w="2693" w:type="dxa"/>
            <w:shd w:val="clear" w:color="auto" w:fill="auto"/>
          </w:tcPr>
          <w:p>
            <w:pPr>
              <w:spacing w:before="60" w:after="60"/>
              <w:jc w:val="center"/>
              <w:rPr>
                <w:rFonts w:ascii="Times New Roman" w:hAnsi="Times New Roman"/>
                <w:noProof/>
                <w:sz w:val="24"/>
                <w:szCs w:val="24"/>
                <w:highlight w:val="yellow"/>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Italie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Camera dei Deputati</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15</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Royaume-Uni</w:t>
            </w:r>
          </w:p>
        </w:tc>
        <w:tc>
          <w:tcPr>
            <w:tcW w:w="3260" w:type="dxa"/>
            <w:shd w:val="clear" w:color="auto" w:fill="auto"/>
          </w:tcPr>
          <w:p>
            <w:pPr>
              <w:spacing w:before="60" w:after="60"/>
              <w:rPr>
                <w:rFonts w:ascii="Times New Roman" w:hAnsi="Times New Roman"/>
                <w:noProof/>
                <w:sz w:val="24"/>
                <w:szCs w:val="24"/>
              </w:rPr>
            </w:pPr>
            <w:r>
              <w:rPr>
                <w:rFonts w:ascii="Times New Roman" w:hAnsi="Times New Roman"/>
                <w:i/>
                <w:noProof/>
                <w:sz w:val="24"/>
              </w:rPr>
              <w:t>House of Commons</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12</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3</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Autriche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 xml:space="preserve">Bundesrat </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10</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3</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Pays-Bas</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Tweede Kamer</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10</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2</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 xml:space="preserve">Suède </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Riksdag</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10</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2</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Irlande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noProof/>
                <w:sz w:val="24"/>
              </w:rPr>
              <w:t>Chambres de l’</w:t>
            </w:r>
            <w:r>
              <w:rPr>
                <w:rFonts w:ascii="Times New Roman" w:hAnsi="Times New Roman"/>
                <w:i/>
                <w:noProof/>
                <w:sz w:val="24"/>
              </w:rPr>
              <w:t>Oireachtas</w:t>
            </w:r>
            <w:r>
              <w:rPr>
                <w:rFonts w:ascii="Times New Roman" w:hAnsi="Times New Roman"/>
                <w:noProof/>
                <w:sz w:val="24"/>
              </w:rPr>
              <w:t xml:space="preserve"> (les deux chambres)</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8</w:t>
            </w:r>
            <w:r>
              <w:rPr>
                <w:rFonts w:ascii="Times New Roman" w:hAnsi="Times New Roman"/>
                <w:noProof/>
                <w:sz w:val="24"/>
                <w:vertAlign w:val="superscript"/>
              </w:rPr>
              <w:footnoteReference w:id="5"/>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Pays-Bas</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Eerste Kamer</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6</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Pologne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 xml:space="preserve">Sejm </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6</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Pologne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Senat</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6</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noProof/>
              </w:rPr>
              <w:pict>
                <v:shapetype id="_x0000_t202" coordsize="21600,21600" o:spt="202" path="m,l,21600r21600,l21600,xe">
                  <v:stroke joinstyle="miter"/>
                  <v:path gradientshapeok="t" o:connecttype="rect"/>
                </v:shapetype>
                <v:shape id="Text Box 1" o:spid="_x0000_s1027" type="#_x0000_t202" style="position:absolute;margin-left:37.15pt;margin-top:-673.2pt;width:407.25pt;height:74.9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" strokecolor="white">
                  <v:textbox>
                    <w:txbxContent>
                      <w:p>
                        <w:pPr>
                          <w:jc w:val="center"/>
                          <w:rPr>
                            <w:rFonts w:ascii="Times New Roman" w:hAnsi="Times New Roman"/>
                            <w:b/>
                            <w:sz w:val="24"/>
                            <w:szCs w:val="24"/>
                            <w:u w:val="single"/>
                          </w:rPr>
                        </w:pPr>
                        <w:r>
                          <w:rPr>
                            <w:rFonts w:ascii="Times New Roman" w:hAnsi="Times New Roman"/>
                            <w:b/>
                            <w:sz w:val="24"/>
                            <w:u w:val="single"/>
                          </w:rPr>
                          <w:t>ANNEXE 1</w:t>
                        </w:r>
                      </w:p>
                      <w:p>
                        <w:pPr>
                          <w:jc w:val="center"/>
                          <w:rPr>
                            <w:rFonts w:ascii="Times New Roman" w:hAnsi="Times New Roman"/>
                            <w:b/>
                            <w:sz w:val="24"/>
                            <w:szCs w:val="24"/>
                          </w:rPr>
                        </w:pPr>
                        <w:r>
                          <w:rPr>
                            <w:rFonts w:ascii="Times New Roman" w:hAnsi="Times New Roman"/>
                            <w:b/>
                            <w:sz w:val="24"/>
                          </w:rPr>
                          <w:t>Nombre d'avis reçus par la Commission en 2014 par parlement national/chambre nationale (dialogue politique et mécanisme de contrôle de la subsidiarité)</w:t>
                        </w:r>
                      </w:p>
                      <w:p>
                        <w:pPr>
                          <w:jc w:val="center"/>
                          <w:rPr>
                            <w:rFonts w:ascii="Times New Roman" w:hAnsi="Times New Roman"/>
                            <w:sz w:val="24"/>
                            <w:szCs w:val="24"/>
                          </w:rPr>
                        </w:pPr>
                      </w:p>
                    </w:txbxContent>
                  </v:textbox>
                </v:shape>
              </w:pict>
            </w:r>
            <w:r>
              <w:rPr>
                <w:rFonts w:ascii="Times New Roman" w:hAnsi="Times New Roman"/>
                <w:noProof/>
                <w:sz w:val="24"/>
              </w:rPr>
              <w:t>France</w:t>
            </w:r>
          </w:p>
        </w:tc>
        <w:tc>
          <w:tcPr>
            <w:tcW w:w="3260" w:type="dxa"/>
            <w:shd w:val="clear" w:color="auto" w:fill="auto"/>
          </w:tcPr>
          <w:p>
            <w:pPr>
              <w:spacing w:before="60" w:after="60"/>
              <w:rPr>
                <w:rFonts w:ascii="Times New Roman" w:hAnsi="Times New Roman"/>
                <w:noProof/>
                <w:sz w:val="24"/>
                <w:szCs w:val="24"/>
              </w:rPr>
            </w:pPr>
            <w:r>
              <w:rPr>
                <w:rFonts w:ascii="Times New Roman" w:hAnsi="Times New Roman"/>
                <w:noProof/>
                <w:sz w:val="24"/>
              </w:rPr>
              <w:t>Sénat</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6</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2</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République tchèque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Poslanecká sněmovna</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5</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bl>
    <w:tbl>
      <w:tblPr>
        <w:tblpPr w:leftFromText="180" w:rightFromText="180" w:vertAnchor="page" w:horzAnchor="margin" w:tblpY="219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gridCol w:w="1985"/>
        <w:gridCol w:w="2693"/>
      </w:tblGrid>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Lituanie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 xml:space="preserve">Seimas </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5</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Croatie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Hrvatski Sabor</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4</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Autriche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Nationalrat</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4</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Danemark</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Folketing</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3</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Luxembourg</w:t>
            </w:r>
          </w:p>
        </w:tc>
        <w:tc>
          <w:tcPr>
            <w:tcW w:w="3260" w:type="dxa"/>
            <w:shd w:val="clear" w:color="auto" w:fill="auto"/>
          </w:tcPr>
          <w:p>
            <w:pPr>
              <w:spacing w:before="60" w:after="60"/>
              <w:rPr>
                <w:rFonts w:ascii="Times New Roman" w:hAnsi="Times New Roman"/>
                <w:noProof/>
                <w:sz w:val="24"/>
                <w:szCs w:val="24"/>
              </w:rPr>
            </w:pPr>
            <w:r>
              <w:rPr>
                <w:rFonts w:ascii="Times New Roman" w:hAnsi="Times New Roman"/>
                <w:noProof/>
                <w:sz w:val="24"/>
              </w:rPr>
              <w:t>Chambre des Députés</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3</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Malte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Kamra tad-Deputati</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3</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Roumanie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Senatul</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3</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Allemagne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Bundestag</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2</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Lettonie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Saeima</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2</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Slovénie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Dr</w:t>
            </w:r>
            <w:r>
              <w:rPr>
                <w:rFonts w:ascii="Times New Roman" w:hAnsi="Times New Roman"/>
                <w:noProof/>
                <w:sz w:val="24"/>
              </w:rPr>
              <w:t>ž</w:t>
            </w:r>
            <w:r>
              <w:rPr>
                <w:rFonts w:ascii="Times New Roman" w:hAnsi="Times New Roman"/>
                <w:i/>
                <w:noProof/>
                <w:sz w:val="24"/>
              </w:rPr>
              <w:t xml:space="preserve">avni zbor </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2</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 xml:space="preserve">Belgique </w:t>
            </w:r>
          </w:p>
        </w:tc>
        <w:tc>
          <w:tcPr>
            <w:tcW w:w="3260" w:type="dxa"/>
            <w:shd w:val="clear" w:color="auto" w:fill="auto"/>
          </w:tcPr>
          <w:p>
            <w:pPr>
              <w:spacing w:before="60" w:after="60"/>
              <w:rPr>
                <w:rFonts w:ascii="Times New Roman" w:hAnsi="Times New Roman"/>
                <w:noProof/>
                <w:sz w:val="24"/>
                <w:szCs w:val="24"/>
              </w:rPr>
            </w:pPr>
            <w:r>
              <w:rPr>
                <w:rFonts w:ascii="Times New Roman" w:hAnsi="Times New Roman"/>
                <w:noProof/>
                <w:sz w:val="24"/>
              </w:rPr>
              <w:t>Chambre des Représentants</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Chypre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Vouli ton Antiprosopon</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 xml:space="preserve">Hongrie </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Országgyűlés</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Slovaquie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Národná Rada</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1</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Belgique</w:t>
            </w:r>
          </w:p>
        </w:tc>
        <w:tc>
          <w:tcPr>
            <w:tcW w:w="3260" w:type="dxa"/>
            <w:shd w:val="clear" w:color="auto" w:fill="auto"/>
          </w:tcPr>
          <w:p>
            <w:pPr>
              <w:spacing w:before="60" w:after="60"/>
              <w:rPr>
                <w:rFonts w:ascii="Times New Roman" w:hAnsi="Times New Roman"/>
                <w:noProof/>
                <w:sz w:val="24"/>
                <w:szCs w:val="24"/>
              </w:rPr>
            </w:pPr>
            <w:r>
              <w:rPr>
                <w:rFonts w:ascii="Times New Roman" w:hAnsi="Times New Roman"/>
                <w:noProof/>
                <w:sz w:val="24"/>
              </w:rPr>
              <w:t>Sénat</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Bulgarie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Narodno Sabranie</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Estonie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Riigikogu</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Finlande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Eduskunta</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Grèce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Vouli ton Ellinon</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1951" w:type="dxa"/>
            <w:shd w:val="clear" w:color="auto" w:fill="auto"/>
          </w:tcPr>
          <w:p>
            <w:pPr>
              <w:spacing w:before="60" w:after="60"/>
              <w:rPr>
                <w:rFonts w:ascii="Times New Roman" w:hAnsi="Times New Roman"/>
                <w:noProof/>
                <w:sz w:val="24"/>
                <w:szCs w:val="24"/>
              </w:rPr>
            </w:pPr>
            <w:r>
              <w:rPr>
                <w:rFonts w:ascii="Times New Roman" w:hAnsi="Times New Roman"/>
                <w:noProof/>
                <w:sz w:val="24"/>
              </w:rPr>
              <w:t>Slovénie</w:t>
            </w:r>
          </w:p>
        </w:tc>
        <w:tc>
          <w:tcPr>
            <w:tcW w:w="3260" w:type="dxa"/>
            <w:shd w:val="clear" w:color="auto" w:fill="auto"/>
          </w:tcPr>
          <w:p>
            <w:pPr>
              <w:spacing w:before="60" w:after="60"/>
              <w:rPr>
                <w:rFonts w:ascii="Times New Roman" w:hAnsi="Times New Roman"/>
                <w:i/>
                <w:noProof/>
                <w:sz w:val="24"/>
                <w:szCs w:val="24"/>
              </w:rPr>
            </w:pPr>
            <w:r>
              <w:rPr>
                <w:rFonts w:ascii="Times New Roman" w:hAnsi="Times New Roman"/>
                <w:i/>
                <w:noProof/>
                <w:sz w:val="24"/>
              </w:rPr>
              <w:t>Dr</w:t>
            </w:r>
            <w:r>
              <w:rPr>
                <w:rFonts w:ascii="Times New Roman" w:hAnsi="Times New Roman"/>
                <w:noProof/>
                <w:sz w:val="24"/>
              </w:rPr>
              <w:t>ž</w:t>
            </w:r>
            <w:r>
              <w:rPr>
                <w:rFonts w:ascii="Times New Roman" w:hAnsi="Times New Roman"/>
                <w:i/>
                <w:noProof/>
                <w:sz w:val="24"/>
              </w:rPr>
              <w:t>avni svet</w:t>
            </w:r>
          </w:p>
        </w:tc>
        <w:tc>
          <w:tcPr>
            <w:tcW w:w="1985"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c>
          <w:tcPr>
            <w:tcW w:w="2693" w:type="dxa"/>
            <w:shd w:val="clear" w:color="auto" w:fill="auto"/>
          </w:tcPr>
          <w:p>
            <w:pPr>
              <w:spacing w:before="60" w:after="60"/>
              <w:jc w:val="center"/>
              <w:rPr>
                <w:rFonts w:ascii="Times New Roman" w:hAnsi="Times New Roman"/>
                <w:noProof/>
                <w:sz w:val="24"/>
                <w:szCs w:val="24"/>
              </w:rPr>
            </w:pPr>
            <w:r>
              <w:rPr>
                <w:rFonts w:ascii="Times New Roman" w:hAnsi="Times New Roman"/>
                <w:noProof/>
                <w:sz w:val="24"/>
              </w:rPr>
              <w:t>0</w:t>
            </w:r>
          </w:p>
        </w:tc>
      </w:tr>
      <w:tr>
        <w:tc>
          <w:tcPr>
            <w:tcW w:w="5211" w:type="dxa"/>
            <w:gridSpan w:val="2"/>
            <w:shd w:val="clear" w:color="auto" w:fill="auto"/>
            <w:vAlign w:val="center"/>
          </w:tcPr>
          <w:p>
            <w:pPr>
              <w:spacing w:before="60" w:after="60"/>
              <w:rPr>
                <w:rFonts w:ascii="Times New Roman" w:hAnsi="Times New Roman"/>
                <w:b/>
                <w:noProof/>
                <w:sz w:val="24"/>
                <w:szCs w:val="24"/>
              </w:rPr>
            </w:pPr>
            <w:r>
              <w:rPr>
                <w:rFonts w:ascii="Times New Roman" w:hAnsi="Times New Roman"/>
                <w:b/>
                <w:noProof/>
                <w:sz w:val="24"/>
              </w:rPr>
              <w:t>TOTAL</w:t>
            </w:r>
          </w:p>
        </w:tc>
        <w:tc>
          <w:tcPr>
            <w:tcW w:w="1985" w:type="dxa"/>
            <w:shd w:val="clear" w:color="auto" w:fill="auto"/>
            <w:vAlign w:val="center"/>
          </w:tcPr>
          <w:p>
            <w:pPr>
              <w:spacing w:before="60" w:after="60"/>
              <w:jc w:val="center"/>
              <w:rPr>
                <w:rFonts w:ascii="Times New Roman" w:hAnsi="Times New Roman"/>
                <w:b/>
                <w:noProof/>
                <w:sz w:val="24"/>
                <w:szCs w:val="24"/>
              </w:rPr>
            </w:pPr>
            <w:r>
              <w:rPr>
                <w:rFonts w:ascii="Times New Roman" w:hAnsi="Times New Roman"/>
                <w:b/>
                <w:noProof/>
                <w:sz w:val="24"/>
              </w:rPr>
              <w:t>506</w:t>
            </w:r>
          </w:p>
        </w:tc>
        <w:tc>
          <w:tcPr>
            <w:tcW w:w="2693" w:type="dxa"/>
            <w:shd w:val="clear" w:color="auto" w:fill="auto"/>
            <w:vAlign w:val="center"/>
          </w:tcPr>
          <w:p>
            <w:pPr>
              <w:spacing w:before="60" w:after="60"/>
              <w:jc w:val="center"/>
              <w:rPr>
                <w:rFonts w:ascii="Times New Roman" w:hAnsi="Times New Roman"/>
                <w:b/>
                <w:noProof/>
                <w:sz w:val="24"/>
                <w:szCs w:val="24"/>
              </w:rPr>
            </w:pPr>
            <w:r>
              <w:rPr>
                <w:rFonts w:ascii="Times New Roman" w:hAnsi="Times New Roman"/>
                <w:b/>
                <w:noProof/>
                <w:sz w:val="24"/>
              </w:rPr>
              <w:t>21</w:t>
            </w:r>
          </w:p>
        </w:tc>
      </w:tr>
    </w:tbl>
    <w:p>
      <w:pPr>
        <w:spacing w:after="0"/>
        <w:rPr>
          <w:noProof/>
          <w:vanish/>
        </w:rPr>
      </w:pPr>
    </w:p>
    <w:p>
      <w:pPr>
        <w:tabs>
          <w:tab w:val="left" w:pos="1095"/>
        </w:tabs>
        <w:rPr>
          <w:noProof/>
        </w:rPr>
      </w:pPr>
    </w:p>
    <w:p>
      <w:pPr>
        <w:tabs>
          <w:tab w:val="left" w:pos="1095"/>
        </w:tabs>
        <w:rPr>
          <w:noProof/>
        </w:rPr>
      </w:pPr>
    </w:p>
    <w:p>
      <w:pPr>
        <w:spacing w:after="120" w:line="240" w:lineRule="auto"/>
        <w:jc w:val="center"/>
        <w:rPr>
          <w:rFonts w:ascii="Times New Roman" w:hAnsi="Times New Roman"/>
          <w:b/>
          <w:noProof/>
          <w:sz w:val="24"/>
          <w:szCs w:val="24"/>
          <w:u w:val="single"/>
        </w:rPr>
      </w:pPr>
    </w:p>
    <w:p>
      <w:pPr>
        <w:spacing w:after="120" w:line="240" w:lineRule="auto"/>
        <w:jc w:val="center"/>
        <w:rPr>
          <w:rFonts w:ascii="Times New Roman" w:hAnsi="Times New Roman"/>
          <w:b/>
          <w:noProof/>
          <w:sz w:val="24"/>
          <w:szCs w:val="24"/>
          <w:u w:val="single"/>
        </w:rPr>
      </w:pPr>
      <w:r>
        <w:rPr>
          <w:noProof/>
        </w:rPr>
        <w:br w:type="page"/>
      </w:r>
    </w:p>
    <w:p>
      <w:pPr>
        <w:jc w:val="center"/>
        <w:rPr>
          <w:rFonts w:ascii="Times New Roman" w:hAnsi="Times New Roman"/>
          <w:b/>
          <w:noProof/>
          <w:sz w:val="24"/>
          <w:szCs w:val="24"/>
          <w:u w:val="single"/>
        </w:rPr>
      </w:pPr>
      <w:r>
        <w:rPr>
          <w:rFonts w:ascii="Times New Roman" w:hAnsi="Times New Roman"/>
          <w:b/>
          <w:noProof/>
          <w:sz w:val="24"/>
          <w:u w:val="single"/>
        </w:rPr>
        <w:t>Annexe 2</w:t>
      </w:r>
    </w:p>
    <w:p>
      <w:pPr>
        <w:jc w:val="center"/>
        <w:rPr>
          <w:rFonts w:ascii="Times New Roman" w:hAnsi="Times New Roman"/>
          <w:b/>
          <w:noProof/>
          <w:sz w:val="24"/>
          <w:szCs w:val="24"/>
        </w:rPr>
      </w:pPr>
      <w:r>
        <w:rPr>
          <w:rFonts w:ascii="Times New Roman" w:hAnsi="Times New Roman"/>
          <w:b/>
          <w:noProof/>
          <w:sz w:val="24"/>
        </w:rPr>
        <w:t>Documents de la Commission à l'origine du plus grand nombre d’avis</w:t>
      </w:r>
      <w:r>
        <w:rPr>
          <w:rFonts w:ascii="Times New Roman" w:hAnsi="Times New Roman"/>
          <w:b/>
          <w:noProof/>
          <w:sz w:val="24"/>
          <w:vertAlign w:val="superscript"/>
        </w:rPr>
        <w:footnoteReference w:id="6"/>
      </w:r>
      <w:r>
        <w:rPr>
          <w:rFonts w:ascii="Times New Roman" w:hAnsi="Times New Roman"/>
          <w:b/>
          <w:noProof/>
          <w:sz w:val="24"/>
        </w:rPr>
        <w:t xml:space="preserve"> reçus par la Commission en 2014 (dialogue politique et mécanisme de contrôle de la subsidiarité)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3261"/>
        <w:gridCol w:w="1842"/>
        <w:gridCol w:w="1809"/>
      </w:tblGrid>
      <w:tr>
        <w:trPr>
          <w:trHeight w:val="1563"/>
        </w:trPr>
        <w:tc>
          <w:tcPr>
            <w:tcW w:w="534" w:type="dxa"/>
            <w:shd w:val="clear" w:color="auto" w:fill="auto"/>
            <w:vAlign w:val="center"/>
          </w:tcPr>
          <w:p>
            <w:pPr>
              <w:jc w:val="center"/>
              <w:rPr>
                <w:rFonts w:ascii="Times New Roman" w:hAnsi="Times New Roman"/>
                <w:noProof/>
                <w:sz w:val="24"/>
                <w:szCs w:val="24"/>
              </w:rPr>
            </w:pPr>
          </w:p>
        </w:tc>
        <w:tc>
          <w:tcPr>
            <w:tcW w:w="1842" w:type="dxa"/>
            <w:shd w:val="clear" w:color="auto" w:fill="auto"/>
            <w:vAlign w:val="center"/>
          </w:tcPr>
          <w:p>
            <w:pPr>
              <w:jc w:val="center"/>
              <w:rPr>
                <w:rFonts w:ascii="Times New Roman" w:hAnsi="Times New Roman"/>
                <w:b/>
                <w:noProof/>
                <w:sz w:val="24"/>
                <w:szCs w:val="24"/>
              </w:rPr>
            </w:pPr>
            <w:r>
              <w:rPr>
                <w:rFonts w:ascii="Times New Roman" w:hAnsi="Times New Roman"/>
                <w:b/>
                <w:noProof/>
                <w:sz w:val="24"/>
              </w:rPr>
              <w:t>Document de la Commission</w:t>
            </w:r>
          </w:p>
        </w:tc>
        <w:tc>
          <w:tcPr>
            <w:tcW w:w="3261" w:type="dxa"/>
            <w:shd w:val="clear" w:color="auto" w:fill="auto"/>
            <w:vAlign w:val="center"/>
          </w:tcPr>
          <w:p>
            <w:pPr>
              <w:jc w:val="center"/>
              <w:rPr>
                <w:rFonts w:ascii="Times New Roman" w:hAnsi="Times New Roman"/>
                <w:b/>
                <w:noProof/>
                <w:sz w:val="24"/>
                <w:szCs w:val="24"/>
              </w:rPr>
            </w:pPr>
            <w:r>
              <w:rPr>
                <w:rFonts w:ascii="Times New Roman" w:hAnsi="Times New Roman"/>
                <w:b/>
                <w:noProof/>
                <w:sz w:val="24"/>
              </w:rPr>
              <w:t>Intitulé</w:t>
            </w:r>
          </w:p>
        </w:tc>
        <w:tc>
          <w:tcPr>
            <w:tcW w:w="1842" w:type="dxa"/>
            <w:shd w:val="clear" w:color="auto" w:fill="auto"/>
            <w:vAlign w:val="center"/>
          </w:tcPr>
          <w:p>
            <w:pPr>
              <w:jc w:val="center"/>
              <w:rPr>
                <w:rFonts w:ascii="Times New Roman" w:hAnsi="Times New Roman"/>
                <w:b/>
                <w:noProof/>
                <w:sz w:val="24"/>
                <w:szCs w:val="24"/>
              </w:rPr>
            </w:pPr>
            <w:r>
              <w:rPr>
                <w:rFonts w:ascii="Times New Roman" w:hAnsi="Times New Roman"/>
                <w:b/>
                <w:noProof/>
                <w:sz w:val="24"/>
              </w:rPr>
              <w:t>Nombre total d'avis</w:t>
            </w:r>
            <w:r>
              <w:rPr>
                <w:rFonts w:ascii="Times New Roman" w:hAnsi="Times New Roman"/>
                <w:b/>
                <w:noProof/>
                <w:sz w:val="24"/>
                <w:vertAlign w:val="superscript"/>
              </w:rPr>
              <w:footnoteReference w:id="7"/>
            </w:r>
          </w:p>
        </w:tc>
        <w:tc>
          <w:tcPr>
            <w:tcW w:w="1809" w:type="dxa"/>
            <w:shd w:val="clear" w:color="auto" w:fill="auto"/>
            <w:vAlign w:val="center"/>
          </w:tcPr>
          <w:p>
            <w:pPr>
              <w:jc w:val="center"/>
              <w:rPr>
                <w:rFonts w:ascii="Times New Roman" w:hAnsi="Times New Roman"/>
                <w:b/>
                <w:noProof/>
                <w:sz w:val="24"/>
                <w:szCs w:val="24"/>
              </w:rPr>
            </w:pPr>
            <w:r>
              <w:rPr>
                <w:rFonts w:ascii="Times New Roman" w:hAnsi="Times New Roman"/>
                <w:b/>
                <w:noProof/>
                <w:sz w:val="24"/>
              </w:rPr>
              <w:t>Dont avis motivés (protocole n° 2)</w:t>
            </w:r>
            <w:r>
              <w:rPr>
                <w:rFonts w:ascii="Times New Roman" w:hAnsi="Times New Roman"/>
                <w:b/>
                <w:noProof/>
                <w:sz w:val="24"/>
                <w:vertAlign w:val="superscript"/>
              </w:rPr>
              <w:footnoteReference w:id="8"/>
            </w:r>
          </w:p>
        </w:tc>
      </w:tr>
      <w:tr>
        <w:trPr>
          <w:trHeight w:val="3202"/>
        </w:trPr>
        <w:tc>
          <w:tcPr>
            <w:tcW w:w="534" w:type="dxa"/>
            <w:shd w:val="clear" w:color="auto" w:fill="auto"/>
          </w:tcPr>
          <w:p>
            <w:pPr>
              <w:rPr>
                <w:rFonts w:ascii="Times New Roman" w:hAnsi="Times New Roman"/>
                <w:noProof/>
              </w:rPr>
            </w:pPr>
            <w:r>
              <w:rPr>
                <w:rFonts w:ascii="Times New Roman" w:hAnsi="Times New Roman"/>
                <w:noProof/>
              </w:rPr>
              <w:t>1</w:t>
            </w:r>
          </w:p>
        </w:tc>
        <w:tc>
          <w:tcPr>
            <w:tcW w:w="1842" w:type="dxa"/>
            <w:shd w:val="clear" w:color="auto" w:fill="auto"/>
          </w:tcPr>
          <w:p>
            <w:pPr>
              <w:rPr>
                <w:rFonts w:ascii="Times New Roman" w:hAnsi="Times New Roman"/>
                <w:noProof/>
              </w:rPr>
            </w:pPr>
            <w:r>
              <w:rPr>
                <w:rFonts w:ascii="Times New Roman" w:hAnsi="Times New Roman"/>
                <w:noProof/>
              </w:rPr>
              <w:t>COM(2014) 397</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modifiant la directive 2008/98/CE relative aux déchets, la directive 94/62/CE relative aux emballages et aux déchets d’emballages, la directive 1999/31/CE concernant la mise en décharge des déchets, la directive 2000/53/CE relative aux véhicules hors d’usage, la directive 2006/66/CE relative aux piles et accumulateurs ainsi qu’aux déchets de piles et d’accumulateurs et la directive 2012/19/UE relative aux déchets d’équipements électriques et électroniques</w:t>
            </w:r>
          </w:p>
        </w:tc>
        <w:tc>
          <w:tcPr>
            <w:tcW w:w="1842" w:type="dxa"/>
            <w:shd w:val="clear" w:color="auto" w:fill="auto"/>
          </w:tcPr>
          <w:p>
            <w:pPr>
              <w:jc w:val="center"/>
              <w:rPr>
                <w:rFonts w:ascii="Times New Roman" w:hAnsi="Times New Roman"/>
                <w:noProof/>
              </w:rPr>
            </w:pPr>
            <w:r>
              <w:rPr>
                <w:rFonts w:ascii="Times New Roman" w:hAnsi="Times New Roman"/>
                <w:noProof/>
              </w:rPr>
              <w:t>13</w:t>
            </w:r>
            <w:r>
              <w:rPr>
                <w:rFonts w:ascii="Times New Roman" w:hAnsi="Times New Roman"/>
                <w:noProof/>
                <w:vertAlign w:val="superscript"/>
              </w:rPr>
              <w:footnoteReference w:id="9"/>
            </w:r>
          </w:p>
        </w:tc>
        <w:tc>
          <w:tcPr>
            <w:tcW w:w="1809" w:type="dxa"/>
            <w:shd w:val="clear" w:color="auto" w:fill="auto"/>
          </w:tcPr>
          <w:p>
            <w:pPr>
              <w:jc w:val="center"/>
              <w:rPr>
                <w:rFonts w:ascii="Times New Roman" w:hAnsi="Times New Roman"/>
                <w:noProof/>
              </w:rPr>
            </w:pPr>
            <w:r>
              <w:rPr>
                <w:rFonts w:ascii="Times New Roman" w:hAnsi="Times New Roman"/>
                <w:noProof/>
              </w:rPr>
              <w:t>3</w:t>
            </w:r>
          </w:p>
        </w:tc>
      </w:tr>
      <w:tr>
        <w:tc>
          <w:tcPr>
            <w:tcW w:w="534" w:type="dxa"/>
            <w:shd w:val="clear" w:color="auto" w:fill="auto"/>
          </w:tcPr>
          <w:p>
            <w:pPr>
              <w:rPr>
                <w:rFonts w:ascii="Times New Roman" w:hAnsi="Times New Roman"/>
                <w:noProof/>
              </w:rPr>
            </w:pPr>
            <w:r>
              <w:rPr>
                <w:rFonts w:ascii="Times New Roman" w:hAnsi="Times New Roman"/>
                <w:noProof/>
              </w:rPr>
              <w:t>2</w:t>
            </w:r>
          </w:p>
        </w:tc>
        <w:tc>
          <w:tcPr>
            <w:tcW w:w="1842" w:type="dxa"/>
            <w:shd w:val="clear" w:color="auto" w:fill="auto"/>
          </w:tcPr>
          <w:p>
            <w:pPr>
              <w:rPr>
                <w:rFonts w:ascii="Times New Roman" w:hAnsi="Times New Roman"/>
                <w:noProof/>
              </w:rPr>
            </w:pPr>
            <w:r>
              <w:rPr>
                <w:rFonts w:ascii="Times New Roman" w:hAnsi="Times New Roman"/>
                <w:noProof/>
              </w:rPr>
              <w:t>COM(2014) 180</w:t>
            </w:r>
          </w:p>
          <w:p>
            <w:pPr>
              <w:rPr>
                <w:rFonts w:ascii="Times New Roman" w:hAnsi="Times New Roman"/>
                <w:noProof/>
              </w:rPr>
            </w:pPr>
          </w:p>
        </w:tc>
        <w:tc>
          <w:tcPr>
            <w:tcW w:w="3261" w:type="dxa"/>
            <w:shd w:val="clear" w:color="auto" w:fill="auto"/>
          </w:tcPr>
          <w:p>
            <w:pPr>
              <w:spacing w:after="0"/>
              <w:jc w:val="both"/>
              <w:rPr>
                <w:rFonts w:ascii="Times New Roman" w:hAnsi="Times New Roman"/>
                <w:noProof/>
              </w:rPr>
            </w:pPr>
            <w:r>
              <w:rPr>
                <w:rFonts w:ascii="Times New Roman" w:hAnsi="Times New Roman"/>
                <w:noProof/>
                <w:bdr w:val="none" w:sz="0" w:space="0" w:color="auto" w:frame="1"/>
              </w:rPr>
              <w:t xml:space="preserve">Proposition de règlement relatif à la production biologique et à l’étiquetage des produits biologiques, modifiant le règlement (UE) n° XXX/XXX </w:t>
            </w:r>
          </w:p>
        </w:tc>
        <w:tc>
          <w:tcPr>
            <w:tcW w:w="1842" w:type="dxa"/>
            <w:shd w:val="clear" w:color="auto" w:fill="auto"/>
          </w:tcPr>
          <w:p>
            <w:pPr>
              <w:jc w:val="center"/>
              <w:rPr>
                <w:rFonts w:ascii="Times New Roman" w:hAnsi="Times New Roman"/>
                <w:noProof/>
              </w:rPr>
            </w:pPr>
            <w:r>
              <w:rPr>
                <w:rFonts w:ascii="Times New Roman" w:hAnsi="Times New Roman"/>
                <w:noProof/>
              </w:rPr>
              <w:t>12</w:t>
            </w:r>
            <w:r>
              <w:rPr>
                <w:rFonts w:ascii="Times New Roman" w:hAnsi="Times New Roman"/>
                <w:noProof/>
                <w:vertAlign w:val="superscript"/>
              </w:rPr>
              <w:footnoteReference w:id="10"/>
            </w:r>
          </w:p>
        </w:tc>
        <w:tc>
          <w:tcPr>
            <w:tcW w:w="1809" w:type="dxa"/>
            <w:shd w:val="clear" w:color="auto" w:fill="auto"/>
          </w:tcPr>
          <w:p>
            <w:pPr>
              <w:jc w:val="center"/>
              <w:rPr>
                <w:rFonts w:ascii="Times New Roman" w:hAnsi="Times New Roman"/>
                <w:noProof/>
              </w:rPr>
            </w:pPr>
            <w:r>
              <w:rPr>
                <w:rFonts w:ascii="Times New Roman" w:hAnsi="Times New Roman"/>
                <w:noProof/>
              </w:rPr>
              <w:t>2</w:t>
            </w:r>
          </w:p>
        </w:tc>
      </w:tr>
      <w:tr>
        <w:tc>
          <w:tcPr>
            <w:tcW w:w="534" w:type="dxa"/>
            <w:shd w:val="clear" w:color="auto" w:fill="auto"/>
          </w:tcPr>
          <w:p>
            <w:pPr>
              <w:rPr>
                <w:rFonts w:ascii="Times New Roman" w:hAnsi="Times New Roman"/>
                <w:noProof/>
              </w:rPr>
            </w:pPr>
            <w:r>
              <w:rPr>
                <w:rFonts w:ascii="Times New Roman" w:hAnsi="Times New Roman"/>
                <w:noProof/>
              </w:rPr>
              <w:t>3</w:t>
            </w:r>
          </w:p>
        </w:tc>
        <w:tc>
          <w:tcPr>
            <w:tcW w:w="1842" w:type="dxa"/>
            <w:shd w:val="clear" w:color="auto" w:fill="auto"/>
          </w:tcPr>
          <w:p>
            <w:pPr>
              <w:rPr>
                <w:rFonts w:ascii="Times New Roman" w:hAnsi="Times New Roman"/>
                <w:noProof/>
              </w:rPr>
            </w:pPr>
            <w:r>
              <w:rPr>
                <w:rFonts w:ascii="Times New Roman" w:hAnsi="Times New Roman"/>
                <w:noProof/>
              </w:rPr>
              <w:t>COM(2013) 534</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règlement du Conseil portant création du Parquet européen</w:t>
            </w:r>
          </w:p>
        </w:tc>
        <w:tc>
          <w:tcPr>
            <w:tcW w:w="1842" w:type="dxa"/>
            <w:shd w:val="clear" w:color="auto" w:fill="auto"/>
          </w:tcPr>
          <w:p>
            <w:pPr>
              <w:jc w:val="center"/>
              <w:rPr>
                <w:rFonts w:ascii="Times New Roman" w:hAnsi="Times New Roman"/>
                <w:noProof/>
              </w:rPr>
            </w:pPr>
            <w:r>
              <w:rPr>
                <w:rFonts w:ascii="Times New Roman" w:hAnsi="Times New Roman"/>
                <w:noProof/>
              </w:rPr>
              <w:t>10</w:t>
            </w:r>
          </w:p>
        </w:tc>
        <w:tc>
          <w:tcPr>
            <w:tcW w:w="1809" w:type="dxa"/>
            <w:shd w:val="clear" w:color="auto" w:fill="auto"/>
          </w:tcPr>
          <w:p>
            <w:pPr>
              <w:jc w:val="center"/>
              <w:rPr>
                <w:rFonts w:ascii="Times New Roman" w:hAnsi="Times New Roman"/>
                <w:noProof/>
              </w:rPr>
            </w:pPr>
            <w:r>
              <w:rPr>
                <w:rFonts w:ascii="Times New Roman" w:hAnsi="Times New Roman"/>
                <w:noProof/>
              </w:rPr>
              <w:t>0</w:t>
            </w:r>
          </w:p>
        </w:tc>
      </w:tr>
      <w:tr>
        <w:tc>
          <w:tcPr>
            <w:tcW w:w="534" w:type="dxa"/>
            <w:shd w:val="clear" w:color="auto" w:fill="auto"/>
          </w:tcPr>
          <w:p>
            <w:pPr>
              <w:rPr>
                <w:rFonts w:ascii="Times New Roman" w:hAnsi="Times New Roman"/>
                <w:noProof/>
              </w:rPr>
            </w:pPr>
            <w:r>
              <w:rPr>
                <w:rFonts w:ascii="Times New Roman" w:hAnsi="Times New Roman"/>
                <w:noProof/>
              </w:rPr>
              <w:t>4</w:t>
            </w:r>
          </w:p>
        </w:tc>
        <w:tc>
          <w:tcPr>
            <w:tcW w:w="1842" w:type="dxa"/>
            <w:shd w:val="clear" w:color="auto" w:fill="auto"/>
          </w:tcPr>
          <w:p>
            <w:pPr>
              <w:rPr>
                <w:rFonts w:ascii="Times New Roman" w:hAnsi="Times New Roman"/>
                <w:noProof/>
              </w:rPr>
            </w:pPr>
            <w:r>
              <w:rPr>
                <w:rFonts w:ascii="Times New Roman" w:hAnsi="Times New Roman"/>
                <w:noProof/>
              </w:rPr>
              <w:t>COM(2013) 822</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relative à la mise en place de garanties procédurales en faveur des enfants soupçonnés ou poursuivis dans le cadre des procédures pénales</w:t>
            </w:r>
          </w:p>
        </w:tc>
        <w:tc>
          <w:tcPr>
            <w:tcW w:w="1842" w:type="dxa"/>
            <w:shd w:val="clear" w:color="auto" w:fill="auto"/>
          </w:tcPr>
          <w:p>
            <w:pPr>
              <w:jc w:val="center"/>
              <w:rPr>
                <w:rFonts w:ascii="Times New Roman" w:hAnsi="Times New Roman"/>
                <w:noProof/>
              </w:rPr>
            </w:pPr>
            <w:r>
              <w:rPr>
                <w:rFonts w:ascii="Times New Roman" w:hAnsi="Times New Roman"/>
                <w:noProof/>
              </w:rPr>
              <w:t>9</w:t>
            </w:r>
            <w:r>
              <w:rPr>
                <w:rFonts w:ascii="Times New Roman" w:hAnsi="Times New Roman"/>
                <w:noProof/>
                <w:vertAlign w:val="superscript"/>
              </w:rPr>
              <w:footnoteReference w:id="11"/>
            </w:r>
          </w:p>
        </w:tc>
        <w:tc>
          <w:tcPr>
            <w:tcW w:w="1809" w:type="dxa"/>
            <w:shd w:val="clear" w:color="auto" w:fill="auto"/>
          </w:tcPr>
          <w:p>
            <w:pPr>
              <w:jc w:val="center"/>
              <w:rPr>
                <w:rFonts w:ascii="Times New Roman" w:hAnsi="Times New Roman"/>
                <w:noProof/>
              </w:rPr>
            </w:pPr>
            <w:r>
              <w:rPr>
                <w:rFonts w:ascii="Times New Roman" w:hAnsi="Times New Roman"/>
                <w:noProof/>
              </w:rPr>
              <w:t>1</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3261"/>
        <w:gridCol w:w="1842"/>
        <w:gridCol w:w="1809"/>
      </w:tblGrid>
      <w:tr>
        <w:tc>
          <w:tcPr>
            <w:tcW w:w="534" w:type="dxa"/>
            <w:shd w:val="clear" w:color="auto" w:fill="auto"/>
          </w:tcPr>
          <w:p>
            <w:pPr>
              <w:rPr>
                <w:rFonts w:ascii="Times New Roman" w:hAnsi="Times New Roman"/>
                <w:noProof/>
              </w:rPr>
            </w:pPr>
            <w:r>
              <w:rPr>
                <w:rFonts w:ascii="Times New Roman" w:hAnsi="Times New Roman"/>
                <w:noProof/>
              </w:rPr>
              <w:t>5</w:t>
            </w:r>
          </w:p>
        </w:tc>
        <w:tc>
          <w:tcPr>
            <w:tcW w:w="1842" w:type="dxa"/>
            <w:shd w:val="clear" w:color="auto" w:fill="auto"/>
          </w:tcPr>
          <w:p>
            <w:pPr>
              <w:rPr>
                <w:rFonts w:ascii="Times New Roman" w:hAnsi="Times New Roman"/>
                <w:noProof/>
              </w:rPr>
            </w:pPr>
            <w:r>
              <w:rPr>
                <w:rFonts w:ascii="Times New Roman" w:hAnsi="Times New Roman"/>
                <w:noProof/>
              </w:rPr>
              <w:t>COM(2013) 821</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portant renforcement de certains aspects de la présomption d’innocence et du droit d’assister à son procès dans le cadre des procédures pénales</w:t>
            </w:r>
          </w:p>
        </w:tc>
        <w:tc>
          <w:tcPr>
            <w:tcW w:w="1842" w:type="dxa"/>
            <w:shd w:val="clear" w:color="auto" w:fill="auto"/>
          </w:tcPr>
          <w:p>
            <w:pPr>
              <w:jc w:val="center"/>
              <w:rPr>
                <w:rFonts w:ascii="Times New Roman" w:hAnsi="Times New Roman"/>
                <w:noProof/>
              </w:rPr>
            </w:pPr>
            <w:r>
              <w:rPr>
                <w:rFonts w:ascii="Times New Roman" w:hAnsi="Times New Roman"/>
                <w:noProof/>
              </w:rPr>
              <w:t>8</w:t>
            </w:r>
            <w:r>
              <w:rPr>
                <w:rFonts w:ascii="Times New Roman" w:hAnsi="Times New Roman"/>
                <w:noProof/>
                <w:vertAlign w:val="superscript"/>
              </w:rPr>
              <w:footnoteReference w:id="12"/>
            </w:r>
          </w:p>
        </w:tc>
        <w:tc>
          <w:tcPr>
            <w:tcW w:w="1809" w:type="dxa"/>
            <w:shd w:val="clear" w:color="auto" w:fill="auto"/>
          </w:tcPr>
          <w:p>
            <w:pPr>
              <w:jc w:val="center"/>
              <w:rPr>
                <w:rFonts w:ascii="Times New Roman" w:hAnsi="Times New Roman"/>
                <w:noProof/>
              </w:rPr>
            </w:pPr>
            <w:r>
              <w:rPr>
                <w:rFonts w:ascii="Times New Roman" w:hAnsi="Times New Roman"/>
                <w:noProof/>
              </w:rPr>
              <w:t>1</w:t>
            </w:r>
          </w:p>
        </w:tc>
      </w:tr>
      <w:tr>
        <w:tc>
          <w:tcPr>
            <w:tcW w:w="534" w:type="dxa"/>
            <w:shd w:val="clear" w:color="auto" w:fill="auto"/>
          </w:tcPr>
          <w:p>
            <w:pPr>
              <w:rPr>
                <w:rFonts w:ascii="Times New Roman" w:hAnsi="Times New Roman"/>
                <w:noProof/>
              </w:rPr>
            </w:pPr>
            <w:r>
              <w:rPr>
                <w:rFonts w:ascii="Times New Roman" w:hAnsi="Times New Roman"/>
                <w:noProof/>
              </w:rPr>
              <w:t>6</w:t>
            </w:r>
          </w:p>
        </w:tc>
        <w:tc>
          <w:tcPr>
            <w:tcW w:w="1842" w:type="dxa"/>
            <w:shd w:val="clear" w:color="auto" w:fill="auto"/>
          </w:tcPr>
          <w:p>
            <w:pPr>
              <w:rPr>
                <w:rFonts w:ascii="Times New Roman" w:hAnsi="Times New Roman"/>
                <w:noProof/>
              </w:rPr>
            </w:pPr>
            <w:r>
              <w:rPr>
                <w:rFonts w:ascii="Times New Roman" w:hAnsi="Times New Roman"/>
                <w:noProof/>
              </w:rPr>
              <w:t>COM(2014) 167</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concernant les activités et la surveillance des institutions de retraite professionnelle (refonte)</w:t>
            </w:r>
          </w:p>
        </w:tc>
        <w:tc>
          <w:tcPr>
            <w:tcW w:w="1842" w:type="dxa"/>
            <w:shd w:val="clear" w:color="auto" w:fill="auto"/>
          </w:tcPr>
          <w:p>
            <w:pPr>
              <w:jc w:val="center"/>
              <w:rPr>
                <w:rFonts w:ascii="Times New Roman" w:hAnsi="Times New Roman"/>
                <w:noProof/>
              </w:rPr>
            </w:pPr>
            <w:r>
              <w:rPr>
                <w:rFonts w:ascii="Times New Roman" w:hAnsi="Times New Roman"/>
                <w:noProof/>
              </w:rPr>
              <w:t>8</w:t>
            </w:r>
            <w:r>
              <w:rPr>
                <w:rFonts w:ascii="Times New Roman" w:hAnsi="Times New Roman"/>
                <w:noProof/>
                <w:vertAlign w:val="superscript"/>
              </w:rPr>
              <w:footnoteReference w:id="13"/>
            </w:r>
          </w:p>
        </w:tc>
        <w:tc>
          <w:tcPr>
            <w:tcW w:w="1809" w:type="dxa"/>
            <w:shd w:val="clear" w:color="auto" w:fill="auto"/>
          </w:tcPr>
          <w:p>
            <w:pPr>
              <w:jc w:val="center"/>
              <w:rPr>
                <w:rFonts w:ascii="Times New Roman" w:hAnsi="Times New Roman"/>
                <w:noProof/>
              </w:rPr>
            </w:pPr>
            <w:r>
              <w:rPr>
                <w:rFonts w:ascii="Times New Roman" w:hAnsi="Times New Roman"/>
                <w:noProof/>
              </w:rPr>
              <w:t>1</w:t>
            </w:r>
          </w:p>
        </w:tc>
      </w:tr>
      <w:tr>
        <w:tc>
          <w:tcPr>
            <w:tcW w:w="534" w:type="dxa"/>
            <w:shd w:val="clear" w:color="auto" w:fill="auto"/>
          </w:tcPr>
          <w:p>
            <w:pPr>
              <w:rPr>
                <w:rFonts w:ascii="Times New Roman" w:hAnsi="Times New Roman"/>
                <w:noProof/>
              </w:rPr>
            </w:pPr>
            <w:r>
              <w:rPr>
                <w:rFonts w:ascii="Times New Roman" w:hAnsi="Times New Roman"/>
                <w:noProof/>
              </w:rPr>
              <w:t>7</w:t>
            </w:r>
          </w:p>
        </w:tc>
        <w:tc>
          <w:tcPr>
            <w:tcW w:w="1842" w:type="dxa"/>
            <w:shd w:val="clear" w:color="auto" w:fill="auto"/>
          </w:tcPr>
          <w:p>
            <w:pPr>
              <w:rPr>
                <w:rFonts w:ascii="Times New Roman" w:hAnsi="Times New Roman"/>
                <w:noProof/>
              </w:rPr>
            </w:pPr>
            <w:r>
              <w:rPr>
                <w:rFonts w:ascii="Times New Roman" w:hAnsi="Times New Roman"/>
                <w:noProof/>
              </w:rPr>
              <w:t>COM(2013) 919</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relative à la limitation des émissions de certains polluants dans l'atmosphère en provenance des installations de combustion moyennes</w:t>
            </w:r>
          </w:p>
        </w:tc>
        <w:tc>
          <w:tcPr>
            <w:tcW w:w="1842" w:type="dxa"/>
            <w:shd w:val="clear" w:color="auto" w:fill="auto"/>
          </w:tcPr>
          <w:p>
            <w:pPr>
              <w:jc w:val="center"/>
              <w:rPr>
                <w:rFonts w:ascii="Times New Roman" w:hAnsi="Times New Roman"/>
                <w:noProof/>
              </w:rPr>
            </w:pPr>
            <w:r>
              <w:rPr>
                <w:rFonts w:ascii="Times New Roman" w:hAnsi="Times New Roman"/>
                <w:noProof/>
              </w:rPr>
              <w:t>8</w:t>
            </w:r>
            <w:r>
              <w:rPr>
                <w:rFonts w:ascii="Times New Roman" w:hAnsi="Times New Roman"/>
                <w:noProof/>
                <w:vertAlign w:val="superscript"/>
              </w:rPr>
              <w:footnoteReference w:id="14"/>
            </w:r>
          </w:p>
        </w:tc>
        <w:tc>
          <w:tcPr>
            <w:tcW w:w="1809" w:type="dxa"/>
            <w:shd w:val="clear" w:color="auto" w:fill="auto"/>
          </w:tcPr>
          <w:p>
            <w:pPr>
              <w:jc w:val="center"/>
              <w:rPr>
                <w:rFonts w:ascii="Times New Roman" w:hAnsi="Times New Roman"/>
                <w:noProof/>
              </w:rPr>
            </w:pPr>
            <w:r>
              <w:rPr>
                <w:rFonts w:ascii="Times New Roman" w:hAnsi="Times New Roman"/>
                <w:noProof/>
              </w:rPr>
              <w:t>0</w:t>
            </w:r>
          </w:p>
        </w:tc>
      </w:tr>
      <w:tr>
        <w:tc>
          <w:tcPr>
            <w:tcW w:w="534" w:type="dxa"/>
            <w:shd w:val="clear" w:color="auto" w:fill="auto"/>
          </w:tcPr>
          <w:p>
            <w:pPr>
              <w:rPr>
                <w:rFonts w:ascii="Times New Roman" w:hAnsi="Times New Roman"/>
                <w:noProof/>
              </w:rPr>
            </w:pPr>
            <w:r>
              <w:rPr>
                <w:rFonts w:ascii="Times New Roman" w:hAnsi="Times New Roman"/>
                <w:noProof/>
              </w:rPr>
              <w:t>8</w:t>
            </w:r>
          </w:p>
        </w:tc>
        <w:tc>
          <w:tcPr>
            <w:tcW w:w="1842" w:type="dxa"/>
            <w:shd w:val="clear" w:color="auto" w:fill="auto"/>
          </w:tcPr>
          <w:p>
            <w:pPr>
              <w:rPr>
                <w:rFonts w:ascii="Times New Roman" w:hAnsi="Times New Roman"/>
                <w:noProof/>
              </w:rPr>
            </w:pPr>
            <w:r>
              <w:rPr>
                <w:rFonts w:ascii="Times New Roman" w:hAnsi="Times New Roman"/>
                <w:noProof/>
              </w:rPr>
              <w:t>COM(2013) 920</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concernant la réduction des émissions nationales de certains polluants atmosphériques et modifiant la directive 2003/35/CE</w:t>
            </w:r>
          </w:p>
        </w:tc>
        <w:tc>
          <w:tcPr>
            <w:tcW w:w="1842" w:type="dxa"/>
            <w:shd w:val="clear" w:color="auto" w:fill="auto"/>
          </w:tcPr>
          <w:p>
            <w:pPr>
              <w:jc w:val="center"/>
              <w:rPr>
                <w:rFonts w:ascii="Times New Roman" w:hAnsi="Times New Roman"/>
                <w:noProof/>
              </w:rPr>
            </w:pPr>
            <w:r>
              <w:rPr>
                <w:rFonts w:ascii="Times New Roman" w:hAnsi="Times New Roman"/>
                <w:noProof/>
              </w:rPr>
              <w:t>8</w:t>
            </w:r>
            <w:r>
              <w:rPr>
                <w:rFonts w:ascii="Times New Roman" w:hAnsi="Times New Roman"/>
                <w:noProof/>
                <w:vertAlign w:val="superscript"/>
              </w:rPr>
              <w:footnoteReference w:id="15"/>
            </w:r>
          </w:p>
        </w:tc>
        <w:tc>
          <w:tcPr>
            <w:tcW w:w="1809" w:type="dxa"/>
            <w:shd w:val="clear" w:color="auto" w:fill="auto"/>
          </w:tcPr>
          <w:p>
            <w:pPr>
              <w:jc w:val="center"/>
              <w:rPr>
                <w:rFonts w:ascii="Times New Roman" w:hAnsi="Times New Roman"/>
                <w:noProof/>
              </w:rPr>
            </w:pPr>
            <w:r>
              <w:rPr>
                <w:rFonts w:ascii="Times New Roman" w:hAnsi="Times New Roman"/>
                <w:noProof/>
              </w:rPr>
              <w:t>0</w:t>
            </w:r>
          </w:p>
        </w:tc>
      </w:tr>
      <w:tr>
        <w:tc>
          <w:tcPr>
            <w:tcW w:w="534" w:type="dxa"/>
            <w:shd w:val="clear" w:color="auto" w:fill="auto"/>
          </w:tcPr>
          <w:p>
            <w:pPr>
              <w:rPr>
                <w:rFonts w:ascii="Times New Roman" w:hAnsi="Times New Roman"/>
                <w:noProof/>
              </w:rPr>
            </w:pPr>
            <w:r>
              <w:rPr>
                <w:rFonts w:ascii="Times New Roman" w:hAnsi="Times New Roman"/>
                <w:noProof/>
              </w:rPr>
              <w:t>9</w:t>
            </w:r>
          </w:p>
        </w:tc>
        <w:tc>
          <w:tcPr>
            <w:tcW w:w="1842" w:type="dxa"/>
            <w:shd w:val="clear" w:color="auto" w:fill="auto"/>
          </w:tcPr>
          <w:p>
            <w:pPr>
              <w:rPr>
                <w:rFonts w:ascii="Times New Roman" w:hAnsi="Times New Roman"/>
                <w:noProof/>
              </w:rPr>
            </w:pPr>
            <w:r>
              <w:rPr>
                <w:rFonts w:ascii="Times New Roman" w:hAnsi="Times New Roman"/>
                <w:noProof/>
              </w:rPr>
              <w:t>COM(2014) 130</w:t>
            </w:r>
          </w:p>
        </w:tc>
        <w:tc>
          <w:tcPr>
            <w:tcW w:w="3261" w:type="dxa"/>
            <w:shd w:val="clear" w:color="auto" w:fill="auto"/>
          </w:tcPr>
          <w:p>
            <w:pPr>
              <w:spacing w:after="0"/>
              <w:jc w:val="both"/>
              <w:rPr>
                <w:rFonts w:ascii="Times New Roman" w:hAnsi="Times New Roman"/>
                <w:noProof/>
              </w:rPr>
            </w:pPr>
            <w:r>
              <w:rPr>
                <w:rFonts w:ascii="Times New Roman" w:hAnsi="Times New Roman"/>
                <w:noProof/>
              </w:rPr>
              <w:t>Communication de la Commission au Parlement européen, au Conseil, au Comité économique et social européen et au Comité des régions - État des lieux de la stratégie Europe 2020 pour une croissance intelligente, durable et inclusive</w:t>
            </w:r>
          </w:p>
        </w:tc>
        <w:tc>
          <w:tcPr>
            <w:tcW w:w="1842" w:type="dxa"/>
            <w:shd w:val="clear" w:color="auto" w:fill="auto"/>
          </w:tcPr>
          <w:p>
            <w:pPr>
              <w:jc w:val="center"/>
              <w:rPr>
                <w:rFonts w:ascii="Times New Roman" w:hAnsi="Times New Roman"/>
                <w:noProof/>
              </w:rPr>
            </w:pPr>
            <w:r>
              <w:rPr>
                <w:rFonts w:ascii="Times New Roman" w:hAnsi="Times New Roman"/>
                <w:noProof/>
              </w:rPr>
              <w:t>8</w:t>
            </w:r>
            <w:r>
              <w:rPr>
                <w:rFonts w:ascii="Times New Roman" w:hAnsi="Times New Roman"/>
                <w:noProof/>
                <w:vertAlign w:val="superscript"/>
              </w:rPr>
              <w:footnoteReference w:id="16"/>
            </w:r>
          </w:p>
        </w:tc>
        <w:tc>
          <w:tcPr>
            <w:tcW w:w="1809" w:type="dxa"/>
            <w:shd w:val="clear" w:color="auto" w:fill="auto"/>
          </w:tcPr>
          <w:p>
            <w:pPr>
              <w:jc w:val="center"/>
              <w:rPr>
                <w:rFonts w:ascii="Times New Roman" w:hAnsi="Times New Roman"/>
                <w:noProof/>
              </w:rPr>
            </w:pPr>
            <w:r>
              <w:rPr>
                <w:rFonts w:ascii="Times New Roman" w:hAnsi="Times New Roman"/>
                <w:noProof/>
              </w:rPr>
              <w:t>0</w:t>
            </w:r>
          </w:p>
        </w:tc>
      </w:tr>
      <w:tr>
        <w:tc>
          <w:tcPr>
            <w:tcW w:w="534" w:type="dxa"/>
            <w:shd w:val="clear" w:color="auto" w:fill="auto"/>
          </w:tcPr>
          <w:p>
            <w:pPr>
              <w:rPr>
                <w:rFonts w:ascii="Times New Roman" w:hAnsi="Times New Roman"/>
                <w:noProof/>
              </w:rPr>
            </w:pPr>
            <w:r>
              <w:rPr>
                <w:rFonts w:ascii="Times New Roman" w:hAnsi="Times New Roman"/>
                <w:noProof/>
              </w:rPr>
              <w:t>10</w:t>
            </w:r>
          </w:p>
        </w:tc>
        <w:tc>
          <w:tcPr>
            <w:tcW w:w="1842" w:type="dxa"/>
            <w:shd w:val="clear" w:color="auto" w:fill="auto"/>
          </w:tcPr>
          <w:p>
            <w:pPr>
              <w:rPr>
                <w:rFonts w:ascii="Times New Roman" w:hAnsi="Times New Roman"/>
                <w:noProof/>
              </w:rPr>
            </w:pPr>
            <w:r>
              <w:rPr>
                <w:rFonts w:ascii="Times New Roman" w:hAnsi="Times New Roman"/>
                <w:noProof/>
              </w:rPr>
              <w:t>COM(2013) 893</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du Conseil relative à la mise sur le marché des denrées alimentaires obtenues à partir d'animaux clonés</w:t>
            </w:r>
          </w:p>
        </w:tc>
        <w:tc>
          <w:tcPr>
            <w:tcW w:w="1842" w:type="dxa"/>
            <w:shd w:val="clear" w:color="auto" w:fill="auto"/>
          </w:tcPr>
          <w:p>
            <w:pPr>
              <w:jc w:val="center"/>
              <w:rPr>
                <w:rFonts w:ascii="Times New Roman" w:hAnsi="Times New Roman"/>
                <w:noProof/>
              </w:rPr>
            </w:pPr>
            <w:r>
              <w:rPr>
                <w:rFonts w:ascii="Times New Roman" w:hAnsi="Times New Roman"/>
                <w:noProof/>
              </w:rPr>
              <w:t>7</w:t>
            </w:r>
            <w:r>
              <w:rPr>
                <w:rFonts w:ascii="Times New Roman" w:hAnsi="Times New Roman"/>
                <w:noProof/>
                <w:vertAlign w:val="superscript"/>
              </w:rPr>
              <w:footnoteReference w:id="17"/>
            </w:r>
          </w:p>
        </w:tc>
        <w:tc>
          <w:tcPr>
            <w:tcW w:w="1809" w:type="dxa"/>
            <w:shd w:val="clear" w:color="auto" w:fill="auto"/>
          </w:tcPr>
          <w:p>
            <w:pPr>
              <w:jc w:val="center"/>
              <w:rPr>
                <w:rFonts w:ascii="Times New Roman" w:hAnsi="Times New Roman"/>
                <w:noProof/>
              </w:rPr>
            </w:pPr>
            <w:r>
              <w:rPr>
                <w:rFonts w:ascii="Times New Roman" w:hAnsi="Times New Roman"/>
                <w:noProof/>
              </w:rPr>
              <w:t>1</w:t>
            </w:r>
          </w:p>
        </w:tc>
      </w:tr>
      <w:tr>
        <w:tc>
          <w:tcPr>
            <w:tcW w:w="534" w:type="dxa"/>
            <w:shd w:val="clear" w:color="auto" w:fill="auto"/>
          </w:tcPr>
          <w:p>
            <w:pPr>
              <w:rPr>
                <w:rFonts w:ascii="Times New Roman" w:hAnsi="Times New Roman"/>
                <w:noProof/>
              </w:rPr>
            </w:pPr>
            <w:r>
              <w:rPr>
                <w:rFonts w:ascii="Times New Roman" w:hAnsi="Times New Roman"/>
                <w:noProof/>
              </w:rPr>
              <w:t>11</w:t>
            </w:r>
          </w:p>
        </w:tc>
        <w:tc>
          <w:tcPr>
            <w:tcW w:w="1842" w:type="dxa"/>
            <w:shd w:val="clear" w:color="auto" w:fill="auto"/>
          </w:tcPr>
          <w:p>
            <w:pPr>
              <w:rPr>
                <w:rFonts w:ascii="Times New Roman" w:hAnsi="Times New Roman"/>
                <w:noProof/>
              </w:rPr>
            </w:pPr>
            <w:r>
              <w:rPr>
                <w:rFonts w:ascii="Times New Roman" w:hAnsi="Times New Roman"/>
                <w:noProof/>
              </w:rPr>
              <w:t>COM(2014) 212</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relative aux sociétés unipersonnelles à responsabilité limitée</w:t>
            </w:r>
          </w:p>
        </w:tc>
        <w:tc>
          <w:tcPr>
            <w:tcW w:w="1842" w:type="dxa"/>
            <w:shd w:val="clear" w:color="auto" w:fill="auto"/>
          </w:tcPr>
          <w:p>
            <w:pPr>
              <w:jc w:val="center"/>
              <w:rPr>
                <w:rFonts w:ascii="Times New Roman" w:hAnsi="Times New Roman"/>
                <w:noProof/>
              </w:rPr>
            </w:pPr>
            <w:r>
              <w:rPr>
                <w:rFonts w:ascii="Times New Roman" w:hAnsi="Times New Roman"/>
                <w:noProof/>
              </w:rPr>
              <w:t>7</w:t>
            </w:r>
            <w:r>
              <w:rPr>
                <w:rFonts w:ascii="Times New Roman" w:hAnsi="Times New Roman"/>
                <w:noProof/>
                <w:vertAlign w:val="superscript"/>
              </w:rPr>
              <w:footnoteReference w:id="18"/>
            </w:r>
          </w:p>
        </w:tc>
        <w:tc>
          <w:tcPr>
            <w:tcW w:w="1809" w:type="dxa"/>
            <w:shd w:val="clear" w:color="auto" w:fill="auto"/>
          </w:tcPr>
          <w:p>
            <w:pPr>
              <w:jc w:val="center"/>
              <w:rPr>
                <w:rFonts w:ascii="Times New Roman" w:hAnsi="Times New Roman"/>
                <w:noProof/>
              </w:rPr>
            </w:pPr>
            <w:r>
              <w:rPr>
                <w:rFonts w:ascii="Times New Roman" w:hAnsi="Times New Roman"/>
                <w:noProof/>
              </w:rPr>
              <w:t>2</w:t>
            </w:r>
          </w:p>
        </w:tc>
      </w:tr>
      <w:tr>
        <w:tc>
          <w:tcPr>
            <w:tcW w:w="534" w:type="dxa"/>
            <w:shd w:val="clear" w:color="auto" w:fill="auto"/>
          </w:tcPr>
          <w:p>
            <w:pPr>
              <w:rPr>
                <w:rFonts w:ascii="Times New Roman" w:hAnsi="Times New Roman"/>
                <w:noProof/>
              </w:rPr>
            </w:pPr>
            <w:r>
              <w:rPr>
                <w:rFonts w:ascii="Times New Roman" w:hAnsi="Times New Roman"/>
                <w:noProof/>
              </w:rPr>
              <w:t>12</w:t>
            </w:r>
          </w:p>
        </w:tc>
        <w:tc>
          <w:tcPr>
            <w:tcW w:w="1842" w:type="dxa"/>
            <w:shd w:val="clear" w:color="auto" w:fill="auto"/>
          </w:tcPr>
          <w:p>
            <w:pPr>
              <w:rPr>
                <w:rFonts w:ascii="Times New Roman" w:hAnsi="Times New Roman"/>
                <w:noProof/>
              </w:rPr>
            </w:pPr>
            <w:r>
              <w:rPr>
                <w:rFonts w:ascii="Times New Roman" w:hAnsi="Times New Roman"/>
                <w:noProof/>
              </w:rPr>
              <w:t>COM(2013) 884</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sur le cadre juridique de l'Union régissant les infractions douanières et les sanctions qui y sont applicables</w:t>
            </w:r>
          </w:p>
        </w:tc>
        <w:tc>
          <w:tcPr>
            <w:tcW w:w="1842" w:type="dxa"/>
            <w:shd w:val="clear" w:color="auto" w:fill="auto"/>
          </w:tcPr>
          <w:p>
            <w:pPr>
              <w:jc w:val="center"/>
              <w:rPr>
                <w:rFonts w:ascii="Times New Roman" w:hAnsi="Times New Roman"/>
                <w:noProof/>
              </w:rPr>
            </w:pPr>
            <w:r>
              <w:rPr>
                <w:rFonts w:ascii="Times New Roman" w:hAnsi="Times New Roman"/>
                <w:noProof/>
              </w:rPr>
              <w:t>6</w:t>
            </w:r>
          </w:p>
        </w:tc>
        <w:tc>
          <w:tcPr>
            <w:tcW w:w="1809" w:type="dxa"/>
            <w:shd w:val="clear" w:color="auto" w:fill="auto"/>
          </w:tcPr>
          <w:p>
            <w:pPr>
              <w:jc w:val="center"/>
              <w:rPr>
                <w:rFonts w:ascii="Times New Roman" w:hAnsi="Times New Roman"/>
                <w:noProof/>
              </w:rPr>
            </w:pPr>
            <w:r>
              <w:rPr>
                <w:rFonts w:ascii="Times New Roman" w:hAnsi="Times New Roman"/>
                <w:noProof/>
              </w:rPr>
              <w:t>3</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3261"/>
        <w:gridCol w:w="1842"/>
        <w:gridCol w:w="1809"/>
      </w:tblGrid>
      <w:tr>
        <w:tc>
          <w:tcPr>
            <w:tcW w:w="534" w:type="dxa"/>
            <w:shd w:val="clear" w:color="auto" w:fill="auto"/>
          </w:tcPr>
          <w:p>
            <w:pPr>
              <w:rPr>
                <w:rFonts w:ascii="Times New Roman" w:hAnsi="Times New Roman"/>
                <w:noProof/>
              </w:rPr>
            </w:pPr>
            <w:r>
              <w:rPr>
                <w:rFonts w:ascii="Times New Roman" w:hAnsi="Times New Roman"/>
                <w:noProof/>
              </w:rPr>
              <w:t>13</w:t>
            </w:r>
          </w:p>
        </w:tc>
        <w:tc>
          <w:tcPr>
            <w:tcW w:w="1842" w:type="dxa"/>
            <w:shd w:val="clear" w:color="auto" w:fill="auto"/>
          </w:tcPr>
          <w:p>
            <w:pPr>
              <w:rPr>
                <w:rFonts w:ascii="Times New Roman" w:hAnsi="Times New Roman"/>
                <w:noProof/>
              </w:rPr>
            </w:pPr>
            <w:r>
              <w:rPr>
                <w:rFonts w:ascii="Times New Roman" w:hAnsi="Times New Roman"/>
                <w:noProof/>
              </w:rPr>
              <w:t>COM(2013) 894</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règlement relatif aux nouveaux aliments</w:t>
            </w:r>
          </w:p>
        </w:tc>
        <w:tc>
          <w:tcPr>
            <w:tcW w:w="1842" w:type="dxa"/>
            <w:shd w:val="clear" w:color="auto" w:fill="auto"/>
          </w:tcPr>
          <w:p>
            <w:pPr>
              <w:jc w:val="center"/>
              <w:rPr>
                <w:rFonts w:ascii="Times New Roman" w:hAnsi="Times New Roman"/>
                <w:noProof/>
              </w:rPr>
            </w:pPr>
            <w:r>
              <w:rPr>
                <w:rFonts w:ascii="Times New Roman" w:hAnsi="Times New Roman"/>
                <w:noProof/>
              </w:rPr>
              <w:t>6</w:t>
            </w:r>
            <w:r>
              <w:rPr>
                <w:rFonts w:ascii="Times New Roman" w:hAnsi="Times New Roman"/>
                <w:noProof/>
                <w:vertAlign w:val="superscript"/>
              </w:rPr>
              <w:footnoteReference w:id="19"/>
            </w:r>
          </w:p>
        </w:tc>
        <w:tc>
          <w:tcPr>
            <w:tcW w:w="1809" w:type="dxa"/>
            <w:shd w:val="clear" w:color="auto" w:fill="auto"/>
          </w:tcPr>
          <w:p>
            <w:pPr>
              <w:jc w:val="center"/>
              <w:rPr>
                <w:rFonts w:ascii="Times New Roman" w:hAnsi="Times New Roman"/>
                <w:noProof/>
              </w:rPr>
            </w:pPr>
            <w:r>
              <w:rPr>
                <w:rFonts w:ascii="Times New Roman" w:hAnsi="Times New Roman"/>
                <w:noProof/>
              </w:rPr>
              <w:t>2</w:t>
            </w:r>
          </w:p>
        </w:tc>
      </w:tr>
      <w:tr>
        <w:tc>
          <w:tcPr>
            <w:tcW w:w="534" w:type="dxa"/>
            <w:shd w:val="clear" w:color="auto" w:fill="auto"/>
          </w:tcPr>
          <w:p>
            <w:pPr>
              <w:rPr>
                <w:rFonts w:ascii="Times New Roman" w:hAnsi="Times New Roman"/>
                <w:noProof/>
              </w:rPr>
            </w:pPr>
            <w:r>
              <w:rPr>
                <w:rFonts w:ascii="Times New Roman" w:hAnsi="Times New Roman"/>
                <w:noProof/>
              </w:rPr>
              <w:t>14</w:t>
            </w:r>
          </w:p>
        </w:tc>
        <w:tc>
          <w:tcPr>
            <w:tcW w:w="1842" w:type="dxa"/>
            <w:shd w:val="clear" w:color="auto" w:fill="auto"/>
          </w:tcPr>
          <w:p>
            <w:pPr>
              <w:rPr>
                <w:rFonts w:ascii="Times New Roman" w:hAnsi="Times New Roman"/>
                <w:noProof/>
              </w:rPr>
            </w:pPr>
            <w:r>
              <w:rPr>
                <w:rFonts w:ascii="Times New Roman" w:hAnsi="Times New Roman"/>
                <w:noProof/>
              </w:rPr>
              <w:t>COM(2014) 43</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règlement relatif à des mesures structurelles améliorant la résilience des établissements de crédit de l’UE</w:t>
            </w:r>
          </w:p>
        </w:tc>
        <w:tc>
          <w:tcPr>
            <w:tcW w:w="1842" w:type="dxa"/>
            <w:shd w:val="clear" w:color="auto" w:fill="auto"/>
          </w:tcPr>
          <w:p>
            <w:pPr>
              <w:jc w:val="center"/>
              <w:rPr>
                <w:rFonts w:ascii="Times New Roman" w:hAnsi="Times New Roman"/>
                <w:noProof/>
              </w:rPr>
            </w:pPr>
            <w:r>
              <w:rPr>
                <w:rFonts w:ascii="Times New Roman" w:hAnsi="Times New Roman"/>
                <w:noProof/>
              </w:rPr>
              <w:t>6</w:t>
            </w:r>
            <w:r>
              <w:rPr>
                <w:rFonts w:ascii="Times New Roman" w:hAnsi="Times New Roman"/>
                <w:noProof/>
                <w:vertAlign w:val="superscript"/>
              </w:rPr>
              <w:footnoteReference w:id="20"/>
            </w:r>
          </w:p>
        </w:tc>
        <w:tc>
          <w:tcPr>
            <w:tcW w:w="1809" w:type="dxa"/>
            <w:shd w:val="clear" w:color="auto" w:fill="auto"/>
          </w:tcPr>
          <w:p>
            <w:pPr>
              <w:jc w:val="center"/>
              <w:rPr>
                <w:rFonts w:ascii="Times New Roman" w:hAnsi="Times New Roman"/>
                <w:noProof/>
              </w:rPr>
            </w:pPr>
            <w:r>
              <w:rPr>
                <w:rFonts w:ascii="Times New Roman" w:hAnsi="Times New Roman"/>
                <w:noProof/>
              </w:rPr>
              <w:t>1</w:t>
            </w:r>
          </w:p>
        </w:tc>
      </w:tr>
      <w:tr>
        <w:tc>
          <w:tcPr>
            <w:tcW w:w="534" w:type="dxa"/>
            <w:shd w:val="clear" w:color="auto" w:fill="auto"/>
          </w:tcPr>
          <w:p>
            <w:pPr>
              <w:rPr>
                <w:rFonts w:ascii="Times New Roman" w:hAnsi="Times New Roman"/>
                <w:noProof/>
              </w:rPr>
            </w:pPr>
            <w:r>
              <w:rPr>
                <w:rFonts w:ascii="Times New Roman" w:hAnsi="Times New Roman"/>
                <w:noProof/>
              </w:rPr>
              <w:t>15</w:t>
            </w:r>
          </w:p>
        </w:tc>
        <w:tc>
          <w:tcPr>
            <w:tcW w:w="1842" w:type="dxa"/>
            <w:shd w:val="clear" w:color="auto" w:fill="auto"/>
          </w:tcPr>
          <w:p>
            <w:pPr>
              <w:rPr>
                <w:rFonts w:ascii="Times New Roman" w:hAnsi="Times New Roman"/>
                <w:noProof/>
              </w:rPr>
            </w:pPr>
            <w:r>
              <w:rPr>
                <w:rFonts w:ascii="Times New Roman" w:hAnsi="Times New Roman"/>
                <w:noProof/>
              </w:rPr>
              <w:t>COM(2014) 221</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décision établissant une plateforme européenne dans l’objectif de renforcer la coopération visant à prévenir et à décourager le travail non déclaré</w:t>
            </w:r>
          </w:p>
        </w:tc>
        <w:tc>
          <w:tcPr>
            <w:tcW w:w="1842" w:type="dxa"/>
            <w:shd w:val="clear" w:color="auto" w:fill="auto"/>
          </w:tcPr>
          <w:p>
            <w:pPr>
              <w:jc w:val="center"/>
              <w:rPr>
                <w:rFonts w:ascii="Times New Roman" w:hAnsi="Times New Roman"/>
                <w:noProof/>
              </w:rPr>
            </w:pPr>
            <w:r>
              <w:rPr>
                <w:rFonts w:ascii="Times New Roman" w:hAnsi="Times New Roman"/>
                <w:noProof/>
              </w:rPr>
              <w:t>6</w:t>
            </w:r>
            <w:r>
              <w:rPr>
                <w:rFonts w:ascii="Times New Roman" w:hAnsi="Times New Roman"/>
                <w:noProof/>
                <w:vertAlign w:val="superscript"/>
              </w:rPr>
              <w:footnoteReference w:id="21"/>
            </w:r>
          </w:p>
        </w:tc>
        <w:tc>
          <w:tcPr>
            <w:tcW w:w="1809" w:type="dxa"/>
            <w:shd w:val="clear" w:color="auto" w:fill="auto"/>
          </w:tcPr>
          <w:p>
            <w:pPr>
              <w:jc w:val="center"/>
              <w:rPr>
                <w:rFonts w:ascii="Times New Roman" w:hAnsi="Times New Roman"/>
                <w:noProof/>
              </w:rPr>
            </w:pPr>
            <w:r>
              <w:rPr>
                <w:rFonts w:ascii="Times New Roman" w:hAnsi="Times New Roman"/>
                <w:noProof/>
              </w:rPr>
              <w:t>1</w:t>
            </w:r>
          </w:p>
        </w:tc>
      </w:tr>
      <w:tr>
        <w:tc>
          <w:tcPr>
            <w:tcW w:w="534" w:type="dxa"/>
            <w:shd w:val="clear" w:color="auto" w:fill="auto"/>
          </w:tcPr>
          <w:p>
            <w:pPr>
              <w:rPr>
                <w:rFonts w:ascii="Times New Roman" w:hAnsi="Times New Roman"/>
                <w:noProof/>
              </w:rPr>
            </w:pPr>
            <w:r>
              <w:rPr>
                <w:rFonts w:ascii="Times New Roman" w:hAnsi="Times New Roman"/>
                <w:noProof/>
              </w:rPr>
              <w:t>16</w:t>
            </w:r>
          </w:p>
        </w:tc>
        <w:tc>
          <w:tcPr>
            <w:tcW w:w="1842" w:type="dxa"/>
            <w:shd w:val="clear" w:color="auto" w:fill="auto"/>
          </w:tcPr>
          <w:p>
            <w:pPr>
              <w:rPr>
                <w:rFonts w:ascii="Times New Roman" w:hAnsi="Times New Roman"/>
                <w:noProof/>
              </w:rPr>
            </w:pPr>
            <w:r>
              <w:rPr>
                <w:rFonts w:ascii="Times New Roman" w:hAnsi="Times New Roman"/>
                <w:noProof/>
              </w:rPr>
              <w:t>COM(2013) 824</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concernant l’aide juridictionnelle provisoire pour les suspects et les personnes poursuivies privés de liberté, ainsi que l’aide juridictionnelle dans le cadre des procédures relatives au mandat d’arrêt européen</w:t>
            </w:r>
          </w:p>
        </w:tc>
        <w:tc>
          <w:tcPr>
            <w:tcW w:w="1842" w:type="dxa"/>
            <w:shd w:val="clear" w:color="auto" w:fill="auto"/>
          </w:tcPr>
          <w:p>
            <w:pPr>
              <w:jc w:val="center"/>
              <w:rPr>
                <w:rFonts w:ascii="Times New Roman" w:hAnsi="Times New Roman"/>
                <w:noProof/>
              </w:rPr>
            </w:pPr>
            <w:r>
              <w:rPr>
                <w:rFonts w:ascii="Times New Roman" w:hAnsi="Times New Roman"/>
                <w:noProof/>
              </w:rPr>
              <w:t>6</w:t>
            </w:r>
            <w:r>
              <w:rPr>
                <w:rFonts w:ascii="Times New Roman" w:hAnsi="Times New Roman"/>
                <w:noProof/>
                <w:vertAlign w:val="superscript"/>
              </w:rPr>
              <w:footnoteReference w:id="22"/>
            </w:r>
          </w:p>
        </w:tc>
        <w:tc>
          <w:tcPr>
            <w:tcW w:w="1809" w:type="dxa"/>
            <w:shd w:val="clear" w:color="auto" w:fill="auto"/>
          </w:tcPr>
          <w:p>
            <w:pPr>
              <w:jc w:val="center"/>
              <w:rPr>
                <w:rFonts w:ascii="Times New Roman" w:hAnsi="Times New Roman"/>
                <w:noProof/>
              </w:rPr>
            </w:pPr>
            <w:r>
              <w:rPr>
                <w:rFonts w:ascii="Times New Roman" w:hAnsi="Times New Roman"/>
                <w:noProof/>
              </w:rPr>
              <w:t>0</w:t>
            </w:r>
          </w:p>
        </w:tc>
      </w:tr>
      <w:tr>
        <w:tc>
          <w:tcPr>
            <w:tcW w:w="534" w:type="dxa"/>
            <w:shd w:val="clear" w:color="auto" w:fill="auto"/>
          </w:tcPr>
          <w:p>
            <w:pPr>
              <w:rPr>
                <w:rFonts w:ascii="Times New Roman" w:hAnsi="Times New Roman"/>
                <w:noProof/>
              </w:rPr>
            </w:pPr>
            <w:r>
              <w:rPr>
                <w:rFonts w:ascii="Times New Roman" w:hAnsi="Times New Roman"/>
                <w:noProof/>
              </w:rPr>
              <w:t>17</w:t>
            </w:r>
          </w:p>
        </w:tc>
        <w:tc>
          <w:tcPr>
            <w:tcW w:w="1842" w:type="dxa"/>
            <w:shd w:val="clear" w:color="auto" w:fill="auto"/>
          </w:tcPr>
          <w:p>
            <w:pPr>
              <w:rPr>
                <w:rFonts w:ascii="Times New Roman" w:hAnsi="Times New Roman"/>
                <w:noProof/>
              </w:rPr>
            </w:pPr>
            <w:r>
              <w:rPr>
                <w:rFonts w:ascii="Times New Roman" w:hAnsi="Times New Roman"/>
                <w:noProof/>
              </w:rPr>
              <w:t>COM(2013) 892</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directive relative au clonage des animaux des espèces bovine, porcine, ovine, caprine et équine élevés et reproduits à des fins agricoles</w:t>
            </w:r>
          </w:p>
        </w:tc>
        <w:tc>
          <w:tcPr>
            <w:tcW w:w="1842" w:type="dxa"/>
            <w:shd w:val="clear" w:color="auto" w:fill="auto"/>
          </w:tcPr>
          <w:p>
            <w:pPr>
              <w:jc w:val="center"/>
              <w:rPr>
                <w:rFonts w:ascii="Times New Roman" w:hAnsi="Times New Roman"/>
                <w:noProof/>
              </w:rPr>
            </w:pPr>
            <w:r>
              <w:rPr>
                <w:rFonts w:ascii="Times New Roman" w:hAnsi="Times New Roman"/>
                <w:noProof/>
              </w:rPr>
              <w:t>6</w:t>
            </w:r>
            <w:r>
              <w:rPr>
                <w:rFonts w:ascii="Times New Roman" w:hAnsi="Times New Roman"/>
                <w:noProof/>
                <w:vertAlign w:val="superscript"/>
              </w:rPr>
              <w:footnoteReference w:id="23"/>
            </w:r>
          </w:p>
        </w:tc>
        <w:tc>
          <w:tcPr>
            <w:tcW w:w="1809" w:type="dxa"/>
            <w:shd w:val="clear" w:color="auto" w:fill="auto"/>
          </w:tcPr>
          <w:p>
            <w:pPr>
              <w:jc w:val="center"/>
              <w:rPr>
                <w:rFonts w:ascii="Times New Roman" w:hAnsi="Times New Roman"/>
                <w:noProof/>
              </w:rPr>
            </w:pPr>
            <w:r>
              <w:rPr>
                <w:rFonts w:ascii="Times New Roman" w:hAnsi="Times New Roman"/>
                <w:noProof/>
              </w:rPr>
              <w:t>0</w:t>
            </w:r>
          </w:p>
        </w:tc>
      </w:tr>
      <w:tr>
        <w:tc>
          <w:tcPr>
            <w:tcW w:w="534" w:type="dxa"/>
            <w:shd w:val="clear" w:color="auto" w:fill="auto"/>
          </w:tcPr>
          <w:p>
            <w:pPr>
              <w:rPr>
                <w:rFonts w:ascii="Times New Roman" w:hAnsi="Times New Roman"/>
                <w:noProof/>
              </w:rPr>
            </w:pPr>
            <w:r>
              <w:rPr>
                <w:rFonts w:ascii="Times New Roman" w:hAnsi="Times New Roman"/>
                <w:noProof/>
              </w:rPr>
              <w:t>18</w:t>
            </w:r>
          </w:p>
        </w:tc>
        <w:tc>
          <w:tcPr>
            <w:tcW w:w="1842" w:type="dxa"/>
            <w:shd w:val="clear" w:color="auto" w:fill="auto"/>
          </w:tcPr>
          <w:p>
            <w:pPr>
              <w:rPr>
                <w:rFonts w:ascii="Times New Roman" w:hAnsi="Times New Roman"/>
                <w:noProof/>
              </w:rPr>
            </w:pPr>
            <w:r>
              <w:rPr>
                <w:rFonts w:ascii="Times New Roman" w:hAnsi="Times New Roman"/>
                <w:noProof/>
              </w:rPr>
              <w:t>COM(2014) 20</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décision concernant la création et le fonctionnement d'une réserve de stabilité du marché pour le système d’échange de quotas d’émission de gaz à effet de serre de l’Union et modifiant la directive 2003/87/CE</w:t>
            </w:r>
          </w:p>
        </w:tc>
        <w:tc>
          <w:tcPr>
            <w:tcW w:w="1842" w:type="dxa"/>
            <w:shd w:val="clear" w:color="auto" w:fill="auto"/>
          </w:tcPr>
          <w:p>
            <w:pPr>
              <w:jc w:val="center"/>
              <w:rPr>
                <w:rFonts w:ascii="Times New Roman" w:hAnsi="Times New Roman"/>
                <w:noProof/>
              </w:rPr>
            </w:pPr>
            <w:r>
              <w:rPr>
                <w:rFonts w:ascii="Times New Roman" w:hAnsi="Times New Roman"/>
                <w:noProof/>
              </w:rPr>
              <w:t>6</w:t>
            </w:r>
            <w:r>
              <w:rPr>
                <w:rFonts w:ascii="Times New Roman" w:hAnsi="Times New Roman"/>
                <w:noProof/>
                <w:vertAlign w:val="superscript"/>
              </w:rPr>
              <w:footnoteReference w:id="24"/>
            </w:r>
          </w:p>
        </w:tc>
        <w:tc>
          <w:tcPr>
            <w:tcW w:w="1809" w:type="dxa"/>
            <w:shd w:val="clear" w:color="auto" w:fill="auto"/>
          </w:tcPr>
          <w:p>
            <w:pPr>
              <w:jc w:val="center"/>
              <w:rPr>
                <w:rFonts w:ascii="Times New Roman" w:hAnsi="Times New Roman"/>
                <w:noProof/>
              </w:rPr>
            </w:pPr>
            <w:r>
              <w:rPr>
                <w:rFonts w:ascii="Times New Roman" w:hAnsi="Times New Roman"/>
                <w:noProof/>
              </w:rPr>
              <w:t>0</w:t>
            </w:r>
          </w:p>
        </w:tc>
      </w:tr>
      <w:tr>
        <w:tc>
          <w:tcPr>
            <w:tcW w:w="534" w:type="dxa"/>
            <w:shd w:val="clear" w:color="auto" w:fill="auto"/>
          </w:tcPr>
          <w:p>
            <w:pPr>
              <w:rPr>
                <w:rFonts w:ascii="Times New Roman" w:hAnsi="Times New Roman"/>
                <w:noProof/>
              </w:rPr>
            </w:pPr>
            <w:r>
              <w:rPr>
                <w:rFonts w:ascii="Times New Roman" w:hAnsi="Times New Roman"/>
                <w:noProof/>
              </w:rPr>
              <w:t>19</w:t>
            </w:r>
          </w:p>
        </w:tc>
        <w:tc>
          <w:tcPr>
            <w:tcW w:w="1842" w:type="dxa"/>
            <w:shd w:val="clear" w:color="auto" w:fill="auto"/>
          </w:tcPr>
          <w:p>
            <w:pPr>
              <w:rPr>
                <w:rFonts w:ascii="Times New Roman" w:hAnsi="Times New Roman"/>
                <w:noProof/>
              </w:rPr>
            </w:pPr>
            <w:r>
              <w:rPr>
                <w:rFonts w:ascii="Times New Roman" w:hAnsi="Times New Roman"/>
                <w:noProof/>
              </w:rPr>
              <w:t>COM(2014) 163</w:t>
            </w:r>
          </w:p>
        </w:tc>
        <w:tc>
          <w:tcPr>
            <w:tcW w:w="3261" w:type="dxa"/>
            <w:shd w:val="clear" w:color="auto" w:fill="auto"/>
          </w:tcPr>
          <w:p>
            <w:pPr>
              <w:spacing w:after="0"/>
              <w:jc w:val="both"/>
              <w:rPr>
                <w:rFonts w:ascii="Times New Roman" w:hAnsi="Times New Roman"/>
                <w:noProof/>
              </w:rPr>
            </w:pPr>
            <w:r>
              <w:rPr>
                <w:rFonts w:ascii="Times New Roman" w:hAnsi="Times New Roman"/>
                <w:noProof/>
              </w:rPr>
              <w:t>Proposition de règlement portant création d'un visa d'itinérance et modifiant la convention d'application de l'accord de Schengen ainsi que les règlements (CE) n° 562/2006 et (CE) n° 767/2008</w:t>
            </w:r>
          </w:p>
        </w:tc>
        <w:tc>
          <w:tcPr>
            <w:tcW w:w="1842" w:type="dxa"/>
            <w:shd w:val="clear" w:color="auto" w:fill="auto"/>
          </w:tcPr>
          <w:p>
            <w:pPr>
              <w:jc w:val="center"/>
              <w:rPr>
                <w:rFonts w:ascii="Times New Roman" w:hAnsi="Times New Roman"/>
                <w:noProof/>
              </w:rPr>
            </w:pPr>
            <w:r>
              <w:rPr>
                <w:rFonts w:ascii="Times New Roman" w:hAnsi="Times New Roman"/>
                <w:noProof/>
              </w:rPr>
              <w:t>6</w:t>
            </w:r>
            <w:r>
              <w:rPr>
                <w:rFonts w:ascii="Times New Roman" w:hAnsi="Times New Roman"/>
                <w:noProof/>
                <w:vertAlign w:val="superscript"/>
              </w:rPr>
              <w:footnoteReference w:id="25"/>
            </w:r>
          </w:p>
        </w:tc>
        <w:tc>
          <w:tcPr>
            <w:tcW w:w="1809" w:type="dxa"/>
            <w:shd w:val="clear" w:color="auto" w:fill="auto"/>
          </w:tcPr>
          <w:p>
            <w:pPr>
              <w:jc w:val="center"/>
              <w:rPr>
                <w:rFonts w:ascii="Times New Roman" w:hAnsi="Times New Roman"/>
                <w:noProof/>
              </w:rPr>
            </w:pPr>
            <w:r>
              <w:rPr>
                <w:rFonts w:ascii="Times New Roman" w:hAnsi="Times New Roman"/>
                <w:noProof/>
              </w:rPr>
              <w:t>0</w:t>
            </w:r>
          </w:p>
        </w:tc>
      </w:tr>
    </w:tbl>
    <w:p>
      <w:pPr>
        <w:rPr>
          <w:noProof/>
        </w:rPr>
      </w:pPr>
    </w:p>
    <w:p>
      <w:pPr>
        <w:rPr>
          <w:rFonts w:ascii="Times New Roman" w:hAnsi="Times New Roman"/>
          <w:b/>
          <w:noProof/>
        </w:rPr>
      </w:pPr>
    </w:p>
    <w:p>
      <w:pPr>
        <w:rPr>
          <w:b/>
          <w:noProof/>
        </w:rPr>
      </w:pPr>
    </w:p>
    <w:p>
      <w:pPr>
        <w:rPr>
          <w:noProof/>
        </w:rPr>
      </w:pPr>
      <w:r>
        <w:rPr>
          <w:noProof/>
        </w:rPr>
        <w:br w:type="page"/>
      </w:r>
    </w:p>
    <w:p>
      <w:pPr>
        <w:autoSpaceDE w:val="0"/>
        <w:autoSpaceDN w:val="0"/>
        <w:adjustRightInd w:val="0"/>
        <w:spacing w:after="0" w:line="240" w:lineRule="auto"/>
        <w:jc w:val="center"/>
        <w:rPr>
          <w:rFonts w:ascii="Times New Roman" w:hAnsi="Times New Roman"/>
          <w:b/>
          <w:bCs/>
          <w:noProof/>
          <w:u w:val="single"/>
        </w:rPr>
      </w:pPr>
      <w:r>
        <w:rPr>
          <w:rFonts w:ascii="Times New Roman" w:hAnsi="Times New Roman"/>
          <w:b/>
          <w:noProof/>
          <w:u w:val="single"/>
        </w:rPr>
        <w:t>Annexe 3</w:t>
      </w:r>
    </w:p>
    <w:p>
      <w:pPr>
        <w:autoSpaceDE w:val="0"/>
        <w:autoSpaceDN w:val="0"/>
        <w:adjustRightInd w:val="0"/>
        <w:spacing w:after="0" w:line="240" w:lineRule="auto"/>
        <w:rPr>
          <w:rFonts w:ascii="Times New Roman" w:hAnsi="Times New Roman"/>
          <w:b/>
          <w:bCs/>
          <w:noProof/>
        </w:rPr>
      </w:pPr>
    </w:p>
    <w:p>
      <w:pPr>
        <w:autoSpaceDE w:val="0"/>
        <w:autoSpaceDN w:val="0"/>
        <w:adjustRightInd w:val="0"/>
        <w:spacing w:after="0" w:line="240" w:lineRule="auto"/>
        <w:jc w:val="center"/>
        <w:rPr>
          <w:rFonts w:ascii="Times New Roman" w:hAnsi="Times New Roman"/>
          <w:b/>
          <w:bCs/>
          <w:noProof/>
        </w:rPr>
      </w:pPr>
      <w:r>
        <w:rPr>
          <w:rFonts w:ascii="Times New Roman" w:hAnsi="Times New Roman"/>
          <w:b/>
          <w:noProof/>
        </w:rPr>
        <w:t>Nombre d’avis reçus par la Commission en 2014 par service chef de file de la Commission</w:t>
      </w:r>
    </w:p>
    <w:p>
      <w:pPr>
        <w:autoSpaceDE w:val="0"/>
        <w:autoSpaceDN w:val="0"/>
        <w:adjustRightInd w:val="0"/>
        <w:spacing w:after="0" w:line="240" w:lineRule="auto"/>
        <w:jc w:val="center"/>
        <w:rPr>
          <w:rFonts w:ascii="Times New Roman" w:hAnsi="Times New Roman"/>
          <w:b/>
          <w:bCs/>
          <w:noProof/>
        </w:rPr>
      </w:pPr>
      <w:r>
        <w:rPr>
          <w:rFonts w:ascii="Times New Roman" w:hAnsi="Times New Roman"/>
          <w:b/>
          <w:noProof/>
        </w:rPr>
        <w:t>(dialogue politique et mécanisme de contrôle de la subsidiarité)</w:t>
      </w:r>
    </w:p>
    <w:p>
      <w:pPr>
        <w:autoSpaceDE w:val="0"/>
        <w:autoSpaceDN w:val="0"/>
        <w:adjustRightInd w:val="0"/>
        <w:spacing w:after="0" w:line="240" w:lineRule="auto"/>
        <w:rPr>
          <w:rFonts w:ascii="Times New Roman" w:hAnsi="Times New Roman"/>
          <w:b/>
          <w:bCs/>
          <w:noProof/>
        </w:rPr>
      </w:pPr>
    </w:p>
    <w:p>
      <w:pPr>
        <w:autoSpaceDE w:val="0"/>
        <w:autoSpaceDN w:val="0"/>
        <w:adjustRightInd w:val="0"/>
        <w:spacing w:after="0" w:line="240" w:lineRule="auto"/>
        <w:rPr>
          <w:rFonts w:ascii="Times New Roman" w:hAnsi="Times New Roman"/>
          <w:b/>
          <w:bCs/>
          <w:noProof/>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59"/>
      </w:tblGrid>
      <w:tr>
        <w:trPr>
          <w:trHeight w:val="459"/>
        </w:trPr>
        <w:tc>
          <w:tcPr>
            <w:tcW w:w="4659" w:type="dxa"/>
            <w:shd w:val="clear" w:color="auto" w:fill="auto"/>
            <w:vAlign w:val="center"/>
          </w:tcPr>
          <w:p>
            <w:pPr>
              <w:autoSpaceDE w:val="0"/>
              <w:autoSpaceDN w:val="0"/>
              <w:adjustRightInd w:val="0"/>
              <w:spacing w:after="0" w:line="240" w:lineRule="auto"/>
              <w:jc w:val="center"/>
              <w:rPr>
                <w:rFonts w:ascii="Times New Roman" w:hAnsi="Times New Roman"/>
                <w:b/>
                <w:bCs/>
                <w:noProof/>
              </w:rPr>
            </w:pPr>
            <w:r>
              <w:rPr>
                <w:rFonts w:ascii="Times New Roman" w:hAnsi="Times New Roman"/>
                <w:b/>
                <w:noProof/>
              </w:rPr>
              <w:t>Service chef de file de la Commission</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
                <w:bCs/>
                <w:noProof/>
              </w:rPr>
            </w:pPr>
            <w:r>
              <w:rPr>
                <w:rFonts w:ascii="Times New Roman" w:hAnsi="Times New Roman"/>
                <w:b/>
                <w:noProof/>
              </w:rPr>
              <w:t>Nombre total d'avis</w:t>
            </w:r>
            <w:r>
              <w:rPr>
                <w:rFonts w:ascii="Times New Roman" w:hAnsi="Times New Roman"/>
                <w:b/>
                <w:noProof/>
                <w:vertAlign w:val="superscript"/>
              </w:rPr>
              <w:footnoteReference w:id="26"/>
            </w:r>
          </w:p>
        </w:tc>
      </w:tr>
      <w:tr>
        <w:trPr>
          <w:trHeight w:val="459"/>
        </w:trPr>
        <w:tc>
          <w:tcPr>
            <w:tcW w:w="4659" w:type="dxa"/>
            <w:shd w:val="clear" w:color="auto" w:fill="auto"/>
          </w:tcPr>
          <w:p>
            <w:pPr>
              <w:autoSpaceDE w:val="0"/>
              <w:autoSpaceDN w:val="0"/>
              <w:adjustRightInd w:val="0"/>
              <w:spacing w:after="0" w:line="240" w:lineRule="auto"/>
              <w:rPr>
                <w:rFonts w:ascii="Times New Roman" w:hAnsi="Times New Roman"/>
                <w:bCs/>
                <w:noProof/>
              </w:rPr>
            </w:pPr>
            <w:r>
              <w:rPr>
                <w:rFonts w:ascii="Times New Roman" w:hAnsi="Times New Roman"/>
                <w:noProof/>
              </w:rPr>
              <w:t>DG Justice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70</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bCs/>
                <w:noProof/>
              </w:rPr>
            </w:pPr>
            <w:r>
              <w:rPr>
                <w:rFonts w:ascii="Times New Roman" w:hAnsi="Times New Roman"/>
                <w:noProof/>
              </w:rPr>
              <w:t>DG Marché intérieur et services</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51</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Environnement</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40</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bCs/>
                <w:noProof/>
              </w:rPr>
            </w:pPr>
            <w:r>
              <w:rPr>
                <w:rFonts w:ascii="Times New Roman" w:hAnsi="Times New Roman"/>
                <w:noProof/>
              </w:rPr>
              <w:t>DG Affaires intérieures</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40</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bCs/>
                <w:noProof/>
              </w:rPr>
            </w:pPr>
            <w:r>
              <w:rPr>
                <w:rFonts w:ascii="Times New Roman" w:hAnsi="Times New Roman"/>
                <w:noProof/>
              </w:rPr>
              <w:t>DG Santé et consommateurs</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35</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bCs/>
                <w:noProof/>
              </w:rPr>
            </w:pPr>
            <w:r>
              <w:rPr>
                <w:rFonts w:ascii="Times New Roman" w:hAnsi="Times New Roman"/>
                <w:noProof/>
              </w:rPr>
              <w:t>Secrétariat général</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39</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Commerce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30</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Agriculture et développement rural</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27</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Entreprises et industrie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24</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Fiscalité et union douanière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20</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Emploi, affaires sociales et inclusion</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19</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Action pour le climat</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15</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Mobilité et transports</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13</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bCs/>
                <w:noProof/>
              </w:rPr>
            </w:pPr>
            <w:r>
              <w:rPr>
                <w:rFonts w:ascii="Times New Roman" w:hAnsi="Times New Roman"/>
                <w:noProof/>
              </w:rPr>
              <w:t>DG Réseaux de communication, contenu et technologies</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8</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Affaires économiques et financières</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8</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Éducation et culture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8</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Énergie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8</w:t>
            </w:r>
          </w:p>
        </w:tc>
      </w:tr>
      <w:tr>
        <w:trPr>
          <w:trHeight w:val="459"/>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Service européen pour l’action extérieure</w:t>
            </w:r>
            <w:r>
              <w:rPr>
                <w:rStyle w:val="FootnoteReference"/>
                <w:rFonts w:ascii="Times New Roman" w:hAnsi="Times New Roman"/>
                <w:noProof/>
              </w:rPr>
              <w:footnoteReference w:id="27"/>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8</w:t>
            </w:r>
          </w:p>
        </w:tc>
      </w:tr>
      <w:tr>
        <w:trPr>
          <w:trHeight w:val="459"/>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Recherche et innovation</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7</w:t>
            </w:r>
          </w:p>
        </w:tc>
      </w:tr>
      <w:tr>
        <w:trPr>
          <w:trHeight w:val="459"/>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Office européen de lutte antifraude (OLAF)</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6</w:t>
            </w:r>
          </w:p>
        </w:tc>
      </w:tr>
      <w:tr>
        <w:trPr>
          <w:trHeight w:val="459"/>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Affaires maritimes et pêche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6</w:t>
            </w:r>
          </w:p>
        </w:tc>
      </w:tr>
      <w:tr>
        <w:trPr>
          <w:trHeight w:val="459"/>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Élargissement</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5</w:t>
            </w:r>
          </w:p>
        </w:tc>
      </w:tr>
      <w:tr>
        <w:trPr>
          <w:trHeight w:val="459"/>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Politique régionale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5</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Eurostat</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4</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Concurrence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3</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Développement et Coopération EuropeAid</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2</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Informatique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2</w:t>
            </w:r>
          </w:p>
        </w:tc>
      </w:tr>
      <w:tr>
        <w:trPr>
          <w:trHeight w:val="459"/>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Budget</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1</w:t>
            </w:r>
          </w:p>
        </w:tc>
      </w:tr>
      <w:tr>
        <w:trPr>
          <w:trHeight w:val="488"/>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Communication</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1</w:t>
            </w:r>
          </w:p>
        </w:tc>
      </w:tr>
      <w:tr>
        <w:trPr>
          <w:trHeight w:val="459"/>
        </w:trPr>
        <w:tc>
          <w:tcPr>
            <w:tcW w:w="4659" w:type="dxa"/>
            <w:shd w:val="clear" w:color="auto" w:fill="auto"/>
          </w:tcPr>
          <w:p>
            <w:pPr>
              <w:autoSpaceDE w:val="0"/>
              <w:autoSpaceDN w:val="0"/>
              <w:adjustRightInd w:val="0"/>
              <w:spacing w:after="0" w:line="240" w:lineRule="auto"/>
              <w:rPr>
                <w:rFonts w:ascii="Times New Roman" w:hAnsi="Times New Roman"/>
                <w:noProof/>
              </w:rPr>
            </w:pPr>
            <w:r>
              <w:rPr>
                <w:rFonts w:ascii="Times New Roman" w:hAnsi="Times New Roman"/>
                <w:noProof/>
              </w:rPr>
              <w:t>DG Aide humanitaire et protection civile</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Cs/>
                <w:noProof/>
              </w:rPr>
            </w:pPr>
            <w:r>
              <w:rPr>
                <w:rFonts w:ascii="Times New Roman" w:hAnsi="Times New Roman"/>
                <w:noProof/>
              </w:rPr>
              <w:t>1</w:t>
            </w:r>
          </w:p>
        </w:tc>
      </w:tr>
      <w:tr>
        <w:trPr>
          <w:trHeight w:val="547"/>
        </w:trPr>
        <w:tc>
          <w:tcPr>
            <w:tcW w:w="4659" w:type="dxa"/>
            <w:shd w:val="clear" w:color="auto" w:fill="auto"/>
            <w:vAlign w:val="center"/>
          </w:tcPr>
          <w:p>
            <w:pPr>
              <w:autoSpaceDE w:val="0"/>
              <w:autoSpaceDN w:val="0"/>
              <w:adjustRightInd w:val="0"/>
              <w:spacing w:after="0" w:line="240" w:lineRule="auto"/>
              <w:rPr>
                <w:rFonts w:ascii="Times New Roman" w:hAnsi="Times New Roman"/>
                <w:b/>
                <w:noProof/>
              </w:rPr>
            </w:pPr>
            <w:r>
              <w:rPr>
                <w:rFonts w:ascii="Times New Roman" w:hAnsi="Times New Roman"/>
                <w:b/>
                <w:noProof/>
              </w:rPr>
              <w:t>TOTAL</w:t>
            </w:r>
          </w:p>
        </w:tc>
        <w:tc>
          <w:tcPr>
            <w:tcW w:w="4659" w:type="dxa"/>
            <w:shd w:val="clear" w:color="auto" w:fill="auto"/>
            <w:vAlign w:val="center"/>
          </w:tcPr>
          <w:p>
            <w:pPr>
              <w:autoSpaceDE w:val="0"/>
              <w:autoSpaceDN w:val="0"/>
              <w:adjustRightInd w:val="0"/>
              <w:spacing w:after="0" w:line="240" w:lineRule="auto"/>
              <w:jc w:val="center"/>
              <w:rPr>
                <w:rFonts w:ascii="Times New Roman" w:hAnsi="Times New Roman"/>
                <w:b/>
                <w:bCs/>
                <w:noProof/>
              </w:rPr>
            </w:pPr>
            <w:r>
              <w:rPr>
                <w:rFonts w:ascii="Times New Roman" w:hAnsi="Times New Roman"/>
                <w:b/>
                <w:noProof/>
              </w:rPr>
              <w:t>506</w:t>
            </w:r>
          </w:p>
        </w:tc>
      </w:tr>
    </w:tbl>
    <w:p>
      <w:pPr>
        <w:autoSpaceDE w:val="0"/>
        <w:autoSpaceDN w:val="0"/>
        <w:adjustRightInd w:val="0"/>
        <w:spacing w:after="0" w:line="240" w:lineRule="auto"/>
        <w:rPr>
          <w:rFonts w:ascii="Times New Roman" w:hAnsi="Times New Roman"/>
          <w:bCs/>
          <w:noProof/>
        </w:rPr>
      </w:pPr>
    </w:p>
    <w:p>
      <w:pPr>
        <w:autoSpaceDE w:val="0"/>
        <w:autoSpaceDN w:val="0"/>
        <w:adjustRightInd w:val="0"/>
        <w:spacing w:after="0" w:line="240" w:lineRule="auto"/>
        <w:rPr>
          <w:rFonts w:ascii="Times New Roman" w:hAnsi="Times New Roman"/>
          <w:bCs/>
          <w:noProof/>
        </w:rPr>
      </w:pPr>
    </w:p>
    <w:p>
      <w:pPr>
        <w:autoSpaceDE w:val="0"/>
        <w:autoSpaceDN w:val="0"/>
        <w:adjustRightInd w:val="0"/>
        <w:spacing w:after="0" w:line="240" w:lineRule="auto"/>
        <w:rPr>
          <w:rFonts w:ascii="Times New Roman" w:hAnsi="Times New Roman"/>
          <w:bCs/>
          <w:noProof/>
        </w:rPr>
      </w:pPr>
    </w:p>
    <w:p>
      <w:pPr>
        <w:autoSpaceDE w:val="0"/>
        <w:autoSpaceDN w:val="0"/>
        <w:adjustRightInd w:val="0"/>
        <w:spacing w:after="0" w:line="240" w:lineRule="auto"/>
        <w:rPr>
          <w:rFonts w:ascii="Times New Roman" w:hAnsi="Times New Roman"/>
          <w:bCs/>
          <w:noProof/>
        </w:rPr>
      </w:pPr>
    </w:p>
    <w:p>
      <w:pPr>
        <w:rPr>
          <w:rFonts w:ascii="Times New Roman" w:hAnsi="Times New Roman"/>
          <w:noProof/>
        </w:rPr>
      </w:pPr>
    </w:p>
    <w:p>
      <w:pPr>
        <w:autoSpaceDE w:val="0"/>
        <w:autoSpaceDN w:val="0"/>
        <w:adjustRightInd w:val="0"/>
        <w:spacing w:after="0" w:line="240" w:lineRule="auto"/>
        <w:jc w:val="center"/>
        <w:rPr>
          <w:rFonts w:ascii="Times New Roman" w:hAnsi="Times New Roman"/>
          <w:b/>
          <w:noProof/>
          <w:sz w:val="24"/>
          <w:szCs w:val="24"/>
          <w:u w:val="single"/>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Ce nombre inclut à la fois les avis et les avis motivés reçus des parlements nationaux.</w:t>
      </w:r>
    </w:p>
  </w:footnote>
  <w:footnote w:id="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Pour être considéré comme un avis motivé conformément à la définition qui en est donnée dans le protocole n° 2, un avis doit clairement mentionner une violation du principe de subsidiarité et être adressé à la Commission dans un délai de huit semaines à compter de la date de transmission de la proposition aux parlements nationaux.</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Comptabilisé comme 45 avis des deux chambres.</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Comptabilisé comme 1 avis motivé des deux chambres.</w:t>
      </w:r>
    </w:p>
  </w:footnote>
  <w:footnote w:id="5">
    <w:p>
      <w:pPr>
        <w:pStyle w:val="FootnoteText"/>
      </w:pPr>
      <w:r>
        <w:rPr>
          <w:rStyle w:val="FootnoteReference"/>
          <w:rFonts w:ascii="Times New Roman" w:hAnsi="Times New Roman"/>
        </w:rPr>
        <w:footnoteRef/>
      </w:r>
      <w:r>
        <w:rPr>
          <w:rFonts w:ascii="Times New Roman" w:hAnsi="Times New Roman"/>
        </w:rPr>
        <w:t xml:space="preserve"> Comptabilisé comme 8 avis des deux chambres.</w:t>
      </w:r>
    </w:p>
  </w:footnote>
  <w:footnote w:id="6">
    <w:p>
      <w:pPr>
        <w:pStyle w:val="FootnoteText"/>
        <w:spacing w:after="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tableau classe l'ensemble des documents de la Commission ayant donné lieu à six avis au moins de la part des parlements nationaux.</w:t>
      </w:r>
    </w:p>
  </w:footnote>
  <w:footnote w:id="7">
    <w:p>
      <w:pPr>
        <w:pStyle w:val="FootnoteText"/>
        <w:spacing w:after="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Ce nombre inclut à la fois les avis et les avis motivés reçus des parlements nationaux.</w:t>
      </w:r>
    </w:p>
  </w:footnote>
  <w:footnote w:id="8">
    <w:p>
      <w:pPr>
        <w:pStyle w:val="FootnoteText"/>
        <w:spacing w:after="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Pour être considéré comme un avis motivé conformément à la définition qui en est donnée dans le protocole n° 2, un avis doit clairement mentionner une violation du principe de subsidiarité et être adressé à la Commission dans un délai de huit semaines à compter de la date de transmission de la proposition aux parlements nationaux. </w:t>
      </w:r>
    </w:p>
  </w:footnote>
  <w:footnote w:id="9">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10">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irlandais - comptabilisé comme un avis des deux chambres.  De même, un avis a été adressé conjointement par les deux chambres du Parlement espagnol et comptabilisé comme un avis des deux chambres.</w:t>
      </w:r>
    </w:p>
  </w:footnote>
  <w:footnote w:id="11">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12">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13">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14">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15">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16">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irlandais - comptabilisé comme un avis des deux chambres.</w:t>
      </w:r>
    </w:p>
  </w:footnote>
  <w:footnote w:id="17">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18">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19">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20">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21">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22">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23">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24">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25">
    <w:p>
      <w:pPr>
        <w:pStyle w:val="FootnoteText"/>
        <w:contextualSpacing/>
        <w:rPr>
          <w:rFonts w:ascii="Times New Roman" w:hAnsi="Times New Roman"/>
        </w:rPr>
      </w:pPr>
      <w:r>
        <w:rPr>
          <w:rStyle w:val="FootnoteReference"/>
          <w:rFonts w:ascii="Times New Roman" w:hAnsi="Times New Roman"/>
        </w:rPr>
        <w:footnoteRef/>
      </w:r>
      <w:r>
        <w:rPr>
          <w:rFonts w:ascii="Times New Roman" w:hAnsi="Times New Roman"/>
        </w:rPr>
        <w:t xml:space="preserve"> Dont un adressé conjointement par les deux chambres du Parlement espagnol - comptabilisé comme un avis des deux chambres.</w:t>
      </w:r>
    </w:p>
  </w:footnote>
  <w:footnote w:id="2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Ce nombre inclut à la fois les avis et les avis motivés reçus des parlements nationaux.</w:t>
      </w:r>
    </w:p>
  </w:footnote>
  <w:footnote w:id="2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Le SEAE n'est pas un service de la Commission mais un organe indépendant.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au"/>
    <w:docVar w:name="LW_ANNEX_NBR_FIRST" w:val="1"/>
    <w:docVar w:name="LW_ANNEX_NBR_LAST" w:val="3"/>
    <w:docVar w:name="LW_CONFIDENCE" w:val=" "/>
    <w:docVar w:name="LW_CONST_RESTREINT_UE" w:val="RESTREINT UE"/>
    <w:docVar w:name="LW_CORRIGENDUM" w:val="&lt;UNUSED&gt;"/>
    <w:docVar w:name="LW_COVERPAGE_GUID" w:val="9917D1898ED340B6A2B929D18DF23F17"/>
    <w:docVar w:name="LW_CROSSREFERENCE" w:val="&lt;UNUSED&gt;"/>
    <w:docVar w:name="LW_DocType" w:val="NORMAL"/>
    <w:docVar w:name="LW_EMISSION" w:val="2.7.2015"/>
    <w:docVar w:name="LW_EMISSION_ISODATE" w:val="2015-07-02"/>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Rapport annuel 2014_x000b_sur les relations entre la Commission et les parlements nationaux_x000b__x000b_"/>
    <w:docVar w:name="LW_PART_NBR" w:val="&lt;UNUSED&gt;"/>
    <w:docVar w:name="LW_PART_NBR_TOTAL" w:val="&lt;UNUSED&gt;"/>
    <w:docVar w:name="LW_REF.INST.NEW" w:val="COM"/>
    <w:docVar w:name="LW_REF.INST.NEW_ADOPTED" w:val="final"/>
    <w:docVar w:name="LW_REF.INST.NEW_TEXT" w:val="(2015) 316"/>
    <w:docVar w:name="LW_REF.INTERNE" w:val="&lt;UNUSED&gt;"/>
    <w:docVar w:name="LW_SUPERTITRE" w:val="&lt;UNUSED&gt;"/>
    <w:docVar w:name="LW_TITRE.OBJ.CP" w:val="&lt;UNUSED&gt;"/>
    <w:docVar w:name="LW_TYPE.DOC.CP" w:val="ANNEXES_x000b_"/>
    <w:docVar w:name="LW_TYPEACTEPRINCIPAL.CP" w:val="RAPPORT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qFormat/>
    <w:rPr>
      <w:shd w:val="clear" w:color="auto" w:fill="auto"/>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Calibri" w:eastAsia="Calibri" w:hAnsi="Calibri" w:cs="Times New Roman"/>
      <w:lang w:val="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Calibri" w:eastAsia="Calibri" w:hAnsi="Calibri" w:cs="Times New Roman"/>
      <w:lang w:val="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E851-BF3D-4304-8794-B5BF7154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1026</Words>
  <Characters>5459</Characters>
  <Application>Microsoft Office Word</Application>
  <DocSecurity>0</DocSecurity>
  <Lines>496</Lines>
  <Paragraphs>381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GEENIS-PALERMO Mildred (SG)</dc:creator>
  <cp:keywords/>
  <cp:lastModifiedBy>DIGIT/A3</cp:lastModifiedBy>
  <cp:revision>15</cp:revision>
  <cp:lastPrinted>2015-06-17T13:12:00Z</cp:lastPrinted>
  <dcterms:created xsi:type="dcterms:W3CDTF">2015-06-09T14:54:00Z</dcterms:created>
  <dcterms:modified xsi:type="dcterms:W3CDTF">2015-07-02T08:11:00Z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3</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