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DEB017B68604358AF4B14A67E7C0925" style="width:450pt;height:39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47.5pt;margin-top:-111.45pt;width:396.9pt;height:24.3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" strokecolor="white">
            <v:textbox style="mso-next-textbox:#Text Box 1">
              <w:txbxContent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ПРИЛОЖЕНИЕ 1</w:t>
                  </w:r>
                </w:p>
                <w:p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Брой становища, получени от Комисията през 2014 г. за всеки национален парламент/камара (политически диалог и механизъм за контрол на субсидиарността)</w:t>
                  </w:r>
                </w:p>
                <w:p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u w:val="single"/>
        </w:rPr>
        <w:t>Приложение 1</w:t>
      </w:r>
    </w:p>
    <w:p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Брой становища, получени от Комисията през 2014 г., по национален парламент / камара (политически диалог и механизъм за контрол на субсидиарността)</w:t>
      </w:r>
    </w:p>
    <w:tbl>
      <w:tblPr>
        <w:tblpPr w:leftFromText="180" w:rightFromText="180" w:vertAnchor="page" w:horzAnchor="margin" w:tblpY="28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2693"/>
      </w:tblGrid>
      <w:tr>
        <w:trPr>
          <w:trHeight w:val="704"/>
        </w:trPr>
        <w:tc>
          <w:tcPr>
            <w:tcW w:w="195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Държава членка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Камара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 брой становища</w:t>
            </w:r>
            <w:r>
              <w:rPr>
                <w:rFonts w:ascii="Times New Roman" w:hAnsi="Times New Roman"/>
                <w:b/>
                <w:noProof/>
                <w:sz w:val="24"/>
                <w:vertAlign w:val="superscript"/>
              </w:rPr>
              <w:footnoteReference w:id="1"/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Брой мотивирани становища (Протокол № 2) </w:t>
            </w:r>
            <w:r>
              <w:rPr>
                <w:rFonts w:ascii="Times New Roman" w:hAnsi="Times New Roman"/>
                <w:b/>
                <w:noProof/>
                <w:sz w:val="24"/>
                <w:vertAlign w:val="superscript"/>
              </w:rPr>
              <w:footnoteReference w:id="2"/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Португалия 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Assembleia da Republica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118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Италия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Senato della Repubblica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63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Испания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Congreso de los Diputados</w:t>
            </w:r>
            <w:r>
              <w:rPr>
                <w:rFonts w:ascii="Times New Roman" w:hAnsi="Times New Roman"/>
                <w:noProof/>
                <w:sz w:val="24"/>
              </w:rPr>
              <w:t xml:space="preserve"> и</w:t>
            </w:r>
            <w:r>
              <w:rPr>
                <w:rFonts w:ascii="Times New Roman" w:hAnsi="Times New Roman"/>
                <w:i/>
                <w:noProof/>
                <w:sz w:val="24"/>
              </w:rPr>
              <w:t xml:space="preserve"> Senado</w:t>
            </w:r>
            <w:r>
              <w:rPr>
                <w:rFonts w:ascii="Times New Roman" w:hAnsi="Times New Roman"/>
                <w:noProof/>
                <w:sz w:val="24"/>
              </w:rPr>
              <w:t xml:space="preserve"> (двете камари)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45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footnoteReference w:id="3"/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footnoteReference w:id="4"/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Чешка република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Senát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41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Франция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Assemblée nationale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Румъния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Camera Deputaților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Bundesrat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Обединеното кралство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Камара на лордовете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Италия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Camera dei Deputati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Обединеното кралство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Камара на общините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Австрия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 xml:space="preserve">Bundesrat 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Холандия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Tweede Kamer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Швеция 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Riksdag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Ирландия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Houses of the </w:t>
            </w:r>
            <w:r>
              <w:rPr>
                <w:rFonts w:ascii="Times New Roman" w:hAnsi="Times New Roman"/>
                <w:i/>
                <w:noProof/>
                <w:sz w:val="24"/>
              </w:rPr>
              <w:t>Oireachtas</w:t>
            </w:r>
            <w:r>
              <w:rPr>
                <w:rFonts w:ascii="Times New Roman" w:hAnsi="Times New Roman"/>
                <w:noProof/>
                <w:sz w:val="24"/>
              </w:rPr>
              <w:t xml:space="preserve"> (двете камари)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8</w:t>
            </w:r>
            <w:r>
              <w:rPr>
                <w:rFonts w:ascii="Times New Roman" w:hAnsi="Times New Roman"/>
                <w:noProof/>
                <w:sz w:val="24"/>
                <w:vertAlign w:val="superscript"/>
              </w:rPr>
              <w:footnoteReference w:id="5"/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Нидерландия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Eerste Kamer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Полша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 xml:space="preserve">Sejm 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Полша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Senat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Франция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Sénat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Чешка република 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Poslanecká sněmovna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</w:tbl>
    <w:tbl>
      <w:tblPr>
        <w:tblpPr w:leftFromText="180" w:rightFromText="180" w:vertAnchor="page" w:horzAnchor="margin" w:tblpY="26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2693"/>
      </w:tblGrid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Литва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 xml:space="preserve">Seimas 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Хърватия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Hrvatski sabor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Австрия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Nationalrat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Дания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Folketing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Люксембург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Chambre des Députés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Малта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Камара на депутатите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Румъния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Senatul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Bundestag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Латвия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Saeima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Словения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Dr</w:t>
            </w:r>
            <w:r>
              <w:rPr>
                <w:rFonts w:ascii="Times New Roman" w:hAnsi="Times New Roman"/>
                <w:noProof/>
                <w:sz w:val="24"/>
              </w:rPr>
              <w:t>ž</w:t>
            </w:r>
            <w:r>
              <w:rPr>
                <w:rFonts w:ascii="Times New Roman" w:hAnsi="Times New Roman"/>
                <w:i/>
                <w:noProof/>
                <w:sz w:val="24"/>
              </w:rPr>
              <w:t xml:space="preserve">avni zbor 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Белгия 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Chambre des Représentants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Кипър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Vouli ton Antiprosopon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Унгария 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Országgyűlés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Словакия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Národná rada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Белгия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Sénat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България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Народно събрание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Естония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Riigikogu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Финландия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Eduskunta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Гърция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Vouli ton Ellinon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1951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Словения</w:t>
            </w:r>
          </w:p>
        </w:tc>
        <w:tc>
          <w:tcPr>
            <w:tcW w:w="3260" w:type="dxa"/>
            <w:shd w:val="clear" w:color="auto" w:fill="auto"/>
          </w:tcPr>
          <w:p>
            <w:pPr>
              <w:spacing w:before="60" w:after="6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t>Dr</w:t>
            </w:r>
            <w:r>
              <w:rPr>
                <w:rFonts w:ascii="Times New Roman" w:hAnsi="Times New Roman"/>
                <w:noProof/>
                <w:sz w:val="24"/>
              </w:rPr>
              <w:t>ž</w:t>
            </w:r>
            <w:r>
              <w:rPr>
                <w:rFonts w:ascii="Times New Roman" w:hAnsi="Times New Roman"/>
                <w:i/>
                <w:noProof/>
                <w:sz w:val="24"/>
              </w:rPr>
              <w:t>avni svet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0</w:t>
            </w:r>
          </w:p>
        </w:tc>
      </w:tr>
      <w:tr>
        <w:tc>
          <w:tcPr>
            <w:tcW w:w="5211" w:type="dxa"/>
            <w:gridSpan w:val="2"/>
            <w:shd w:val="clear" w:color="auto" w:fill="auto"/>
            <w:vAlign w:val="center"/>
          </w:tcPr>
          <w:p>
            <w:pPr>
              <w:spacing w:before="60" w:after="6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ОБЩО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506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21</w:t>
            </w:r>
          </w:p>
        </w:tc>
      </w:tr>
    </w:tbl>
    <w:p>
      <w:pPr>
        <w:tabs>
          <w:tab w:val="left" w:pos="1095"/>
        </w:tabs>
        <w:rPr>
          <w:noProof/>
        </w:rPr>
      </w:pPr>
    </w:p>
    <w:p>
      <w:pPr>
        <w:tabs>
          <w:tab w:val="left" w:pos="1095"/>
        </w:tabs>
        <w:rPr>
          <w:noProof/>
        </w:rPr>
      </w:pPr>
    </w:p>
    <w:p>
      <w:pPr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>
      <w:pPr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noProof/>
        </w:rPr>
        <w:br w:type="page"/>
      </w:r>
    </w:p>
    <w:p>
      <w:pPr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t>Приложение 2</w:t>
      </w:r>
    </w:p>
    <w:p>
      <w:pP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Документи на Комисията, за които е получен най-голям брой становища</w:t>
      </w:r>
      <w:r>
        <w:rPr>
          <w:rFonts w:ascii="Times New Roman" w:hAnsi="Times New Roman"/>
          <w:b/>
          <w:noProof/>
          <w:sz w:val="24"/>
          <w:vertAlign w:val="superscript"/>
        </w:rPr>
        <w:footnoteReference w:id="6"/>
      </w:r>
      <w:r>
        <w:rPr>
          <w:rFonts w:ascii="Times New Roman" w:hAnsi="Times New Roman"/>
          <w:b/>
          <w:noProof/>
          <w:sz w:val="24"/>
        </w:rPr>
        <w:t xml:space="preserve"> през 2014 г. (политически диалог и механизъм за контрол на субсидиарността)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3261"/>
        <w:gridCol w:w="1842"/>
        <w:gridCol w:w="1809"/>
      </w:tblGrid>
      <w:tr>
        <w:trPr>
          <w:trHeight w:val="1563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Документ на Комисията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Заглавие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Общ брой становища</w:t>
            </w:r>
            <w:r>
              <w:rPr>
                <w:rFonts w:ascii="Times New Roman" w:hAnsi="Times New Roman"/>
                <w:b/>
                <w:noProof/>
                <w:sz w:val="24"/>
                <w:vertAlign w:val="superscript"/>
              </w:rPr>
              <w:footnoteReference w:id="7"/>
            </w:r>
          </w:p>
        </w:tc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Брой мотивирани становища (Протокол № 2)</w:t>
            </w:r>
            <w:r>
              <w:rPr>
                <w:rFonts w:ascii="Times New Roman" w:hAnsi="Times New Roman"/>
                <w:b/>
                <w:noProof/>
                <w:sz w:val="24"/>
                <w:vertAlign w:val="superscript"/>
              </w:rPr>
              <w:footnoteReference w:id="8"/>
            </w:r>
          </w:p>
        </w:tc>
      </w:tr>
      <w:tr>
        <w:trPr>
          <w:trHeight w:val="3202"/>
        </w:trPr>
        <w:tc>
          <w:tcPr>
            <w:tcW w:w="534" w:type="dxa"/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COM(2014) 397</w:t>
            </w:r>
          </w:p>
        </w:tc>
        <w:tc>
          <w:tcPr>
            <w:tcW w:w="326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за изменение на директиви 2008/98/ЕО относно отпадъците, 94/62/ЕО относно опаковките и отпадъците от опаковки, 1999/31/ЕО относно депонирането на отпадъци, 2000/53/EО относно излезлите от употреба превозни средства, 2006/66/ЕО относно батерии и акумулатори и отпадъци от батерии и акумулатори и 2012/19/EС относно отпадъци от електрическо и електронно оборудване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9"/>
            </w:r>
          </w:p>
        </w:tc>
        <w:tc>
          <w:tcPr>
            <w:tcW w:w="18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COM(2014) 180</w:t>
            </w:r>
          </w:p>
          <w:p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26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bdr w:val="none" w:sz="0" w:space="0" w:color="auto" w:frame="1"/>
              </w:rPr>
              <w:t xml:space="preserve">Предложение за регламент относно биологичното производство и етикетирането на биологични продукти за изменение на Регламент (ЕС) № XXX/XXX 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10"/>
            </w:r>
          </w:p>
        </w:tc>
        <w:tc>
          <w:tcPr>
            <w:tcW w:w="18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COM(2013) 534</w:t>
            </w:r>
          </w:p>
        </w:tc>
        <w:tc>
          <w:tcPr>
            <w:tcW w:w="326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на Съвета за създаване на Европейска прокуратура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8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c>
          <w:tcPr>
            <w:tcW w:w="534" w:type="dxa"/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COM(2013) 822</w:t>
            </w:r>
          </w:p>
        </w:tc>
        <w:tc>
          <w:tcPr>
            <w:tcW w:w="3261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относно процесуалните гаранции за децата, заподозрени или обвиняеми по наказателни производства</w:t>
            </w:r>
          </w:p>
        </w:tc>
        <w:tc>
          <w:tcPr>
            <w:tcW w:w="184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  <w:r>
              <w:rPr>
                <w:rFonts w:ascii="Times New Roman" w:hAnsi="Times New Roman"/>
                <w:noProof/>
                <w:vertAlign w:val="superscript"/>
              </w:rPr>
              <w:footnoteReference w:id="11"/>
            </w:r>
          </w:p>
        </w:tc>
        <w:tc>
          <w:tcPr>
            <w:tcW w:w="180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COM(2013) 821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 (COM(2013)821/2).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  <w:r>
              <w:rPr>
                <w:rFonts w:ascii="Times New Roman" w:hAnsi="Times New Roman"/>
                <w:noProof/>
              </w:rPr>
              <w:footnoteReference w:id="12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COM(2014) 167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относно дейностите и надзора на институциите за професионално пенсионно осигуряване (преработен текст).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  <w:r>
              <w:rPr>
                <w:rFonts w:ascii="Times New Roman" w:hAnsi="Times New Roman"/>
                <w:noProof/>
              </w:rPr>
              <w:footnoteReference w:id="13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COM(2013) 919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относно ограничаване на емисиите на определени замърсители, изпускани в атмосферния въздух от средните горивни инсталации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  <w:r>
              <w:rPr>
                <w:rFonts w:ascii="Times New Roman" w:hAnsi="Times New Roman"/>
                <w:noProof/>
              </w:rPr>
              <w:footnoteReference w:id="14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COM(2013) 920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за намаляване на националните емисии на някои атмосферни замърсители и за изменение на Директива 2003/35/ЕО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  <w:r>
              <w:rPr>
                <w:rFonts w:ascii="Times New Roman" w:hAnsi="Times New Roman"/>
                <w:noProof/>
              </w:rPr>
              <w:footnoteReference w:id="15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COM(2014)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Съобщение на Комисията до Европейския парламент, Съвета, Европейския икономически и социален комитет и Комитета на регионите. Преглед на резултатите от стратегията „Европа 2020“ за интелигентен, устойчив и приобщаващ растеж.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  <w:r>
              <w:rPr>
                <w:rFonts w:ascii="Times New Roman" w:hAnsi="Times New Roman"/>
                <w:noProof/>
              </w:rPr>
              <w:footnoteReference w:id="16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COM(2013) 893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на Съвета за пускането на пазара на храни от клонирани животни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>
              <w:rPr>
                <w:rFonts w:ascii="Times New Roman" w:hAnsi="Times New Roman"/>
                <w:noProof/>
              </w:rPr>
              <w:footnoteReference w:id="17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COM(2014) 212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относно едноличните дружества с ограничена отговорност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>
              <w:rPr>
                <w:rFonts w:ascii="Times New Roman" w:hAnsi="Times New Roman"/>
                <w:noProof/>
              </w:rPr>
              <w:footnoteReference w:id="18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COM(2013) 884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за правна рамка на Съюза по отношение на митническите нарушения и санкции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COM(2013) 894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относно новите храни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  <w:noProof/>
              </w:rPr>
              <w:footnoteReference w:id="19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COM(2014) 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за структурните мерки за подобряване на устойчивостта на кредитните институции в 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  <w:noProof/>
              </w:rPr>
              <w:footnoteReference w:id="20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COM(2014) 221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решение за създаване на европейска платформа с цел да се засили сътрудничеството за предотвратяване и възпиране на недекларирания труд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  <w:noProof/>
              </w:rPr>
              <w:footnoteReference w:id="21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COM(2013) 824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относно временната правна помощ за заподозрените или обвиняемите, които са задържани, и правната помощ при производствата по европейска заповед за арест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  <w:noProof/>
              </w:rPr>
              <w:footnoteReference w:id="22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COM(2013) 892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директива относно клонирането на животни от рода на едрия рогат добитък, свине, овце, кози и еднокопитни животни, отглеждани и размножавани за селскостопански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  <w:noProof/>
              </w:rPr>
              <w:footnoteReference w:id="23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COM(2014)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решение относно създаването и функционирането на резерв за стабилност на пазара към Схемата на ЕС за търговия с емисии на парникови газове и за изменение на Директива 2003/87/ЕО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  <w:noProof/>
              </w:rPr>
              <w:footnoteReference w:id="24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COM(2014) 163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Предложение за регламент за създаване на виза за турне и за изменение на Конвенцията за прилагане на Споразумението от Шенген (ЕО) и на регламенти (ЕО) № 562/2006 и (ЕО) № 767/2008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  <w:r>
              <w:rPr>
                <w:rFonts w:ascii="Times New Roman" w:hAnsi="Times New Roman"/>
                <w:noProof/>
              </w:rPr>
              <w:footnoteReference w:id="25"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rFonts w:ascii="Times New Roman" w:hAnsi="Times New Roman"/>
          <w:b/>
          <w:noProof/>
        </w:rPr>
      </w:pPr>
    </w:p>
    <w:p>
      <w:pPr>
        <w:rPr>
          <w:b/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u w:val="single"/>
        </w:rPr>
      </w:pPr>
      <w:r>
        <w:rPr>
          <w:rFonts w:ascii="Times New Roman" w:hAnsi="Times New Roman"/>
          <w:b/>
          <w:noProof/>
          <w:u w:val="single"/>
        </w:rPr>
        <w:t>Приложение 3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noProof/>
        </w:rPr>
        <w:t xml:space="preserve">Брой становища, получени от Комисията през 2014 г., по водещи служби на Комисията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noProof/>
        </w:rPr>
        <w:t>(политически диалог и механизъм за контрол на субсидиарността)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>
        <w:trPr>
          <w:trHeight w:val="459"/>
        </w:trPr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Водеща служба на Комисията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Общ брой становища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footnoteReference w:id="26"/>
            </w:r>
          </w:p>
        </w:tc>
      </w:tr>
      <w:tr>
        <w:trPr>
          <w:trHeight w:val="459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ГД „Правосъдие“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70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ГД „Вътрешен пазар и услуги“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51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„Околна среда“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40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ГД „Вътрешни работи“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40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ГД „Здравеопазване и политика за потребителите“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35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ГД „Генерален секретариат“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39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 „Търговия“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30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 „Земеделие и развитие на селските райони“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27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„Предприятия и промишленост“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24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„Данъчно облагане и митнически съюз“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20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„Трудова заетост, социални въпроси и приобщаване“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19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„Действия по климата“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„Мобилност и транспорт“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13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ГД „Съобщителни мрежи, съдържание и технологии“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„Икономически и финансови въпроси“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„Образование и култура“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„Енергетика“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</w:tr>
      <w:tr>
        <w:trPr>
          <w:trHeight w:val="459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Европейска служба за външна дейност</w:t>
            </w:r>
            <w:r>
              <w:rPr>
                <w:rStyle w:val="FootnoteReference"/>
                <w:rFonts w:ascii="Times New Roman" w:hAnsi="Times New Roman"/>
                <w:noProof/>
              </w:rPr>
              <w:footnoteReference w:id="27"/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</w:tr>
      <w:tr>
        <w:trPr>
          <w:trHeight w:val="459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„Научни изследвания и иновации“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</w:tr>
      <w:tr>
        <w:trPr>
          <w:trHeight w:val="459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Европейска служба за борба с измамите (OLAF)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</w:tc>
      </w:tr>
      <w:tr>
        <w:trPr>
          <w:trHeight w:val="459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„Морско дело и рибарство“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</w:tc>
      </w:tr>
      <w:tr>
        <w:trPr>
          <w:trHeight w:val="459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„Разширяване“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</w:tr>
      <w:tr>
        <w:trPr>
          <w:trHeight w:val="459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 „Регионална политика“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„Евростат“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4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 „Конкуренция“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„Развитие и сътрудничество“ – EuropeAid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 „Информатика“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>
        <w:trPr>
          <w:trHeight w:val="459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 „Бюджет“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rPr>
          <w:trHeight w:val="488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 „Комуникации“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rPr>
          <w:trHeight w:val="459"/>
        </w:trPr>
        <w:tc>
          <w:tcPr>
            <w:tcW w:w="46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ГД „Хуманитарна помощ и гражданска защита“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</w:tr>
      <w:tr>
        <w:trPr>
          <w:trHeight w:val="547"/>
        </w:trPr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ОБЩО</w:t>
            </w:r>
          </w:p>
        </w:tc>
        <w:tc>
          <w:tcPr>
            <w:tcW w:w="46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506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</w:rPr>
      </w:pPr>
    </w:p>
    <w:p>
      <w:pPr>
        <w:rPr>
          <w:rFonts w:ascii="Times New Roman" w:hAnsi="Times New Roman"/>
          <w:noProof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това число становища и мотивирани становища, получени от националните парламенти.</w:t>
      </w:r>
    </w:p>
  </w:footnote>
  <w:footnote w:id="2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 да бъде дадено становище квалифицирано като мотивирано становище съгласно определението в Протокол № 2, то трябва ясно да посочва нарушаване на субсидиарността и да бъде изпратено до Комисията в срок от осем седмици след получаване на предложението от националните парламенти.</w:t>
      </w:r>
    </w:p>
  </w:footnote>
  <w:footnote w:id="3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Броят се за 45 становища от двете камари.</w:t>
      </w:r>
    </w:p>
  </w:footnote>
  <w:footnote w:id="4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Брои се за 1 мотивирано становище от двете камари.</w:t>
      </w:r>
    </w:p>
  </w:footnote>
  <w:footnote w:id="5">
    <w:p>
      <w:pPr>
        <w:pStyle w:val="FootnoteText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Броят се за 8 становища от двете камари.</w:t>
      </w:r>
    </w:p>
  </w:footnote>
  <w:footnote w:id="6">
    <w:p>
      <w:pPr>
        <w:pStyle w:val="FootnoteText"/>
        <w:spacing w:after="0"/>
        <w:contextualSpacing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таблицата са подредени всички документи на Комисията, за които бяха получени най-малко шест становища от националните парламенти.</w:t>
      </w:r>
    </w:p>
  </w:footnote>
  <w:footnote w:id="7">
    <w:p>
      <w:pPr>
        <w:pStyle w:val="FootnoteText"/>
        <w:spacing w:after="0"/>
        <w:contextualSpacing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това число становища и мотивирани становища, получени от националните парламенти.</w:t>
      </w:r>
    </w:p>
  </w:footnote>
  <w:footnote w:id="8">
    <w:p>
      <w:pPr>
        <w:pStyle w:val="FootnoteText"/>
        <w:spacing w:after="0"/>
        <w:contextualSpacing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 да може да бъде квалифицирано като мотивирано становище съгласно определението в Протокол № 2, дадено становище трябва ясно да посочва нарушаване на субсидиарността и да бъде изпратено до Комисията в срок от осем седмици след получаване на предложението от националните парламенти. </w:t>
      </w:r>
    </w:p>
  </w:footnote>
  <w:footnote w:id="9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постъпи съвместно от двете камари на Испания – брои се за едно становище от двете камари.</w:t>
      </w:r>
    </w:p>
  </w:footnote>
  <w:footnote w:id="10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Houses of the </w:t>
      </w:r>
      <w:r>
        <w:rPr>
          <w:rFonts w:ascii="Times New Roman" w:hAnsi="Times New Roman"/>
          <w:i/>
        </w:rPr>
        <w:t>Oireachtas</w:t>
      </w:r>
      <w:r>
        <w:rPr>
          <w:rFonts w:ascii="Times New Roman" w:hAnsi="Times New Roman"/>
        </w:rPr>
        <w:t xml:space="preserve"> на Ирландия – брои се за едно становище от двете камари. По същия начин, едно становище бе представено съвместно от двете камари на Испания – брои се за едно становище от двете камари.</w:t>
      </w:r>
    </w:p>
  </w:footnote>
  <w:footnote w:id="11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12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13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14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15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16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Houses of the </w:t>
      </w:r>
      <w:r>
        <w:rPr>
          <w:rFonts w:ascii="Times New Roman" w:hAnsi="Times New Roman"/>
          <w:i/>
        </w:rPr>
        <w:t xml:space="preserve">Oireachtas </w:t>
      </w:r>
      <w:r>
        <w:rPr>
          <w:rFonts w:ascii="Times New Roman" w:hAnsi="Times New Roman"/>
        </w:rPr>
        <w:t>на Ирландия – брои се за едно становище от двете камари.</w:t>
      </w:r>
    </w:p>
  </w:footnote>
  <w:footnote w:id="17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18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19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20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21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22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23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24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25">
    <w:p>
      <w:pPr>
        <w:pStyle w:val="FootnoteText"/>
        <w:contextualSpacing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От които едно становище бе представено съвместно от двете камари на Испания – брои се за едно становище от двете камари.</w:t>
      </w:r>
    </w:p>
  </w:footnote>
  <w:footnote w:id="26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това число становища и мотивирани становища, получени от националните парламенти.</w:t>
      </w:r>
    </w:p>
  </w:footnote>
  <w:footnote w:id="27">
    <w:p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ЕСВД не е служба на Комисията, а е независим орган.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3DEB017B68604358AF4B14A67E7C0925"/>
    <w:docVar w:name="LW_CROSSREFERENCE" w:val="&lt;UNUSED&gt;"/>
    <w:docVar w:name="LW_DocType" w:val="NORMAL"/>
    <w:docVar w:name="LW_EMISSION" w:val="2.7.2015"/>
    <w:docVar w:name="LW_EMISSION_ISODATE" w:val="2015-07-02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3?\u1086?\u1076?\u1080?\u1096?\u1077?\u1085? \u1076?\u1086?\u1082?\u1083?\u1072?\u1076? \u1079?\u1072? 2014 \u1075?\u1086?\u1076?\u1080?\u1085?\u1072?_x000b_\u1086?\u1090?\u1085?\u1086?\u1089?\u1085?\u1086? \u1086?\u1090?\u1085?\u1086?\u1096?\u1077?\u1085?\u1080?\u1103?\u1090?\u1072? \u1084?\u1077?\u1078?\u1076?\u1091? \u1045?\u1074?\u1088?\u1086?\u1087?\u1077?\u1081?\u1089?\u1082?\u1072?\u1090?\u1072? \u1082?\u1086?\u1084?\u1080?\u1089?\u1080?\u1103? \u1080? \u1085?\u1072?\u1094?\u1080?\u1086?\u1085?\u1072?\u1083?\u1085?\u1080?\u1090?\u1077? \u1087?\u1072?\u1088?\u1083?\u1072?\u1084?\u1077?\u1085?\u1090?\u1080?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31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 w:eastAsia="bg-BG" w:bidi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Calibri" w:eastAsia="Calibri" w:hAnsi="Calibri" w:cs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qFormat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rFonts w:ascii="Calibri" w:eastAsia="Calibri" w:hAnsi="Calibri" w:cs="Times New Roman"/>
      <w:lang w:val="bg-BG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4"/>
      <w:lang w:val="en-GB" w:eastAsia="en-GB" w:bidi="ar-SA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4"/>
      <w:lang w:val="en-GB" w:eastAsia="en-GB" w:bidi="ar-SA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val="bg-BG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09D7-AE93-4F6E-8B59-406B5D4A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962</Words>
  <Characters>5238</Characters>
  <Application>Microsoft Office Word</Application>
  <DocSecurity>0</DocSecurity>
  <Lines>523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GEENIS-PALERMO Mildred (SG)</dc:creator>
  <cp:keywords/>
  <cp:lastModifiedBy>DIGIT/A3</cp:lastModifiedBy>
  <cp:revision>14</cp:revision>
  <cp:lastPrinted>2015-06-09T14:24:00Z</cp:lastPrinted>
  <dcterms:created xsi:type="dcterms:W3CDTF">2015-06-09T14:54:00Z</dcterms:created>
  <dcterms:modified xsi:type="dcterms:W3CDTF">2015-07-02T08:13:00Z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3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