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AFCB78CD7214DB9B5EA8929672C709E" style="width:451.7pt;height:379.7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2"/>
          <w:cols w:space="720"/>
          <w:docGrid w:linePitch="360"/>
        </w:sectPr>
      </w:pPr>
    </w:p>
    <w:p>
      <w:pPr>
        <w:jc w:val="center"/>
        <w:rPr>
          <w:b/>
          <w:noProof/>
          <w:u w:val="single"/>
        </w:rPr>
      </w:pPr>
      <w:bookmarkStart w:id="1" w:name="_GoBack"/>
      <w:bookmarkEnd w:id="1"/>
      <w:r>
        <w:rPr>
          <w:b/>
          <w:noProof/>
          <w:u w:val="single"/>
        </w:rPr>
        <w:lastRenderedPageBreak/>
        <w:t>Annexe</w:t>
      </w:r>
    </w:p>
    <w:p>
      <w:pPr>
        <w:jc w:val="center"/>
        <w:rPr>
          <w:b/>
          <w:noProof/>
        </w:rPr>
      </w:pPr>
      <w:r>
        <w:rPr>
          <w:b/>
          <w:noProof/>
        </w:rPr>
        <w:t>Liste des documents de la Commission au sujet desquels la Commission a reçu des avis motivés</w:t>
      </w:r>
      <w:r>
        <w:rPr>
          <w:rStyle w:val="FootnoteReference"/>
          <w:b/>
          <w:noProof/>
        </w:rPr>
        <w:footnoteReference w:id="1"/>
      </w:r>
      <w:r>
        <w:rPr>
          <w:b/>
          <w:noProof/>
        </w:rPr>
        <w:t xml:space="preserve"> de la part des parlements nationaux en 2014 en ce qui concerne le respect du principe de subsidiarité </w:t>
      </w:r>
    </w:p>
    <w:p>
      <w:pPr>
        <w:jc w:val="center"/>
        <w:rPr>
          <w:b/>
          <w:noProof/>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2409"/>
        <w:gridCol w:w="1276"/>
        <w:gridCol w:w="1276"/>
        <w:gridCol w:w="2268"/>
      </w:tblGrid>
      <w:tr>
        <w:tc>
          <w:tcPr>
            <w:tcW w:w="568" w:type="dxa"/>
            <w:tcBorders>
              <w:top w:val="single" w:sz="4" w:space="0" w:color="auto"/>
              <w:left w:val="single" w:sz="4" w:space="0" w:color="auto"/>
              <w:bottom w:val="single" w:sz="4" w:space="0" w:color="auto"/>
              <w:right w:val="single" w:sz="4" w:space="0" w:color="auto"/>
            </w:tcBorders>
            <w:vAlign w:val="center"/>
          </w:tcPr>
          <w:p>
            <w:pPr>
              <w:jc w:val="center"/>
              <w:rPr>
                <w:noProof/>
              </w:rPr>
            </w:pPr>
          </w:p>
        </w:tc>
        <w:tc>
          <w:tcPr>
            <w:tcW w:w="1843"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b/>
                <w:noProof/>
              </w:rPr>
              <w:t>Document de la Commission</w:t>
            </w:r>
          </w:p>
        </w:tc>
        <w:tc>
          <w:tcPr>
            <w:tcW w:w="2409"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b/>
                <w:noProof/>
              </w:rPr>
              <w:t>Intitulé</w:t>
            </w:r>
          </w:p>
        </w:tc>
        <w:tc>
          <w:tcPr>
            <w:tcW w:w="127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b/>
                <w:noProof/>
              </w:rPr>
              <w:t>Nombre d’avis motivés (protocole nº 2)</w:t>
            </w:r>
          </w:p>
        </w:tc>
        <w:tc>
          <w:tcPr>
            <w:tcW w:w="127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b/>
                <w:noProof/>
              </w:rPr>
              <w:t>Nombre de voix (protocole nº 2)</w:t>
            </w:r>
            <w:r>
              <w:rPr>
                <w:rStyle w:val="FootnoteReference"/>
                <w:b/>
                <w:noProof/>
              </w:rPr>
              <w:footnoteReference w:id="2"/>
            </w:r>
          </w:p>
        </w:tc>
        <w:tc>
          <w:tcPr>
            <w:tcW w:w="226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b/>
                <w:noProof/>
              </w:rPr>
              <w:t>Chambre(s) nationale(s) ayant émis un avis motivé</w:t>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1</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COM(2013) 884</w:t>
            </w: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directive relative à un cadre juridique de l'Union régissant les infractions douanières et les sanctions qui y sont applicables</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3</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6</w:t>
            </w:r>
          </w:p>
        </w:tc>
        <w:tc>
          <w:tcPr>
            <w:tcW w:w="2268" w:type="dxa"/>
            <w:tcBorders>
              <w:top w:val="single" w:sz="4" w:space="0" w:color="auto"/>
              <w:left w:val="single" w:sz="4" w:space="0" w:color="auto"/>
              <w:bottom w:val="single" w:sz="4" w:space="0" w:color="auto"/>
              <w:right w:val="single" w:sz="4" w:space="0" w:color="auto"/>
            </w:tcBorders>
            <w:hideMark/>
          </w:tcPr>
          <w:p>
            <w:pPr>
              <w:rPr>
                <w:noProof/>
              </w:rPr>
            </w:pPr>
            <w:r>
              <w:rPr>
                <w:i/>
                <w:noProof/>
              </w:rPr>
              <w:t>Seimas</w:t>
            </w:r>
            <w:r>
              <w:rPr>
                <w:noProof/>
              </w:rPr>
              <w:t xml:space="preserve"> lituanien (2 voix)</w:t>
            </w:r>
          </w:p>
          <w:p>
            <w:pPr>
              <w:rPr>
                <w:noProof/>
              </w:rPr>
            </w:pPr>
            <w:r>
              <w:rPr>
                <w:i/>
                <w:noProof/>
              </w:rPr>
              <w:t>Folketing</w:t>
            </w:r>
            <w:r>
              <w:rPr>
                <w:noProof/>
              </w:rPr>
              <w:t xml:space="preserve"> danois (2 voix)</w:t>
            </w:r>
          </w:p>
          <w:p>
            <w:pPr>
              <w:spacing w:after="0"/>
              <w:rPr>
                <w:noProof/>
              </w:rPr>
            </w:pPr>
            <w:r>
              <w:rPr>
                <w:i/>
                <w:noProof/>
              </w:rPr>
              <w:t>Riksdag</w:t>
            </w:r>
            <w:r>
              <w:rPr>
                <w:noProof/>
              </w:rPr>
              <w:t xml:space="preserve"> suédois (2 voix)</w:t>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2</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COM(2014) 397</w:t>
            </w: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directive modifiant la directive 2008/98/CE relative aux déchets, la directive 94/62/CE relative aux emballages et aux déchets d’emballages, la directive 1999/31/CE concernant la mise en décharge des déchets, la directive 2000/53/CE relative aux véhicules hors d’usage, la directive 2006/66/CE relative aux piles et accumulateurs ainsi qu’aux déchets de piles et d’accumulateurs et la directive 2012/19/UE relative aux déchets d’équipements électriques et électroniques</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3</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4</w:t>
            </w:r>
          </w:p>
        </w:tc>
        <w:tc>
          <w:tcPr>
            <w:tcW w:w="2268" w:type="dxa"/>
            <w:tcBorders>
              <w:top w:val="single" w:sz="4" w:space="0" w:color="auto"/>
              <w:left w:val="single" w:sz="4" w:space="0" w:color="auto"/>
              <w:bottom w:val="single" w:sz="4" w:space="0" w:color="auto"/>
              <w:right w:val="single" w:sz="4" w:space="0" w:color="auto"/>
            </w:tcBorders>
            <w:hideMark/>
          </w:tcPr>
          <w:p>
            <w:pPr>
              <w:rPr>
                <w:noProof/>
              </w:rPr>
            </w:pPr>
            <w:r>
              <w:rPr>
                <w:i/>
                <w:noProof/>
              </w:rPr>
              <w:t>Sabor</w:t>
            </w:r>
            <w:r>
              <w:rPr>
                <w:noProof/>
              </w:rPr>
              <w:t xml:space="preserve"> croate (2 voix)</w:t>
            </w:r>
          </w:p>
          <w:p>
            <w:pPr>
              <w:rPr>
                <w:noProof/>
              </w:rPr>
            </w:pPr>
            <w:r>
              <w:rPr>
                <w:i/>
                <w:noProof/>
              </w:rPr>
              <w:t>Senát</w:t>
            </w:r>
            <w:r>
              <w:rPr>
                <w:noProof/>
              </w:rPr>
              <w:t xml:space="preserve"> tchèque (1 voix)</w:t>
            </w:r>
          </w:p>
          <w:p>
            <w:pPr>
              <w:rPr>
                <w:noProof/>
              </w:rPr>
            </w:pPr>
            <w:r>
              <w:rPr>
                <w:i/>
                <w:noProof/>
              </w:rPr>
              <w:t>Bundesrat</w:t>
            </w:r>
            <w:r>
              <w:rPr>
                <w:noProof/>
              </w:rPr>
              <w:t xml:space="preserve"> autrichien (1 voix)</w:t>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3</w:t>
            </w:r>
          </w:p>
        </w:tc>
        <w:tc>
          <w:tcPr>
            <w:tcW w:w="1843" w:type="dxa"/>
            <w:tcBorders>
              <w:top w:val="single" w:sz="4" w:space="0" w:color="auto"/>
              <w:left w:val="single" w:sz="4" w:space="0" w:color="auto"/>
              <w:bottom w:val="single" w:sz="4" w:space="0" w:color="auto"/>
              <w:right w:val="single" w:sz="4" w:space="0" w:color="auto"/>
            </w:tcBorders>
          </w:tcPr>
          <w:p>
            <w:pPr>
              <w:rPr>
                <w:noProof/>
              </w:rPr>
            </w:pPr>
            <w:r>
              <w:rPr>
                <w:noProof/>
              </w:rPr>
              <w:t>COM(2014) 180</w:t>
            </w:r>
          </w:p>
          <w:p>
            <w:pPr>
              <w:rPr>
                <w:noProof/>
              </w:rPr>
            </w:pP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rStyle w:val="iceouttxt36"/>
                <w:noProof/>
              </w:rPr>
              <w:t xml:space="preserve">Proposition de règlement relatif à la production biologique et à l’étiquetage des produits biologiques, modifiant le règlement (UE) n° XXX/XXX </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3</w:t>
            </w:r>
          </w:p>
        </w:tc>
        <w:tc>
          <w:tcPr>
            <w:tcW w:w="2268" w:type="dxa"/>
            <w:tcBorders>
              <w:top w:val="single" w:sz="4" w:space="0" w:color="auto"/>
              <w:left w:val="single" w:sz="4" w:space="0" w:color="auto"/>
              <w:bottom w:val="single" w:sz="4" w:space="0" w:color="auto"/>
              <w:right w:val="single" w:sz="4" w:space="0" w:color="auto"/>
            </w:tcBorders>
          </w:tcPr>
          <w:p>
            <w:pPr>
              <w:rPr>
                <w:noProof/>
              </w:rPr>
            </w:pPr>
            <w:r>
              <w:rPr>
                <w:noProof/>
              </w:rPr>
              <w:t>Chambre des députés luxembourgeoise (2 voix)</w:t>
            </w:r>
          </w:p>
          <w:p>
            <w:pPr>
              <w:rPr>
                <w:noProof/>
              </w:rPr>
            </w:pPr>
            <w:r>
              <w:rPr>
                <w:i/>
                <w:noProof/>
              </w:rPr>
              <w:t>Bundesrat</w:t>
            </w:r>
            <w:r>
              <w:rPr>
                <w:noProof/>
              </w:rPr>
              <w:t xml:space="preserve"> autrichien (1 voix)</w:t>
            </w:r>
          </w:p>
          <w:p>
            <w:pPr>
              <w:rPr>
                <w:noProof/>
              </w:rPr>
            </w:pP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4</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COM(2013) 894</w:t>
            </w:r>
          </w:p>
        </w:tc>
        <w:tc>
          <w:tcPr>
            <w:tcW w:w="2409" w:type="dxa"/>
            <w:tcBorders>
              <w:top w:val="single" w:sz="4" w:space="0" w:color="auto"/>
              <w:left w:val="single" w:sz="4" w:space="0" w:color="auto"/>
              <w:bottom w:val="single" w:sz="4" w:space="0" w:color="auto"/>
              <w:right w:val="single" w:sz="4" w:space="0" w:color="auto"/>
            </w:tcBorders>
            <w:hideMark/>
          </w:tcPr>
          <w:p>
            <w:pPr>
              <w:rPr>
                <w:noProof/>
              </w:rPr>
            </w:pPr>
            <w:r>
              <w:rPr>
                <w:noProof/>
              </w:rPr>
              <w:t>Proposition de règlement sur les nouveaux aliments</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w:t>
            </w:r>
          </w:p>
        </w:tc>
        <w:tc>
          <w:tcPr>
            <w:tcW w:w="2268" w:type="dxa"/>
            <w:tcBorders>
              <w:top w:val="single" w:sz="4" w:space="0" w:color="auto"/>
              <w:left w:val="single" w:sz="4" w:space="0" w:color="auto"/>
              <w:bottom w:val="single" w:sz="4" w:space="0" w:color="auto"/>
              <w:right w:val="single" w:sz="4" w:space="0" w:color="auto"/>
            </w:tcBorders>
            <w:hideMark/>
          </w:tcPr>
          <w:p>
            <w:pPr>
              <w:rPr>
                <w:noProof/>
              </w:rPr>
            </w:pPr>
            <w:r>
              <w:rPr>
                <w:noProof/>
              </w:rPr>
              <w:t>Assemblée nationale française (1 voix)</w:t>
            </w:r>
          </w:p>
          <w:p>
            <w:pPr>
              <w:spacing w:after="0"/>
              <w:rPr>
                <w:noProof/>
              </w:rPr>
            </w:pPr>
            <w:r>
              <w:rPr>
                <w:noProof/>
              </w:rPr>
              <w:t>Sénat français (1 voix)</w:t>
            </w:r>
          </w:p>
        </w:tc>
      </w:tr>
      <w:tr>
        <w:tc>
          <w:tcPr>
            <w:tcW w:w="568" w:type="dxa"/>
            <w:tcBorders>
              <w:top w:val="single" w:sz="4" w:space="0" w:color="auto"/>
              <w:left w:val="single" w:sz="4" w:space="0" w:color="auto"/>
              <w:bottom w:val="single" w:sz="4" w:space="0" w:color="auto"/>
              <w:right w:val="single" w:sz="4" w:space="0" w:color="auto"/>
            </w:tcBorders>
          </w:tcPr>
          <w:p>
            <w:pPr>
              <w:rPr>
                <w:noProof/>
              </w:rPr>
            </w:pPr>
            <w:r>
              <w:rPr>
                <w:noProof/>
              </w:rPr>
              <w:t>5</w:t>
            </w:r>
          </w:p>
        </w:tc>
        <w:tc>
          <w:tcPr>
            <w:tcW w:w="1843" w:type="dxa"/>
            <w:tcBorders>
              <w:top w:val="single" w:sz="4" w:space="0" w:color="auto"/>
              <w:left w:val="single" w:sz="4" w:space="0" w:color="auto"/>
              <w:bottom w:val="single" w:sz="4" w:space="0" w:color="auto"/>
              <w:right w:val="single" w:sz="4" w:space="0" w:color="auto"/>
            </w:tcBorders>
          </w:tcPr>
          <w:p>
            <w:pPr>
              <w:rPr>
                <w:noProof/>
              </w:rPr>
            </w:pPr>
            <w:r>
              <w:rPr>
                <w:noProof/>
              </w:rPr>
              <w:t>COM(2014) 212</w:t>
            </w:r>
          </w:p>
          <w:p>
            <w:pPr>
              <w:rPr>
                <w:noProof/>
              </w:rPr>
            </w:pPr>
          </w:p>
        </w:tc>
        <w:tc>
          <w:tcPr>
            <w:tcW w:w="2409" w:type="dxa"/>
            <w:tcBorders>
              <w:top w:val="single" w:sz="4" w:space="0" w:color="auto"/>
              <w:left w:val="single" w:sz="4" w:space="0" w:color="auto"/>
              <w:bottom w:val="single" w:sz="4" w:space="0" w:color="auto"/>
              <w:right w:val="single" w:sz="4" w:space="0" w:color="auto"/>
            </w:tcBorders>
          </w:tcPr>
          <w:p>
            <w:pPr>
              <w:spacing w:after="0"/>
              <w:rPr>
                <w:noProof/>
              </w:rPr>
            </w:pPr>
            <w:r>
              <w:rPr>
                <w:noProof/>
              </w:rPr>
              <w:t>Proposition de directive relative aux sociétés unipersonnelles à responsabilité limitée</w:t>
            </w:r>
          </w:p>
        </w:tc>
        <w:tc>
          <w:tcPr>
            <w:tcW w:w="1276" w:type="dxa"/>
            <w:tcBorders>
              <w:top w:val="single" w:sz="4" w:space="0" w:color="auto"/>
              <w:left w:val="single" w:sz="4" w:space="0" w:color="auto"/>
              <w:bottom w:val="single" w:sz="4" w:space="0" w:color="auto"/>
              <w:right w:val="single" w:sz="4" w:space="0" w:color="auto"/>
            </w:tcBorders>
          </w:tcPr>
          <w:p>
            <w:pPr>
              <w:jc w:val="center"/>
              <w:rPr>
                <w:noProof/>
              </w:rPr>
            </w:pPr>
            <w:r>
              <w:rPr>
                <w:noProof/>
              </w:rPr>
              <w:t>2</w:t>
            </w:r>
          </w:p>
        </w:tc>
        <w:tc>
          <w:tcPr>
            <w:tcW w:w="1276" w:type="dxa"/>
            <w:tcBorders>
              <w:top w:val="single" w:sz="4" w:space="0" w:color="auto"/>
              <w:left w:val="single" w:sz="4" w:space="0" w:color="auto"/>
              <w:bottom w:val="single" w:sz="4" w:space="0" w:color="auto"/>
              <w:right w:val="single" w:sz="4" w:space="0" w:color="auto"/>
            </w:tcBorders>
          </w:tcPr>
          <w:p>
            <w:pPr>
              <w:jc w:val="center"/>
              <w:rPr>
                <w:noProof/>
              </w:rPr>
            </w:pPr>
            <w:r>
              <w:rPr>
                <w:noProof/>
              </w:rPr>
              <w:t>2</w:t>
            </w:r>
          </w:p>
        </w:tc>
        <w:tc>
          <w:tcPr>
            <w:tcW w:w="2268" w:type="dxa"/>
            <w:tcBorders>
              <w:top w:val="single" w:sz="4" w:space="0" w:color="auto"/>
              <w:left w:val="single" w:sz="4" w:space="0" w:color="auto"/>
              <w:bottom w:val="single" w:sz="4" w:space="0" w:color="auto"/>
              <w:right w:val="single" w:sz="4" w:space="0" w:color="auto"/>
            </w:tcBorders>
          </w:tcPr>
          <w:p>
            <w:pPr>
              <w:rPr>
                <w:noProof/>
              </w:rPr>
            </w:pPr>
            <w:r>
              <w:rPr>
                <w:i/>
                <w:noProof/>
              </w:rPr>
              <w:t>Nationalrat</w:t>
            </w:r>
            <w:r>
              <w:rPr>
                <w:noProof/>
              </w:rPr>
              <w:t xml:space="preserve"> autrichien (1 voix)</w:t>
            </w:r>
          </w:p>
          <w:p>
            <w:pPr>
              <w:rPr>
                <w:noProof/>
              </w:rPr>
            </w:pPr>
            <w:r>
              <w:rPr>
                <w:i/>
                <w:noProof/>
              </w:rPr>
              <w:t>Bundesrat</w:t>
            </w:r>
            <w:r>
              <w:rPr>
                <w:noProof/>
              </w:rPr>
              <w:t xml:space="preserve"> autrichien (1 voix)</w:t>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6</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COM(2013) 796</w:t>
            </w: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règlement modifiant le règlement (CE) nº 515/97 du 13 mars 1997 relatif à l'assistance mutuelle entre les autorités administratives des États membres et à la collaboration entre celles-ci et la Commission en vue d'assurer la bonne application des réglementations douanière et agricole</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r>
              <w:rPr>
                <w:rStyle w:val="FootnoteReference"/>
                <w:noProof/>
              </w:rPr>
              <w:footnoteReference w:id="3"/>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w:t>
            </w:r>
          </w:p>
        </w:tc>
        <w:tc>
          <w:tcPr>
            <w:tcW w:w="2268" w:type="dxa"/>
            <w:tcBorders>
              <w:top w:val="single" w:sz="4" w:space="0" w:color="auto"/>
              <w:left w:val="single" w:sz="4" w:space="0" w:color="auto"/>
              <w:bottom w:val="single" w:sz="4" w:space="0" w:color="auto"/>
              <w:right w:val="single" w:sz="4" w:space="0" w:color="auto"/>
            </w:tcBorders>
            <w:hideMark/>
          </w:tcPr>
          <w:p>
            <w:pPr>
              <w:rPr>
                <w:noProof/>
              </w:rPr>
            </w:pPr>
            <w:r>
              <w:rPr>
                <w:i/>
                <w:noProof/>
              </w:rPr>
              <w:t>Congreso de los Diputados</w:t>
            </w:r>
            <w:r>
              <w:rPr>
                <w:noProof/>
              </w:rPr>
              <w:t xml:space="preserve"> et </w:t>
            </w:r>
            <w:r>
              <w:rPr>
                <w:i/>
                <w:noProof/>
              </w:rPr>
              <w:t>Senado</w:t>
            </w:r>
            <w:r>
              <w:rPr>
                <w:noProof/>
              </w:rPr>
              <w:t xml:space="preserve"> espagnols (les deux chambres – 2 voix)</w:t>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7</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COM(2013) 814</w:t>
            </w: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directive du Conseil modifiant la directive 2011/96/UE concernant le régime fiscal commun applicable aux sociétés mères et filiales d’États membres différents</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2</w:t>
            </w:r>
          </w:p>
        </w:tc>
        <w:tc>
          <w:tcPr>
            <w:tcW w:w="2268" w:type="dxa"/>
            <w:tcBorders>
              <w:top w:val="single" w:sz="4" w:space="0" w:color="auto"/>
              <w:left w:val="single" w:sz="4" w:space="0" w:color="auto"/>
              <w:bottom w:val="single" w:sz="4" w:space="0" w:color="auto"/>
              <w:right w:val="single" w:sz="4" w:space="0" w:color="auto"/>
            </w:tcBorders>
            <w:hideMark/>
          </w:tcPr>
          <w:p>
            <w:pPr>
              <w:rPr>
                <w:noProof/>
              </w:rPr>
            </w:pPr>
            <w:r>
              <w:rPr>
                <w:i/>
                <w:noProof/>
              </w:rPr>
              <w:t>Riksdag</w:t>
            </w:r>
            <w:r>
              <w:rPr>
                <w:noProof/>
              </w:rPr>
              <w:t xml:space="preserve"> suédois (2 voix)</w:t>
            </w:r>
          </w:p>
        </w:tc>
      </w:tr>
    </w:tbl>
    <w:p>
      <w:pPr>
        <w:rPr>
          <w:noProof/>
        </w:rPr>
      </w:pPr>
      <w:r>
        <w:rPr>
          <w:noProof/>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2409"/>
        <w:gridCol w:w="1276"/>
        <w:gridCol w:w="1276"/>
        <w:gridCol w:w="2268"/>
      </w:tblGrid>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8</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COM(2013) 821</w:t>
            </w:r>
          </w:p>
          <w:p>
            <w:pPr>
              <w:rPr>
                <w:noProof/>
              </w:rPr>
            </w:pP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directive portant renforcement de certains aspects de la présomption d’innocence et du droit d’assister à son procès dans le cadre des procédures pénales</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2268" w:type="dxa"/>
            <w:tcBorders>
              <w:top w:val="single" w:sz="4" w:space="0" w:color="auto"/>
              <w:left w:val="single" w:sz="4" w:space="0" w:color="auto"/>
              <w:bottom w:val="single" w:sz="4" w:space="0" w:color="auto"/>
              <w:right w:val="single" w:sz="4" w:space="0" w:color="auto"/>
            </w:tcBorders>
            <w:hideMark/>
          </w:tcPr>
          <w:p>
            <w:pPr>
              <w:rPr>
                <w:noProof/>
                <w:lang w:val="en-US"/>
              </w:rPr>
            </w:pPr>
            <w:r>
              <w:rPr>
                <w:i/>
                <w:noProof/>
                <w:lang w:val="en-US"/>
              </w:rPr>
              <w:t>House of Commons</w:t>
            </w:r>
            <w:r>
              <w:rPr>
                <w:noProof/>
                <w:lang w:val="en-US"/>
              </w:rPr>
              <w:t xml:space="preserve"> britannique (1 voix)</w:t>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9</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COM(2013) 822</w:t>
            </w: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directive relative à la mise en place de garanties procédurales en faveur des enfants soupçonnés ou poursuivis dans le cadre des procédures pénales</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2268" w:type="dxa"/>
            <w:tcBorders>
              <w:top w:val="single" w:sz="4" w:space="0" w:color="auto"/>
              <w:left w:val="single" w:sz="4" w:space="0" w:color="auto"/>
              <w:bottom w:val="single" w:sz="4" w:space="0" w:color="auto"/>
              <w:right w:val="single" w:sz="4" w:space="0" w:color="auto"/>
            </w:tcBorders>
            <w:hideMark/>
          </w:tcPr>
          <w:p>
            <w:pPr>
              <w:rPr>
                <w:noProof/>
              </w:rPr>
            </w:pPr>
            <w:r>
              <w:rPr>
                <w:i/>
                <w:noProof/>
              </w:rPr>
              <w:t>Tweede Kamer</w:t>
            </w:r>
            <w:r>
              <w:rPr>
                <w:noProof/>
              </w:rPr>
              <w:t xml:space="preserve"> néerlandaise (1 voix)</w:t>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10</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COM(2013) 893</w:t>
            </w: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directive du Conseil relative à la mise sur le marché des denrées alimentaires obtenues à partir d'animaux clonés</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2268" w:type="dxa"/>
            <w:tcBorders>
              <w:top w:val="single" w:sz="4" w:space="0" w:color="auto"/>
              <w:left w:val="single" w:sz="4" w:space="0" w:color="auto"/>
              <w:bottom w:val="single" w:sz="4" w:space="0" w:color="auto"/>
              <w:right w:val="single" w:sz="4" w:space="0" w:color="auto"/>
            </w:tcBorders>
            <w:hideMark/>
          </w:tcPr>
          <w:p>
            <w:pPr>
              <w:rPr>
                <w:noProof/>
                <w:lang w:val="en-US"/>
              </w:rPr>
            </w:pPr>
            <w:r>
              <w:rPr>
                <w:i/>
                <w:noProof/>
                <w:lang w:val="en-US"/>
              </w:rPr>
              <w:t>House of Commons</w:t>
            </w:r>
            <w:r>
              <w:rPr>
                <w:noProof/>
                <w:lang w:val="en-US"/>
              </w:rPr>
              <w:t xml:space="preserve"> britannique (1 voix)</w:t>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11</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COM(2014) 4</w:t>
            </w:r>
            <w:r>
              <w:rPr>
                <w:rStyle w:val="FootnoteReference"/>
                <w:noProof/>
              </w:rPr>
              <w:footnoteReference w:id="4"/>
            </w: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directive portant modification des directives 89/608/CEE, 90/425/CEE et 91/496/CEE en ce qui concerne les références à la législation zootechnique</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2268" w:type="dxa"/>
            <w:tcBorders>
              <w:top w:val="single" w:sz="4" w:space="0" w:color="auto"/>
              <w:left w:val="single" w:sz="4" w:space="0" w:color="auto"/>
              <w:bottom w:val="single" w:sz="4" w:space="0" w:color="auto"/>
              <w:right w:val="single" w:sz="4" w:space="0" w:color="auto"/>
            </w:tcBorders>
            <w:hideMark/>
          </w:tcPr>
          <w:p>
            <w:pPr>
              <w:rPr>
                <w:noProof/>
                <w:lang w:val="it-IT"/>
              </w:rPr>
            </w:pPr>
            <w:r>
              <w:rPr>
                <w:i/>
                <w:noProof/>
                <w:lang w:val="it-IT"/>
              </w:rPr>
              <w:t>Senato della Repubblica</w:t>
            </w:r>
            <w:r>
              <w:rPr>
                <w:noProof/>
                <w:lang w:val="it-IT"/>
              </w:rPr>
              <w:t xml:space="preserve"> italien (1 voix)</w:t>
            </w:r>
            <w:r>
              <w:rPr>
                <w:rStyle w:val="FootnoteReference"/>
                <w:noProof/>
              </w:rPr>
              <w:footnoteReference w:id="5"/>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12</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COM(2014) 5</w:t>
            </w:r>
            <w:r>
              <w:rPr>
                <w:rStyle w:val="FootnoteReference"/>
                <w:noProof/>
              </w:rPr>
              <w:footnoteReference w:id="6"/>
            </w: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règlement relatif aux conditions zootechniques et généalogiques applicables aux échanges et aux importations dans l’Union d’animaux reproducteurs et de leurs produits germinaux</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2268" w:type="dxa"/>
            <w:tcBorders>
              <w:top w:val="single" w:sz="4" w:space="0" w:color="auto"/>
              <w:left w:val="single" w:sz="4" w:space="0" w:color="auto"/>
              <w:bottom w:val="single" w:sz="4" w:space="0" w:color="auto"/>
              <w:right w:val="single" w:sz="4" w:space="0" w:color="auto"/>
            </w:tcBorders>
            <w:hideMark/>
          </w:tcPr>
          <w:p>
            <w:pPr>
              <w:rPr>
                <w:noProof/>
                <w:lang w:val="it-IT"/>
              </w:rPr>
            </w:pPr>
            <w:r>
              <w:rPr>
                <w:i/>
                <w:noProof/>
                <w:lang w:val="it-IT"/>
              </w:rPr>
              <w:t>Senato della Repubblica</w:t>
            </w:r>
            <w:r>
              <w:rPr>
                <w:noProof/>
                <w:lang w:val="it-IT"/>
              </w:rPr>
              <w:t xml:space="preserve"> italien (1 voix)</w:t>
            </w:r>
            <w:r>
              <w:rPr>
                <w:rStyle w:val="FootnoteReference"/>
                <w:noProof/>
              </w:rPr>
              <w:footnoteReference w:id="7"/>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13</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COM(2014) 43</w:t>
            </w: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règlement relatif à des mesures structurelles visant à améliorer la capacité de résistance des institutions de crédit de l'UE</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2268" w:type="dxa"/>
            <w:tcBorders>
              <w:top w:val="single" w:sz="4" w:space="0" w:color="auto"/>
              <w:left w:val="single" w:sz="4" w:space="0" w:color="auto"/>
              <w:bottom w:val="single" w:sz="4" w:space="0" w:color="auto"/>
              <w:right w:val="single" w:sz="4" w:space="0" w:color="auto"/>
            </w:tcBorders>
            <w:hideMark/>
          </w:tcPr>
          <w:p>
            <w:pPr>
              <w:rPr>
                <w:noProof/>
              </w:rPr>
            </w:pPr>
            <w:r>
              <w:rPr>
                <w:noProof/>
              </w:rPr>
              <w:t>Sénat français (1 voix)</w:t>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14</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COM(2014) 167</w:t>
            </w: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directive concernant les activités et la surveillance des institutions de retraite professionnelle (refonte)</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2268" w:type="dxa"/>
            <w:tcBorders>
              <w:top w:val="single" w:sz="4" w:space="0" w:color="auto"/>
              <w:left w:val="single" w:sz="4" w:space="0" w:color="auto"/>
              <w:bottom w:val="single" w:sz="4" w:space="0" w:color="auto"/>
              <w:right w:val="single" w:sz="4" w:space="0" w:color="auto"/>
            </w:tcBorders>
            <w:hideMark/>
          </w:tcPr>
          <w:p>
            <w:pPr>
              <w:rPr>
                <w:noProof/>
              </w:rPr>
            </w:pPr>
            <w:r>
              <w:rPr>
                <w:i/>
                <w:noProof/>
              </w:rPr>
              <w:t>Tweede Kamer</w:t>
            </w:r>
            <w:r>
              <w:rPr>
                <w:noProof/>
              </w:rPr>
              <w:t xml:space="preserve"> néerlandaise (1 voix)</w:t>
            </w:r>
          </w:p>
        </w:tc>
      </w:tr>
      <w:tr>
        <w:tc>
          <w:tcPr>
            <w:tcW w:w="568" w:type="dxa"/>
            <w:tcBorders>
              <w:top w:val="single" w:sz="4" w:space="0" w:color="auto"/>
              <w:left w:val="single" w:sz="4" w:space="0" w:color="auto"/>
              <w:bottom w:val="single" w:sz="4" w:space="0" w:color="auto"/>
              <w:right w:val="single" w:sz="4" w:space="0" w:color="auto"/>
            </w:tcBorders>
            <w:hideMark/>
          </w:tcPr>
          <w:p>
            <w:pPr>
              <w:rPr>
                <w:noProof/>
              </w:rPr>
            </w:pPr>
            <w:r>
              <w:rPr>
                <w:noProof/>
              </w:rPr>
              <w:t>15</w:t>
            </w:r>
          </w:p>
        </w:tc>
        <w:tc>
          <w:tcPr>
            <w:tcW w:w="1843" w:type="dxa"/>
            <w:tcBorders>
              <w:top w:val="single" w:sz="4" w:space="0" w:color="auto"/>
              <w:left w:val="single" w:sz="4" w:space="0" w:color="auto"/>
              <w:bottom w:val="single" w:sz="4" w:space="0" w:color="auto"/>
              <w:right w:val="single" w:sz="4" w:space="0" w:color="auto"/>
            </w:tcBorders>
            <w:hideMark/>
          </w:tcPr>
          <w:p>
            <w:pPr>
              <w:rPr>
                <w:noProof/>
              </w:rPr>
            </w:pPr>
            <w:r>
              <w:rPr>
                <w:noProof/>
              </w:rPr>
              <w:t>COM(2014) 221</w:t>
            </w:r>
          </w:p>
        </w:tc>
        <w:tc>
          <w:tcPr>
            <w:tcW w:w="2409" w:type="dxa"/>
            <w:tcBorders>
              <w:top w:val="single" w:sz="4" w:space="0" w:color="auto"/>
              <w:left w:val="single" w:sz="4" w:space="0" w:color="auto"/>
              <w:bottom w:val="single" w:sz="4" w:space="0" w:color="auto"/>
              <w:right w:val="single" w:sz="4" w:space="0" w:color="auto"/>
            </w:tcBorders>
            <w:hideMark/>
          </w:tcPr>
          <w:p>
            <w:pPr>
              <w:spacing w:after="0"/>
              <w:rPr>
                <w:noProof/>
              </w:rPr>
            </w:pPr>
            <w:r>
              <w:rPr>
                <w:noProof/>
              </w:rPr>
              <w:t>Proposition de décision relative à l’établissement d’une plateforme européenne dans l’objectif de renforcer la coopération visant à prévenir et à décourager le travail non déclaré</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1276" w:type="dxa"/>
            <w:tcBorders>
              <w:top w:val="single" w:sz="4" w:space="0" w:color="auto"/>
              <w:left w:val="single" w:sz="4" w:space="0" w:color="auto"/>
              <w:bottom w:val="single" w:sz="4" w:space="0" w:color="auto"/>
              <w:right w:val="single" w:sz="4" w:space="0" w:color="auto"/>
            </w:tcBorders>
            <w:hideMark/>
          </w:tcPr>
          <w:p>
            <w:pPr>
              <w:jc w:val="center"/>
              <w:rPr>
                <w:noProof/>
              </w:rPr>
            </w:pPr>
            <w:r>
              <w:rPr>
                <w:noProof/>
              </w:rPr>
              <w:t>1</w:t>
            </w:r>
          </w:p>
        </w:tc>
        <w:tc>
          <w:tcPr>
            <w:tcW w:w="2268" w:type="dxa"/>
            <w:tcBorders>
              <w:top w:val="single" w:sz="4" w:space="0" w:color="auto"/>
              <w:left w:val="single" w:sz="4" w:space="0" w:color="auto"/>
              <w:bottom w:val="single" w:sz="4" w:space="0" w:color="auto"/>
              <w:right w:val="single" w:sz="4" w:space="0" w:color="auto"/>
            </w:tcBorders>
            <w:hideMark/>
          </w:tcPr>
          <w:p>
            <w:pPr>
              <w:rPr>
                <w:noProof/>
                <w:lang w:val="en-US"/>
              </w:rPr>
            </w:pPr>
            <w:r>
              <w:rPr>
                <w:i/>
                <w:noProof/>
                <w:lang w:val="en-US"/>
              </w:rPr>
              <w:t>House of Commons</w:t>
            </w:r>
            <w:r>
              <w:rPr>
                <w:noProof/>
                <w:lang w:val="en-US"/>
              </w:rPr>
              <w:t xml:space="preserve"> britannique (1 voix)</w:t>
            </w:r>
          </w:p>
        </w:tc>
      </w:tr>
      <w:tr>
        <w:tc>
          <w:tcPr>
            <w:tcW w:w="2411" w:type="dxa"/>
            <w:gridSpan w:val="2"/>
            <w:tcBorders>
              <w:top w:val="single" w:sz="4" w:space="0" w:color="auto"/>
              <w:left w:val="single" w:sz="4" w:space="0" w:color="auto"/>
              <w:bottom w:val="single" w:sz="4" w:space="0" w:color="auto"/>
              <w:right w:val="single" w:sz="4" w:space="0" w:color="auto"/>
            </w:tcBorders>
            <w:hideMark/>
          </w:tcPr>
          <w:p>
            <w:pPr>
              <w:spacing w:after="0"/>
              <w:rPr>
                <w:noProof/>
              </w:rPr>
            </w:pPr>
            <w:r>
              <w:rPr>
                <w:noProof/>
              </w:rPr>
              <w:t>Nombre d’avis motivés concernant des documents comptés individuellement</w:t>
            </w:r>
          </w:p>
        </w:tc>
        <w:tc>
          <w:tcPr>
            <w:tcW w:w="7229" w:type="dxa"/>
            <w:gridSpan w:val="4"/>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after="0"/>
              <w:jc w:val="center"/>
              <w:rPr>
                <w:noProof/>
              </w:rPr>
            </w:pPr>
            <w:r>
              <w:rPr>
                <w:noProof/>
              </w:rPr>
              <w:t>22</w:t>
            </w:r>
          </w:p>
          <w:p>
            <w:pPr>
              <w:jc w:val="center"/>
              <w:rPr>
                <w:noProof/>
              </w:rPr>
            </w:pPr>
          </w:p>
        </w:tc>
      </w:tr>
      <w:tr>
        <w:tc>
          <w:tcPr>
            <w:tcW w:w="2411" w:type="dxa"/>
            <w:gridSpan w:val="2"/>
            <w:tcBorders>
              <w:top w:val="single" w:sz="4" w:space="0" w:color="auto"/>
              <w:left w:val="single" w:sz="4" w:space="0" w:color="auto"/>
              <w:bottom w:val="single" w:sz="4" w:space="0" w:color="auto"/>
              <w:right w:val="single" w:sz="4" w:space="0" w:color="auto"/>
            </w:tcBorders>
            <w:hideMark/>
          </w:tcPr>
          <w:p>
            <w:pPr>
              <w:spacing w:after="0"/>
              <w:rPr>
                <w:noProof/>
              </w:rPr>
            </w:pPr>
            <w:r>
              <w:rPr>
                <w:noProof/>
              </w:rPr>
              <w:t>Nombre d’avis motivés concernant plus d’un document</w:t>
            </w:r>
            <w:r>
              <w:rPr>
                <w:rStyle w:val="FootnoteReference"/>
                <w:noProof/>
              </w:rPr>
              <w:footnoteReference w:id="8"/>
            </w:r>
          </w:p>
        </w:tc>
        <w:tc>
          <w:tcPr>
            <w:tcW w:w="7229" w:type="dxa"/>
            <w:gridSpan w:val="4"/>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after="0"/>
              <w:jc w:val="center"/>
              <w:rPr>
                <w:noProof/>
              </w:rPr>
            </w:pPr>
            <w:r>
              <w:rPr>
                <w:noProof/>
              </w:rPr>
              <w:t>1</w:t>
            </w:r>
            <w:r>
              <w:rPr>
                <w:rStyle w:val="FootnoteReference"/>
                <w:noProof/>
              </w:rPr>
              <w:footnoteReference w:id="9"/>
            </w:r>
          </w:p>
        </w:tc>
      </w:tr>
      <w:tr>
        <w:tc>
          <w:tcPr>
            <w:tcW w:w="2411" w:type="dxa"/>
            <w:gridSpan w:val="2"/>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after="0"/>
              <w:rPr>
                <w:noProof/>
              </w:rPr>
            </w:pPr>
            <w:r>
              <w:rPr>
                <w:b/>
                <w:noProof/>
              </w:rPr>
              <w:t>Nombre TOTAL d'avis motivés reçus</w:t>
            </w:r>
          </w:p>
        </w:tc>
        <w:tc>
          <w:tcPr>
            <w:tcW w:w="7229" w:type="dxa"/>
            <w:gridSpan w:val="4"/>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21</w:t>
            </w:r>
          </w:p>
        </w:tc>
      </w:tr>
    </w:tbl>
    <w:p>
      <w:pPr>
        <w:rPr>
          <w:noProof/>
        </w:rPr>
      </w:pPr>
    </w:p>
    <w:p>
      <w:pPr>
        <w:rPr>
          <w:noProof/>
        </w:rPr>
      </w:pPr>
    </w:p>
    <w:p>
      <w:pPr>
        <w:jc w:val="center"/>
        <w:rPr>
          <w:noProof/>
          <w:sz w:val="22"/>
          <w:szCs w:val="22"/>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 xml:space="preserve"> </w:t>
      </w:r>
      <w:r>
        <w:tab/>
        <w:t>Pour être considéré comme un avis motivé tel que défini dans le protocole nº 2, un avis doit exposer les raisons pour lesquelles le parlement national estime qu’une proposition législative n’est pas conforme au principe de subsidiarité et être adressé à la Commission dans un délai de huit semaines à compter de la transmission de la proposition aux parlements nationaux.</w:t>
      </w:r>
    </w:p>
  </w:footnote>
  <w:footnote w:id="2">
    <w:p>
      <w:pPr>
        <w:pStyle w:val="FootnoteText"/>
        <w:ind w:left="284" w:hanging="284"/>
      </w:pPr>
      <w:r>
        <w:rPr>
          <w:rStyle w:val="FootnoteReference"/>
        </w:rPr>
        <w:footnoteRef/>
      </w:r>
      <w:r>
        <w:t xml:space="preserve"> </w:t>
      </w:r>
      <w:r>
        <w:tab/>
        <w:t>En vertu du protocole nº 2, chaque parlement national dispose de deux voix; dans le cas d’un système bicaméral, chaque chambre dispose d’une voix. Dans le cas où les avis motivés sur le non-respect par un projet d’acte législatif du principe de subsidiarité représentent au moins un tiers de l’ensemble des voix attribuées aux parlements nationaux, le seuil du «carton jaune» est atteint, ce qui signifie que le projet doit être réexaminé.</w:t>
      </w:r>
    </w:p>
  </w:footnote>
  <w:footnote w:id="3">
    <w:p>
      <w:pPr>
        <w:pStyle w:val="FootnoteText"/>
        <w:ind w:left="284" w:hanging="284"/>
      </w:pPr>
      <w:r>
        <w:rPr>
          <w:rStyle w:val="FootnoteReference"/>
        </w:rPr>
        <w:footnoteRef/>
      </w:r>
      <w:r>
        <w:t xml:space="preserve"> </w:t>
      </w:r>
      <w:r>
        <w:tab/>
        <w:t xml:space="preserve">Cet avis motivé émanait conjointement des </w:t>
      </w:r>
      <w:r>
        <w:rPr>
          <w:i/>
        </w:rPr>
        <w:t xml:space="preserve">Congreso de los Diputados </w:t>
      </w:r>
      <w:r>
        <w:t>et</w:t>
      </w:r>
      <w:r>
        <w:rPr>
          <w:i/>
        </w:rPr>
        <w:t xml:space="preserve"> Senado</w:t>
      </w:r>
      <w:r>
        <w:t xml:space="preserve"> espagnols – compté pour un avis motivé de deux chambres.</w:t>
      </w:r>
    </w:p>
  </w:footnote>
  <w:footnote w:id="4">
    <w:p>
      <w:pPr>
        <w:pStyle w:val="FootnoteText"/>
        <w:ind w:left="284" w:hanging="284"/>
      </w:pPr>
      <w:r>
        <w:rPr>
          <w:rStyle w:val="FootnoteReference"/>
        </w:rPr>
        <w:footnoteRef/>
      </w:r>
      <w:r>
        <w:t xml:space="preserve"> </w:t>
      </w:r>
      <w:r>
        <w:tab/>
        <w:t>L'avis motivé concernant ce document de la Commission concernait également le COM(2014) 5.</w:t>
      </w:r>
    </w:p>
  </w:footnote>
  <w:footnote w:id="5">
    <w:p>
      <w:pPr>
        <w:pStyle w:val="FootnoteText"/>
        <w:ind w:left="284" w:hanging="284"/>
      </w:pPr>
      <w:r>
        <w:rPr>
          <w:rStyle w:val="FootnoteReference"/>
        </w:rPr>
        <w:footnoteRef/>
      </w:r>
      <w:r>
        <w:t xml:space="preserve"> </w:t>
      </w:r>
      <w:r>
        <w:tab/>
        <w:t xml:space="preserve">Cet avis motivé du </w:t>
      </w:r>
      <w:r>
        <w:rPr>
          <w:i/>
        </w:rPr>
        <w:t>Senato della</w:t>
      </w:r>
      <w:r>
        <w:t xml:space="preserve"> </w:t>
      </w:r>
      <w:r>
        <w:rPr>
          <w:i/>
        </w:rPr>
        <w:t>Repubblica</w:t>
      </w:r>
      <w:r>
        <w:t xml:space="preserve"> italien concernait à la fois le COM(2014) 4 et le COM(2014) 5.</w:t>
      </w:r>
    </w:p>
  </w:footnote>
  <w:footnote w:id="6">
    <w:p>
      <w:pPr>
        <w:pStyle w:val="FootnoteText"/>
        <w:ind w:left="284" w:hanging="284"/>
        <w:rPr>
          <w:lang w:eastAsia="en-GB"/>
        </w:rPr>
      </w:pPr>
      <w:r>
        <w:rPr>
          <w:rStyle w:val="FootnoteReference"/>
        </w:rPr>
        <w:footnoteRef/>
      </w:r>
      <w:r>
        <w:t xml:space="preserve"> </w:t>
      </w:r>
      <w:r>
        <w:tab/>
        <w:t>Les avis motivés concernant ce document de la Commission concernaient également le COM(2014) 4.</w:t>
      </w:r>
    </w:p>
  </w:footnote>
  <w:footnote w:id="7">
    <w:p>
      <w:pPr>
        <w:pStyle w:val="FootnoteText"/>
        <w:ind w:left="284" w:hanging="284"/>
      </w:pPr>
      <w:r>
        <w:rPr>
          <w:rStyle w:val="FootnoteReference"/>
        </w:rPr>
        <w:footnoteRef/>
      </w:r>
      <w:r>
        <w:t xml:space="preserve"> </w:t>
      </w:r>
      <w:r>
        <w:tab/>
        <w:t xml:space="preserve">Comme indiqué ci-dessus, cet avis motivé du </w:t>
      </w:r>
      <w:r>
        <w:rPr>
          <w:i/>
        </w:rPr>
        <w:t>Senato della</w:t>
      </w:r>
      <w:r>
        <w:t xml:space="preserve"> </w:t>
      </w:r>
      <w:r>
        <w:rPr>
          <w:i/>
        </w:rPr>
        <w:t>Repubblica</w:t>
      </w:r>
      <w:r>
        <w:t xml:space="preserve"> italien concernait à la fois le COM(2014) 4 et le COM(2014) 5.</w:t>
      </w:r>
    </w:p>
  </w:footnote>
  <w:footnote w:id="8">
    <w:p>
      <w:pPr>
        <w:autoSpaceDE w:val="0"/>
        <w:autoSpaceDN w:val="0"/>
        <w:adjustRightInd w:val="0"/>
        <w:spacing w:after="0"/>
        <w:ind w:left="284" w:hanging="284"/>
        <w:contextualSpacing/>
        <w:rPr>
          <w:sz w:val="20"/>
          <w:szCs w:val="20"/>
          <w:lang w:eastAsia="en-GB"/>
        </w:rPr>
      </w:pPr>
      <w:r>
        <w:rPr>
          <w:rStyle w:val="FootnoteReference"/>
          <w:sz w:val="20"/>
        </w:rPr>
        <w:footnoteRef/>
      </w:r>
      <w:r>
        <w:rPr>
          <w:sz w:val="20"/>
        </w:rPr>
        <w:t xml:space="preserve"> </w:t>
      </w:r>
      <w:r>
        <w:tab/>
      </w:r>
      <w:r>
        <w:rPr>
          <w:sz w:val="20"/>
        </w:rPr>
        <w:t>Étant donné que certains avis motivés concernent plus d’un document, le tableau indique le nombre d’avis motivés émis pour chaque document. Pour montrer également le nombre d’avis motivés reçus par la Commission, le nombre supplémentaire d’avis motivés concernant conjointement plus d’un document est déduit.</w:t>
      </w:r>
    </w:p>
  </w:footnote>
  <w:footnote w:id="9">
    <w:p>
      <w:pPr>
        <w:pStyle w:val="FootnoteText"/>
        <w:ind w:left="284" w:hanging="284"/>
        <w:contextualSpacing/>
      </w:pPr>
      <w:r>
        <w:rPr>
          <w:rStyle w:val="FootnoteReference"/>
        </w:rPr>
        <w:footnoteRef/>
      </w:r>
      <w:r>
        <w:t xml:space="preserve"> </w:t>
      </w:r>
      <w:r>
        <w:tab/>
        <w:t xml:space="preserve">Correspondant, comme indiqué ci-dessus, à un avis motivé du </w:t>
      </w:r>
      <w:r>
        <w:rPr>
          <w:i/>
        </w:rPr>
        <w:t>Senato della</w:t>
      </w:r>
      <w:r>
        <w:t xml:space="preserve"> </w:t>
      </w:r>
      <w:r>
        <w:rPr>
          <w:i/>
        </w:rPr>
        <w:t>Repubblica</w:t>
      </w:r>
      <w:r>
        <w:t xml:space="preserve"> italien concernant à la fois le COM(2014) 4 et le COM(2014)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au"/>
    <w:docVar w:name="LW_ANNEX_NBR_FIRST" w:val="1"/>
    <w:docVar w:name="LW_ANNEX_NBR_LAST" w:val="1"/>
    <w:docVar w:name="LW_CONFIDENCE" w:val=" "/>
    <w:docVar w:name="LW_CONST_RESTREINT_UE" w:val="RESTREINT UE"/>
    <w:docVar w:name="LW_CORRIGENDUM" w:val="&lt;UNUSED&gt;"/>
    <w:docVar w:name="LW_COVERPAGE_GUID" w:val="CAFCB78CD7214DB9B5EA8929672C709E"/>
    <w:docVar w:name="LW_CROSSREFERENCE" w:val="&lt;UNUSED&gt;"/>
    <w:docVar w:name="LW_DocType" w:val="NORMAL"/>
    <w:docVar w:name="LW_EMISSION" w:val="2.7.2015"/>
    <w:docVar w:name="LW_EMISSION_ISODATE" w:val="2015-07-02"/>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Rapport annuel 2014_x000b_sur la subsidiarité et la proportionnalité"/>
    <w:docVar w:name="LW_PART_NBR" w:val="1"/>
    <w:docVar w:name="LW_PART_NBR_TOTAL" w:val="1"/>
    <w:docVar w:name="LW_REF.INST.NEW" w:val="COM"/>
    <w:docVar w:name="LW_REF.INST.NEW_ADOPTED" w:val="final"/>
    <w:docVar w:name="LW_REF.INST.NEW_TEXT" w:val="(2015) 315"/>
    <w:docVar w:name="LW_REF.INTERNE" w:val="&lt;UNUSED&gt;"/>
    <w:docVar w:name="LW_SUPERTITRE" w:val="&lt;UNUSED&gt;"/>
    <w:docVar w:name="LW_TITRE.OBJ.CP" w:val="&lt;UNUSED&gt;"/>
    <w:docVar w:name="LW_TYPE.DOC.CP" w:val="ANNEXE_x000b_"/>
    <w:docVar w:name="LW_TYPEACTEPRINCIPAL.CP" w:val="RAPPORT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Pr>
      <w:rFonts w:ascii="Times New Roman" w:eastAsia="Times New Roman" w:hAnsi="Times New Roman" w:cs="Times New Roman"/>
      <w:sz w:val="24"/>
      <w:szCs w:val="24"/>
      <w:lang w:val="fr-FR"/>
    </w:rPr>
  </w:style>
  <w:style w:type="character" w:styleId="FootnoteReference">
    <w:name w:val="footnote reference"/>
    <w:uiPriority w:val="99"/>
    <w:semiHidden/>
    <w:qFormat/>
    <w:rPr>
      <w:shd w:val="clear" w:color="auto" w:fill="auto"/>
      <w:vertAlign w:val="superscript"/>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link w:val="FootnoteText"/>
    <w:semiHidden/>
    <w:rPr>
      <w:rFonts w:ascii="Times New Roman" w:eastAsia="Times New Roman" w:hAnsi="Times New Roman" w:cs="Times New Roman"/>
      <w:sz w:val="20"/>
      <w:szCs w:val="20"/>
      <w:lang w:val="fr-FR"/>
    </w:rPr>
  </w:style>
  <w:style w:type="paragraph" w:styleId="Header">
    <w:name w:val="header"/>
    <w:basedOn w:val="Normal"/>
    <w:link w:val="HeaderChar"/>
    <w:uiPriority w:val="99"/>
    <w:pPr>
      <w:tabs>
        <w:tab w:val="center" w:pos="4535"/>
        <w:tab w:val="right" w:pos="9071"/>
      </w:tabs>
    </w:pPr>
  </w:style>
  <w:style w:type="character" w:customStyle="1" w:styleId="HeaderChar">
    <w:name w:val="Header Char"/>
    <w:link w:val="Header"/>
    <w:uiPriority w:val="99"/>
    <w:rPr>
      <w:rFonts w:ascii="Times New Roman" w:eastAsia="Times New Roman" w:hAnsi="Times New Roman" w:cs="Times New Roman"/>
      <w:sz w:val="24"/>
      <w:szCs w:val="24"/>
      <w:lang w:val="fr-FR"/>
    </w:rPr>
  </w:style>
  <w:style w:type="character" w:customStyle="1" w:styleId="iceouttxt36">
    <w:name w:val="iceouttxt36"/>
    <w:rPr>
      <w:sz w:val="24"/>
      <w:szCs w:val="24"/>
      <w:bdr w:val="none" w:sz="0" w:space="0" w:color="auto" w:frame="1"/>
      <w:vertAlign w:val="baselin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639</Words>
  <Characters>3617</Characters>
  <Application>Microsoft Office Word</Application>
  <DocSecurity>0</DocSecurity>
  <Lines>328</Lines>
  <Paragraphs>128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GEENIS-PALERMO Mildred (SG)</dc:creator>
  <cp:keywords/>
  <cp:lastModifiedBy>DIGIT/A3</cp:lastModifiedBy>
  <cp:revision>9</cp:revision>
  <cp:lastPrinted>2015-06-09T14:40:00Z</cp:lastPrinted>
  <dcterms:created xsi:type="dcterms:W3CDTF">2015-06-09T15:00:00Z</dcterms:created>
  <dcterms:modified xsi:type="dcterms:W3CDTF">2015-07-02T08:13:00Z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