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5668655D86F4F8AA146A0AFE7CF590D" style="width:450.75pt;height:379.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jc w:val="center"/>
        <w:rPr>
          <w:b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Списък на документите на Комисията, по повод на които тя получи мотивирани становища</w:t>
      </w:r>
      <w:r>
        <w:rPr>
          <w:rStyle w:val="FootnoteReference"/>
          <w:b/>
          <w:noProof/>
        </w:rPr>
        <w:footnoteReference w:id="1"/>
      </w:r>
      <w:r>
        <w:rPr>
          <w:b/>
          <w:noProof/>
        </w:rPr>
        <w:t xml:space="preserve"> от националните парламенти през 2014 г. относно спазването на принципа на субсидиарност </w:t>
      </w:r>
    </w:p>
    <w:p>
      <w:pPr>
        <w:jc w:val="center"/>
        <w:rPr>
          <w:b/>
          <w:noProof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551"/>
        <w:gridCol w:w="1560"/>
        <w:gridCol w:w="1417"/>
        <w:gridCol w:w="2126"/>
      </w:tblGrid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b/>
                <w:noProof/>
                <w:spacing w:val="-6"/>
              </w:rPr>
              <w:t>Документ на Комисията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b/>
                <w:noProof/>
                <w:spacing w:val="-6"/>
              </w:rPr>
              <w:t>Заглавие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b/>
                <w:noProof/>
                <w:spacing w:val="-6"/>
              </w:rPr>
              <w:t>Брой мотивирани становища (Протокол № 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b/>
                <w:noProof/>
                <w:spacing w:val="-6"/>
              </w:rPr>
              <w:t>Брой гласове (Протокол № 2)</w:t>
            </w:r>
            <w:r>
              <w:rPr>
                <w:rStyle w:val="FootnoteReference"/>
                <w:b/>
                <w:noProof/>
                <w:spacing w:val="-6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b/>
                <w:noProof/>
                <w:spacing w:val="-6"/>
              </w:rPr>
              <w:t>Национални камари, подали мотивирано становище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COM(2013) 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Предложение за директива относно законодателната рамка на Съюза в областта на митническите нарушения и наказания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LT </w:t>
            </w:r>
            <w:r>
              <w:rPr>
                <w:i/>
                <w:noProof/>
                <w:spacing w:val="-6"/>
              </w:rPr>
              <w:t>Seimas</w:t>
            </w:r>
            <w:r>
              <w:rPr>
                <w:noProof/>
                <w:spacing w:val="-6"/>
              </w:rPr>
              <w:t xml:space="preserve"> (2 гласа)</w:t>
            </w:r>
          </w:p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DK </w:t>
            </w:r>
            <w:r>
              <w:rPr>
                <w:i/>
                <w:noProof/>
                <w:spacing w:val="-6"/>
              </w:rPr>
              <w:t>Folketing</w:t>
            </w:r>
            <w:r>
              <w:rPr>
                <w:noProof/>
                <w:spacing w:val="-6"/>
              </w:rPr>
              <w:t xml:space="preserve"> (2 гласа)</w:t>
            </w:r>
          </w:p>
          <w:p>
            <w:pPr>
              <w:spacing w:after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SE </w:t>
            </w:r>
            <w:r>
              <w:rPr>
                <w:i/>
                <w:noProof/>
                <w:spacing w:val="-6"/>
              </w:rPr>
              <w:t>Riksdag</w:t>
            </w:r>
            <w:r>
              <w:rPr>
                <w:noProof/>
                <w:spacing w:val="-6"/>
              </w:rPr>
              <w:t xml:space="preserve"> (2 гласа)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COM(2014) 397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Предложение за директива за изменение на директиви 2008/98/ЕО относно отпадъците, 94/62/ЕО относно опаковките и отпадъците от опаковки, 1999/31/ЕО относно депонирането на отпадъци, 2000/53/EО относно излезлите от употреба превозни средства, 2006/66/ЕО относно батерии и акумулатори и отпадъци от батерии и акумулатори и 2012/19/EС относно отпадъци от електрическо и електронно оборудване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HR </w:t>
            </w:r>
            <w:r>
              <w:rPr>
                <w:i/>
                <w:noProof/>
                <w:spacing w:val="-6"/>
              </w:rPr>
              <w:t>Hrvatski Sabor</w:t>
            </w:r>
            <w:r>
              <w:rPr>
                <w:noProof/>
                <w:spacing w:val="-6"/>
              </w:rPr>
              <w:t xml:space="preserve"> (2 гласа)</w:t>
            </w:r>
          </w:p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CZ </w:t>
            </w:r>
            <w:r>
              <w:rPr>
                <w:i/>
                <w:noProof/>
                <w:spacing w:val="-6"/>
              </w:rPr>
              <w:t>Senát</w:t>
            </w:r>
            <w:r>
              <w:rPr>
                <w:noProof/>
                <w:spacing w:val="-6"/>
              </w:rPr>
              <w:t xml:space="preserve"> (1 глас)</w:t>
            </w:r>
          </w:p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AT </w:t>
            </w:r>
            <w:r>
              <w:rPr>
                <w:i/>
                <w:noProof/>
                <w:spacing w:val="-6"/>
              </w:rPr>
              <w:t>Bundesrat</w:t>
            </w:r>
            <w:r>
              <w:rPr>
                <w:noProof/>
                <w:spacing w:val="-6"/>
              </w:rPr>
              <w:t xml:space="preserve"> (1 глас)</w:t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835"/>
        <w:gridCol w:w="1276"/>
        <w:gridCol w:w="1417"/>
        <w:gridCol w:w="2126"/>
      </w:tblGrid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COM(2014) 180</w:t>
            </w:r>
          </w:p>
          <w:p>
            <w:pPr>
              <w:rPr>
                <w:noProof/>
                <w:spacing w:val="-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6"/>
              </w:rPr>
            </w:pPr>
            <w:r>
              <w:rPr>
                <w:rStyle w:val="iceouttxt36"/>
                <w:noProof/>
                <w:spacing w:val="-6"/>
              </w:rPr>
              <w:t xml:space="preserve">Предложение за регламент относно биологичното производство и етикетирането на биологични продукти за изменение на Регламент (ЕС) № XXX/XXX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LU </w:t>
            </w:r>
            <w:r>
              <w:rPr>
                <w:i/>
                <w:noProof/>
                <w:spacing w:val="-6"/>
              </w:rPr>
              <w:t>Chambre des Députés</w:t>
            </w:r>
            <w:r>
              <w:rPr>
                <w:noProof/>
                <w:spacing w:val="-6"/>
              </w:rPr>
              <w:t xml:space="preserve"> (2 гласа)</w:t>
            </w:r>
          </w:p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AT </w:t>
            </w:r>
            <w:r>
              <w:rPr>
                <w:i/>
                <w:noProof/>
                <w:spacing w:val="-6"/>
              </w:rPr>
              <w:t>Bundesrat</w:t>
            </w:r>
            <w:r>
              <w:rPr>
                <w:noProof/>
                <w:spacing w:val="-6"/>
              </w:rPr>
              <w:t xml:space="preserve"> (1 глас)</w:t>
            </w:r>
          </w:p>
          <w:p>
            <w:pPr>
              <w:rPr>
                <w:noProof/>
                <w:spacing w:val="-6"/>
              </w:rPr>
            </w:pP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COM(2013) 894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Предложение за Регламент относно новите храни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FR </w:t>
            </w:r>
            <w:r>
              <w:rPr>
                <w:i/>
                <w:noProof/>
                <w:spacing w:val="-6"/>
              </w:rPr>
              <w:t>Assemblée nationale</w:t>
            </w:r>
            <w:r>
              <w:rPr>
                <w:noProof/>
                <w:spacing w:val="-6"/>
              </w:rPr>
              <w:t xml:space="preserve"> (1 глас)</w:t>
            </w:r>
          </w:p>
          <w:p>
            <w:pPr>
              <w:spacing w:after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FR </w:t>
            </w:r>
            <w:r>
              <w:rPr>
                <w:i/>
                <w:noProof/>
                <w:spacing w:val="-6"/>
              </w:rPr>
              <w:t>Sénat</w:t>
            </w:r>
            <w:r>
              <w:rPr>
                <w:noProof/>
                <w:spacing w:val="-6"/>
              </w:rPr>
              <w:t xml:space="preserve"> (1 глас)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COM(2014) 212</w:t>
            </w:r>
          </w:p>
          <w:p>
            <w:pPr>
              <w:rPr>
                <w:noProof/>
                <w:spacing w:val="-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Предложение за директива относно едноличните дружества с ограничена отговорност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AT </w:t>
            </w:r>
            <w:r>
              <w:rPr>
                <w:i/>
                <w:noProof/>
                <w:spacing w:val="-6"/>
              </w:rPr>
              <w:t>Bundesrat</w:t>
            </w:r>
            <w:r>
              <w:rPr>
                <w:noProof/>
                <w:spacing w:val="-6"/>
              </w:rPr>
              <w:t xml:space="preserve"> (1 глас)</w:t>
            </w:r>
          </w:p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AT </w:t>
            </w:r>
            <w:r>
              <w:rPr>
                <w:i/>
                <w:noProof/>
                <w:spacing w:val="-6"/>
              </w:rPr>
              <w:t>Bundesrat</w:t>
            </w:r>
            <w:r>
              <w:rPr>
                <w:noProof/>
                <w:spacing w:val="-6"/>
              </w:rPr>
              <w:t xml:space="preserve"> (1 глас)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COM(2013) 796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Предложение за регламент за изменение на Регламент (ЕО) № 515/97 на Съвета от 13 март 1997 г. относно взаимопомощта между административните органи на държавите членки и сътрудничеството между последните и Комисията по гарантиране на правилното прилагане на законодателството в областта на митническите и земеделските въпроси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</w:t>
            </w:r>
            <w:r>
              <w:rPr>
                <w:rStyle w:val="FootnoteReference"/>
                <w:noProof/>
                <w:spacing w:val="-6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ES </w:t>
            </w:r>
            <w:r>
              <w:rPr>
                <w:i/>
                <w:noProof/>
                <w:spacing w:val="-6"/>
              </w:rPr>
              <w:t>Congreso de los Diputados и Senado</w:t>
            </w:r>
            <w:r>
              <w:rPr>
                <w:noProof/>
                <w:spacing w:val="-6"/>
              </w:rPr>
              <w:t xml:space="preserve"> (двете камари — 2 гласа)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COM(2013) 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Предложение за ДИРЕКТИВА НА СЪВЕТА за изменение на Директива 2011/96/ЕС относно общата система за данъчно облагане на дружества майки и дъщерни дружества от различни държави членки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SE </w:t>
            </w:r>
            <w:r>
              <w:rPr>
                <w:i/>
                <w:noProof/>
                <w:spacing w:val="-6"/>
              </w:rPr>
              <w:t>Riksdag</w:t>
            </w:r>
            <w:r>
              <w:rPr>
                <w:noProof/>
                <w:spacing w:val="-6"/>
              </w:rPr>
              <w:t xml:space="preserve"> (2 гласа)</w:t>
            </w:r>
          </w:p>
        </w:tc>
      </w:tr>
    </w:tbl>
    <w:p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835"/>
        <w:gridCol w:w="1134"/>
        <w:gridCol w:w="1417"/>
        <w:gridCol w:w="2126"/>
      </w:tblGrid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COM(2013) 821</w:t>
            </w:r>
          </w:p>
          <w:p>
            <w:pPr>
              <w:rPr>
                <w:noProof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Предложение за директива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UK House of Commons (1 глас)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COM(2013) 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Предложение за директива относно процесуалните гаранции за децата, заподозрени или обвиняеми по наказателни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NL </w:t>
            </w:r>
            <w:r>
              <w:rPr>
                <w:i/>
                <w:noProof/>
              </w:rPr>
              <w:t>Tweede Kamer</w:t>
            </w:r>
            <w:r>
              <w:rPr>
                <w:noProof/>
              </w:rPr>
              <w:t xml:space="preserve"> (1 глас)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COM(2013) 893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Предложение за ДИРЕКТИВА ЗА СЪВЕТА за пускането на пазара на храни от клонирани животни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UK House of Commons (1 глас)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COM(2014) 4</w:t>
            </w:r>
            <w:r>
              <w:rPr>
                <w:rStyle w:val="FootnoteReference"/>
                <w:noProof/>
              </w:rPr>
              <w:footnoteReference w:id="4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Предложение за директива за изменение на директиви 89/608/ЕИО, 90/425/ЕИО и 91/496/ЕИО по отношение на препратките към законодателството в зоотехническата област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IT </w:t>
            </w:r>
            <w:r>
              <w:rPr>
                <w:i/>
                <w:noProof/>
              </w:rPr>
              <w:t>Senato della Republic</w:t>
            </w:r>
            <w:r>
              <w:rPr>
                <w:noProof/>
              </w:rPr>
              <w:t>a (1 глас)</w:t>
            </w:r>
            <w:r>
              <w:rPr>
                <w:rStyle w:val="FootnoteReference"/>
                <w:noProof/>
              </w:rPr>
              <w:footnoteReference w:id="5"/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>COM(2014) 5</w:t>
            </w:r>
            <w:r>
              <w:rPr>
                <w:rStyle w:val="FootnoteReference"/>
                <w:noProof/>
              </w:rPr>
              <w:footnoteReference w:id="6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Предложение за Регламент за зоотехническите и генеалогичните условия за търговия и внос в Съюза на разплодни животни и зародишни продукти от 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IT </w:t>
            </w:r>
            <w:r>
              <w:rPr>
                <w:i/>
                <w:noProof/>
              </w:rPr>
              <w:t>Senato della Republic</w:t>
            </w:r>
            <w:r>
              <w:rPr>
                <w:noProof/>
              </w:rPr>
              <w:t>a (1 глас)</w:t>
            </w:r>
            <w:r>
              <w:rPr>
                <w:rStyle w:val="FootnoteReference"/>
                <w:noProof/>
              </w:rPr>
              <w:footnoteReference w:id="7"/>
            </w: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835"/>
        <w:gridCol w:w="1134"/>
        <w:gridCol w:w="1417"/>
        <w:gridCol w:w="2126"/>
      </w:tblGrid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COM(2014) 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Предложение за регламент относно структурните мерки за повишаване на устойчивостта на кредитните институции в 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 xml:space="preserve">FR </w:t>
            </w:r>
            <w:r>
              <w:rPr>
                <w:i/>
                <w:noProof/>
                <w:spacing w:val="-4"/>
              </w:rPr>
              <w:t>Sénat</w:t>
            </w:r>
            <w:r>
              <w:rPr>
                <w:noProof/>
                <w:spacing w:val="-4"/>
              </w:rPr>
              <w:t xml:space="preserve"> (1 глас)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COM(2014) 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Предложение за директива относно дейностите и надзора на институциите за професионално пенсионно осигуряване (преработен текст)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 xml:space="preserve">NL </w:t>
            </w:r>
            <w:r>
              <w:rPr>
                <w:i/>
                <w:noProof/>
                <w:spacing w:val="-4"/>
              </w:rPr>
              <w:t>Tweede Kamer</w:t>
            </w:r>
            <w:r>
              <w:rPr>
                <w:noProof/>
                <w:spacing w:val="-4"/>
              </w:rPr>
              <w:t xml:space="preserve"> (1 глас)</w:t>
            </w:r>
          </w:p>
        </w:tc>
      </w:tr>
      <w:t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COM(2014) 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Предложение за решение относно създаването на европейска платформа с цел засилване на сътрудничеството за предотвратяване и възпиране на недекларирания труд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UK House of Commons (1 глас)</w:t>
            </w:r>
          </w:p>
        </w:tc>
      </w:tr>
      <w:t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Брой мотивирани становища по документи, броени поотделно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22</w:t>
            </w:r>
          </w:p>
          <w:p>
            <w:pPr>
              <w:jc w:val="center"/>
              <w:rPr>
                <w:noProof/>
                <w:spacing w:val="-4"/>
              </w:rPr>
            </w:pPr>
          </w:p>
        </w:tc>
      </w:tr>
      <w:t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Брой мотивирани становища, отнасящи се до повече от един документ</w:t>
            </w:r>
            <w:r>
              <w:rPr>
                <w:rStyle w:val="FootnoteReference"/>
                <w:noProof/>
                <w:spacing w:val="-4"/>
              </w:rPr>
              <w:footnoteReference w:id="8"/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1</w:t>
            </w:r>
            <w:r>
              <w:rPr>
                <w:rStyle w:val="FootnoteReference"/>
                <w:noProof/>
                <w:spacing w:val="-4"/>
              </w:rPr>
              <w:footnoteReference w:id="9"/>
            </w:r>
          </w:p>
        </w:tc>
      </w:tr>
      <w:t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 Bold" w:hAnsi="Times New Roman Bold"/>
                <w:noProof/>
                <w:spacing w:val="-6"/>
              </w:rPr>
            </w:pPr>
            <w:r>
              <w:rPr>
                <w:rFonts w:ascii="Times New Roman Bold" w:hAnsi="Times New Roman Bold"/>
                <w:b/>
                <w:noProof/>
                <w:spacing w:val="-6"/>
              </w:rPr>
              <w:t>ОБЩ брой получени мотивирани становища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>21</w:t>
            </w:r>
          </w:p>
        </w:tc>
      </w:tr>
    </w:tbl>
    <w:p>
      <w:pPr>
        <w:rPr>
          <w:noProof/>
        </w:rPr>
      </w:pPr>
    </w:p>
    <w:p>
      <w:pPr>
        <w:rPr>
          <w:noProof/>
          <w:lang w:val="en-GB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За да може да бъде квалифицирано като мотивирано становище съгласно определението в Протокол № 2, в него трябва да се излагат причините, поради които националният парламент счита, че законодателното предложение не е съобразено с принципа на субсидиарност, и становището трябва да бъде изпратено на Комисията в срок от осем седмици от предаването на предложението на националните парламенти.</w:t>
      </w:r>
    </w:p>
  </w:footnote>
  <w:footnote w:id="2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pacing w:val="-6"/>
        </w:rPr>
        <w:t>Съгласно Протокол № 2 всеки национален парламент разполага с два гласа. В случай на двукамарна национална парламентарна система всяка от камарите разполага с един глас. Когато мотивираните становища относно незачитането на принципа на субсидиарност в проект за законодателен акт представляват най-малко една трета от общия брой на дадените на националните парламенти гласове, прагът за задействане на процедурата за ,,жълт картон“ е достигнат, т.е. проектът трябва да бъде преразгледан.</w:t>
      </w:r>
    </w:p>
  </w:footnote>
  <w:footnote w:id="3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Това мотивирано становище е изпратено съвместно от двете камари на ES (</w:t>
      </w:r>
      <w:r>
        <w:rPr>
          <w:i/>
        </w:rPr>
        <w:t xml:space="preserve">Congreso de los Diputados </w:t>
      </w:r>
      <w:r>
        <w:t>и</w:t>
      </w:r>
      <w:r>
        <w:rPr>
          <w:i/>
        </w:rPr>
        <w:t xml:space="preserve"> Senado)</w:t>
      </w:r>
      <w:r>
        <w:t xml:space="preserve"> — брои се като едно мотивирано становище от две камари.</w:t>
      </w:r>
    </w:p>
  </w:footnote>
  <w:footnote w:id="4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Мотивираните становища относно този документ на Комисията се отнасяха и до COM(2014) 5.</w:t>
      </w:r>
    </w:p>
  </w:footnote>
  <w:footnote w:id="5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Това мотивирано становище от IT </w:t>
      </w:r>
      <w:r>
        <w:rPr>
          <w:i/>
        </w:rPr>
        <w:t>Senato della Repubblica</w:t>
      </w:r>
      <w:r>
        <w:t xml:space="preserve"> се отнася до COM(2014) 4 и COM(2014) 5.</w:t>
      </w:r>
    </w:p>
  </w:footnote>
  <w:footnote w:id="6">
    <w:p>
      <w:pPr>
        <w:pStyle w:val="FootnoteText"/>
        <w:ind w:left="284" w:hanging="284"/>
        <w:rPr>
          <w:lang w:eastAsia="en-GB"/>
        </w:rPr>
      </w:pPr>
      <w:r>
        <w:rPr>
          <w:rStyle w:val="FootnoteReference"/>
        </w:rPr>
        <w:footnoteRef/>
      </w:r>
      <w:r>
        <w:t xml:space="preserve"> </w:t>
      </w:r>
      <w:r>
        <w:tab/>
        <w:t>Мотивираните становища относно този документ на Комисията се отнасяха и до COM(2014) 4.</w:t>
      </w:r>
    </w:p>
  </w:footnote>
  <w:footnote w:id="7">
    <w:p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Както е посочено по-горе, това мотивирано становище от IT </w:t>
      </w:r>
      <w:r>
        <w:rPr>
          <w:i/>
        </w:rPr>
        <w:t>Senato della Repubblica</w:t>
      </w:r>
      <w:r>
        <w:t xml:space="preserve"> се отнася до COM(2014) 4 и COM(2014) 5.</w:t>
      </w:r>
    </w:p>
  </w:footnote>
  <w:footnote w:id="8">
    <w:p>
      <w:pPr>
        <w:autoSpaceDE w:val="0"/>
        <w:autoSpaceDN w:val="0"/>
        <w:adjustRightInd w:val="0"/>
        <w:spacing w:after="0"/>
        <w:ind w:left="284" w:hanging="284"/>
        <w:contextualSpacing/>
        <w:rPr>
          <w:sz w:val="20"/>
          <w:szCs w:val="20"/>
          <w:lang w:eastAsia="en-GB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tab/>
      </w:r>
      <w:r>
        <w:rPr>
          <w:sz w:val="20"/>
        </w:rPr>
        <w:t>Тъй като някои мотивирани становища се отнасят до повече от един документ, в таблицата е представен броят на мотивираните становища, подадени за всеки отделен документ. За да е виден също така броят на мотивираните становища, получени от Комисията, допълнителният брой мотивирани становища, които се отнасят до повече от един документ, е приспаднат.</w:t>
      </w:r>
    </w:p>
  </w:footnote>
  <w:footnote w:id="9">
    <w:p>
      <w:pPr>
        <w:pStyle w:val="FootnoteText"/>
        <w:ind w:left="284" w:hanging="284"/>
        <w:contextualSpacing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Както е посочено по-горе, става въпрос за едно мотивирано становище от IT </w:t>
      </w:r>
      <w:r>
        <w:rPr>
          <w:i/>
        </w:rPr>
        <w:t>Senato della Repubblica</w:t>
      </w:r>
      <w:r>
        <w:t>, което се отнася до COM(2014) 4 и COM(2014)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5668655D86F4F8AA146A0AFE7CF590D"/>
    <w:docVar w:name="LW_CROSSREFERENCE" w:val="&lt;UNUSED&gt;"/>
    <w:docVar w:name="LW_DocType" w:val="NORMAL"/>
    <w:docVar w:name="LW_EMISSION" w:val="2.7.2015"/>
    <w:docVar w:name="LW_EMISSION_ISODATE" w:val="2015-07-0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3?\u1086?\u1076?\u1080?\u1096?\u1077?\u1085? \u1076?\u1086?\u1082?\u1083?\u1072?\u1076? \u1079?\u1072? 2014 \u1075?\u1086?\u1076?\u1080?\u1085?\u1072?_x000b_\u1086?\u1090?\u1085?\u1086?\u1089?\u1085?\u1086? \u1089?\u1091?\u1073?\u1089?\u1080?\u1076?\u1080?\u1072?\u1088?\u1085?\u1086?\u1089?\u1090?\u1090?\u1072? \u1080? \u1087?\u1088?\u1086?\u1087?\u1086?\u1088?\u1094?\u1080?\u1086?\u1085?\u1072?\u1083?\u1085?\u1086?\u1089?\u1090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31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Times New Roman" w:eastAsia="Times New Roman" w:hAnsi="Times New Roman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FootnoteReference">
    <w:name w:val="footnote reference"/>
    <w:uiPriority w:val="99"/>
    <w:semiHidden/>
    <w:qFormat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iceouttxt36">
    <w:name w:val="iceouttxt36"/>
    <w:rPr>
      <w:sz w:val="24"/>
      <w:szCs w:val="24"/>
      <w:bdr w:val="none" w:sz="0" w:space="0" w:color="auto" w:frame="1"/>
      <w:vertAlign w:val="baseline"/>
    </w:rPr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="Calibr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 w:eastAsia="en-GB" w:bidi="ar-SA"/>
    </w:rPr>
  </w:style>
  <w:style w:type="character" w:customStyle="1" w:styleId="FooterCoverPageChar">
    <w:name w:val="Footer Cover Page Char"/>
    <w:link w:val="FooterCoverPage"/>
    <w:rPr>
      <w:rFonts w:ascii="Times New Roman" w:eastAsia="Times New Roman" w:hAnsi="Times New Roman"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lang w:val="en-GB" w:eastAsia="en-GB" w:bidi="ar-SA"/>
    </w:rPr>
  </w:style>
  <w:style w:type="character" w:customStyle="1" w:styleId="HeaderCoverPageChar">
    <w:name w:val="Header Cover Page Char"/>
    <w:link w:val="HeaderCoverPag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8F67-49D6-4EA0-B74E-87020C9A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576</Words>
  <Characters>3229</Characters>
  <Application>Microsoft Office Word</Application>
  <DocSecurity>0</DocSecurity>
  <Lines>293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GEENIS-PALERMO Mildred (SG)</dc:creator>
  <cp:keywords/>
  <cp:lastModifiedBy>DIGIT/A3</cp:lastModifiedBy>
  <cp:revision>18</cp:revision>
  <cp:lastPrinted>2015-06-09T14:40:00Z</cp:lastPrinted>
  <dcterms:created xsi:type="dcterms:W3CDTF">2015-06-09T15:00:00Z</dcterms:created>
  <dcterms:modified xsi:type="dcterms:W3CDTF">2015-07-02T08:14:00Z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