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EDF0A5B8AC24DE791995C5B43768283" style="width:450.7pt;height:320.7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</w:rPr>
      </w:pPr>
      <w:bookmarkStart w:id="1" w:name="_GoBack"/>
      <w:bookmarkEnd w:id="1"/>
      <w:r>
        <w:rPr>
          <w:noProof/>
        </w:rPr>
        <w:t xml:space="preserve">Ефективното прилагане на правото на обществеността на достъп до документи на институциите на ЕС е едно от многото средства, с които ЕС се стреми да повиши прозрачността и отчетността по отношение на своите граждани. </w:t>
      </w:r>
    </w:p>
    <w:p>
      <w:pPr>
        <w:rPr>
          <w:noProof/>
        </w:rPr>
      </w:pPr>
      <w:r>
        <w:rPr>
          <w:noProof/>
        </w:rPr>
        <w:t xml:space="preserve">В политическите насоки на председателя Юнкер за Комисията се съдържа твърд ангажимент за по-голяма прозрачност. Впоследствие този ангажимент бе приложен на практика по няколко начина. </w:t>
      </w:r>
    </w:p>
    <w:p>
      <w:pPr>
        <w:rPr>
          <w:noProof/>
        </w:rPr>
      </w:pPr>
      <w:r>
        <w:rPr>
          <w:noProof/>
        </w:rPr>
        <w:t>На 14 ноември 2014</w:t>
      </w:r>
      <w:r>
        <w:rPr>
          <w:noProof/>
          <w:lang w:val="en-GB"/>
        </w:rPr>
        <w:t> </w:t>
      </w:r>
      <w:r>
        <w:rPr>
          <w:noProof/>
        </w:rPr>
        <w:t>г., още през първия месец от мандата си, Комисията даде импулс за по-голяма прозрачност, като се ангажира да публикува информация за лицата, които се срещат с нейните политически лидери и висши служители, и да предостави по-широк достъп до документите, свързани с преговорите за Трансатлантическо партньорство за търговия и инвестиции (ТПТИ) със Съединените щати.</w:t>
      </w:r>
    </w:p>
    <w:p>
      <w:pPr>
        <w:rPr>
          <w:rFonts w:cs="Arial"/>
          <w:noProof/>
          <w:szCs w:val="22"/>
        </w:rPr>
      </w:pPr>
      <w:r>
        <w:rPr>
          <w:noProof/>
        </w:rPr>
        <w:t>Новата Комисия реши също така, че комисарите, членовете на кабинети и генералните директори следва да се срещат само с представители на интереси, които са се регистрирали в Регистъра за прозрачност — регистър, който хвърля светлина върху тези, които се опитват да влияят на процеса на вземане на решения в институциите на ЕС, въпросите, за които следят, както и човешките и финансовите ресурси, които използват. Комисията също така обяви намерението си да внесе предложение за задължителен междуинституционален Регистър за прозрачност за Европейския парламент, Европейската комисия и Съвета.</w:t>
      </w:r>
    </w:p>
    <w:p>
      <w:pPr>
        <w:rPr>
          <w:noProof/>
        </w:rPr>
      </w:pPr>
      <w:r>
        <w:rPr>
          <w:noProof/>
        </w:rPr>
        <w:t>През май 2015 г. новата Комисия представи своята програма за по-добро регулиране. Този всестранен пакет, който обхваща целия цикъл на политиката, ще допринесе за по-голяма откритост и прозрачност на процеса на вземане на решения в ЕС за в бъдеще, за подобряване на качеството на новото законодателство посредством по-добри оценки на въздействието на законодателните предложения и изменения, и за насърчаване на постоянен и последователен преглед на съществуващото законодателство на ЕС, така че политиките на ЕС да постигнат целите си по възможно най-ефективния и ефикасен начин. Този прозрачен подход ще се прилага и за вторичното законодателство под формата на делегирани актове и актове за изпълнение.</w:t>
      </w:r>
    </w:p>
    <w:p>
      <w:pPr>
        <w:rPr>
          <w:noProof/>
        </w:rPr>
      </w:pPr>
      <w:r>
        <w:rPr>
          <w:noProof/>
        </w:rPr>
        <w:t>Настоящият доклад е съсредоточен върху правото на достъп до документи, предвидено в член 15, параграф 3 от Договора за функционирането на Европейския съюз и Регламент 1049/2001, което е основополагащо за подхода на Комисията по отношение на прозрачността, като подкрепя Комисията в проактивното публикуване на обширна информация на нейния уебсайт. Настоящият доклад, изготвен в съответствие с член 17, параграф 1 от Регламент (ЕО) № 1049/2001 относно публичния достъп до документи на Европейския парламент, на Съвета и на Комисията</w:t>
      </w:r>
      <w:r>
        <w:rPr>
          <w:rStyle w:val="FootnoteReference"/>
          <w:noProof/>
        </w:rPr>
        <w:footnoteReference w:id="1"/>
      </w:r>
      <w:r>
        <w:rPr>
          <w:noProof/>
        </w:rPr>
        <w:t>, предоставя информация относно прилагането на тези разпоредби от страна на Комисията, включително данни за броя на заявленията за достъп и процента на оповестяване на документи. Докладът се отнася за 2014 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и се основава на статистическите данни, обобщени в приложението. </w:t>
      </w:r>
    </w:p>
    <w:p>
      <w:pPr>
        <w:rPr>
          <w:noProof/>
        </w:rPr>
      </w:pPr>
      <w:r>
        <w:rPr>
          <w:noProof/>
        </w:rPr>
        <w:t>Тези данни отразяват броя на заявленията за достъп, а не на поисканите документи. На практика заявленията могат да се отнасят до единичен документ или до целите досиета, свързани с конкретна процедура, които съдържат множество документи. Не са включени заявленията за достъп до документи, които към момента на поискване са били публично достъпни.</w:t>
      </w:r>
    </w:p>
    <w:p>
      <w:pPr>
        <w:rPr>
          <w:noProof/>
        </w:rPr>
      </w:pPr>
      <w:r>
        <w:rPr>
          <w:noProof/>
        </w:rPr>
        <w:t>От тези статистически данни ясно личи важността на правото на достъп до документи в рамките на политиката на Комисията за прозрачност, тъй като поисканите документи са напълно или частично оповестени в 88 % от случаите на етапа на първоначалните заявления, като още по-голям, допълнителен достъп бе предоставен в 43 % от случаите на етапа на потвърждаване на заявленията.</w:t>
      </w: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Регистри и интернет сайтове</w:t>
      </w:r>
    </w:p>
    <w:p>
      <w:pPr>
        <w:pStyle w:val="ManualNumPar2"/>
        <w:rPr>
          <w:noProof/>
        </w:rPr>
      </w:pPr>
      <w:r>
        <w:t>1.1.</w:t>
      </w:r>
      <w:r>
        <w:tab/>
      </w:r>
      <w:r>
        <w:rPr>
          <w:noProof/>
        </w:rPr>
        <w:t>През 2014</w:t>
      </w:r>
      <w:r>
        <w:rPr>
          <w:noProof/>
          <w:lang w:val="en-GB"/>
        </w:rPr>
        <w:t> </w:t>
      </w:r>
      <w:r>
        <w:rPr>
          <w:noProof/>
        </w:rPr>
        <w:t>г. към регистъра на документите на Комисията (вж. таблица 1 в приложението) бяха добавени 19 755 нови документа.</w:t>
      </w:r>
    </w:p>
    <w:p>
      <w:pPr>
        <w:pStyle w:val="ManualNumPar2"/>
        <w:rPr>
          <w:noProof/>
        </w:rPr>
      </w:pPr>
      <w:r>
        <w:t>1.2.</w:t>
      </w:r>
      <w:r>
        <w:tab/>
      </w:r>
      <w:r>
        <w:rPr>
          <w:noProof/>
        </w:rPr>
        <w:t>През 2014 г. публичният регистър на Комисията включваше следните документи: серии COM, SEC, C, JOIN, SWD, OJ и PV. През 2014 г. в Комисията не бяха създадени или получени чувствителни документи</w:t>
      </w:r>
      <w:r>
        <w:rPr>
          <w:rStyle w:val="FootnoteReference"/>
          <w:noProof/>
        </w:rPr>
        <w:footnoteReference w:id="3"/>
      </w:r>
      <w:r>
        <w:rPr>
          <w:noProof/>
        </w:rPr>
        <w:t>, които попадат в една от тези категории документи.</w:t>
      </w:r>
    </w:p>
    <w:p>
      <w:pPr>
        <w:pStyle w:val="ManualNumPar2"/>
        <w:rPr>
          <w:noProof/>
        </w:rPr>
      </w:pPr>
      <w:r>
        <w:t>1.3.</w:t>
      </w:r>
      <w:r>
        <w:tab/>
      </w:r>
      <w:r>
        <w:rPr>
          <w:noProof/>
        </w:rPr>
        <w:t>В таблицата по-долу са представени данните за 2014</w:t>
      </w:r>
      <w:r>
        <w:rPr>
          <w:noProof/>
          <w:lang w:val="en-GB"/>
        </w:rPr>
        <w:t> </w:t>
      </w:r>
      <w:r>
        <w:rPr>
          <w:noProof/>
        </w:rPr>
        <w:t>г. относно посещаемостта на страницата „Достъп до документи” на уебсайта EUROPA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: </w:t>
      </w:r>
    </w:p>
    <w:tbl>
      <w:tblPr>
        <w:tblW w:w="7429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7"/>
        <w:gridCol w:w="1773"/>
        <w:gridCol w:w="1701"/>
        <w:gridCol w:w="2268"/>
      </w:tblGrid>
      <w:tr>
        <w:trPr>
          <w:trHeight w:val="34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Отделни посетители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Посещения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Отваряни страници</w:t>
            </w:r>
          </w:p>
        </w:tc>
      </w:tr>
      <w:tr>
        <w:trPr>
          <w:trHeight w:val="34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Общо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28 244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32 998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44 991</w:t>
            </w:r>
          </w:p>
        </w:tc>
      </w:tr>
      <w:tr>
        <w:trPr>
          <w:trHeight w:val="34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Средно на месец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2 354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2 750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hd w:val="clear" w:color="auto" w:fill="FFFFFF"/>
              <w:spacing w:before="0" w:after="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3 749</w:t>
            </w:r>
          </w:p>
        </w:tc>
      </w:tr>
    </w:tbl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Сътрудничество с другите институции, за които се прилага Регламентът</w:t>
      </w:r>
    </w:p>
    <w:p>
      <w:pPr>
        <w:pStyle w:val="Text1"/>
        <w:rPr>
          <w:noProof/>
        </w:rPr>
      </w:pPr>
      <w:r>
        <w:rPr>
          <w:noProof/>
        </w:rPr>
        <w:t>Трите институции (Европейският парламент, Съветът и Комисията) проведоха редовни оперативни заседания на административно равнище за обмяна на опит, разработване на най-добри практики и гарантиране на съгласувано прилагане на Регламента.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Анализ на заявленията за достъп</w:t>
      </w:r>
    </w:p>
    <w:p>
      <w:pPr>
        <w:pStyle w:val="ManualNumPar2"/>
        <w:rPr>
          <w:noProof/>
        </w:rPr>
      </w:pPr>
      <w:r>
        <w:t>3.1.</w:t>
      </w:r>
      <w:r>
        <w:tab/>
      </w:r>
      <w:r>
        <w:rPr>
          <w:noProof/>
        </w:rPr>
        <w:t xml:space="preserve">През 2014 г. броят на </w:t>
      </w:r>
      <w:r>
        <w:rPr>
          <w:b/>
          <w:noProof/>
        </w:rPr>
        <w:t>първоначалните заявления</w:t>
      </w:r>
      <w:r>
        <w:rPr>
          <w:noProof/>
        </w:rPr>
        <w:t xml:space="preserve"> за достъп до документи слабо намаля по отношение броя на заявленията (6 227 през 2014 г. в сравнение с 6 525 през 2013 г.). Броят на отговорите въз основа на Регламент (ЕО) № 1049/2001 бе 5 637 през 2014 г. в сравнение с 5 906 през 2013 г. (вж. таблица 2 в приложението).</w:t>
      </w:r>
    </w:p>
    <w:p>
      <w:pPr>
        <w:pStyle w:val="ManualNumPar2"/>
        <w:rPr>
          <w:noProof/>
        </w:rPr>
      </w:pPr>
      <w:r>
        <w:t>3.2.</w:t>
      </w:r>
      <w:r>
        <w:tab/>
      </w:r>
      <w:r>
        <w:rPr>
          <w:noProof/>
        </w:rPr>
        <w:t xml:space="preserve">Що се отнася до </w:t>
      </w:r>
      <w:r>
        <w:rPr>
          <w:b/>
          <w:noProof/>
        </w:rPr>
        <w:t>етапа на потвърждаване на заявленията</w:t>
      </w:r>
      <w:r>
        <w:rPr>
          <w:noProof/>
        </w:rPr>
        <w:t>, броят на получените заявления значително нарасна с 27 % (300 нови потвърдителни заявления през 2014 г. в сравнение с 236 през 2013 г.). През 2014 г. бяха приключени 327 случая в сравнение с 252 през 2013 г. Това представлява значително увеличение в размер на 30 %. (вж. таблица 5 в приложението).</w:t>
      </w:r>
    </w:p>
    <w:p>
      <w:pPr>
        <w:pStyle w:val="ManualNumPar2"/>
        <w:rPr>
          <w:noProof/>
        </w:rPr>
      </w:pPr>
      <w:r>
        <w:t>3.3.</w:t>
      </w:r>
      <w:r>
        <w:tab/>
      </w:r>
      <w:r>
        <w:rPr>
          <w:noProof/>
        </w:rPr>
        <w:t>През 2014 г., както през 2013 г., Генералният секретариат получи най-големия дял първоначални заявления (11,6 %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от общия брой). Първоначалните заявления за документи, съхранявани от генерална дирекция „Конкуренция“, са се увеличили от 5,1 % на 7,6 %, което я поставя на второ място, докато броят на заявления за документи, съхранявани от генерална дирекция „Здравеопазване и политика за потребителите“, която заема трета позиция, е намалял от 8,3 % на 7,2 %. Шест други генерални дирекции получиха брой заявления, представляващи повече от 5 % от общия брой искания (ГД „Земеделие и развитие на селските райони“, ГД „Предприятия и промишленост“, ГД „Околна среда“, ГД „Вътрешен пазар и услуги“, ГД „Данъчно облагане и митнически съюз“ и ГД „Търговия“). Останалите генерални дирекции съставляват по-малко от 5 %. (вж. таблица 10 в приложението).</w:t>
      </w:r>
    </w:p>
    <w:p>
      <w:pPr>
        <w:pStyle w:val="ManualNumPar2"/>
        <w:rPr>
          <w:noProof/>
        </w:rPr>
      </w:pPr>
      <w:r>
        <w:t>3.4.</w:t>
      </w:r>
      <w:r>
        <w:tab/>
      </w:r>
      <w:r>
        <w:rPr>
          <w:noProof/>
        </w:rPr>
        <w:t>Академичните среди отново се оказаха най-активната категория заявители с 19,8 % от първоначалните заявления (в сравнение с 22,1 % през 2013 г.). За разлика от ситуацията през 2013 г., след тях бяха адвокатските кантори с 18,3 % и едва след това гражданското общество (представители на интереси, неправителствени организации) с 16 % (в сравнение със съответно 14,5 и 16,6 % през 2013 г.) от общия брой заявления. Заявленията от други европейски институции значително са се увеличили от 8,8 % през 2013 г. на 12,8 % през 2014 г. За 18,8 % от заявленията жалбоподателите не са посочили своя социално-професионален профил, което представлява, както и в предходната година, значителен спад (в сравнение с 25,3 % през 2013 г.). (вж. таблица 8 в приложението).</w:t>
      </w:r>
    </w:p>
    <w:p>
      <w:pPr>
        <w:pStyle w:val="ManualNumPar2"/>
        <w:rPr>
          <w:noProof/>
        </w:rPr>
      </w:pPr>
      <w:r>
        <w:t>3.5.</w:t>
      </w:r>
      <w:r>
        <w:tab/>
      </w:r>
      <w:r>
        <w:rPr>
          <w:noProof/>
        </w:rPr>
        <w:t>Географското разпределение на първоначалните заявления също показва прилики с предходни години. Най-големият дял заявления продължава да е от Белгия (29,3 %). С изключение на Белгия и Германия (11,9 %) никоя държава членка не надхвърли 10 % от общия брой заявления. Тези две държави са следвани от Италия, Франция, Обединеното кралство и Испания. (вж. таблица 9 в приложението).</w:t>
      </w:r>
    </w:p>
    <w:p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>Прилагане на изключения при правото на достъп</w:t>
      </w:r>
    </w:p>
    <w:p>
      <w:pPr>
        <w:pStyle w:val="ManualNumPar2"/>
        <w:rPr>
          <w:noProof/>
        </w:rPr>
      </w:pPr>
      <w:r>
        <w:t>4.1.</w:t>
      </w:r>
      <w:r>
        <w:tab/>
      </w:r>
      <w:r>
        <w:rPr>
          <w:noProof/>
        </w:rPr>
        <w:t>През 2014 г. дялът на заявленията, отхвърлени изцяло на първоначалния етап, е намалял в сравнение с предходната година (11,9 % през 2014 г. в сравнение с 14,5 % през 2013 г.). Пълно оповестяване на документите бе предоставено в близо три от четири случая (72,8 % в сравнение с 73,4 % през 2013 г.), а дялът на оповестените частично документи нарасна в сравнение с предишните години и достигна 15,4 % (в сравнение с 10,7 % през 2013 г.) (вж. таблица 3 в приложението).</w:t>
      </w:r>
    </w:p>
    <w:p>
      <w:pPr>
        <w:pStyle w:val="ManualNumPar2"/>
        <w:rPr>
          <w:noProof/>
        </w:rPr>
      </w:pPr>
      <w:r>
        <w:t>4.2.</w:t>
      </w:r>
      <w:r>
        <w:tab/>
      </w:r>
      <w:r>
        <w:rPr>
          <w:noProof/>
        </w:rPr>
        <w:t>Броят на случаите, в които след потвърждаване на заявлението Комисията реши да оповести напълно документи, за които преди това е дала отказ, леко спадна (18,8 % в сравнение с 20,1 % през 2013 г.). Броят на случаите, в които отказът бе изцяло потвърден, се запази почти равен (56,6 % през 2014 г. в сравнение с 56,1 % през 2013 г.). Броят на случаите, в които е предоставен по-широк достъп след получаване на потвърдителното заявление, леко нарасна (24,6 % през 2014 г. срещу 23,8 % през 2013 г.). (вж. таблица 6 в приложението).</w:t>
      </w:r>
    </w:p>
    <w:p>
      <w:pPr>
        <w:pStyle w:val="ManualNumPar2"/>
        <w:rPr>
          <w:noProof/>
        </w:rPr>
      </w:pPr>
      <w:r>
        <w:t>4.3.</w:t>
      </w:r>
      <w:r>
        <w:tab/>
      </w:r>
      <w:r>
        <w:rPr>
          <w:noProof/>
        </w:rPr>
        <w:t>Честотата на позоваване на защитата на целите на дейности по инспектиране, разследване и одит като основание за пълен или частичен отказ на първоначалния етап, по отношение на всички разглеждани изключения, леко се е увеличила в сравнение с предходната година (25 % в сравнение с 23,6 % през 2013 г.). Тя беше най-често приложимото изключение, с преднина дори пред изключението, имащо за цел защита на процеса на вземане на решения на Комисията, което бе използвано по-рядко в сравнение с 2013 г. (22,1 % през 2014 г. срещу 27,1 % през 2013 г.). (вж. таблица 4 в приложението).</w:t>
      </w:r>
    </w:p>
    <w:p>
      <w:pPr>
        <w:pStyle w:val="ManualNumPar2"/>
        <w:rPr>
          <w:noProof/>
        </w:rPr>
      </w:pPr>
      <w:r>
        <w:t>4.4.</w:t>
      </w:r>
      <w:r>
        <w:tab/>
      </w:r>
      <w:r>
        <w:rPr>
          <w:noProof/>
        </w:rPr>
        <w:t>Дялът на първоначалните решения, позоваващи се на защитата на личния живот и личната неприкосновеност като главно основание за отказ, е нараснал значително от 16,3 % през 2013 г. до 21 % през 2014 г. Прилагането на защитата на търговските интереси като изключение е намалялo (14,9 % през 2014 г. спрямо 16,1 % през 2013 г.), като в същото време честотата на прилагане на изключението, основано на защитата на международните отношения, се е увеличилa (7,3 % през 2014 г. срещу 6,2 % през 2013 г.). (вж. таблица 4 в приложението).</w:t>
      </w:r>
    </w:p>
    <w:p>
      <w:pPr>
        <w:pStyle w:val="ManualNumPar2"/>
        <w:rPr>
          <w:noProof/>
        </w:rPr>
      </w:pPr>
      <w:r>
        <w:t>4.5.</w:t>
      </w:r>
      <w:r>
        <w:tab/>
      </w:r>
      <w:r>
        <w:rPr>
          <w:noProof/>
        </w:rPr>
        <w:t>Най-често посочваното основание за потвърждение на отказ за достъп, както и в предишните години, бе защитата на целите на дейности по инспектиране, разследване и одит, дори и броят на тези случаи малко да е намалял (33 % през 2014</w:t>
      </w:r>
      <w:r>
        <w:rPr>
          <w:noProof/>
          <w:lang w:val="en-GB"/>
        </w:rPr>
        <w:t> </w:t>
      </w:r>
      <w:r>
        <w:rPr>
          <w:noProof/>
        </w:rPr>
        <w:t>г. в сравнение с 36,9 % през 2013 г.). Прилагането на защитата на личния живот и личната неприкосновеност на лицата като изключение се е увеличило (18,1 % през 2014 г. спрямо 16,1 % през 2013 г.), както и честотата на прилагане на изключението, основано на защитата на търговските интереси (16 % през 2014 г. спрямо 12 % през 2013 г.). (вж. таблица 7 в приложението).</w:t>
      </w:r>
    </w:p>
    <w:p>
      <w:pPr>
        <w:pStyle w:val="ManualNumPar2"/>
        <w:rPr>
          <w:noProof/>
        </w:rPr>
      </w:pPr>
      <w:r>
        <w:t>4.6.</w:t>
      </w:r>
      <w:r>
        <w:tab/>
      </w:r>
      <w:r>
        <w:rPr>
          <w:noProof/>
        </w:rPr>
        <w:t>Като цяло, процентът на решенията, позоваващи се на защитата на процеса на вземане на решения в Комисията, е намалял от 16,1 % през 2013 г. на 14,5 % през 2014</w:t>
      </w:r>
      <w:r>
        <w:rPr>
          <w:noProof/>
          <w:lang w:val="en-GB"/>
        </w:rPr>
        <w:t> </w:t>
      </w:r>
      <w:r>
        <w:rPr>
          <w:noProof/>
        </w:rPr>
        <w:t>г. Въпреки че процентът на защита на становища за вътрешно ползване, при които решението вече е било взето, е намалял (от 5,5 % през 2013 г. до 3,2 % през 2014 г.), това не е така при текущите процеси на вземане на решения (които представляват 11,4 % през 2014 г. в сравнение с 10,6 % през 2013 г.). Защитата на съдебните производства и на правните становища се посочва по-често в сравнение с предходната година (10,3 % през 2014 г. спрямо 6,9 % през 2013 г.), като в същото време честотата на прилагане на изключението, основано на целта за защита на финансовата, валутната или икономическата политика, е намаляла от 7,4 % през 2013 г. на 4,6 % през 2014 г.</w:t>
      </w:r>
    </w:p>
    <w:p>
      <w:pPr>
        <w:pStyle w:val="ManualNumPar1"/>
        <w:rPr>
          <w:noProof/>
        </w:rPr>
      </w:pPr>
      <w:r>
        <w:t>5.</w:t>
      </w:r>
      <w:r>
        <w:tab/>
      </w:r>
      <w:r>
        <w:rPr>
          <w:noProof/>
        </w:rPr>
        <w:t>Подадени жалби пред Европейския омбудсман</w:t>
      </w:r>
    </w:p>
    <w:p>
      <w:pPr>
        <w:pStyle w:val="ManualNumPar2"/>
        <w:rPr>
          <w:noProof/>
        </w:rPr>
      </w:pPr>
      <w:r>
        <w:t>5.1.</w:t>
      </w:r>
      <w:r>
        <w:tab/>
      </w:r>
      <w:r>
        <w:rPr>
          <w:noProof/>
        </w:rPr>
        <w:t>През 2014</w:t>
      </w:r>
      <w:r>
        <w:rPr>
          <w:noProof/>
          <w:lang w:val="en-GB"/>
        </w:rPr>
        <w:t> </w:t>
      </w:r>
      <w:r>
        <w:rPr>
          <w:noProof/>
        </w:rPr>
        <w:t>г. омбудсманът приключи разглеждането на следните 20 жалби срещу Комисията във връзка с обработването на заявления за достъп до документи</w:t>
      </w:r>
      <w:r>
        <w:rPr>
          <w:rStyle w:val="FootnoteReference"/>
          <w:noProof/>
        </w:rPr>
        <w:footnoteReference w:id="6"/>
      </w:r>
      <w:r>
        <w:rPr>
          <w:noProof/>
        </w:rPr>
        <w:t>:</w:t>
      </w:r>
    </w:p>
    <w:p>
      <w:pPr>
        <w:pStyle w:val="Text1"/>
        <w:rPr>
          <w:b/>
          <w:bCs/>
          <w:noProof/>
          <w:spacing w:val="-2"/>
          <w:sz w:val="22"/>
        </w:rPr>
      </w:pPr>
      <w:r>
        <w:rPr>
          <w:b/>
          <w:noProof/>
          <w:spacing w:val="-2"/>
          <w:sz w:val="22"/>
        </w:rPr>
        <w:t xml:space="preserve">8 приключени случая с критичен и/или друг коментар: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1743/2013/TN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1869/2013/AN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1869/2013/AN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216/2009/TN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636/2012/DK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1076/2012/DK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1392/2012/DK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257/2013/OV</w:t>
      </w:r>
    </w:p>
    <w:p>
      <w:pPr>
        <w:pStyle w:val="Text1"/>
        <w:rPr>
          <w:b/>
          <w:noProof/>
          <w:color w:val="000000"/>
          <w:sz w:val="22"/>
        </w:rPr>
      </w:pPr>
      <w:r>
        <w:rPr>
          <w:b/>
          <w:noProof/>
          <w:spacing w:val="-2"/>
          <w:sz w:val="22"/>
        </w:rPr>
        <w:t>12 приключени случая без по-нататъшни действия:</w:t>
      </w:r>
      <w:r>
        <w:rPr>
          <w:b/>
          <w:noProof/>
          <w:color w:val="000000"/>
          <w:spacing w:val="-2"/>
          <w:sz w:val="22"/>
        </w:rPr>
        <w:t xml:space="preserve">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2011/2232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705/2012/BEH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145/2013/ANA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407/2013/ANA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 xml:space="preserve">2290/2013/MMN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 xml:space="preserve">2406/2013/EIS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 xml:space="preserve">176/2014/EIS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 xml:space="preserve">854/2014/SID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 xml:space="preserve">1034/2014/EIS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 xml:space="preserve">1144/2014/BEH 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1145/2014/FOR</w:t>
      </w:r>
    </w:p>
    <w:p>
      <w:pPr>
        <w:pStyle w:val="ListBullet4"/>
        <w:spacing w:before="0" w:after="0"/>
        <w:ind w:left="1135" w:hanging="284"/>
        <w:rPr>
          <w:noProof/>
        </w:rPr>
      </w:pPr>
      <w:r>
        <w:rPr>
          <w:noProof/>
        </w:rPr>
        <w:t>1629/2014/CK</w:t>
      </w:r>
    </w:p>
    <w:p>
      <w:pPr>
        <w:pStyle w:val="ManualNumPar2"/>
        <w:rPr>
          <w:noProof/>
        </w:rPr>
      </w:pPr>
      <w:r>
        <w:t>5.2.</w:t>
      </w:r>
      <w:r>
        <w:tab/>
      </w:r>
      <w:r>
        <w:rPr>
          <w:noProof/>
        </w:rPr>
        <w:t>През годината омбудсманът започна работа по 30 нови жалби, които се отнасят основно или частично до отказ на достъп до документи.</w:t>
      </w:r>
    </w:p>
    <w:p>
      <w:pPr>
        <w:pStyle w:val="ManualNumPar1"/>
        <w:rPr>
          <w:noProof/>
        </w:rPr>
      </w:pPr>
      <w:r>
        <w:t>6.</w:t>
      </w:r>
      <w:r>
        <w:tab/>
      </w:r>
      <w:r>
        <w:rPr>
          <w:noProof/>
        </w:rPr>
        <w:t>Съдебен контрол</w:t>
      </w:r>
    </w:p>
    <w:p>
      <w:pPr>
        <w:pStyle w:val="ManualNumPar2"/>
        <w:rPr>
          <w:noProof/>
        </w:rPr>
      </w:pPr>
      <w:r>
        <w:t>6.1.</w:t>
      </w:r>
      <w:r>
        <w:tab/>
      </w:r>
      <w:r>
        <w:rPr>
          <w:noProof/>
        </w:rPr>
        <w:t>Както и през предишните години, през 2014 г. бяха постановени важни нови съдебни решения.</w:t>
      </w:r>
    </w:p>
    <w:p>
      <w:pPr>
        <w:pStyle w:val="ManualNumPar2"/>
        <w:rPr>
          <w:noProof/>
        </w:rPr>
      </w:pPr>
      <w:r>
        <w:t>6.2.</w:t>
      </w:r>
      <w:r>
        <w:tab/>
      </w:r>
      <w:r>
        <w:rPr>
          <w:noProof/>
        </w:rPr>
        <w:t>Съдът на ЕС постанови две решения по обжалване по следните две дела:</w:t>
      </w:r>
    </w:p>
    <w:p>
      <w:pPr>
        <w:pStyle w:val="ListBullet1"/>
        <w:rPr>
          <w:noProof/>
        </w:rPr>
      </w:pPr>
      <w:r>
        <w:rPr>
          <w:noProof/>
        </w:rPr>
        <w:t>C-365/12 P - Европейска комисия/EnBW Energie Baden-Württemberg AG (</w:t>
      </w:r>
      <w:hyperlink r:id="rId16">
        <w:r>
          <w:rPr>
            <w:rStyle w:val="Hyperlink"/>
            <w:noProof/>
          </w:rPr>
          <w:t>http://curia.europa.eu/juris/document/document.jsf?text=&amp;docid=160883&amp;pageIndex=0&amp;doclang=BG&amp;mode=req&amp;dir=&amp;occ=first&amp;part=1&amp;cid=364447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C-127/13 P — Guido Strack/Европейска комисия (</w:t>
      </w:r>
      <w:hyperlink r:id="rId17">
        <w:r>
          <w:rPr>
            <w:rStyle w:val="Hyperlink"/>
            <w:noProof/>
          </w:rPr>
          <w:t>http://curia.europa.eu/juris/document/document.jsf?docid=159344&amp;mode=req&amp;pageIndex=1&amp;dir=&amp;occ=first&amp;part=1&amp;text=&amp;doclang=BG&amp;cid=364763</w:t>
        </w:r>
      </w:hyperlink>
      <w:r>
        <w:rPr>
          <w:noProof/>
        </w:rPr>
        <w:t>)</w:t>
      </w:r>
    </w:p>
    <w:p>
      <w:pPr>
        <w:pStyle w:val="ManualNumPar2"/>
        <w:rPr>
          <w:noProof/>
        </w:rPr>
      </w:pPr>
      <w:r>
        <w:t>6.3.</w:t>
      </w:r>
      <w:r>
        <w:tab/>
      </w:r>
      <w:r>
        <w:rPr>
          <w:noProof/>
        </w:rPr>
        <w:t xml:space="preserve">Общият съд от своя страна постанови осем решения, свързани с правото на достъп до документи: </w:t>
      </w:r>
    </w:p>
    <w:p>
      <w:pPr>
        <w:pStyle w:val="ListBullet1"/>
        <w:jc w:val="left"/>
        <w:rPr>
          <w:noProof/>
        </w:rPr>
      </w:pPr>
      <w:r>
        <w:rPr>
          <w:noProof/>
        </w:rPr>
        <w:t>T-181/10 — Reagens SpA/Европейска комисия (</w:t>
      </w:r>
      <w:hyperlink r:id="rId18">
        <w:r>
          <w:rPr>
            <w:rStyle w:val="Hyperlink"/>
            <w:noProof/>
          </w:rPr>
          <w:t>http://curia.europa.eu/juris/document/document.jsf?text=&amp;docid=161566&amp;pageIndex=0&amp;doclang=BG&amp;mode=req&amp;dir=&amp;occ=first&amp;part=1&amp;cid=365084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T-447/11 - Lian Catinis/Европейска комисия (</w:t>
      </w:r>
      <w:hyperlink r:id="rId19">
        <w:r>
          <w:rPr>
            <w:rStyle w:val="Hyperlink"/>
            <w:noProof/>
          </w:rPr>
          <w:t>http://curia.europa.eu/juris/document/document.jsf?text=&amp;docid=162588&amp;pageIndex=0&amp;doclang=BG&amp;mode=req&amp;dir=&amp;occ=first&amp;part=1&amp;cid=365011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T-516/11 - MasterCard, Inc., MasterCard International, Inc. и MasterCard Europe/Европейска комисия (</w:t>
      </w:r>
      <w:hyperlink r:id="rId20">
        <w:r>
          <w:rPr>
            <w:rStyle w:val="Hyperlink"/>
            <w:noProof/>
          </w:rPr>
          <w:t>http://curia.europa.eu/juris/document/document.jsf?docid=158833&amp;mode=req&amp;pageIndex=1&amp;dir=&amp;occ=first&amp;part=1&amp;text=&amp;doclang=BG&amp;cid=365325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T-669/11 - Darius Nicolai Spirlea и Mihaela Spirlea/Европейска комисия (</w:t>
      </w:r>
      <w:hyperlink r:id="rId21">
        <w:r>
          <w:rPr>
            <w:rStyle w:val="Hyperlink"/>
            <w:noProof/>
          </w:rPr>
          <w:t>http://curia.europa.eu/juris/document/document.jsf?text=&amp;docid=159482&amp;pageIndex=0&amp;doclang=BG&amp;mode=req&amp;dir=&amp;occ=first&amp;part=1&amp;cid=365393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T-306/12 - Darius Nicolai Spirlea и Mihaela Spirlea/Европейска комисия (</w:t>
      </w:r>
      <w:hyperlink r:id="rId22">
        <w:r>
          <w:rPr>
            <w:rStyle w:val="Hyperlink"/>
            <w:noProof/>
          </w:rPr>
          <w:t>http://curia.europa.eu/juris/document/document.jsf?text=&amp;docid=159472&amp;pageIndex=0&amp;doclang=BG&amp;mode=req&amp;dir=&amp;occ=first&amp;part=1&amp;cid=365451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T-534/11 - Schenker AG/Европейска комисия (</w:t>
      </w:r>
      <w:hyperlink r:id="rId23">
        <w:r>
          <w:rPr>
            <w:rStyle w:val="Hyperlink"/>
            <w:noProof/>
          </w:rPr>
          <w:t>http://curia.europa.eu/juris/document/document.jsf?text=&amp;docid=160027&amp;pageIndex=0&amp;doclang=BG&amp;mode=req&amp;dir=&amp;occ=first&amp;part=1&amp;cid=365564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T-476/12 - Saint-Gobain Glass Deutschland GmbH/Европейска комисия (</w:t>
      </w:r>
      <w:hyperlink r:id="rId24">
        <w:r>
          <w:rPr>
            <w:rStyle w:val="Hyperlink"/>
            <w:noProof/>
          </w:rPr>
          <w:t>http://curia.europa.eu/juris/document/document.jsf?text=&amp;docid=162032&amp;pageIndex=0&amp;doclang=BG&amp;mode=req&amp;dir=&amp;occ=first&amp;part=1&amp;cid=365610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T-304/13 P - Chris van der Aat and Others/Европейска комисия (</w:t>
      </w:r>
      <w:hyperlink r:id="rId25">
        <w:r>
          <w:rPr>
            <w:rStyle w:val="Hyperlink"/>
            <w:noProof/>
          </w:rPr>
          <w:t>http://curia.europa.eu/juris/document/document.jsf?text=&amp;docid=162187&amp;pageIndex=0&amp;doclang=BG&amp;mode=req&amp;dir=&amp;occ=first&amp;part=1&amp;cid=365693</w:t>
        </w:r>
      </w:hyperlink>
      <w:r>
        <w:rPr>
          <w:noProof/>
        </w:rPr>
        <w:t>)</w:t>
      </w:r>
    </w:p>
    <w:p>
      <w:pPr>
        <w:pStyle w:val="ManualNumPar2"/>
        <w:rPr>
          <w:noProof/>
        </w:rPr>
      </w:pPr>
      <w:r>
        <w:t>6.4.</w:t>
      </w:r>
      <w:r>
        <w:tab/>
      </w:r>
      <w:r>
        <w:rPr>
          <w:noProof/>
        </w:rPr>
        <w:t>В един случай Съдът отхвърли жалбата като явно лишена от правно основание:</w:t>
      </w:r>
    </w:p>
    <w:p>
      <w:pPr>
        <w:pStyle w:val="ListBullet1"/>
        <w:jc w:val="left"/>
        <w:rPr>
          <w:noProof/>
        </w:rPr>
      </w:pPr>
      <w:r>
        <w:rPr>
          <w:noProof/>
        </w:rPr>
        <w:t>T-603/11 - Ecologistas en Acción-CODA/Европейска комисия (</w:t>
      </w:r>
      <w:hyperlink r:id="rId26">
        <w:r>
          <w:rPr>
            <w:rStyle w:val="Hyperlink"/>
            <w:noProof/>
          </w:rPr>
          <w:t>http://curia.europa.eu/juris/document/document.jsf?docid=153216&amp;mode=req&amp;pageIndex=1&amp;dir=&amp;occ=first&amp;part=1&amp;text=&amp;doclang=BG&amp;cid=365757</w:t>
        </w:r>
      </w:hyperlink>
      <w:r>
        <w:rPr>
          <w:noProof/>
        </w:rPr>
        <w:t>)</w:t>
      </w:r>
    </w:p>
    <w:p>
      <w:pPr>
        <w:pStyle w:val="ManualNumPar2"/>
        <w:rPr>
          <w:noProof/>
        </w:rPr>
      </w:pPr>
      <w:r>
        <w:t>6.5.</w:t>
      </w:r>
      <w:r>
        <w:tab/>
      </w:r>
      <w:r>
        <w:rPr>
          <w:noProof/>
        </w:rPr>
        <w:t xml:space="preserve">По следното дело Съдът констатира, че липсва основание за постановяване на съдебно решение по същество: </w:t>
      </w:r>
    </w:p>
    <w:p>
      <w:pPr>
        <w:pStyle w:val="ListBullet1"/>
        <w:jc w:val="left"/>
        <w:rPr>
          <w:noProof/>
        </w:rPr>
      </w:pPr>
      <w:r>
        <w:rPr>
          <w:noProof/>
        </w:rPr>
        <w:t>T-511/10 - Evropaïki Dynamiki/Комисия (</w:t>
      </w:r>
      <w:hyperlink r:id="rId27">
        <w:r>
          <w:rPr>
            <w:rStyle w:val="Hyperlink"/>
            <w:noProof/>
          </w:rPr>
          <w:t>http://curia.europa.eu/juris/document/document.jsf?text=&amp;docid=82281&amp;pageIndex=0&amp;doclang=BG&amp;mode=req&amp;dir=&amp;occ=first&amp;part=1&amp;cid=365870</w:t>
        </w:r>
      </w:hyperlink>
      <w:r>
        <w:rPr>
          <w:noProof/>
        </w:rPr>
        <w:t>)</w:t>
      </w:r>
    </w:p>
    <w:p>
      <w:pPr>
        <w:pStyle w:val="ManualNumPar2"/>
        <w:rPr>
          <w:noProof/>
        </w:rPr>
      </w:pPr>
      <w:r>
        <w:t>6.6.</w:t>
      </w:r>
      <w:r>
        <w:tab/>
      </w:r>
      <w:r>
        <w:rPr>
          <w:noProof/>
        </w:rPr>
        <w:t xml:space="preserve">Образувани бяха 9 нови производства в Общия съд срещу решения на Комисията на основание Регламент (ЕО) № 1049/2001. </w:t>
      </w:r>
    </w:p>
    <w:p>
      <w:pPr>
        <w:pStyle w:val="ListBullet1"/>
        <w:jc w:val="left"/>
        <w:rPr>
          <w:noProof/>
        </w:rPr>
      </w:pPr>
      <w:r>
        <w:rPr>
          <w:noProof/>
        </w:rPr>
        <w:t>T-128/14 - Daimler/Комисия (</w:t>
      </w:r>
      <w:hyperlink r:id="rId28">
        <w:r>
          <w:rPr>
            <w:rStyle w:val="Hyperlink"/>
            <w:noProof/>
          </w:rPr>
          <w:t>http://curia.europa.eu/juris/document/document.jsf?text=&amp;docid=152473&amp;pageIndex=0&amp;doclang=BG&amp;mode=req&amp;dir=&amp;occ=first&amp;part=1&amp;cid=366122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T-239/14 - Monard/Комисия (</w:t>
      </w:r>
      <w:hyperlink r:id="rId29">
        <w:r>
          <w:rPr>
            <w:rStyle w:val="Hyperlink"/>
            <w:noProof/>
          </w:rPr>
          <w:t>http://curia.europa.eu/juris/document/document.jsf?text=&amp;docid=154810&amp;pageIndex=0&amp;doclang=BG&amp;mode=req&amp;dir=&amp;occ=first&amp;part=1&amp;cid=366208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T-363/14 - Secolux/Комисия (</w:t>
      </w:r>
      <w:hyperlink r:id="rId30">
        <w:r>
          <w:rPr>
            <w:rStyle w:val="Hyperlink"/>
            <w:noProof/>
          </w:rPr>
          <w:t>http://curia.europa.eu/juris/document/document.jsf?text=&amp;docid=156103&amp;pageIndex=0&amp;doclang=BG&amp;mode=req&amp;dir=&amp;occ=first&amp;part=1&amp;cid=366258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T-424/14 - ClientEarth/Комисия (</w:t>
      </w:r>
      <w:hyperlink r:id="rId31">
        <w:r>
          <w:rPr>
            <w:rStyle w:val="Hyperlink"/>
            <w:noProof/>
          </w:rPr>
          <w:t>http://curia.europa.eu/juris/document/document.jsf?text=&amp;docid=157459&amp;pageIndex=0&amp;doclang=BG&amp;mode=req&amp;dir=&amp;occ=first&amp;part=1&amp;cid=366342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T-425/14 - ClientEarth/Комисия (</w:t>
      </w:r>
      <w:hyperlink r:id="rId32">
        <w:r>
          <w:rPr>
            <w:rStyle w:val="Hyperlink"/>
            <w:noProof/>
          </w:rPr>
          <w:t>http://curia.europa.eu/juris/document/document.jsf?text=&amp;docid=157460&amp;pageIndex=0&amp;doclang=BG&amp;mode=req&amp;dir=&amp;occ=first&amp;part=1&amp;cid=366416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T-498/14 - Deutsche Umwelthilfe/Комисия (</w:t>
      </w:r>
      <w:hyperlink r:id="rId33">
        <w:r>
          <w:rPr>
            <w:rStyle w:val="Hyperlink"/>
            <w:noProof/>
          </w:rPr>
          <w:t>http://curia.europa.eu/juris/document/document.jsf?text=&amp;docid=157953&amp;pageIndex=0&amp;doclang=BG&amp;mode=req&amp;dir=&amp;occ=first&amp;part=1&amp;cid=366482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T-755/14 - Herbert Smith Freehills/Комисия (</w:t>
      </w:r>
      <w:hyperlink r:id="rId34">
        <w:r>
          <w:rPr>
            <w:rStyle w:val="Hyperlink"/>
            <w:noProof/>
          </w:rPr>
          <w:t>http://curia.europa.eu/juris/document/document.jsf?text=&amp;docid=161783&amp;pageIndex=0&amp;doclang=BG&amp;mode=req&amp;dir=&amp;occ=first&amp;part=1&amp;cid=366553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T-796/14 - Philip Morris/Комисия (</w:t>
      </w:r>
      <w:hyperlink r:id="rId35">
        <w:r>
          <w:rPr>
            <w:rStyle w:val="Hyperlink"/>
            <w:noProof/>
          </w:rPr>
          <w:t>http://curia.europa.eu/juris/document/document.jsf?text=&amp;docid=162349&amp;pageIndex=0&amp;doclang=BG&amp;mode=req&amp;dir=&amp;occ=first&amp;part=1&amp;cid=366652</w:t>
        </w:r>
      </w:hyperlink>
      <w:r>
        <w:rPr>
          <w:noProof/>
        </w:rPr>
        <w:t>)</w:t>
      </w:r>
    </w:p>
    <w:p>
      <w:pPr>
        <w:pStyle w:val="ListBullet1"/>
        <w:jc w:val="left"/>
        <w:rPr>
          <w:noProof/>
        </w:rPr>
      </w:pPr>
      <w:r>
        <w:rPr>
          <w:noProof/>
        </w:rPr>
        <w:t>T-800/14 - Philip Morris/Комисия (</w:t>
      </w:r>
      <w:hyperlink r:id="rId36">
        <w:r>
          <w:rPr>
            <w:rStyle w:val="Hyperlink"/>
            <w:noProof/>
          </w:rPr>
          <w:t>http://curia.europa.eu/juris/document/document.jsf?text=&amp;docid=162360&amp;pageIndex=0&amp;doclang=BG&amp;mode=req&amp;dir=&amp;occ=first&amp;part=1&amp;cid=366717</w:t>
        </w:r>
      </w:hyperlink>
      <w:r>
        <w:rPr>
          <w:noProof/>
        </w:rPr>
        <w:t>)</w:t>
      </w:r>
    </w:p>
    <w:p>
      <w:pPr>
        <w:pStyle w:val="ManualNumPar2"/>
        <w:rPr>
          <w:noProof/>
        </w:rPr>
      </w:pPr>
      <w:r>
        <w:t>6.7.</w:t>
      </w:r>
      <w:r>
        <w:tab/>
      </w:r>
      <w:r>
        <w:rPr>
          <w:noProof/>
        </w:rPr>
        <w:t>В сравнение с 2013 г., когато до Съда на Европейския съюз бяха подадени пет нови жалби, само една такава нова жалба е срещу решение на Общия съд.</w:t>
      </w:r>
    </w:p>
    <w:p>
      <w:pPr>
        <w:pStyle w:val="ListBullet1"/>
        <w:jc w:val="left"/>
        <w:rPr>
          <w:noProof/>
        </w:rPr>
      </w:pPr>
      <w:r>
        <w:rPr>
          <w:rStyle w:val="affairetitle"/>
          <w:noProof/>
        </w:rPr>
        <w:t xml:space="preserve">C-562/14 P - </w:t>
      </w:r>
      <w:r>
        <w:rPr>
          <w:noProof/>
        </w:rPr>
        <w:t>Sweden/Commission (</w:t>
      </w:r>
      <w:hyperlink r:id="rId37">
        <w:r>
          <w:rPr>
            <w:rStyle w:val="Hyperlink"/>
            <w:noProof/>
          </w:rPr>
          <w:t>http://curia.europa.eu/juris/document/document.jsf?text=&amp;docid=161659&amp;pageIndex=0&amp;doclang=BG&amp;mode=req&amp;dir=&amp;occ=first&amp;part=1&amp;cid=366774</w:t>
        </w:r>
      </w:hyperlink>
      <w:r>
        <w:rPr>
          <w:noProof/>
        </w:rPr>
        <w:t>)</w:t>
      </w:r>
    </w:p>
    <w:p>
      <w:pPr>
        <w:pStyle w:val="ManualNumPar1"/>
        <w:rPr>
          <w:noProof/>
        </w:rPr>
      </w:pPr>
      <w:r>
        <w:t>7.</w:t>
      </w:r>
      <w:r>
        <w:tab/>
      </w:r>
      <w:r>
        <w:rPr>
          <w:noProof/>
        </w:rPr>
        <w:t>Заключения</w:t>
      </w:r>
    </w:p>
    <w:p>
      <w:pPr>
        <w:pStyle w:val="Text1"/>
        <w:spacing w:after="240"/>
        <w:ind w:left="851"/>
        <w:rPr>
          <w:noProof/>
        </w:rPr>
      </w:pPr>
      <w:r>
        <w:rPr>
          <w:noProof/>
        </w:rPr>
        <w:t>Новата Комисия, ръководена от председателя Юнкер, се ангажира с по-голяма прозрачност. Този ангажимент се изпълнява чрез публикуване на информация за лицата, които се срещат с нейните политически лидери и висши служители, чрез по-широк достъп до документите, свързани с преговорите за Трансатлантическо партньорство за търговия и инвестиции (ТПТИ) със Съединените американски щати, както и чрез преразглеждане на Регистъра за прозрачност и приемане на програмата за по-добро регулиране.</w:t>
      </w:r>
    </w:p>
    <w:p>
      <w:pPr>
        <w:pStyle w:val="Text1"/>
        <w:spacing w:before="0" w:after="240"/>
        <w:ind w:left="851"/>
        <w:rPr>
          <w:noProof/>
        </w:rPr>
      </w:pPr>
      <w:r>
        <w:rPr>
          <w:noProof/>
        </w:rPr>
        <w:t>По отношение на правото на достъп до документи новата Комисия публикува обширна информация и предоставя документи относно своите законодателни и незаконодателни дейности. Освен това правото на достъп до документи при поискване, подлежащи на специални, ограничени изключения, е уредено с Договорите и представлява важен инструмент, чрез който Комисията изпълнява своя ангажимент за прозрачност. Комисията се стреми да отговори на тези искания по възможно най-бързия начин и чрез възможно най-ефективно използване на ресурсите.</w:t>
      </w:r>
    </w:p>
    <w:p>
      <w:pPr>
        <w:pStyle w:val="Text1"/>
        <w:spacing w:before="0" w:after="240"/>
        <w:ind w:left="851"/>
        <w:rPr>
          <w:noProof/>
        </w:rPr>
      </w:pPr>
      <w:r>
        <w:rPr>
          <w:noProof/>
        </w:rPr>
        <w:t>Макар че броят на първоначалните заявления за достъп до документи е намалял в малка степен от 6,525 през 2013 г. до 6,227 през 2014 г., то броят на потвърдителните заявления продължи да се увеличава за седма поредна година със значително увеличение от 27 %, от 236 през 2013 г. на 300 през 2014 г. Това показва, че гражданите все по-често използват законното си право да обжалват първоначалното решение на Комисията.</w:t>
      </w:r>
    </w:p>
    <w:p>
      <w:pPr>
        <w:pStyle w:val="Text1"/>
        <w:spacing w:before="0" w:after="240"/>
        <w:ind w:left="851"/>
        <w:rPr>
          <w:noProof/>
        </w:rPr>
      </w:pPr>
      <w:r>
        <w:rPr>
          <w:noProof/>
        </w:rPr>
        <w:t>Комисията продължава да е институцията, която обработва най-много първоначални и потвърдителни заявления в съответствие с Регламент № 1049/2001. Комисията обработва два пъти повече заявления, отколкото Съветът и Европейският парламент заедно.</w:t>
      </w:r>
    </w:p>
    <w:p>
      <w:pPr>
        <w:pStyle w:val="Text1"/>
        <w:spacing w:before="0" w:after="240"/>
        <w:ind w:left="851"/>
        <w:rPr>
          <w:noProof/>
        </w:rPr>
      </w:pPr>
      <w:r>
        <w:rPr>
          <w:noProof/>
        </w:rPr>
        <w:t>Обемът на заявленията за достъп и високото равнище на оповестяване на документи показват, че правото на достъп до документи се използва активно от европейските граждани, в резултат на което, в допълнение към подробната документация вече на разположение на уебсайта на Комисията, се предоставят голям брой документи.</w:t>
      </w:r>
    </w:p>
    <w:p>
      <w:pPr>
        <w:rPr>
          <w:noProof/>
        </w:rPr>
      </w:pPr>
    </w:p>
    <w:sectPr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40" w:right="1800" w:bottom="1440" w:left="180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color w:val="000000"/>
        </w:rPr>
        <w:t>OВ L 145, 31.5.2001 г., стp. 43.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Статистическите данни, представени в настоящия доклад, се основават на данните, получени от приложението GESTDEM на 23 април 2015 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За целите на Регламент № 1049/2001 чувствителни документи са документите, класифицирани като „très secret/top secret“, „secret“ или „confidential“ (вж. чл. 9, параграф 1 от Регламента).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http://ec.europa.eu/transparency/access_documents/index_en.htm</w:t>
        </w:r>
      </w:hyperlink>
    </w:p>
    <w:p>
      <w:pPr>
        <w:pStyle w:val="FootnoteText"/>
      </w:pP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Процентите в описателната част на доклада са закръглени до първия знак след десетичната запетая.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За подробна информация по всеки от посочените случаи, вж. http://www.ombudsman.europa.eu/bg/cases/home.faces.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>
    <w:nsid w:val="22E44180"/>
    <w:multiLevelType w:val="multilevel"/>
    <w:tmpl w:val="107007B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7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7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3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4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5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>
    <w:nsid w:val="79C96D36"/>
    <w:multiLevelType w:val="multilevel"/>
    <w:tmpl w:val="BE983CE4"/>
    <w:name w:val="0,948844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0lett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1lett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6"/>
  </w:num>
  <w:num w:numId="5">
    <w:abstractNumId w:val="12"/>
  </w:num>
  <w:num w:numId="6">
    <w:abstractNumId w:val="22"/>
  </w:num>
  <w:num w:numId="7">
    <w:abstractNumId w:val="26"/>
  </w:num>
  <w:num w:numId="8">
    <w:abstractNumId w:val="25"/>
  </w:num>
  <w:num w:numId="9">
    <w:abstractNumId w:val="29"/>
  </w:num>
  <w:num w:numId="10">
    <w:abstractNumId w:val="8"/>
  </w:num>
  <w:num w:numId="11">
    <w:abstractNumId w:val="7"/>
  </w:num>
  <w:num w:numId="12">
    <w:abstractNumId w:val="19"/>
  </w:num>
  <w:num w:numId="13">
    <w:abstractNumId w:val="9"/>
  </w:num>
  <w:num w:numId="14">
    <w:abstractNumId w:val="14"/>
  </w:num>
  <w:num w:numId="15">
    <w:abstractNumId w:val="17"/>
  </w:num>
  <w:num w:numId="16">
    <w:abstractNumId w:val="28"/>
  </w:num>
  <w:num w:numId="17">
    <w:abstractNumId w:val="5"/>
  </w:num>
  <w:num w:numId="18">
    <w:abstractNumId w:val="1"/>
  </w:num>
  <w:num w:numId="19">
    <w:abstractNumId w:val="0"/>
  </w:num>
  <w:num w:numId="20">
    <w:abstractNumId w:val="24"/>
  </w:num>
  <w:num w:numId="21">
    <w:abstractNumId w:val="23"/>
  </w:num>
  <w:num w:numId="22">
    <w:abstractNumId w:val="2"/>
  </w:num>
  <w:num w:numId="23">
    <w:abstractNumId w:val="10"/>
  </w:num>
  <w:num w:numId="24">
    <w:abstractNumId w:val="31"/>
  </w:num>
  <w:num w:numId="25">
    <w:abstractNumId w:val="11"/>
  </w:num>
  <w:num w:numId="26">
    <w:abstractNumId w:val="20"/>
  </w:num>
  <w:num w:numId="27">
    <w:abstractNumId w:val="15"/>
  </w:num>
  <w:num w:numId="28">
    <w:abstractNumId w:val="27"/>
  </w:num>
  <w:num w:numId="29">
    <w:abstractNumId w:val="30"/>
  </w:num>
  <w:num w:numId="30">
    <w:abstractNumId w:val="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AEDF0A5B8AC24DE791995C5B43768283"/>
    <w:docVar w:name="LW_CROSSREFERENCE" w:val="&lt;UNUSED&gt;"/>
    <w:docVar w:name="LW_DocType" w:val="NORMAL"/>
    <w:docVar w:name="LW_EMISSION" w:val="6.8.2015"/>
    <w:docVar w:name="LW_EMISSION_ISODATE" w:val="2015-08-06"/>
    <w:docVar w:name="LW_EMISSION_LOCATION" w:val="BRX"/>
    <w:docVar w:name="LW_EMISSION_PREFIX" w:val="Брюксел, "/>
    <w:docVar w:name="LW_EMISSION_SUFFIX" w:val=" \u1075?."/>
    <w:docVar w:name="LW_ID_DOCTYPE_NONLW" w:val="CP-003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5) 391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87?\u1088?\u1080?\u1083?\u1072?\u1075?\u1072?\u1085?\u1077?\u1090?\u1086? \u1087?\u1088?\u1077?\u1079? 2014 \u1075?. \u1085?\u1072? \u1056?\u1077?\u1075?\u1083?\u1072?\u1084?\u1077?\u1085?\u1090? (\u1045?\u1054?) \u8470? 1049/2001 \u1086?\u1090?\u1085?\u1086?\u1089?\u1085?\u1086? \u1087?\u1091?\u1073?\u1083?\u1080?\u1095?\u1085?\u1080?\u1103? \u1076?\u1086?\u1089?\u1090?\u1098?\u1087? \u1076?\u1086? \u1076?\u1086?\u1082?\u1091?\u1084?\u1077?\u1085?\u1090?\u1080? \u1085?\u1072? \u1045?\u1074?\u1088?\u1086?\u1087?\u1077?\u1081?\u1089?\u1082?\u1080?\u1103? \u1087?\u1072?\u1088?\u1083?\u1072?\u1084?\u1077?\u1085?\u1090?, \u1085?\u1072? \u1057?\u1098?\u1074?\u1077?\u1090?\u1072? \u1080? \u1085?\u1072? \u1050?\u1086?\u1084?\u1080?\u1089?\u1080?\u1103?\u1090?\u1072?"/>
    <w:docVar w:name="LW_TYPE.DOC.CP" w:val="\u1044?\u1054?\u1050?\u1051?\u1040?\u1044? \u1053?\u1040? \u1050?\u1054?\u1052?\u1048?\u1057?\u1048?\u1071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Table Grid 8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bg-BG"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bg-BG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tabs>
        <w:tab w:val="num" w:pos="1984"/>
      </w:tabs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tabs>
        <w:tab w:val="num" w:pos="2551"/>
      </w:tabs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uiPriority w:val="99"/>
    <w:pPr>
      <w:numPr>
        <w:numId w:val="20"/>
      </w:numPr>
    </w:pPr>
    <w:rPr>
      <w:szCs w:val="22"/>
    </w:rPr>
  </w:style>
  <w:style w:type="paragraph" w:styleId="ListBullet2">
    <w:name w:val="List Bullet 2"/>
    <w:basedOn w:val="Normal"/>
    <w:uiPriority w:val="99"/>
    <w:pPr>
      <w:numPr>
        <w:numId w:val="22"/>
      </w:numPr>
    </w:pPr>
    <w:rPr>
      <w:szCs w:val="22"/>
    </w:rPr>
  </w:style>
  <w:style w:type="paragraph" w:styleId="ListBullet3">
    <w:name w:val="List Bullet 3"/>
    <w:basedOn w:val="Normal"/>
    <w:uiPriority w:val="99"/>
    <w:pPr>
      <w:numPr>
        <w:numId w:val="23"/>
      </w:numPr>
    </w:pPr>
    <w:rPr>
      <w:szCs w:val="22"/>
    </w:rPr>
  </w:style>
  <w:style w:type="paragraph" w:styleId="ListBullet4">
    <w:name w:val="List Bullet 4"/>
    <w:basedOn w:val="Normal"/>
    <w:uiPriority w:val="99"/>
    <w:pPr>
      <w:numPr>
        <w:numId w:val="24"/>
      </w:numPr>
    </w:pPr>
    <w:rPr>
      <w:szCs w:val="22"/>
    </w:rPr>
  </w:style>
  <w:style w:type="paragraph" w:styleId="ListNumber">
    <w:name w:val="List Number"/>
    <w:basedOn w:val="Normal"/>
    <w:uiPriority w:val="99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uiPriority w:val="99"/>
    <w:pPr>
      <w:numPr>
        <w:numId w:val="17"/>
      </w:numPr>
    </w:pPr>
    <w:rPr>
      <w:szCs w:val="22"/>
    </w:rPr>
  </w:style>
  <w:style w:type="paragraph" w:styleId="ListNumber3">
    <w:name w:val="List Number 3"/>
    <w:basedOn w:val="Normal"/>
    <w:uiPriority w:val="99"/>
    <w:pPr>
      <w:numPr>
        <w:numId w:val="18"/>
      </w:numPr>
    </w:pPr>
    <w:rPr>
      <w:szCs w:val="22"/>
    </w:rPr>
  </w:style>
  <w:style w:type="paragraph" w:styleId="ListNumber4">
    <w:name w:val="List Number 4"/>
    <w:basedOn w:val="Normal"/>
    <w:uiPriority w:val="99"/>
    <w:pPr>
      <w:numPr>
        <w:numId w:val="19"/>
      </w:numPr>
    </w:pPr>
    <w:rPr>
      <w:szCs w:val="22"/>
    </w:rPr>
  </w:style>
  <w:style w:type="paragraph" w:customStyle="1" w:styleId="ListBullet1">
    <w:name w:val="List Bullet 1"/>
    <w:basedOn w:val="Normal"/>
    <w:pPr>
      <w:numPr>
        <w:numId w:val="21"/>
      </w:numPr>
    </w:pPr>
    <w:rPr>
      <w:szCs w:val="22"/>
    </w:rPr>
  </w:style>
  <w:style w:type="paragraph" w:customStyle="1" w:styleId="ListDash">
    <w:name w:val="List Dash"/>
    <w:basedOn w:val="Normal"/>
    <w:pPr>
      <w:numPr>
        <w:numId w:val="25"/>
      </w:numPr>
    </w:pPr>
    <w:rPr>
      <w:szCs w:val="22"/>
    </w:rPr>
  </w:style>
  <w:style w:type="paragraph" w:customStyle="1" w:styleId="ListDash1">
    <w:name w:val="List Dash 1"/>
    <w:basedOn w:val="Normal"/>
    <w:pPr>
      <w:numPr>
        <w:numId w:val="26"/>
      </w:numPr>
    </w:pPr>
    <w:rPr>
      <w:szCs w:val="22"/>
    </w:rPr>
  </w:style>
  <w:style w:type="paragraph" w:customStyle="1" w:styleId="ListDash2">
    <w:name w:val="List Dash 2"/>
    <w:basedOn w:val="Normal"/>
    <w:pPr>
      <w:numPr>
        <w:numId w:val="27"/>
      </w:numPr>
    </w:pPr>
    <w:rPr>
      <w:szCs w:val="22"/>
    </w:rPr>
  </w:style>
  <w:style w:type="paragraph" w:customStyle="1" w:styleId="ListDash3">
    <w:name w:val="List Dash 3"/>
    <w:basedOn w:val="Normal"/>
    <w:pPr>
      <w:numPr>
        <w:numId w:val="28"/>
      </w:numPr>
    </w:pPr>
    <w:rPr>
      <w:szCs w:val="22"/>
    </w:rPr>
  </w:style>
  <w:style w:type="paragraph" w:customStyle="1" w:styleId="ListDash4">
    <w:name w:val="List Dash 4"/>
    <w:basedOn w:val="Normal"/>
    <w:pPr>
      <w:numPr>
        <w:numId w:val="29"/>
      </w:numPr>
    </w:pPr>
    <w:rPr>
      <w:szCs w:val="22"/>
    </w:rPr>
  </w:style>
  <w:style w:type="paragraph" w:customStyle="1" w:styleId="ListNumber1">
    <w:name w:val="List Number 1"/>
    <w:basedOn w:val="Text1"/>
    <w:pPr>
      <w:numPr>
        <w:numId w:val="16"/>
      </w:numPr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szCs w:val="22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szCs w:val="22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szCs w:val="22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szCs w:val="22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szCs w:val="22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szCs w:val="22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szCs w:val="22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szCs w:val="22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  <w:szCs w:val="20"/>
    </w:rPr>
  </w:style>
  <w:style w:type="paragraph" w:styleId="BlockText">
    <w:name w:val="Block Text"/>
    <w:basedOn w:val="Normal"/>
    <w:uiPriority w:val="99"/>
    <w:pPr>
      <w:spacing w:before="0"/>
      <w:ind w:left="1440" w:righ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hd w:val="clear" w:color="auto" w:fill="auto"/>
      <w:lang w:eastAsia="bg-BG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shd w:val="clear" w:color="auto" w:fill="auto"/>
      <w:lang w:eastAsia="bg-BG"/>
    </w:rPr>
  </w:style>
  <w:style w:type="paragraph" w:customStyle="1" w:styleId="text20">
    <w:name w:val="text2"/>
    <w:basedOn w:val="Normal"/>
    <w:pPr>
      <w:spacing w:before="100" w:beforeAutospacing="1" w:after="100" w:afterAutospacing="1"/>
      <w:jc w:val="left"/>
    </w:pPr>
    <w:rPr>
      <w:szCs w:val="22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Pr>
      <w:szCs w:val="22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szCs w:val="22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hd w:val="clear" w:color="auto" w:fill="auto"/>
    </w:rPr>
  </w:style>
  <w:style w:type="character" w:styleId="EndnoteReference">
    <w:name w:val="endnote reference"/>
    <w:rPr>
      <w:vertAlign w:val="superscrip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/>
    </w:rPr>
  </w:style>
  <w:style w:type="character" w:customStyle="1" w:styleId="FooterCoverPageChar">
    <w:name w:val="Footer Cover Page Char"/>
    <w:link w:val="FooterCoverPage"/>
    <w:rPr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noProof/>
    </w:rPr>
  </w:style>
  <w:style w:type="character" w:customStyle="1" w:styleId="HeaderCoverPageChar">
    <w:name w:val="Header Cover Page Char"/>
    <w:link w:val="HeaderCoverPage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/>
      <w:sz w:val="22"/>
      <w:szCs w:val="22"/>
    </w:rPr>
  </w:style>
  <w:style w:type="character" w:customStyle="1" w:styleId="affairetitle">
    <w:name w:val="affaire_title"/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List Bullet 2" w:uiPriority="99"/>
    <w:lsdException w:name="List Bullet 3" w:uiPriority="99"/>
    <w:lsdException w:name="List Bullet 4" w:uiPriority="99"/>
    <w:lsdException w:name="List Number 2" w:uiPriority="99"/>
    <w:lsdException w:name="List Number 3" w:uiPriority="99"/>
    <w:lsdException w:name="List Number 4" w:uiPriority="99"/>
    <w:lsdException w:name="Title" w:qFormat="1"/>
    <w:lsdException w:name="Subtitle" w:qFormat="1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Table Grid 8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bg-BG"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bg-BG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tabs>
        <w:tab w:val="num" w:pos="1984"/>
      </w:tabs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tabs>
        <w:tab w:val="num" w:pos="2551"/>
      </w:tabs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uiPriority w:val="99"/>
    <w:pPr>
      <w:numPr>
        <w:numId w:val="20"/>
      </w:numPr>
    </w:pPr>
    <w:rPr>
      <w:szCs w:val="22"/>
    </w:rPr>
  </w:style>
  <w:style w:type="paragraph" w:styleId="ListBullet2">
    <w:name w:val="List Bullet 2"/>
    <w:basedOn w:val="Normal"/>
    <w:uiPriority w:val="99"/>
    <w:pPr>
      <w:numPr>
        <w:numId w:val="22"/>
      </w:numPr>
    </w:pPr>
    <w:rPr>
      <w:szCs w:val="22"/>
    </w:rPr>
  </w:style>
  <w:style w:type="paragraph" w:styleId="ListBullet3">
    <w:name w:val="List Bullet 3"/>
    <w:basedOn w:val="Normal"/>
    <w:uiPriority w:val="99"/>
    <w:pPr>
      <w:numPr>
        <w:numId w:val="23"/>
      </w:numPr>
    </w:pPr>
    <w:rPr>
      <w:szCs w:val="22"/>
    </w:rPr>
  </w:style>
  <w:style w:type="paragraph" w:styleId="ListBullet4">
    <w:name w:val="List Bullet 4"/>
    <w:basedOn w:val="Normal"/>
    <w:uiPriority w:val="99"/>
    <w:pPr>
      <w:numPr>
        <w:numId w:val="24"/>
      </w:numPr>
    </w:pPr>
    <w:rPr>
      <w:szCs w:val="22"/>
    </w:rPr>
  </w:style>
  <w:style w:type="paragraph" w:styleId="ListNumber">
    <w:name w:val="List Number"/>
    <w:basedOn w:val="Normal"/>
    <w:uiPriority w:val="99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uiPriority w:val="99"/>
    <w:pPr>
      <w:numPr>
        <w:numId w:val="17"/>
      </w:numPr>
    </w:pPr>
    <w:rPr>
      <w:szCs w:val="22"/>
    </w:rPr>
  </w:style>
  <w:style w:type="paragraph" w:styleId="ListNumber3">
    <w:name w:val="List Number 3"/>
    <w:basedOn w:val="Normal"/>
    <w:uiPriority w:val="99"/>
    <w:pPr>
      <w:numPr>
        <w:numId w:val="18"/>
      </w:numPr>
    </w:pPr>
    <w:rPr>
      <w:szCs w:val="22"/>
    </w:rPr>
  </w:style>
  <w:style w:type="paragraph" w:styleId="ListNumber4">
    <w:name w:val="List Number 4"/>
    <w:basedOn w:val="Normal"/>
    <w:uiPriority w:val="99"/>
    <w:pPr>
      <w:numPr>
        <w:numId w:val="19"/>
      </w:numPr>
    </w:pPr>
    <w:rPr>
      <w:szCs w:val="22"/>
    </w:rPr>
  </w:style>
  <w:style w:type="paragraph" w:customStyle="1" w:styleId="ListBullet1">
    <w:name w:val="List Bullet 1"/>
    <w:basedOn w:val="Normal"/>
    <w:pPr>
      <w:numPr>
        <w:numId w:val="21"/>
      </w:numPr>
    </w:pPr>
    <w:rPr>
      <w:szCs w:val="22"/>
    </w:rPr>
  </w:style>
  <w:style w:type="paragraph" w:customStyle="1" w:styleId="ListDash">
    <w:name w:val="List Dash"/>
    <w:basedOn w:val="Normal"/>
    <w:pPr>
      <w:numPr>
        <w:numId w:val="25"/>
      </w:numPr>
    </w:pPr>
    <w:rPr>
      <w:szCs w:val="22"/>
    </w:rPr>
  </w:style>
  <w:style w:type="paragraph" w:customStyle="1" w:styleId="ListDash1">
    <w:name w:val="List Dash 1"/>
    <w:basedOn w:val="Normal"/>
    <w:pPr>
      <w:numPr>
        <w:numId w:val="26"/>
      </w:numPr>
    </w:pPr>
    <w:rPr>
      <w:szCs w:val="22"/>
    </w:rPr>
  </w:style>
  <w:style w:type="paragraph" w:customStyle="1" w:styleId="ListDash2">
    <w:name w:val="List Dash 2"/>
    <w:basedOn w:val="Normal"/>
    <w:pPr>
      <w:numPr>
        <w:numId w:val="27"/>
      </w:numPr>
    </w:pPr>
    <w:rPr>
      <w:szCs w:val="22"/>
    </w:rPr>
  </w:style>
  <w:style w:type="paragraph" w:customStyle="1" w:styleId="ListDash3">
    <w:name w:val="List Dash 3"/>
    <w:basedOn w:val="Normal"/>
    <w:pPr>
      <w:numPr>
        <w:numId w:val="28"/>
      </w:numPr>
    </w:pPr>
    <w:rPr>
      <w:szCs w:val="22"/>
    </w:rPr>
  </w:style>
  <w:style w:type="paragraph" w:customStyle="1" w:styleId="ListDash4">
    <w:name w:val="List Dash 4"/>
    <w:basedOn w:val="Normal"/>
    <w:pPr>
      <w:numPr>
        <w:numId w:val="29"/>
      </w:numPr>
    </w:pPr>
    <w:rPr>
      <w:szCs w:val="22"/>
    </w:rPr>
  </w:style>
  <w:style w:type="paragraph" w:customStyle="1" w:styleId="ListNumber1">
    <w:name w:val="List Number 1"/>
    <w:basedOn w:val="Text1"/>
    <w:pPr>
      <w:numPr>
        <w:numId w:val="16"/>
      </w:numPr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szCs w:val="22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szCs w:val="22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szCs w:val="22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szCs w:val="22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szCs w:val="22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szCs w:val="22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szCs w:val="22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szCs w:val="22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  <w:szCs w:val="20"/>
    </w:rPr>
  </w:style>
  <w:style w:type="paragraph" w:styleId="BlockText">
    <w:name w:val="Block Text"/>
    <w:basedOn w:val="Normal"/>
    <w:uiPriority w:val="99"/>
    <w:pPr>
      <w:spacing w:before="0"/>
      <w:ind w:left="1440" w:righ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hd w:val="clear" w:color="auto" w:fill="auto"/>
      <w:lang w:eastAsia="bg-BG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shd w:val="clear" w:color="auto" w:fill="auto"/>
      <w:lang w:eastAsia="bg-BG"/>
    </w:rPr>
  </w:style>
  <w:style w:type="paragraph" w:customStyle="1" w:styleId="text20">
    <w:name w:val="text2"/>
    <w:basedOn w:val="Normal"/>
    <w:pPr>
      <w:spacing w:before="100" w:beforeAutospacing="1" w:after="100" w:afterAutospacing="1"/>
      <w:jc w:val="left"/>
    </w:pPr>
    <w:rPr>
      <w:szCs w:val="22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Pr>
      <w:szCs w:val="22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szCs w:val="22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hd w:val="clear" w:color="auto" w:fill="auto"/>
    </w:rPr>
  </w:style>
  <w:style w:type="character" w:styleId="EndnoteReference">
    <w:name w:val="endnote reference"/>
    <w:rPr>
      <w:vertAlign w:val="superscrip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noProof/>
    </w:rPr>
  </w:style>
  <w:style w:type="character" w:customStyle="1" w:styleId="FooterCoverPageChar">
    <w:name w:val="Footer Cover Page Char"/>
    <w:link w:val="FooterCoverPage"/>
    <w:rPr>
      <w:noProof/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noProof/>
    </w:rPr>
  </w:style>
  <w:style w:type="character" w:customStyle="1" w:styleId="HeaderCoverPageChar">
    <w:name w:val="Header Cover Page Char"/>
    <w:link w:val="HeaderCoverPage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jc w:val="left"/>
    </w:pPr>
    <w:rPr>
      <w:rFonts w:ascii="Calibri" w:hAnsi="Calibri"/>
      <w:sz w:val="22"/>
      <w:szCs w:val="22"/>
    </w:rPr>
  </w:style>
  <w:style w:type="character" w:customStyle="1" w:styleId="affairetitle">
    <w:name w:val="affaire_title"/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curia.europa.eu/juris/document/document.jsf?text=&amp;docid=161566&amp;pageIndex=0&amp;doclang=BG&amp;mode=req&amp;dir=&amp;occ=first&amp;part=1&amp;cid=365084" TargetMode="External"/><Relationship Id="rId26" Type="http://schemas.openxmlformats.org/officeDocument/2006/relationships/hyperlink" Target="http://curia.europa.eu/juris/document/document.jsf?docid=153216&amp;mode=req&amp;pageIndex=1&amp;dir=&amp;occ=first&amp;part=1&amp;text=&amp;doclang=BG&amp;cid=365757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curia.europa.eu/juris/document/document.jsf?text=&amp;docid=159482&amp;pageIndex=0&amp;doclang=BG&amp;mode=req&amp;dir=&amp;occ=first&amp;part=1&amp;cid=365393" TargetMode="External"/><Relationship Id="rId34" Type="http://schemas.openxmlformats.org/officeDocument/2006/relationships/hyperlink" Target="http://curia.europa.eu/juris/document/document.jsf?text=&amp;docid=161783&amp;pageIndex=0&amp;doclang=BG&amp;mode=req&amp;dir=&amp;occ=first&amp;part=1&amp;cid=366553" TargetMode="External"/><Relationship Id="rId42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curia.europa.eu/juris/document/document.jsf?docid=159344&amp;mode=req&amp;pageIndex=1&amp;dir=&amp;occ=first&amp;part=1&amp;text=&amp;doclang=BG&amp;cid=364763" TargetMode="External"/><Relationship Id="rId25" Type="http://schemas.openxmlformats.org/officeDocument/2006/relationships/hyperlink" Target="http://curia.europa.eu/juris/document/document.jsf?text=&amp;docid=162187&amp;pageIndex=0&amp;doclang=BG&amp;mode=req&amp;dir=&amp;occ=first&amp;part=1&amp;cid=365693" TargetMode="External"/><Relationship Id="rId33" Type="http://schemas.openxmlformats.org/officeDocument/2006/relationships/hyperlink" Target="http://curia.europa.eu/juris/document/document.jsf?text=&amp;docid=157953&amp;pageIndex=0&amp;doclang=BG&amp;mode=req&amp;dir=&amp;occ=first&amp;part=1&amp;cid=366482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curia.europa.eu/juris/document/document.jsf?text=&amp;docid=160883&amp;pageIndex=0&amp;doclang=BG&amp;mode=req&amp;dir=&amp;occ=first&amp;part=1&amp;cid=364447" TargetMode="External"/><Relationship Id="rId20" Type="http://schemas.openxmlformats.org/officeDocument/2006/relationships/hyperlink" Target="http://curia.europa.eu/juris/document/document.jsf?docid=158833&amp;mode=req&amp;pageIndex=1&amp;dir=&amp;occ=first&amp;part=1&amp;text=&amp;doclang=BG&amp;cid=365325" TargetMode="External"/><Relationship Id="rId29" Type="http://schemas.openxmlformats.org/officeDocument/2006/relationships/hyperlink" Target="http://curia.europa.eu/juris/document/document.jsf?text=&amp;docid=154810&amp;pageIndex=0&amp;doclang=BG&amp;mode=req&amp;dir=&amp;occ=first&amp;part=1&amp;cid=366208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curia.europa.eu/juris/document/document.jsf?text=&amp;docid=162032&amp;pageIndex=0&amp;doclang=BG&amp;mode=req&amp;dir=&amp;occ=first&amp;part=1&amp;cid=365610" TargetMode="External"/><Relationship Id="rId32" Type="http://schemas.openxmlformats.org/officeDocument/2006/relationships/hyperlink" Target="http://curia.europa.eu/juris/document/document.jsf?text=&amp;docid=157460&amp;pageIndex=0&amp;doclang=BG&amp;mode=req&amp;dir=&amp;occ=first&amp;part=1&amp;cid=366416" TargetMode="External"/><Relationship Id="rId37" Type="http://schemas.openxmlformats.org/officeDocument/2006/relationships/hyperlink" Target="http://curia.europa.eu/juris/document/document.jsf?text=&amp;docid=161659&amp;pageIndex=0&amp;doclang=BG&amp;mode=req&amp;dir=&amp;occ=first&amp;part=1&amp;cid=366774" TargetMode="External"/><Relationship Id="rId40" Type="http://schemas.openxmlformats.org/officeDocument/2006/relationships/footer" Target="footer4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curia.europa.eu/juris/document/document.jsf?text=&amp;docid=160027&amp;pageIndex=0&amp;doclang=BG&amp;mode=req&amp;dir=&amp;occ=first&amp;part=1&amp;cid=365564" TargetMode="External"/><Relationship Id="rId28" Type="http://schemas.openxmlformats.org/officeDocument/2006/relationships/hyperlink" Target="http://curia.europa.eu/juris/document/document.jsf?text=&amp;docid=152473&amp;pageIndex=0&amp;doclang=BG&amp;mode=req&amp;dir=&amp;occ=first&amp;part=1&amp;cid=366122" TargetMode="External"/><Relationship Id="rId36" Type="http://schemas.openxmlformats.org/officeDocument/2006/relationships/hyperlink" Target="http://curia.europa.eu/juris/document/document.jsf?text=&amp;docid=162360&amp;pageIndex=0&amp;doclang=BG&amp;mode=req&amp;dir=&amp;occ=first&amp;part=1&amp;cid=366717" TargetMode="External"/><Relationship Id="rId10" Type="http://schemas.openxmlformats.org/officeDocument/2006/relationships/header" Target="header1.xml"/><Relationship Id="rId19" Type="http://schemas.openxmlformats.org/officeDocument/2006/relationships/hyperlink" Target="http://curia.europa.eu/juris/document/document.jsf?text=&amp;docid=162588&amp;pageIndex=0&amp;doclang=BG&amp;mode=req&amp;dir=&amp;occ=first&amp;part=1&amp;cid=365011" TargetMode="External"/><Relationship Id="rId31" Type="http://schemas.openxmlformats.org/officeDocument/2006/relationships/hyperlink" Target="http://curia.europa.eu/juris/document/document.jsf?text=&amp;docid=157459&amp;pageIndex=0&amp;doclang=BG&amp;mode=req&amp;dir=&amp;occ=first&amp;part=1&amp;cid=366342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://curia.europa.eu/juris/document/document.jsf?text=&amp;docid=159472&amp;pageIndex=0&amp;doclang=BG&amp;mode=req&amp;dir=&amp;occ=first&amp;part=1&amp;cid=365451" TargetMode="External"/><Relationship Id="rId27" Type="http://schemas.openxmlformats.org/officeDocument/2006/relationships/hyperlink" Target="http://curia.europa.eu/juris/document/document.jsf?text=&amp;docid=82281&amp;pageIndex=0&amp;doclang=BG&amp;mode=req&amp;dir=&amp;occ=first&amp;part=1&amp;cid=365870" TargetMode="External"/><Relationship Id="rId30" Type="http://schemas.openxmlformats.org/officeDocument/2006/relationships/hyperlink" Target="http://curia.europa.eu/juris/document/document.jsf?text=&amp;docid=156103&amp;pageIndex=0&amp;doclang=BG&amp;mode=req&amp;dir=&amp;occ=first&amp;part=1&amp;cid=366258" TargetMode="External"/><Relationship Id="rId35" Type="http://schemas.openxmlformats.org/officeDocument/2006/relationships/hyperlink" Target="http://curia.europa.eu/juris/document/document.jsf?text=&amp;docid=162349&amp;pageIndex=0&amp;doclang=BG&amp;mode=req&amp;dir=&amp;occ=first&amp;part=1&amp;cid=366652" TargetMode="External"/><Relationship Id="rId43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transparency/access_documents/index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41FB-B5FB-4860-AA26-F3B88A1C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2812</Words>
  <Characters>18959</Characters>
  <Application>Microsoft Office Word</Application>
  <DocSecurity>0</DocSecurity>
  <Lines>421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21637</CharactersWithSpaces>
  <SharedDoc>false</SharedDoc>
  <HLinks>
    <vt:vector size="138" baseType="variant">
      <vt:variant>
        <vt:i4>8126523</vt:i4>
      </vt:variant>
      <vt:variant>
        <vt:i4>63</vt:i4>
      </vt:variant>
      <vt:variant>
        <vt:i4>0</vt:i4>
      </vt:variant>
      <vt:variant>
        <vt:i4>5</vt:i4>
      </vt:variant>
      <vt:variant>
        <vt:lpwstr>http://curia.europa.eu/juris/document/document.jsf?text=&amp;docid=161659&amp;pageIndex=0&amp;doclang=EN&amp;mode=req&amp;dir=&amp;occ=first&amp;part=1&amp;cid=366774</vt:lpwstr>
      </vt:variant>
      <vt:variant>
        <vt:lpwstr/>
      </vt:variant>
      <vt:variant>
        <vt:i4>8323121</vt:i4>
      </vt:variant>
      <vt:variant>
        <vt:i4>60</vt:i4>
      </vt:variant>
      <vt:variant>
        <vt:i4>0</vt:i4>
      </vt:variant>
      <vt:variant>
        <vt:i4>5</vt:i4>
      </vt:variant>
      <vt:variant>
        <vt:lpwstr>http://curia.europa.eu/juris/document/document.jsf?text=&amp;docid=162360&amp;pageIndex=0&amp;doclang=EN&amp;mode=req&amp;dir=&amp;occ=first&amp;part=1&amp;cid=366717</vt:lpwstr>
      </vt:variant>
      <vt:variant>
        <vt:lpwstr/>
      </vt:variant>
      <vt:variant>
        <vt:i4>7929916</vt:i4>
      </vt:variant>
      <vt:variant>
        <vt:i4>57</vt:i4>
      </vt:variant>
      <vt:variant>
        <vt:i4>0</vt:i4>
      </vt:variant>
      <vt:variant>
        <vt:i4>5</vt:i4>
      </vt:variant>
      <vt:variant>
        <vt:lpwstr>http://curia.europa.eu/juris/document/document.jsf?text=&amp;docid=162349&amp;pageIndex=0&amp;doclang=EN&amp;mode=req&amp;dir=&amp;occ=first&amp;part=1&amp;cid=366652</vt:lpwstr>
      </vt:variant>
      <vt:variant>
        <vt:lpwstr/>
      </vt:variant>
      <vt:variant>
        <vt:i4>7602226</vt:i4>
      </vt:variant>
      <vt:variant>
        <vt:i4>54</vt:i4>
      </vt:variant>
      <vt:variant>
        <vt:i4>0</vt:i4>
      </vt:variant>
      <vt:variant>
        <vt:i4>5</vt:i4>
      </vt:variant>
      <vt:variant>
        <vt:lpwstr>http://curia.europa.eu/juris/document/document.jsf?text=&amp;docid=161783&amp;pageIndex=0&amp;doclang=EN&amp;mode=req&amp;dir=&amp;occ=first&amp;part=1&amp;cid=366553</vt:lpwstr>
      </vt:variant>
      <vt:variant>
        <vt:lpwstr/>
      </vt:variant>
      <vt:variant>
        <vt:i4>8323122</vt:i4>
      </vt:variant>
      <vt:variant>
        <vt:i4>51</vt:i4>
      </vt:variant>
      <vt:variant>
        <vt:i4>0</vt:i4>
      </vt:variant>
      <vt:variant>
        <vt:i4>5</vt:i4>
      </vt:variant>
      <vt:variant>
        <vt:lpwstr>http://curia.europa.eu/juris/document/document.jsf?text=&amp;docid=157953&amp;pageIndex=0&amp;doclang=EN&amp;mode=req&amp;dir=&amp;occ=first&amp;part=1&amp;cid=366482</vt:lpwstr>
      </vt:variant>
      <vt:variant>
        <vt:lpwstr/>
      </vt:variant>
      <vt:variant>
        <vt:i4>7864373</vt:i4>
      </vt:variant>
      <vt:variant>
        <vt:i4>48</vt:i4>
      </vt:variant>
      <vt:variant>
        <vt:i4>0</vt:i4>
      </vt:variant>
      <vt:variant>
        <vt:i4>5</vt:i4>
      </vt:variant>
      <vt:variant>
        <vt:lpwstr>http://curia.europa.eu/juris/document/document.jsf?text=&amp;docid=157460&amp;pageIndex=0&amp;doclang=EN&amp;mode=req&amp;dir=&amp;occ=first&amp;part=1&amp;cid=366416</vt:lpwstr>
      </vt:variant>
      <vt:variant>
        <vt:lpwstr/>
      </vt:variant>
      <vt:variant>
        <vt:i4>7864377</vt:i4>
      </vt:variant>
      <vt:variant>
        <vt:i4>45</vt:i4>
      </vt:variant>
      <vt:variant>
        <vt:i4>0</vt:i4>
      </vt:variant>
      <vt:variant>
        <vt:i4>5</vt:i4>
      </vt:variant>
      <vt:variant>
        <vt:lpwstr>http://curia.europa.eu/juris/document/document.jsf?text=&amp;docid=157459&amp;pageIndex=0&amp;doclang=EN&amp;mode=req&amp;dir=&amp;occ=first&amp;part=1&amp;cid=366342</vt:lpwstr>
      </vt:variant>
      <vt:variant>
        <vt:lpwstr/>
      </vt:variant>
      <vt:variant>
        <vt:i4>7798839</vt:i4>
      </vt:variant>
      <vt:variant>
        <vt:i4>42</vt:i4>
      </vt:variant>
      <vt:variant>
        <vt:i4>0</vt:i4>
      </vt:variant>
      <vt:variant>
        <vt:i4>5</vt:i4>
      </vt:variant>
      <vt:variant>
        <vt:lpwstr>http://curia.europa.eu/juris/document/document.jsf?text=&amp;docid=156103&amp;pageIndex=0&amp;doclang=EN&amp;mode=req&amp;dir=&amp;occ=first&amp;part=1&amp;cid=366258</vt:lpwstr>
      </vt:variant>
      <vt:variant>
        <vt:lpwstr/>
      </vt:variant>
      <vt:variant>
        <vt:i4>7602232</vt:i4>
      </vt:variant>
      <vt:variant>
        <vt:i4>39</vt:i4>
      </vt:variant>
      <vt:variant>
        <vt:i4>0</vt:i4>
      </vt:variant>
      <vt:variant>
        <vt:i4>5</vt:i4>
      </vt:variant>
      <vt:variant>
        <vt:lpwstr>http://curia.europa.eu/juris/document/document.jsf?text=&amp;docid=154810&amp;pageIndex=0&amp;doclang=EN&amp;mode=req&amp;dir=&amp;occ=first&amp;part=1&amp;cid=366208</vt:lpwstr>
      </vt:variant>
      <vt:variant>
        <vt:lpwstr/>
      </vt:variant>
      <vt:variant>
        <vt:i4>8192053</vt:i4>
      </vt:variant>
      <vt:variant>
        <vt:i4>36</vt:i4>
      </vt:variant>
      <vt:variant>
        <vt:i4>0</vt:i4>
      </vt:variant>
      <vt:variant>
        <vt:i4>5</vt:i4>
      </vt:variant>
      <vt:variant>
        <vt:lpwstr>http://curia.europa.eu/juris/document/document.jsf?text=&amp;docid=152473&amp;pageIndex=0&amp;doclang=EN&amp;mode=req&amp;dir=&amp;occ=first&amp;part=1&amp;cid=366122</vt:lpwstr>
      </vt:variant>
      <vt:variant>
        <vt:lpwstr/>
      </vt:variant>
      <vt:variant>
        <vt:i4>1048658</vt:i4>
      </vt:variant>
      <vt:variant>
        <vt:i4>33</vt:i4>
      </vt:variant>
      <vt:variant>
        <vt:i4>0</vt:i4>
      </vt:variant>
      <vt:variant>
        <vt:i4>5</vt:i4>
      </vt:variant>
      <vt:variant>
        <vt:lpwstr>http://curia.europa.eu/juris/document/document.jsf?text=&amp;docid=82281&amp;pageIndex=0&amp;doclang=EN&amp;mode=req&amp;dir=&amp;occ=first&amp;part=1&amp;cid=365870</vt:lpwstr>
      </vt:variant>
      <vt:variant>
        <vt:lpwstr/>
      </vt:variant>
      <vt:variant>
        <vt:i4>7012385</vt:i4>
      </vt:variant>
      <vt:variant>
        <vt:i4>30</vt:i4>
      </vt:variant>
      <vt:variant>
        <vt:i4>0</vt:i4>
      </vt:variant>
      <vt:variant>
        <vt:i4>5</vt:i4>
      </vt:variant>
      <vt:variant>
        <vt:lpwstr>http://curia.europa.eu/juris/document/document.jsf?docid=153216&amp;mode=req&amp;pageIndex=1&amp;dir=&amp;occ=first&amp;part=1&amp;text=&amp;doclang=EN&amp;cid=365757</vt:lpwstr>
      </vt:variant>
      <vt:variant>
        <vt:lpwstr/>
      </vt:variant>
      <vt:variant>
        <vt:i4>7602239</vt:i4>
      </vt:variant>
      <vt:variant>
        <vt:i4>27</vt:i4>
      </vt:variant>
      <vt:variant>
        <vt:i4>0</vt:i4>
      </vt:variant>
      <vt:variant>
        <vt:i4>5</vt:i4>
      </vt:variant>
      <vt:variant>
        <vt:lpwstr>http://curia.europa.eu/juris/document/document.jsf?text=&amp;docid=162187&amp;pageIndex=0&amp;doclang=EN&amp;mode=req&amp;dir=&amp;occ=first&amp;part=1&amp;cid=365693</vt:lpwstr>
      </vt:variant>
      <vt:variant>
        <vt:lpwstr/>
      </vt:variant>
      <vt:variant>
        <vt:i4>8126515</vt:i4>
      </vt:variant>
      <vt:variant>
        <vt:i4>24</vt:i4>
      </vt:variant>
      <vt:variant>
        <vt:i4>0</vt:i4>
      </vt:variant>
      <vt:variant>
        <vt:i4>5</vt:i4>
      </vt:variant>
      <vt:variant>
        <vt:lpwstr>http://curia.europa.eu/juris/document/document.jsf?text=&amp;docid=162032&amp;pageIndex=0&amp;doclang=en&amp;mode=req&amp;dir=&amp;occ=first&amp;part=1&amp;cid=365610</vt:lpwstr>
      </vt:variant>
      <vt:variant>
        <vt:lpwstr/>
      </vt:variant>
      <vt:variant>
        <vt:i4>7864369</vt:i4>
      </vt:variant>
      <vt:variant>
        <vt:i4>21</vt:i4>
      </vt:variant>
      <vt:variant>
        <vt:i4>0</vt:i4>
      </vt:variant>
      <vt:variant>
        <vt:i4>5</vt:i4>
      </vt:variant>
      <vt:variant>
        <vt:lpwstr>http://curia.europa.eu/juris/document/document.jsf?text=&amp;docid=160027&amp;pageIndex=0&amp;doclang=EN&amp;mode=req&amp;dir=&amp;occ=first&amp;part=1&amp;cid=365564</vt:lpwstr>
      </vt:variant>
      <vt:variant>
        <vt:lpwstr/>
      </vt:variant>
      <vt:variant>
        <vt:i4>7340080</vt:i4>
      </vt:variant>
      <vt:variant>
        <vt:i4>18</vt:i4>
      </vt:variant>
      <vt:variant>
        <vt:i4>0</vt:i4>
      </vt:variant>
      <vt:variant>
        <vt:i4>5</vt:i4>
      </vt:variant>
      <vt:variant>
        <vt:lpwstr>http://curia.europa.eu/juris/document/document.jsf?text=&amp;docid=159472&amp;pageIndex=0&amp;doclang=EN&amp;mode=req&amp;dir=&amp;occ=first&amp;part=1&amp;cid=365451</vt:lpwstr>
      </vt:variant>
      <vt:variant>
        <vt:lpwstr/>
      </vt:variant>
      <vt:variant>
        <vt:i4>7995452</vt:i4>
      </vt:variant>
      <vt:variant>
        <vt:i4>15</vt:i4>
      </vt:variant>
      <vt:variant>
        <vt:i4>0</vt:i4>
      </vt:variant>
      <vt:variant>
        <vt:i4>5</vt:i4>
      </vt:variant>
      <vt:variant>
        <vt:lpwstr>http://curia.europa.eu/juris/document/document.jsf?text=&amp;docid=159482&amp;pageIndex=0&amp;doclang=EN&amp;mode=req&amp;dir=&amp;occ=first&amp;part=1&amp;cid=365393</vt:lpwstr>
      </vt:variant>
      <vt:variant>
        <vt:lpwstr/>
      </vt:variant>
      <vt:variant>
        <vt:i4>6553641</vt:i4>
      </vt:variant>
      <vt:variant>
        <vt:i4>12</vt:i4>
      </vt:variant>
      <vt:variant>
        <vt:i4>0</vt:i4>
      </vt:variant>
      <vt:variant>
        <vt:i4>5</vt:i4>
      </vt:variant>
      <vt:variant>
        <vt:lpwstr>http://curia.europa.eu/juris/document/document.jsf?docid=158833&amp;mode=req&amp;pageIndex=1&amp;dir=&amp;occ=first&amp;part=1&amp;text=&amp;doclang=EN&amp;cid=365325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http://curia.europa.eu/juris/document/document.jsf?text=&amp;docid=162588&amp;pageIndex=0&amp;doclang=en&amp;mode=req&amp;dir=&amp;occ=first&amp;part=1&amp;cid=365011</vt:lpwstr>
      </vt:variant>
      <vt:variant>
        <vt:lpwstr/>
      </vt:variant>
      <vt:variant>
        <vt:i4>7864379</vt:i4>
      </vt:variant>
      <vt:variant>
        <vt:i4>6</vt:i4>
      </vt:variant>
      <vt:variant>
        <vt:i4>0</vt:i4>
      </vt:variant>
      <vt:variant>
        <vt:i4>5</vt:i4>
      </vt:variant>
      <vt:variant>
        <vt:lpwstr>http://curia.europa.eu/juris/document/document.jsf?text=&amp;docid=161566&amp;pageIndex=0&amp;doclang=EN&amp;mode=req&amp;dir=&amp;occ=first&amp;part=1&amp;cid=365084</vt:lpwstr>
      </vt:variant>
      <vt:variant>
        <vt:lpwstr/>
      </vt:variant>
      <vt:variant>
        <vt:i4>6291488</vt:i4>
      </vt:variant>
      <vt:variant>
        <vt:i4>3</vt:i4>
      </vt:variant>
      <vt:variant>
        <vt:i4>0</vt:i4>
      </vt:variant>
      <vt:variant>
        <vt:i4>5</vt:i4>
      </vt:variant>
      <vt:variant>
        <vt:lpwstr>http://curia.europa.eu/juris/document/document.jsf?docid=159344&amp;mode=req&amp;pageIndex=1&amp;dir=&amp;occ=first&amp;part=1&amp;text=&amp;doclang=EN&amp;cid=364763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http://curia.europa.eu/juris/document/document.jsf?text=&amp;docid=160883&amp;pageIndex=0&amp;doclang=EN&amp;mode=req&amp;dir=&amp;occ=first&amp;part=1&amp;cid=364447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http://ec.europa.eu/transparency/access_documents/index_en.htm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22</cp:revision>
  <cp:lastPrinted>2015-06-15T15:24:00Z</cp:lastPrinted>
  <dcterms:created xsi:type="dcterms:W3CDTF">2015-07-29T18:03:00Z</dcterms:created>
  <dcterms:modified xsi:type="dcterms:W3CDTF">2015-08-03T07:30:00Z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