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56BDCEBAE24DE29A2BE91CEC408126" style="width:450.8pt;height:392.8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С цел да бъде постигната необходимата правна сигурност и еднородност на вътрешния пазар, Съвместният комитет на ЕИП следва да включи цялото съответно законодателство на ЕС в Споразумението за ЕИП възможно най-скоро след приемането му.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Проектът на решение на Съвместния комитет на ЕИП (приложен към предложеното решение на Съвета) има за цел да измени приложение II (Технически правила, стандарти, изпитвания и сертифициране) и приложение XX (Околна среда) към Споразумението за ЕИП с цел в него да бъде включена Директива 2009/30/ЕО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w:t>
      </w:r>
      <w:r>
        <w:rPr>
          <w:rStyle w:val="FootnoteReference"/>
          <w:noProof/>
        </w:rPr>
        <w:footnoteReference w:id="1"/>
      </w:r>
    </w:p>
    <w:p>
      <w:pPr>
        <w:rPr>
          <w:noProof/>
          <w:szCs w:val="24"/>
        </w:rPr>
      </w:pPr>
      <w:r>
        <w:rPr>
          <w:noProof/>
        </w:rPr>
        <w:t>Тъй като държавите от ЕИП/ЕАСТ искат адаптации, които представляват дерогация от достиженията на правото на ЕС и въвеждат промени, които са повече от чисто техническите корекции, предвидени в член 1, параграф 3 от Регламент (ЕО) № 2894/94 на Съвета, съответната позиция на ЕС се приема от Съвета.</w:t>
      </w:r>
    </w:p>
    <w:p>
      <w:pPr>
        <w:rPr>
          <w:noProof/>
        </w:rPr>
      </w:pPr>
      <w:r>
        <w:rPr>
          <w:noProof/>
        </w:rPr>
        <w:t>От страна на ЕАСТ се дават следните разяснения относно исканите адаптации:</w:t>
      </w:r>
    </w:p>
    <w:p>
      <w:pPr>
        <w:rPr>
          <w:noProof/>
          <w:u w:val="single"/>
        </w:rPr>
      </w:pPr>
      <w:r>
        <w:rPr>
          <w:noProof/>
          <w:u w:val="single"/>
        </w:rPr>
        <w:t>Член 2, параграф 5:</w:t>
      </w:r>
    </w:p>
    <w:p>
      <w:pPr>
        <w:rPr>
          <w:noProof/>
        </w:rPr>
      </w:pPr>
      <w:r>
        <w:rPr>
          <w:noProof/>
        </w:rPr>
        <w:t>член 2, параграф 5 определя „държавите членки с ниски летни температури“ за целите на Директива 98/70/ЕО. Исландия и Норвегия следва да бъдат включени в тази група. По тази причина адаптация a) предвижда включването им по член 2, параграф 5.</w:t>
      </w:r>
    </w:p>
    <w:p>
      <w:pPr>
        <w:rPr>
          <w:noProof/>
          <w:u w:val="single"/>
        </w:rPr>
      </w:pPr>
      <w:r>
        <w:rPr>
          <w:noProof/>
          <w:u w:val="single"/>
        </w:rPr>
        <w:t>Член 3, параграф 4:</w:t>
      </w:r>
    </w:p>
    <w:p>
      <w:pPr>
        <w:rPr>
          <w:noProof/>
        </w:rPr>
      </w:pPr>
      <w:r>
        <w:rPr>
          <w:noProof/>
        </w:rPr>
        <w:t>В Исландия бе разработен нов способ за производство на на възобновяем метанол. Смесването на възобновяем метанол и бензин открива възможност за замяна на изкопаемите горива и за намаляване на въглеродните емисии от транспортните горива в Исландия. Директива 98/70/ЕО, изменена с Директива 2009/30/ЕО, позволява 3 % об./об. съдържание на метанол в бензина.</w:t>
      </w:r>
    </w:p>
    <w:p>
      <w:pPr>
        <w:rPr>
          <w:noProof/>
        </w:rPr>
      </w:pPr>
      <w:r>
        <w:rPr>
          <w:noProof/>
        </w:rPr>
        <w:t>Смесването на алкохол с бензин повишава налягането на парите в горивото. Директива 2009/30/ЕО взема предвид това явление по отношение на етанола, като предоставя дерогация от допустимите пределни стойности за налягането на парите. Тази дерогация подпомага развитието на пазара на биогорива. Такава дерогация за бензин с 3 % об./об. съдържание на метанол е необходима, за да се разреши на исландския пазар през летните месеци да бъде пуснат бензин, смесен с възобновяем метанол.</w:t>
      </w:r>
    </w:p>
    <w:p>
      <w:pPr>
        <w:rPr>
          <w:noProof/>
        </w:rPr>
      </w:pPr>
      <w:r>
        <w:rPr>
          <w:noProof/>
        </w:rPr>
        <w:t>Съгласно работния документ на службите на Комисията, придружаващ предложението за Директива 2009/30/ЕО</w:t>
      </w:r>
      <w:r>
        <w:rPr>
          <w:rStyle w:val="FootnoteReference"/>
          <w:noProof/>
        </w:rPr>
        <w:footnoteReference w:id="2"/>
      </w:r>
      <w:r>
        <w:rPr>
          <w:noProof/>
        </w:rPr>
        <w:t>, „</w:t>
      </w:r>
      <w:r>
        <w:rPr>
          <w:i/>
          <w:noProof/>
        </w:rPr>
        <w:t>[м]аксималното налягане на парите на бензина през лятото се урежда с Директива 98/70 за ограничаване на емисиите на летливи органични съединения (ЛОС)</w:t>
      </w:r>
      <w:r>
        <w:rPr>
          <w:noProof/>
        </w:rPr>
        <w:t>.</w:t>
      </w:r>
      <w:r>
        <w:rPr>
          <w:i/>
          <w:noProof/>
        </w:rPr>
        <w:t xml:space="preserve"> Емисиите на ЛОС са повод за безпокойство, тъй като 1) те способстват за образуване на озон, който уврежда околната среда и човешкото здраве</w:t>
      </w:r>
      <w:r>
        <w:rPr>
          <w:noProof/>
        </w:rPr>
        <w:t xml:space="preserve"> </w:t>
      </w:r>
      <w:r>
        <w:rPr>
          <w:i/>
          <w:noProof/>
        </w:rPr>
        <w:t>и 2) някои въглеводороди като бензенът представляват особен риск за здравето“</w:t>
      </w:r>
      <w:r>
        <w:rPr>
          <w:noProof/>
        </w:rPr>
        <w:t>.</w:t>
      </w:r>
    </w:p>
    <w:p>
      <w:pPr>
        <w:rPr>
          <w:noProof/>
        </w:rPr>
      </w:pPr>
      <w:r>
        <w:rPr>
          <w:noProof/>
        </w:rPr>
        <w:t xml:space="preserve">Емисиите от неметанови летливи органични съединения (НМЛОС) в Исландия са намалели. Емисиите през 2009 г. бяха с 58 % под равнището от 1990 г. </w:t>
      </w:r>
      <w:r>
        <w:rPr>
          <w:noProof/>
          <w:color w:val="000000"/>
        </w:rPr>
        <w:t>Целевите стойности за озона, предвидени за защитата на човешкото здраве (максимална дневна 8-часова средна стойност от 120 µg/m</w:t>
      </w:r>
      <w:r>
        <w:rPr>
          <w:noProof/>
          <w:color w:val="000000"/>
          <w:vertAlign w:val="superscript"/>
        </w:rPr>
        <w:t>³</w:t>
      </w:r>
      <w:r>
        <w:rPr>
          <w:noProof/>
          <w:color w:val="000000"/>
        </w:rPr>
        <w:t>), определени в Директива 2002/3/ЕО и въведени с исландски Регламент № 745/2003, не се превишават през летния период в Исландия.</w:t>
      </w:r>
      <w:r>
        <w:rPr>
          <w:noProof/>
        </w:rPr>
        <w:t xml:space="preserve"> </w:t>
      </w:r>
      <w:r>
        <w:rPr>
          <w:noProof/>
          <w:color w:val="000000"/>
        </w:rPr>
        <w:t>Смесването на метанол с бензин добавя метанол към емисиите на ЛОС от горивото. Индексът POCP (потенциал за фотохимично образуване на озон) за метанола (20,5) е по-нисък от този на бензина (61), което би могло да неутрализира ефекта от увеличеното налягане на парите за образуването на озон.</w:t>
      </w:r>
    </w:p>
    <w:p>
      <w:pPr>
        <w:rPr>
          <w:noProof/>
        </w:rPr>
      </w:pPr>
      <w:r>
        <w:rPr>
          <w:noProof/>
        </w:rPr>
        <w:t>Що се отнася до рисковете за здравето, един критичен преглед на публикации, подложени на партньорска оценка, относно токсичността на вдишваните метанолови изпарения, не представя никакви доказателства, позволяващи да се заключи, че излагането на ниски равнища на метанолови изпарения ще доведе до неблагоприятни последици за здравето. Средната температура в Исландия през трите летни месеца е под 11 °C. Сравнение на средните летни температури в европейските градове и приетите категории летливост на бензина показват, че бензин с налягане на парите над 80 kPa се използва в европейските градове през месеците със средни температури над 12 °C.</w:t>
      </w:r>
    </w:p>
    <w:p>
      <w:pPr>
        <w:rPr>
          <w:noProof/>
        </w:rPr>
      </w:pPr>
      <w:r>
        <w:rPr>
          <w:noProof/>
        </w:rPr>
        <w:t>По тази причина в проекта на решение на Съвместния комитет („Съвместния комитет“) се предвижда адаптация, гласяща, че през летния период Исландия може да разреши на пазара да бъде пуснат бензин със съдържание на етанол или метанол, чието максимално налягане на парите е 70 кРа, при условие че използваният етанол е биогориво или че намалението в емисиите на парникови газове благодарение на използването на метанол отговаря на критериите, посочени в член 7б, параграф 2.</w:t>
      </w:r>
    </w:p>
    <w:p>
      <w:pPr>
        <w:rPr>
          <w:noProof/>
          <w:u w:val="single"/>
        </w:rPr>
      </w:pPr>
      <w:r>
        <w:rPr>
          <w:noProof/>
          <w:u w:val="single"/>
        </w:rPr>
        <w:t>Член 7б, параграф 6:</w:t>
      </w:r>
    </w:p>
    <w:p>
      <w:pPr>
        <w:rPr>
          <w:noProof/>
        </w:rPr>
      </w:pPr>
      <w:r>
        <w:rPr>
          <w:noProof/>
        </w:rPr>
        <w:t>Тази разпоредба се отнася до конкретна част от Общата селскостопанска политика на ЕС (наричана по-нататък „ОСП“). Тъй като ОСП не е част от Споразумението за ЕИП, текстът на адаптацията, отменящ прилагането на член 7б, параграф 6, бе включен в проекта на Решение на Съвместния комитет.</w:t>
      </w:r>
    </w:p>
    <w:p>
      <w:pPr>
        <w:rPr>
          <w:noProof/>
          <w:u w:val="single"/>
        </w:rPr>
      </w:pPr>
      <w:r>
        <w:rPr>
          <w:noProof/>
          <w:u w:val="single"/>
        </w:rPr>
        <w:t>Прилагане на членове 7а—7д спрямо Лихтенщайн:</w:t>
      </w:r>
    </w:p>
    <w:p>
      <w:pPr>
        <w:rPr>
          <w:noProof/>
        </w:rPr>
      </w:pPr>
      <w:r>
        <w:rPr>
          <w:noProof/>
        </w:rPr>
        <w:t>В Лихтенщайн няма доставчици, отговарящи на определението по член 2, параграф 8 от Директивата. Съгласно швейцарския Закон за данъка върху минералните масла от 21 юни 1996 г., приложим в Лихтенщайн по силата на митнически съюз между Лихтенщайн и Швейцария, вносителите или собствениците на складове за горива трябва да плащат данъците за техния внос. В Лихтенщайн няма пряк внос на бензин и дизел. По тази причина, след като няма доставчик, на когото да бъдат възложени задълженията по членове 7а—7д, тези членове следователно не се прилагат спрямо Лихтенщайн и проектът на Решение на Съвместния комитет бе адаптиран в този смисъл.</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2015/0147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приложение II (Технически правила, стандарти, изпитвания и сертифициране) и приложение XX (Околна среда) към Споразумението за ЕИП</w:t>
      </w:r>
      <w:r>
        <w:rPr>
          <w:noProof/>
        </w:rPr>
        <w:br/>
        <w:t xml:space="preserve">(Директивата за качеството на горивата)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член 192, параграф 1 и член 218, параграф 9 от него,</w:t>
      </w:r>
    </w:p>
    <w:p>
      <w:pPr>
        <w:rPr>
          <w:noProof/>
        </w:rPr>
      </w:pP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xml:space="preserve"> приложение II (Технически правила, стандарти, изпитвания и сертифициране) и приложение XX (Околна среда) към Споразумението за ЕИП.</w:t>
      </w:r>
    </w:p>
    <w:p>
      <w:pPr>
        <w:pStyle w:val="ManualConsidrant"/>
        <w:rPr>
          <w:noProof/>
        </w:rPr>
      </w:pPr>
      <w:r>
        <w:t>(3)</w:t>
      </w:r>
      <w:r>
        <w:tab/>
      </w:r>
      <w:r>
        <w:rPr>
          <w:noProof/>
        </w:rPr>
        <w:t>Директива 2009/30/ЕО на Европейския парламент и на Съвета</w:t>
      </w:r>
      <w:r>
        <w:rPr>
          <w:rStyle w:val="FootnoteReference"/>
          <w:noProof/>
        </w:rPr>
        <w:footnoteReference w:id="5"/>
      </w:r>
      <w:r>
        <w:rPr>
          <w:noProof/>
        </w:rPr>
        <w:t xml:space="preserve"> следва да бъде включена в Споразумението за ЕИП.</w:t>
      </w:r>
    </w:p>
    <w:p>
      <w:pPr>
        <w:pStyle w:val="ManualConsidrant"/>
        <w:rPr>
          <w:noProof/>
        </w:rPr>
      </w:pPr>
      <w:r>
        <w:t>(4)</w:t>
      </w:r>
      <w:r>
        <w:tab/>
      </w:r>
      <w:r>
        <w:rPr>
          <w:noProof/>
        </w:rPr>
        <w:t>Приложение II и приложение XX към Споразумението за ЕИП следва да бъдат съответно изменени.</w:t>
      </w:r>
    </w:p>
    <w:p>
      <w:pPr>
        <w:pStyle w:val="ManualConsidrant"/>
        <w:rPr>
          <w:noProof/>
        </w:rPr>
      </w:pPr>
      <w:r>
        <w:t>(5)</w:t>
      </w:r>
      <w:r>
        <w:tab/>
      </w:r>
      <w:r>
        <w:rPr>
          <w:noProof/>
        </w:rPr>
        <w:t>Позицията на Съюза в рамките на Съвместния комитет на ЕИП следва да бъде основана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приложение II (Технически правила, стандарти, изпитвания и сертифициране) и на приложение XX (Околна среда)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MS Mincho"/>
    <w:panose1 w:val="00000000000000000000"/>
    <w:charset w:val="00"/>
    <w:family w:val="roman"/>
    <w:notTrueType/>
    <w:pitch w:val="default"/>
    <w:sig w:usb0="00000000" w:usb1="08070000" w:usb2="00000010" w:usb3="00000000" w:csb0="0002000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Директива 2009/30/ЕО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 5.6.2009 г., стр. 88).</w:t>
      </w:r>
    </w:p>
  </w:footnote>
  <w:footnote w:id="2">
    <w:p>
      <w:pPr>
        <w:pStyle w:val="FootnoteText"/>
        <w:rPr>
          <w:lang w:val="en-US"/>
        </w:rPr>
      </w:pPr>
      <w:r>
        <w:rPr>
          <w:rStyle w:val="FootnoteReference"/>
        </w:rPr>
        <w:footnoteRef/>
      </w:r>
      <w:r>
        <w:tab/>
        <w:t>SEC(2007) 55.</w:t>
      </w:r>
    </w:p>
  </w:footnote>
  <w:footnote w:id="3">
    <w:p>
      <w:pPr>
        <w:pStyle w:val="FootnoteText"/>
        <w:rPr>
          <w:lang w:val="en-US"/>
        </w:rPr>
      </w:pPr>
      <w:r>
        <w:rPr>
          <w:rStyle w:val="FootnoteReference"/>
        </w:rPr>
        <w:footnoteRef/>
      </w:r>
      <w:r>
        <w:tab/>
        <w:t xml:space="preserve">ОВ L 305, 30.11.1994 г., стр. 6. </w:t>
      </w:r>
    </w:p>
  </w:footnote>
  <w:footnote w:id="4">
    <w:p>
      <w:pPr>
        <w:pStyle w:val="FootnoteText"/>
        <w:rPr>
          <w:lang w:val="en-US"/>
        </w:rPr>
      </w:pPr>
      <w:r>
        <w:rPr>
          <w:rStyle w:val="FootnoteReference"/>
        </w:rPr>
        <w:footnoteRef/>
      </w:r>
      <w:r>
        <w:tab/>
        <w:t xml:space="preserve">ОВ L 1, 3.1.1994 г., стр. 3. </w:t>
      </w:r>
    </w:p>
  </w:footnote>
  <w:footnote w:id="5">
    <w:p>
      <w:pPr>
        <w:pStyle w:val="FootnoteText"/>
        <w:rPr>
          <w:lang w:val="en-US"/>
        </w:rPr>
      </w:pPr>
      <w:r>
        <w:rPr>
          <w:rStyle w:val="FootnoteReference"/>
        </w:rPr>
        <w:footnoteRef/>
      </w:r>
      <w:r>
        <w:tab/>
        <w:t>Директива 2009/30/ЕО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 5.6.2009 г., стр.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8 14:0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956BDCEBAE24DE29A2BE91CEC408126"/>
    <w:docVar w:name="LW_CROSSREFERENCE" w:val="&lt;UNUSED&gt;"/>
    <w:docVar w:name="LW_DocType" w:val="COM"/>
    <w:docVar w:name="LW_EMISSION" w:val="10.7.2015"/>
    <w:docVar w:name="LW_EMISSION_ISODATE" w:val="2015-07-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7"/>
    <w:docVar w:name="LW_REF.II.NEW.CP_YEAR" w:val="2015"/>
    <w:docVar w:name="LW_REF.INST.NEW" w:val="COM"/>
    <w:docVar w:name="LW_REF.INST.NEW_ADOPTED" w:val="final"/>
    <w:docVar w:name="LW_REF.INST.NEW_TEXT" w:val="(2015) 33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I (\u1058?\u1077?\u1093?\u1085?\u1080?\u1095?\u1077?\u1089?\u1082?\u1080? \u1087?\u1088?\u1072?\u1074?\u1080?\u1083?\u1072?, \u1089?\u1090?\u1072?\u1085?\u1076?\u1072?\u1088?\u1090?\u1080?, \u1080?\u1079?\u1087?\u1080?\u1090?\u1074?\u1072?\u1085?\u1080?\u1103? \u1080? \u1089?\u1077?\u1088?\u1090?\u1080?\u1092?\u1080?\u1094?\u1080?\u1088?\u1072?\u1085?\u1077?) \u1080? \u1087?\u1088?\u1080?\u1083?\u1086?\u1078?\u1077?\u1085?\u1080?\u1077? XX (\u1054?\u1082?\u1086?\u1083?\u1085?\u1072? \u1089?\u1088?\u1077?\u1076?\u1072?) \u1082?\u1098?\u1084? \u1057?\u1087?\u1086?\u1088?\u1072?\u1079?\u1091?\u1084?\u1077?\u1085?\u1080?\u1077?\u1090?\u1086? \u1079?\u1072? \u1045?\u1048?\u1055?_x000b_(\u1044?\u1080?\u1088?\u1077?\u1082?\u1090?\u1080?\u1074?\u1072?\u1090?\u1072? \u1079?\u1072? \u1082?\u1072?\u1095?\u1077?\u1089?\u1090?\u1074?\u1086?\u1090?\u1086? \u1085?\u1072? \u1075?\u1086?\u1088?\u1080?\u1074?\u1072?\u1090?\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55">
      <w:bodyDiv w:val="1"/>
      <w:marLeft w:val="0"/>
      <w:marRight w:val="0"/>
      <w:marTop w:val="0"/>
      <w:marBottom w:val="0"/>
      <w:divBdr>
        <w:top w:val="none" w:sz="0" w:space="0" w:color="auto"/>
        <w:left w:val="none" w:sz="0" w:space="0" w:color="auto"/>
        <w:bottom w:val="none" w:sz="0" w:space="0" w:color="auto"/>
        <w:right w:val="none" w:sz="0" w:space="0" w:color="auto"/>
      </w:divBdr>
    </w:div>
    <w:div w:id="328365461">
      <w:bodyDiv w:val="1"/>
      <w:marLeft w:val="0"/>
      <w:marRight w:val="0"/>
      <w:marTop w:val="0"/>
      <w:marBottom w:val="0"/>
      <w:divBdr>
        <w:top w:val="none" w:sz="0" w:space="0" w:color="auto"/>
        <w:left w:val="none" w:sz="0" w:space="0" w:color="auto"/>
        <w:bottom w:val="none" w:sz="0" w:space="0" w:color="auto"/>
        <w:right w:val="none" w:sz="0" w:space="0" w:color="auto"/>
      </w:divBdr>
    </w:div>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C1E9-810F-4CDB-81AB-86ECFEDB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1275</Words>
  <Characters>7117</Characters>
  <Application>Microsoft Office Word</Application>
  <DocSecurity>0</DocSecurity>
  <Lines>136</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2014-03-28T08:12:00Z</cp:lastPrinted>
  <dcterms:created xsi:type="dcterms:W3CDTF">2015-07-07T11:13:00Z</dcterms:created>
  <dcterms:modified xsi:type="dcterms:W3CDTF">2015-07-08T12:00:00Z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