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3FF956E7B0834F579F45B0ABA7C4BFE6" style="width:450.55pt;height:510.65pt">
            <v:imagedata r:id="rId8" o:title=""/>
          </v:shape>
        </w:pict>
      </w:r>
    </w:p>
    <w:p>
      <w:pPr>
        <w:pStyle w:val="Pagedecouverture"/>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Annexetitre"/>
        <w:rPr>
          <w:noProof/>
          <w:u w:val="none"/>
        </w:rPr>
      </w:pPr>
      <w:bookmarkStart w:id="0" w:name="_GoBack"/>
      <w:bookmarkEnd w:id="0"/>
      <w:r>
        <w:rPr>
          <w:noProof/>
          <w:u w:val="none"/>
        </w:rPr>
        <w:t>ANNEXE</w:t>
      </w:r>
      <w:r>
        <w:rPr>
          <w:noProof/>
          <w:u w:val="none"/>
        </w:rPr>
        <w:br/>
      </w:r>
      <w:r>
        <w:rPr>
          <w:noProof/>
          <w:u w:val="none"/>
        </w:rPr>
        <w:br/>
        <w:t>DÉCISION DU COMITÉ MIXTE DE L'EEE</w:t>
      </w:r>
      <w:r>
        <w:rPr>
          <w:noProof/>
          <w:u w:val="none"/>
        </w:rPr>
        <w:br/>
        <w:t>N° .../2015</w:t>
      </w:r>
      <w:r>
        <w:rPr>
          <w:noProof/>
        </w:rPr>
        <w:br/>
      </w:r>
      <w:r>
        <w:rPr>
          <w:noProof/>
          <w:u w:val="none"/>
        </w:rPr>
        <w:br/>
        <w:t>modifiant l'annexe II (Réglementations techniques, normes, essais et certification) et l'annexe XX (Environnement) de l'accord EEE</w:t>
      </w:r>
      <w:r>
        <w:rPr>
          <w:noProof/>
        </w:rPr>
        <w:br/>
      </w:r>
      <w:r>
        <w:rPr>
          <w:noProof/>
        </w:rPr>
        <w:br/>
      </w:r>
    </w:p>
    <w:p>
      <w:pPr>
        <w:pStyle w:val="Institutionquiagit"/>
        <w:rPr>
          <w:noProof/>
        </w:rPr>
      </w:pPr>
      <w:r>
        <w:rPr>
          <w:noProof/>
        </w:rPr>
        <w:t>LE COMITÉ MIXTE DE L'EEE,</w:t>
      </w:r>
    </w:p>
    <w:p>
      <w:pPr>
        <w:rPr>
          <w:noProof/>
        </w:rPr>
      </w:pPr>
      <w:r>
        <w:rPr>
          <w:noProof/>
        </w:rPr>
        <w:t>vu l'accord sur l'Espace économique européen (ci-après dénommé l'«accord EEE»), et notamment son article 98,</w:t>
      </w:r>
    </w:p>
    <w:p>
      <w:pPr>
        <w:rPr>
          <w:noProof/>
        </w:rPr>
      </w:pPr>
      <w:r>
        <w:rPr>
          <w:noProof/>
        </w:rPr>
        <w:t>considérant ce qui suit:</w:t>
      </w:r>
    </w:p>
    <w:p>
      <w:pPr>
        <w:pStyle w:val="Considrant"/>
        <w:numPr>
          <w:ilvl w:val="0"/>
          <w:numId w:val="10"/>
        </w:numPr>
        <w:rPr>
          <w:noProof/>
        </w:rPr>
      </w:pPr>
      <w:r>
        <w:rPr>
          <w:noProof/>
        </w:rPr>
        <w:t>La directive 2009/30/CE du Parlement européen et du Conseil du 23 avril 2009 modifiant la directive 98/70/CE en ce qui concerne les spécifications relatives à l’essence, au carburant diesel et aux gazoles ainsi que l’introduction d’un mécanisme permettant de surveiller et de réduire les émissions de gaz à effet de serre, modifiant la directive 1999/32/CE du Conseil en ce qui concerne les spécifications relatives aux carburants utilisés par les bateaux de navigation intérieure et abrogeant la directive 93/12/CEE</w:t>
      </w:r>
      <w:r>
        <w:rPr>
          <w:rStyle w:val="FootnoteReference"/>
          <w:noProof/>
        </w:rPr>
        <w:footnoteReference w:id="1"/>
      </w:r>
      <w:r>
        <w:rPr>
          <w:noProof/>
        </w:rPr>
        <w:t xml:space="preserve"> doit être intégrée dans l'accord EEE.</w:t>
      </w:r>
    </w:p>
    <w:p>
      <w:pPr>
        <w:pStyle w:val="Considrant"/>
        <w:rPr>
          <w:noProof/>
        </w:rPr>
      </w:pPr>
      <w:r>
        <w:rPr>
          <w:noProof/>
        </w:rPr>
        <w:t>La directive 2009/30/CE abroge la directive 93/12/CEE du Conseil</w:t>
      </w:r>
      <w:r>
        <w:rPr>
          <w:rStyle w:val="FootnoteReference"/>
          <w:noProof/>
        </w:rPr>
        <w:footnoteReference w:id="2"/>
      </w:r>
      <w:r>
        <w:rPr>
          <w:noProof/>
        </w:rPr>
        <w:t>, qui est intégrée dans l'accord EEE et doit donc en être supprimée.</w:t>
      </w:r>
    </w:p>
    <w:p>
      <w:pPr>
        <w:pStyle w:val="Considrant"/>
        <w:rPr>
          <w:noProof/>
        </w:rPr>
      </w:pPr>
      <w:r>
        <w:rPr>
          <w:noProof/>
        </w:rPr>
        <w:t>Il convient dès lors de modifier les annexes II et XX de l'accord EEE en conséquence,</w:t>
      </w:r>
    </w:p>
    <w:p>
      <w:pPr>
        <w:pStyle w:val="Formuledadoption"/>
        <w:rPr>
          <w:noProof/>
        </w:rPr>
      </w:pPr>
      <w:r>
        <w:rPr>
          <w:noProof/>
        </w:rPr>
        <w:t>A ADOPTÉ LA PRÉSENTE DÉCISION:</w:t>
      </w:r>
    </w:p>
    <w:p>
      <w:pPr>
        <w:pStyle w:val="Titrearticle"/>
        <w:rPr>
          <w:noProof/>
        </w:rPr>
      </w:pPr>
      <w:r>
        <w:rPr>
          <w:noProof/>
        </w:rPr>
        <w:t>Article premier</w:t>
      </w:r>
    </w:p>
    <w:p>
      <w:pPr>
        <w:rPr>
          <w:noProof/>
        </w:rPr>
      </w:pPr>
      <w:r>
        <w:rPr>
          <w:noProof/>
        </w:rPr>
        <w:t>Le chapitre XVII de l'annexe II de l'accord EEE est modifié comme suit:</w:t>
      </w:r>
    </w:p>
    <w:p>
      <w:pPr>
        <w:pStyle w:val="Point0"/>
        <w:rPr>
          <w:noProof/>
        </w:rPr>
      </w:pPr>
      <w:r>
        <w:rPr>
          <w:noProof/>
        </w:rPr>
        <w:t>1.</w:t>
      </w:r>
      <w:r>
        <w:rPr>
          <w:noProof/>
        </w:rPr>
        <w:tab/>
        <w:t>Le tiret suivant est ajouté au point 6a (directive 98/70/CE du Parlement européen et du Conseil):</w:t>
      </w:r>
    </w:p>
    <w:p>
      <w:pPr>
        <w:pStyle w:val="Point1"/>
        <w:rPr>
          <w:noProof/>
        </w:rPr>
      </w:pPr>
      <w:r>
        <w:rPr>
          <w:noProof/>
        </w:rPr>
        <w:t>«-</w:t>
      </w:r>
      <w:r>
        <w:rPr>
          <w:noProof/>
        </w:rPr>
        <w:tab/>
      </w:r>
      <w:r>
        <w:rPr>
          <w:b/>
          <w:noProof/>
        </w:rPr>
        <w:t>32009 L 0030</w:t>
      </w:r>
      <w:r>
        <w:rPr>
          <w:noProof/>
        </w:rPr>
        <w:t>: directive 2009/30/CE du Parlement européen et du Conseil du 23 avril 2009 (JO L 140 du 5.6.2009, p. 88).»</w:t>
      </w:r>
    </w:p>
    <w:p>
      <w:pPr>
        <w:pStyle w:val="Point0"/>
        <w:rPr>
          <w:noProof/>
        </w:rPr>
      </w:pPr>
      <w:r>
        <w:rPr>
          <w:noProof/>
        </w:rPr>
        <w:t>2.</w:t>
      </w:r>
      <w:r>
        <w:rPr>
          <w:noProof/>
        </w:rPr>
        <w:tab/>
        <w:t>Le texte suivant est ajouté au point 6a (directive 98/70/CE du Parlement européen et du Conseil):</w:t>
      </w:r>
    </w:p>
    <w:p>
      <w:pPr>
        <w:pStyle w:val="Point1"/>
        <w:rPr>
          <w:noProof/>
        </w:rPr>
      </w:pPr>
      <w:r>
        <w:rPr>
          <w:noProof/>
        </w:rPr>
        <w:t xml:space="preserve">«c) </w:t>
      </w:r>
      <w:r>
        <w:rPr>
          <w:noProof/>
        </w:rPr>
        <w:tab/>
        <w:t>À l’article 2, paragraphe 5, les mots “l’Islande” sont ajoutés après “l'Irlande” et les termes “la Norvège” sont ajoutés après “la Lituanie”.</w:t>
      </w:r>
    </w:p>
    <w:p>
      <w:pPr>
        <w:pStyle w:val="Point1"/>
        <w:rPr>
          <w:noProof/>
        </w:rPr>
      </w:pPr>
      <w:r>
        <w:rPr>
          <w:noProof/>
        </w:rPr>
        <w:t>d)</w:t>
      </w:r>
      <w:r>
        <w:rPr>
          <w:noProof/>
        </w:rPr>
        <w:tab/>
        <w:t>À l’article 3, paragraphe 4, l’alinéa suivant est ajouté après le premier alinéa:</w:t>
      </w:r>
    </w:p>
    <w:p>
      <w:pPr>
        <w:pStyle w:val="Text2"/>
        <w:ind w:left="1416"/>
        <w:rPr>
          <w:noProof/>
        </w:rPr>
      </w:pPr>
      <w:r>
        <w:rPr>
          <w:noProof/>
        </w:rPr>
        <w:t>“Pendant la période d'été, l’Islande peut permettre la mise sur le marché d’essence, contenant de l’éthanol ou du méthanol, d'une pression de vapeur maximale de 70 kPa, à condition que l’éthanol utilisé soit un biocarburant ou que la réduction des émissions de gaz à effet de serre résultant de l’utilisation du méthanol satisfasse aux conditions visées à l’article 7 </w:t>
      </w:r>
      <w:r>
        <w:rPr>
          <w:i/>
          <w:noProof/>
        </w:rPr>
        <w:t>ter</w:t>
      </w:r>
      <w:r>
        <w:rPr>
          <w:noProof/>
        </w:rPr>
        <w:t>, paragraphe 2.”</w:t>
      </w:r>
    </w:p>
    <w:p>
      <w:pPr>
        <w:pStyle w:val="Point1"/>
        <w:rPr>
          <w:noProof/>
        </w:rPr>
      </w:pPr>
      <w:r>
        <w:rPr>
          <w:noProof/>
        </w:rPr>
        <w:t>e)</w:t>
      </w:r>
      <w:r>
        <w:rPr>
          <w:noProof/>
        </w:rPr>
        <w:tab/>
        <w:t>Les articles 7 </w:t>
      </w:r>
      <w:r>
        <w:rPr>
          <w:i/>
          <w:noProof/>
        </w:rPr>
        <w:t>bis</w:t>
      </w:r>
      <w:r>
        <w:rPr>
          <w:noProof/>
        </w:rPr>
        <w:t xml:space="preserve"> à 7 </w:t>
      </w:r>
      <w:r>
        <w:rPr>
          <w:i/>
          <w:noProof/>
        </w:rPr>
        <w:t>sexies</w:t>
      </w:r>
      <w:r>
        <w:rPr>
          <w:noProof/>
        </w:rPr>
        <w:t xml:space="preserve"> ne s'appliquent pas au Liechtenstein.</w:t>
      </w:r>
    </w:p>
    <w:p>
      <w:pPr>
        <w:pStyle w:val="Point1"/>
        <w:rPr>
          <w:noProof/>
        </w:rPr>
      </w:pPr>
      <w:r>
        <w:rPr>
          <w:noProof/>
        </w:rPr>
        <w:t>f)</w:t>
      </w:r>
      <w:r>
        <w:rPr>
          <w:noProof/>
        </w:rPr>
        <w:tab/>
        <w:t>L’article 7 </w:t>
      </w:r>
      <w:r>
        <w:rPr>
          <w:i/>
          <w:noProof/>
        </w:rPr>
        <w:t>ter</w:t>
      </w:r>
      <w:r>
        <w:rPr>
          <w:noProof/>
        </w:rPr>
        <w:t>, paragraphe 6, ne s’applique pas aux États de l’AELE.»</w:t>
      </w:r>
    </w:p>
    <w:p>
      <w:pPr>
        <w:pStyle w:val="Point0"/>
        <w:rPr>
          <w:noProof/>
        </w:rPr>
      </w:pPr>
      <w:r>
        <w:rPr>
          <w:noProof/>
        </w:rPr>
        <w:t>3.</w:t>
      </w:r>
      <w:r>
        <w:rPr>
          <w:noProof/>
        </w:rPr>
        <w:tab/>
        <w:t>Le texte du point 6 (directive 93/12/CEE du Conseil) est supprimé.</w:t>
      </w:r>
    </w:p>
    <w:p>
      <w:pPr>
        <w:pStyle w:val="Titrearticle"/>
        <w:rPr>
          <w:noProof/>
        </w:rPr>
      </w:pPr>
      <w:r>
        <w:rPr>
          <w:noProof/>
        </w:rPr>
        <w:t>Article 2</w:t>
      </w:r>
    </w:p>
    <w:p>
      <w:pPr>
        <w:rPr>
          <w:noProof/>
        </w:rPr>
      </w:pPr>
      <w:r>
        <w:rPr>
          <w:noProof/>
        </w:rPr>
        <w:t>Le tiret suivant est ajouté au point 21ad (directive 1999/32/CE du Conseil) de l’annexe XX de l’accord EEE:</w:t>
      </w:r>
    </w:p>
    <w:p>
      <w:pPr>
        <w:pStyle w:val="Point0"/>
        <w:rPr>
          <w:noProof/>
        </w:rPr>
      </w:pPr>
      <w:r>
        <w:rPr>
          <w:noProof/>
        </w:rPr>
        <w:t>«-</w:t>
      </w:r>
      <w:r>
        <w:rPr>
          <w:noProof/>
        </w:rPr>
        <w:tab/>
      </w:r>
      <w:r>
        <w:rPr>
          <w:b/>
          <w:noProof/>
        </w:rPr>
        <w:t>32009 L 0030</w:t>
      </w:r>
      <w:r>
        <w:rPr>
          <w:noProof/>
        </w:rPr>
        <w:t>: directive 2009/30/CE du Parlement européen et du Conseil du 23 avril 2009 (JO L 140 du 5.6.2009, p. 88).»</w:t>
      </w:r>
    </w:p>
    <w:p>
      <w:pPr>
        <w:pStyle w:val="Titrearticle"/>
        <w:rPr>
          <w:noProof/>
        </w:rPr>
      </w:pPr>
      <w:r>
        <w:rPr>
          <w:noProof/>
        </w:rPr>
        <w:t>Article 3</w:t>
      </w:r>
    </w:p>
    <w:p>
      <w:pPr>
        <w:rPr>
          <w:noProof/>
        </w:rPr>
      </w:pPr>
      <w:r>
        <w:rPr>
          <w:noProof/>
        </w:rPr>
        <w:t xml:space="preserve">Les textes de la directive 2009/30/CE en langues islandaise et norvégienne, à publier dans le supplément EEE du </w:t>
      </w:r>
      <w:r>
        <w:rPr>
          <w:i/>
          <w:noProof/>
        </w:rPr>
        <w:t>Journal officiel de l’Union européenne</w:t>
      </w:r>
      <w:r>
        <w:rPr>
          <w:noProof/>
        </w:rPr>
        <w:t>, font foi.</w:t>
      </w:r>
    </w:p>
    <w:p>
      <w:pPr>
        <w:pStyle w:val="Titrearticle"/>
        <w:rPr>
          <w:noProof/>
        </w:rPr>
      </w:pPr>
      <w:r>
        <w:rPr>
          <w:noProof/>
        </w:rPr>
        <w:t>Article 4</w:t>
      </w:r>
    </w:p>
    <w:p>
      <w:pPr>
        <w:rPr>
          <w:noProof/>
        </w:rPr>
      </w:pPr>
      <w:r>
        <w:rPr>
          <w:noProof/>
        </w:rPr>
        <w:t>La présente décision entre en vigueur le […], pour autant que toutes les notifications prévues à l’article 103, paragraphe 1, de l’accord EEE aient été faites</w:t>
      </w:r>
      <w:r>
        <w:rPr>
          <w:rStyle w:val="FootnoteReference"/>
          <w:noProof/>
        </w:rPr>
        <w:sym w:font="Symbol" w:char="F02A"/>
      </w:r>
      <w:r>
        <w:rPr>
          <w:noProof/>
        </w:rPr>
        <w:t>.</w:t>
      </w:r>
    </w:p>
    <w:p>
      <w:pPr>
        <w:pStyle w:val="Titrearticle"/>
        <w:rPr>
          <w:noProof/>
        </w:rPr>
      </w:pPr>
      <w:r>
        <w:rPr>
          <w:noProof/>
        </w:rPr>
        <w:footnoteReference w:customMarkFollows="1" w:id="3"/>
        <w:t>Article 5</w:t>
      </w:r>
    </w:p>
    <w:p>
      <w:pPr>
        <w:rPr>
          <w:noProof/>
        </w:rPr>
      </w:pPr>
      <w:r>
        <w:rPr>
          <w:noProof/>
        </w:rPr>
        <w:t xml:space="preserve">La présente décision est publiée dans la partie EEE et dans le supplément EEE du </w:t>
      </w:r>
      <w:r>
        <w:rPr>
          <w:i/>
          <w:noProof/>
        </w:rPr>
        <w:t>Journal officiel de l'Union européenne</w:t>
      </w:r>
      <w:r>
        <w:rPr>
          <w:noProof/>
        </w:rPr>
        <w:t>.</w:t>
      </w:r>
    </w:p>
    <w:p>
      <w:pPr>
        <w:pStyle w:val="Fait"/>
        <w:rPr>
          <w:noProof/>
        </w:rPr>
      </w:pPr>
      <w:r>
        <w:rPr>
          <w:noProof/>
        </w:rPr>
        <w:t>Fait à Bruxelles, le</w:t>
      </w:r>
    </w:p>
    <w:p>
      <w:pPr>
        <w:pStyle w:val="Institutionquisigne"/>
        <w:rPr>
          <w:noProof/>
        </w:rPr>
      </w:pPr>
      <w:r>
        <w:rPr>
          <w:noProof/>
        </w:rPr>
        <w:tab/>
        <w:t>Par le Comité mixte de l'EEE</w:t>
      </w:r>
    </w:p>
    <w:p>
      <w:pPr>
        <w:pStyle w:val="Personnequisigne"/>
        <w:rPr>
          <w:noProof/>
        </w:rPr>
      </w:pPr>
      <w:r>
        <w:rPr>
          <w:noProof/>
        </w:rPr>
        <w:tab/>
        <w:t>Le président</w:t>
      </w:r>
      <w:r>
        <w:rPr>
          <w:noProof/>
        </w:rPr>
        <w:br/>
      </w:r>
      <w:r>
        <w:rPr>
          <w:noProof/>
        </w:rPr>
        <w:tab/>
      </w:r>
      <w:r>
        <w:rPr>
          <w:noProof/>
        </w:rPr>
        <w:br/>
      </w:r>
      <w:r>
        <w:rPr>
          <w:noProof/>
        </w:rPr>
        <w:tab/>
      </w:r>
      <w:r>
        <w:rPr>
          <w:noProof/>
        </w:rPr>
        <w:br/>
      </w:r>
      <w:r>
        <w:rPr>
          <w:noProof/>
        </w:rPr>
        <w:tab/>
      </w:r>
      <w:r>
        <w:rPr>
          <w:noProof/>
        </w:rPr>
        <w:br/>
      </w:r>
      <w:r>
        <w:rPr>
          <w:noProof/>
        </w:rPr>
        <w:tab/>
        <w:t>Les secrétaires</w:t>
      </w:r>
      <w:r>
        <w:rPr>
          <w:noProof/>
        </w:rPr>
        <w:br/>
      </w:r>
      <w:r>
        <w:rPr>
          <w:noProof/>
        </w:rPr>
        <w:tab/>
        <w:t>du Comité mixte de l'EEE</w:t>
      </w:r>
      <w:r>
        <w:rPr>
          <w:noProof/>
        </w:rPr>
        <w:br/>
      </w:r>
      <w:r>
        <w:rPr>
          <w:noProof/>
        </w:rPr>
        <w:tab/>
      </w:r>
    </w:p>
    <w:sectPr>
      <w:footerReference w:type="default" r:id="rId15"/>
      <w:footerReference w:type="first" r:id="rId16"/>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BE"/>
        </w:rPr>
      </w:pPr>
      <w:r>
        <w:rPr>
          <w:rStyle w:val="FootnoteReference"/>
        </w:rPr>
        <w:footnoteRef/>
      </w:r>
      <w:r>
        <w:rPr>
          <w:lang w:val="fr-BE"/>
        </w:rPr>
        <w:tab/>
        <w:t>JO L 140 du 5.6.2009, p. 88.</w:t>
      </w:r>
    </w:p>
  </w:footnote>
  <w:footnote w:id="2">
    <w:p>
      <w:pPr>
        <w:pStyle w:val="FootnoteText"/>
        <w:rPr>
          <w:lang w:val="fr-BE"/>
        </w:rPr>
      </w:pPr>
      <w:r>
        <w:rPr>
          <w:rStyle w:val="FootnoteReference"/>
        </w:rPr>
        <w:footnoteRef/>
      </w:r>
      <w:r>
        <w:rPr>
          <w:lang w:val="fr-BE"/>
        </w:rPr>
        <w:tab/>
        <w:t>JO L 74 du 27.3.1993, p. 81.</w:t>
      </w:r>
    </w:p>
  </w:footnote>
  <w:footnote w:id="3">
    <w:p>
      <w:pPr>
        <w:pStyle w:val="FootnoteText"/>
      </w:pPr>
      <w:r>
        <w:rPr>
          <w:rStyle w:val="FootnoteReference"/>
        </w:rPr>
        <w:sym w:font="Symbol" w:char="F02A"/>
      </w:r>
      <w:r>
        <w:rPr>
          <w:lang w:val="fr-BE"/>
        </w:rPr>
        <w:t xml:space="preserve">[Pas d'obligations constitutionnelles signalées.] </w:t>
      </w:r>
      <w:r>
        <w:t>[Obligations constitutionnelles signalées.]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0C6C5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1FAFD28"/>
    <w:lvl w:ilvl="0">
      <w:start w:val="1"/>
      <w:numFmt w:val="decimal"/>
      <w:pStyle w:val="ListNumber3"/>
      <w:lvlText w:val="%1."/>
      <w:lvlJc w:val="left"/>
      <w:pPr>
        <w:tabs>
          <w:tab w:val="num" w:pos="926"/>
        </w:tabs>
        <w:ind w:left="926" w:hanging="360"/>
      </w:pPr>
    </w:lvl>
  </w:abstractNum>
  <w:abstractNum w:abstractNumId="2">
    <w:nsid w:val="FFFFFF7F"/>
    <w:multiLevelType w:val="singleLevel"/>
    <w:tmpl w:val="C89A3D0E"/>
    <w:lvl w:ilvl="0">
      <w:start w:val="1"/>
      <w:numFmt w:val="decimal"/>
      <w:pStyle w:val="ListNumber2"/>
      <w:lvlText w:val="%1."/>
      <w:lvlJc w:val="left"/>
      <w:pPr>
        <w:tabs>
          <w:tab w:val="num" w:pos="643"/>
        </w:tabs>
        <w:ind w:left="643" w:hanging="360"/>
      </w:pPr>
    </w:lvl>
  </w:abstractNum>
  <w:abstractNum w:abstractNumId="3">
    <w:nsid w:val="FFFFFF81"/>
    <w:multiLevelType w:val="singleLevel"/>
    <w:tmpl w:val="1624E55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CEE4E0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E5423A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C709E20"/>
    <w:lvl w:ilvl="0">
      <w:start w:val="1"/>
      <w:numFmt w:val="decimal"/>
      <w:pStyle w:val="ListNumber"/>
      <w:lvlText w:val="%1."/>
      <w:lvlJc w:val="left"/>
      <w:pPr>
        <w:tabs>
          <w:tab w:val="num" w:pos="360"/>
        </w:tabs>
        <w:ind w:left="360" w:hanging="360"/>
      </w:pPr>
    </w:lvl>
  </w:abstractNum>
  <w:abstractNum w:abstractNumId="7">
    <w:nsid w:val="FFFFFF89"/>
    <w:multiLevelType w:val="singleLevel"/>
    <w:tmpl w:val="B46C015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28364B0"/>
    <w:multiLevelType w:val="singleLevel"/>
    <w:tmpl w:val="D084FB54"/>
    <w:name w:val="List Dash 3"/>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num>
  <w:num w:numId="10">
    <w:abstractNumId w:val="22"/>
    <w:lvlOverride w:ilvl="0">
      <w:startOverride w:val="1"/>
    </w:lvlOverride>
  </w:num>
  <w:num w:numId="11">
    <w:abstractNumId w:val="19"/>
  </w:num>
  <w:num w:numId="12">
    <w:abstractNumId w:val="13"/>
  </w:num>
  <w:num w:numId="13">
    <w:abstractNumId w:val="21"/>
  </w:num>
  <w:num w:numId="14">
    <w:abstractNumId w:val="12"/>
  </w:num>
  <w:num w:numId="15">
    <w:abstractNumId w:val="14"/>
  </w:num>
  <w:num w:numId="16">
    <w:abstractNumId w:val="10"/>
  </w:num>
  <w:num w:numId="17">
    <w:abstractNumId w:val="20"/>
  </w:num>
  <w:num w:numId="18">
    <w:abstractNumId w:val="9"/>
  </w:num>
  <w:num w:numId="19">
    <w:abstractNumId w:val="15"/>
  </w:num>
  <w:num w:numId="20">
    <w:abstractNumId w:val="17"/>
  </w:num>
  <w:num w:numId="21">
    <w:abstractNumId w:val="18"/>
  </w:num>
  <w:num w:numId="22">
    <w:abstractNumId w:val="11"/>
  </w:num>
  <w:num w:numId="23">
    <w:abstractNumId w:val="16"/>
  </w:num>
  <w:num w:numId="24">
    <w:abstractNumId w:val="22"/>
  </w:num>
  <w:num w:numId="25">
    <w:abstractNumId w:val="19"/>
  </w:num>
  <w:num w:numId="26">
    <w:abstractNumId w:val="13"/>
  </w:num>
  <w:num w:numId="27">
    <w:abstractNumId w:val="21"/>
  </w:num>
  <w:num w:numId="28">
    <w:abstractNumId w:val="12"/>
  </w:num>
  <w:num w:numId="29">
    <w:abstractNumId w:val="14"/>
  </w:num>
  <w:num w:numId="30">
    <w:abstractNumId w:val="10"/>
  </w:num>
  <w:num w:numId="31">
    <w:abstractNumId w:val="20"/>
  </w:num>
  <w:num w:numId="32">
    <w:abstractNumId w:val="9"/>
  </w:num>
  <w:num w:numId="33">
    <w:abstractNumId w:val="15"/>
  </w:num>
  <w:num w:numId="34">
    <w:abstractNumId w:val="17"/>
  </w:num>
  <w:num w:numId="35">
    <w:abstractNumId w:val="18"/>
  </w:num>
  <w:num w:numId="36">
    <w:abstractNumId w:val="11"/>
  </w:num>
  <w:num w:numId="37">
    <w:abstractNumId w:val="16"/>
  </w:num>
  <w:num w:numId="3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hideSpellingErrors/>
  <w:hideGrammaticalErrors/>
  <w:attachedTemplate r:id="rId1"/>
  <w:revisionView w:markup="0"/>
  <w:doNotTrackMoves/>
  <w:defaultTabStop w:val="720"/>
  <w:hyphenationZone w:val="425"/>
  <w:characterSpacingControl w:val="doNotCompress"/>
  <w:hdrShapeDefaults>
    <o:shapedefaults v:ext="edit" spidmax="1945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5-07-08 14:01:40"/>
    <w:docVar w:name="DQCResult_Distribution" w:val="0;0"/>
    <w:docVar w:name="DQCResult_DocumentContent" w:val="0;0"/>
    <w:docVar w:name="DQCResult_DocumentSize" w:val="0;0"/>
    <w:docVar w:name="DQCResult_DocumentVersions" w:val="0;0"/>
    <w:docVar w:name="DQCResult_ExistenceOfMacros" w:val="0;0"/>
    <w:docVar w:name="DQCResult_InvalidFootnotes" w:val="0;1"/>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2"/>
    <w:docVar w:name="DQCWithWarnings" w:val="0"/>
    <w:docVar w:name="LW_ACCOMPAGNANT" w:val="à"/>
    <w:docVar w:name="LW_ACCOMPAGNANT.CP" w:val="à"/>
    <w:docVar w:name="LW_ANNEX_NBR_FIRST" w:val="1"/>
    <w:docVar w:name="LW_ANNEX_NBR_LAST" w:val="1"/>
    <w:docVar w:name="LW_CONFIDENCE" w:val=" "/>
    <w:docVar w:name="LW_CONST_RESTREINT_UE" w:val="RESTREINT UE"/>
    <w:docVar w:name="LW_CORRIGENDUM" w:val="&lt;UNUSED&gt;"/>
    <w:docVar w:name="LW_COVERPAGE_GUID" w:val="3FF956E7B0834F579F45B0ABA7C4BFE6"/>
    <w:docVar w:name="LW_CROSSREFERENCE" w:val="&lt;UNUSED&gt;"/>
    <w:docVar w:name="LW_DocType" w:val="ANNEX"/>
    <w:docVar w:name="LW_EMISSION" w:val="10.7.2015"/>
    <w:docVar w:name="LW_EMISSION_ISODATE" w:val="2015-07-10"/>
    <w:docVar w:name="LW_EMISSION_LOCATION" w:val="BRX"/>
    <w:docVar w:name="LW_EMISSION_PREFIX" w:val="Bruxelles, le "/>
    <w:docVar w:name="LW_EMISSION_SUFFIX" w:val=" "/>
    <w:docVar w:name="LW_ID_DOCSTRUCTURE" w:val="COM/ANNEX"/>
    <w:docVar w:name="LW_ID_DOCTYPE" w:val="SG-017"/>
    <w:docVar w:name="LW_LANGUE" w:val="FR"/>
    <w:docVar w:name="LW_MARKING" w:val="&lt;UNUSED&gt;"/>
    <w:docVar w:name="LW_NOM.INST" w:val="COMMISSION EUROPÉENNE"/>
    <w:docVar w:name="LW_NOM.INST_JOINTDOC" w:val="&lt;EMPTY&gt;"/>
    <w:docVar w:name="LW_OBJETACTEPRINCIPAL" w:val="relative à la position à adopter au nom de l'Union européenne au sein du Comité mixte de l'EEE en ce qui concerne une modification de l'annexe II (Réglementations techniques, normes, essais et certification) et de l'annexe XX (Environnement) de l'accord EEE _x000b_(Directive sur la qualité des carburants)_x000b_"/>
    <w:docVar w:name="LW_OBJETACTEPRINCIPAL.CP" w:val="relative à la position à adopter au nom de l'Union européenne au sein du Comité mixte de l'EEE en ce qui concerne une modification de l'annexe II (Réglementations techniques, normes, essais et certification) et de l'annexe XX (Environnement) de l'accord EEE _x000b_(Directive sur la qualité des carburants)_x000b_"/>
    <w:docVar w:name="LW_PART_NBR" w:val="1"/>
    <w:docVar w:name="LW_PART_NBR_TOTAL" w:val="1"/>
    <w:docVar w:name="LW_REF.INST.NEW" w:val="COM"/>
    <w:docVar w:name="LW_REF.INST.NEW_ADOPTED" w:val="final"/>
    <w:docVar w:name="LW_REF.INST.NEW_TEXT" w:val="(2015) 334"/>
    <w:docVar w:name="LW_REF.INTERNE" w:val="&lt;UNUSED&gt;"/>
    <w:docVar w:name="LW_SUPERTITRE" w:val="&lt;UNUSED&gt;"/>
    <w:docVar w:name="LW_TITRE.OBJ" w:val="DÉCISION DU COMITÉ  N° .../2015_x000b_modifiant l'annexe II (Réglementations techniques, normes, essais et certification)_x000b_et l'annexe XX (Environnement)_x000b_de l'accord EEE"/>
    <w:docVar w:name="LW_TITRE.OBJ.CP" w:val="DÉCISION DU COMITÉ  N° .../2015_x000b_modifiant l'annexe II (Réglementations techniques, normes, essais et certification)_x000b_et l'annexe XX (Environnement)_x000b_de l'accord EEE"/>
    <w:docVar w:name="LW_TYPE.DOC" w:val="ANNEXE"/>
    <w:docVar w:name="LW_TYPE.DOC.CP" w:val="ANNEXE"/>
    <w:docVar w:name="LW_TYPEACTEPRINCIPAL" w:val="la proposition de décision du Conseil"/>
    <w:docVar w:name="LW_TYPEACTEPRINCIPAL.CP" w:val="la proposition de 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rPr>
      <w:b/>
      <w:bCs/>
      <w:sz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ListDash3">
    <w:name w:val="List Dash 3"/>
    <w:basedOn w:val="Normal"/>
    <w:pPr>
      <w:numPr>
        <w:numId w:val="9"/>
      </w:numPr>
    </w:pPr>
    <w:rPr>
      <w:rFonts w:eastAsia="Times New Roman"/>
      <w:szCs w:val="24"/>
    </w:rPr>
  </w:style>
  <w:style w:type="character" w:customStyle="1" w:styleId="Point0Char">
    <w:name w:val="Point 0 Char"/>
    <w:rPr>
      <w:rFonts w:ascii="Times New Roman" w:hAnsi="Times New Roman"/>
      <w:sz w:val="24"/>
    </w:rPr>
  </w:style>
  <w:style w:type="paragraph" w:styleId="ListParagraph">
    <w:name w:val="List Paragraph"/>
    <w:basedOn w:val="Normal"/>
    <w:uiPriority w:val="34"/>
    <w:qFormat/>
    <w:pPr>
      <w:spacing w:before="0" w:after="200" w:line="276" w:lineRule="auto"/>
      <w:ind w:left="720"/>
      <w:contextualSpacing/>
      <w:jc w:val="left"/>
    </w:pPr>
    <w:rPr>
      <w:sz w:val="20"/>
    </w:rPr>
  </w:style>
  <w:style w:type="paragraph" w:customStyle="1" w:styleId="Articleheading">
    <w:name w:val="Article heading"/>
    <w:basedOn w:val="Normal"/>
    <w:link w:val="ArticleheadingChar"/>
    <w:qFormat/>
    <w:pPr>
      <w:keepNext/>
      <w:tabs>
        <w:tab w:val="left" w:pos="709"/>
      </w:tabs>
      <w:spacing w:before="360"/>
      <w:jc w:val="center"/>
    </w:pPr>
    <w:rPr>
      <w:i/>
      <w:color w:val="000000"/>
      <w:szCs w:val="24"/>
    </w:rPr>
  </w:style>
  <w:style w:type="paragraph" w:customStyle="1" w:styleId="Articletext">
    <w:name w:val="Article text"/>
    <w:basedOn w:val="Articleheading"/>
    <w:link w:val="ArticletextChar"/>
    <w:qFormat/>
    <w:pPr>
      <w:keepNext w:val="0"/>
      <w:spacing w:before="120"/>
      <w:jc w:val="both"/>
    </w:pPr>
    <w:rPr>
      <w:i w:val="0"/>
    </w:rPr>
  </w:style>
  <w:style w:type="character" w:customStyle="1" w:styleId="ArticleheadingChar">
    <w:name w:val="Article heading Char"/>
    <w:link w:val="Articleheading"/>
    <w:rPr>
      <w:rFonts w:ascii="Times New Roman" w:hAnsi="Times New Roman"/>
      <w:i/>
      <w:color w:val="000000"/>
      <w:sz w:val="24"/>
      <w:szCs w:val="24"/>
      <w:lang w:val="fr-FR" w:eastAsia="fr-FR"/>
    </w:rPr>
  </w:style>
  <w:style w:type="character" w:customStyle="1" w:styleId="ArticletextChar">
    <w:name w:val="Article text Char"/>
    <w:link w:val="Articletext"/>
    <w:rPr>
      <w:rFonts w:ascii="Times New Roman" w:hAnsi="Times New Roman"/>
      <w:i w:val="0"/>
      <w:color w:val="000000"/>
      <w:sz w:val="24"/>
      <w:szCs w:val="24"/>
      <w:lang w:val="fr-FR" w:eastAsia="fr-FR"/>
    </w:rPr>
  </w:style>
  <w:style w:type="character" w:customStyle="1" w:styleId="Point1Char">
    <w:name w:val="Point 1 Cha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link w:val="Header"/>
    <w:uiPriority w:val="99"/>
    <w:rPr>
      <w:rFonts w:ascii="Times New Roman"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01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0</TotalTime>
  <Pages>3</Pages>
  <Words>528</Words>
  <Characters>2709</Characters>
  <Application>Microsoft Office Word</Application>
  <DocSecurity>0</DocSecurity>
  <Lines>69</Lines>
  <Paragraphs>36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RIBEIRO MIRANDA (EEAS)</dc:creator>
  <cp:keywords/>
  <cp:lastModifiedBy>DIGIT/A3</cp:lastModifiedBy>
  <cp:revision>7</cp:revision>
  <cp:lastPrinted>2014-02-26T13:25:00Z</cp:lastPrinted>
  <dcterms:created xsi:type="dcterms:W3CDTF">2015-06-29T12:39:00Z</dcterms:created>
  <dcterms:modified xsi:type="dcterms:W3CDTF">2015-07-08T12:01:00Z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20130911</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_NewReviewCycle">
    <vt:lpwstr/>
  </property>
  <property fmtid="{D5CDD505-2E9C-101B-9397-08002B2CF9AE}" pid="13" name="DQCStatus">
    <vt:lpwstr>Green (DQC version 02)</vt:lpwstr>
  </property>
</Properties>
</file>