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E96E6F5641842CEB00B2C18FBC9C598" style="width:450.75pt;height:524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</w:t>
      </w:r>
      <w:r>
        <w:rPr>
          <w:noProof/>
          <w:u w:val="none"/>
        </w:rPr>
        <w:br/>
        <w:t>No .../2015</w:t>
      </w:r>
      <w:r>
        <w:rPr>
          <w:noProof/>
        </w:rPr>
        <w:br/>
      </w:r>
      <w:r>
        <w:rPr>
          <w:noProof/>
          <w:u w:val="none"/>
        </w:rPr>
        <w:br/>
        <w:t>за изменение на приложение II (Технически правила, стандарти, изпитания и сертифициране)</w:t>
      </w:r>
      <w:r>
        <w:rPr>
          <w:noProof/>
        </w:rPr>
        <w:br/>
      </w:r>
      <w:r>
        <w:rPr>
          <w:noProof/>
          <w:u w:val="none"/>
        </w:rPr>
        <w:t>и на приложение XX (Околна среда)</w:t>
      </w:r>
      <w:r>
        <w:rPr>
          <w:noProof/>
        </w:rPr>
        <w:br/>
      </w:r>
      <w:r>
        <w:rPr>
          <w:noProof/>
          <w:u w:val="none"/>
        </w:rPr>
        <w:t>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0"/>
        </w:numPr>
        <w:rPr>
          <w:noProof/>
        </w:rPr>
      </w:pPr>
      <w:r>
        <w:rPr>
          <w:noProof/>
        </w:rPr>
        <w:t>Директива 2009/30/ЕО на Европейския парламент и на Съвета от 23 април 2009 г. за изменение на Директива 98/70/ЕО по отношение на спецификацията на бензина, дизеловото гориво и газьола и за въвеждане на механизъм за наблюдение и намаляване на нивата на емисиите на парникови газове и за изменение на Директива 1999/32/ЕО на Съвета по отношение на спецификацията на горивото, използвано от плавателни съдове по вътрешните водни пътища, и за отмяна на Директива 93/12/ЕИО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включена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Директива 2009/30/EО отменя Директива 93/12/EИО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на Съвета, която е включена в Споразумението за ЕИП и която следва съответно да отпадне от него.</w:t>
      </w:r>
    </w:p>
    <w:p>
      <w:pPr>
        <w:pStyle w:val="Considrant"/>
        <w:rPr>
          <w:noProof/>
        </w:rPr>
      </w:pPr>
      <w:r>
        <w:rPr>
          <w:noProof/>
        </w:rPr>
        <w:t>Поради това приложения II и XX към Споразумението за ЕИП следва съответно да бъдат изменени,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Глава XVII от приложение II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точка 6а (Директива 98/70/ЕО на Европейския парламент и на Съвета) се добавя следното тире:</w:t>
      </w:r>
    </w:p>
    <w:p>
      <w:pPr>
        <w:pStyle w:val="Point1"/>
        <w:rPr>
          <w:noProof/>
        </w:rPr>
      </w:pPr>
      <w:r>
        <w:rPr>
          <w:noProof/>
        </w:rPr>
        <w:t>„-</w:t>
      </w:r>
      <w:r>
        <w:rPr>
          <w:noProof/>
        </w:rPr>
        <w:tab/>
      </w:r>
      <w:r>
        <w:rPr>
          <w:b/>
          <w:noProof/>
        </w:rPr>
        <w:t>32009 L 0030</w:t>
      </w:r>
      <w:r>
        <w:rPr>
          <w:noProof/>
        </w:rPr>
        <w:t>: Директива 2009/30/ЕО на Европейския парламент и на Съвета от 23 април 2009 г. (OВ L 140, 5.6.2009 г., стр. 88).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точка 6а (Директива 98/70/ЕО на Европейския парламент и на Съвета) се добавя следният текст:</w:t>
      </w:r>
    </w:p>
    <w:p>
      <w:pPr>
        <w:pStyle w:val="Point1"/>
        <w:rPr>
          <w:noProof/>
        </w:rPr>
      </w:pPr>
      <w:r>
        <w:rPr>
          <w:noProof/>
        </w:rPr>
        <w:t>„в)</w:t>
      </w:r>
      <w:r>
        <w:rPr>
          <w:noProof/>
        </w:rPr>
        <w:tab/>
        <w:t>В член 2, параграф 5 думата „Исландия“ се добавя след думата „Финландия“, а думата „Норвегия“ се добавя след думата „Литва“.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В член 3, параграф 4 след първа алинея се добавя следната алинея:</w:t>
      </w:r>
    </w:p>
    <w:p>
      <w:pPr>
        <w:pStyle w:val="Text2"/>
        <w:ind w:left="1416"/>
        <w:rPr>
          <w:noProof/>
        </w:rPr>
      </w:pPr>
      <w:r>
        <w:rPr>
          <w:noProof/>
        </w:rPr>
        <w:lastRenderedPageBreak/>
        <w:t>„Исландия може да разреши на пазара да бъде пуснат през летния период бензин със съдържание на етанол или метанол, чието максимално налягане на парите е 70 кРа, при условие че използваният етанол е биогориво или че намалението в емисиите на парникови газове благодарение на използването на метанол отговаря на критериите, посочени в член 7б, параграф 2.“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Членове 7a—7д не се прилагат спрямо Лихтенщайн.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Член 7б, параграф 6 не се прилага спрямо държавите от ЕАСТ.“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Текстът на точка 6 (Директива 93/12/ЕИО на Съвета) се заличава.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В точка 21аг (Директива 1999/32/ЕО на Съвета) от приложение XX към Споразумението за ЕИП се добавя следното тире:</w:t>
      </w:r>
    </w:p>
    <w:p>
      <w:pPr>
        <w:pStyle w:val="Point0"/>
        <w:rPr>
          <w:noProof/>
        </w:rPr>
      </w:pPr>
      <w:r>
        <w:rPr>
          <w:noProof/>
        </w:rPr>
        <w:t>„-</w:t>
      </w:r>
      <w:r>
        <w:rPr>
          <w:noProof/>
        </w:rPr>
        <w:tab/>
      </w:r>
      <w:r>
        <w:rPr>
          <w:b/>
          <w:noProof/>
        </w:rPr>
        <w:t>32009 L 0030</w:t>
      </w:r>
      <w:r>
        <w:rPr>
          <w:noProof/>
        </w:rPr>
        <w:t>: Директива 2009/30/ЕО на Европейския парламент и на Съвета от 23 април 2009 г. (ОВ L 140, 5.6.2009 г., стр. 88).“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Текстовете на Директива 2009/30/ЕО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 103, параграф 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3"/>
        <w:t>Член 5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140, 5.6.2009 г., стр. 88.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74, 27.3.1993 г., стр. 81.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2"/>
  </w:num>
  <w:num w:numId="29">
    <w:abstractNumId w:val="14"/>
  </w:num>
  <w:num w:numId="30">
    <w:abstractNumId w:val="10"/>
  </w:num>
  <w:num w:numId="31">
    <w:abstractNumId w:val="20"/>
  </w:num>
  <w:num w:numId="32">
    <w:abstractNumId w:val="9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7-08 14:01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E96E6F5641842CEB00B2C18FBC9C598"/>
    <w:docVar w:name="LW_CROSSREFERENCE" w:val="&lt;UNUSED&gt;"/>
    <w:docVar w:name="LW_DocType" w:val="ANNEX"/>
    <w:docVar w:name="LW_EMISSION" w:val="10.7.2015"/>
    <w:docVar w:name="LW_EMISSION_ISODATE" w:val="2015-07-1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&lt;LWCR:NBS&gt;II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0? \u1087?\u1088?\u1080?\u1083?\u1086?\u1078?\u1077?\u1085?\u1080?\u1077?&lt;LWCR:NBS&gt;XX (\u1054?\u1082?\u1086?\u1083?\u1085?\u1072? \u1089?\u1088?\u1077?\u1076?\u1072?) \u1082?\u1098?\u1084? \u1057?\u1087?\u1086?\u1088?\u1072?\u1079?\u1091?\u1084?\u1077?\u1085?\u1080?\u1077?\u1090?\u1086? \u1079?\u1072? \u1045?\u1048?\u1055?_x000b_(\u1044?\u1080?\u1088?\u1077?\u1082?\u1090?\u1080?\u1074?\u1072?\u1090?\u1072? \u1079?\u1072? \u1082?\u1072?\u1095?\u1077?\u1089?\u1090?\u1074?\u1086?\u1090?\u1086? \u1085?\u1072? \u1075?\u1086?\u1088?\u1080?\u1074?\u1072?\u1090?\u1072?)  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 II (\u1058?\u1077?\u1093?\u1085?\u1080?\u1095?\u1077?\u1089?\u1082?\u1080? \u1087?\u1088?\u1072?\u1074?\u1080?\u1083?\u1072?, \u1089?\u1090?\u1072?\u1085?\u1076?\u1072?\u1088?\u1090?\u1080?, \u1080?\u1079?\u1087?\u1080?\u1090?\u1074?\u1072?\u1085?\u1080?\u1103? \u1080? \u1089?\u1077?\u1088?\u1090?\u1080?\u1092?\u1080?\u1094?\u1080?\u1088?\u1072?\u1085?\u1077?) \u1080? \u1087?\u1088?\u1080?\u1083?\u1086?\u1078?\u1077?\u1085?\u1080?\u1077? XX (\u1054?\u1082?\u1086?\u1083?\u1085?\u1072? \u1089?\u1088?\u1077?\u1076?\u1072?) \u1082?\u1098?\u1084? \u1057?\u1087?\u1086?\u1088?\u1072?\u1079?\u1091?\u1084?\u1077?\u1085?\u1080?\u1077?\u1090?\u1086? \u1079?\u1072? \u1045?\u1048?\u1055?_x000b_(\u1044?\u1080?\u1088?\u1077?\u1082?\u1090?\u1080?\u1074?\u1072?\u1090?\u1072? \u1079?\u1072? \u1082?\u1072?\u1095?\u1077?\u1089?\u1090?\u1074?\u1086?\u1090?\u1086? \u1085?\u1072? \u1075?\u1086?\u1088?\u1080?\u1074?\u1072?\u1090?\u1072?)  "/>
    <w:docVar w:name="LW_PART_NBR" w:val="1"/>
    <w:docVar w:name="LW_PART_NBR_TOTAL" w:val="1"/>
    <w:docVar w:name="LW_REF.INST.NEW" w:val="COM"/>
    <w:docVar w:name="LW_REF.INST.NEW_ADOPTED" w:val="final"/>
    <w:docVar w:name="LW_REF.INST.NEW_TEXT" w:val="(2015) 334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 No .../2015_x000b_\u1079?\u1072? \u1080?\u1079?\u1084?\u1077?\u1085?\u1077?\u1085?\u1080?\u1077? \u1085?\u1072? \u1087?\u1088?\u1080?\u1083?\u1086?\u1078?\u1077?\u1085?\u1080?\u1077? II (\u1058?\u1077?\u1093?\u1085?\u1080?\u1095?\u1077?\u1089?\u1082?\u1080? \u1087?\u1088?\u1072?\u1074?\u1080?\u1083?\u1072?, \u1089?\u1090?\u1072?\u1085?\u1076?\u1072?\u1088?\u1090?\u1080?, \u1080?\u1079?\u1087?\u1080?\u1090?\u1072?\u1085?\u1080?\u1103? \u1080? \u1089?\u1077?\u1088?\u1090?\u1080?\u1092?\u1080?\u1094?\u1080?\u1088?\u1072?\u1085?\u1077?)_x000b_\u1080? \u1085?\u1072? \u1087?\u1088?\u1080?\u1083?\u1086?\u1078?\u1077?\u1085?\u1080?\u1077? XX (\u1054?\u1082?\u1086?\u1083?\u1085?\u1072? \u1089?\u1088?\u1077?\u1076?\u1072?)_x000b_\u1082?\u1098?\u1084? \u1057?\u1087?\u1086?\u1088?\u1072?\u1079?\u1091?\u1084?\u1077?\u1085?\u1080?\u1077?\u1090?\u1086? \u1079?\u1072? \u1045?\u1048?\u1055?"/>
    <w:docVar w:name="LW_TITRE.OBJ.CP" w:val="\u1056?\u1045?\u1064?\u1045?\u1053?\u1048?\u1045? \u1053?\u1040? \u1057?\u1066?\u1042?\u1052?\u1045?\u1057?\u1058?\u1053?\u1048?\u1071? \u1050?\u1054?\u1052?\u1048?\u1058?\u1045?\u1058? \u1053?\u1040? \u1045?\u1048?\u1055? No .../2015_x000b_\u1079?\u1072? \u1080?\u1079?\u1084?\u1077?\u1085?\u1077?\u1085?\u1080?\u1077? \u1085?\u1072? \u1087?\u1088?\u1080?\u1083?\u1086?\u1078?\u1077?\u1085?\u1080?\u1077? II (\u1058?\u1077?\u1093?\u1085?\u1080?\u1095?\u1077?\u1089?\u1082?\u1080? \u1087?\u1088?\u1072?\u1074?\u1080?\u1083?\u1072?, \u1089?\u1090?\u1072?\u1085?\u1076?\u1072?\u1088?\u1090?\u1080?, \u1080?\u1079?\u1087?\u1080?\u1090?\u1072?\u1085?\u1080?\u1103? \u1080? \u1089?\u1077?\u1088?\u1090?\u1080?\u1092?\u1080?\u1094?\u1080?\u1088?\u1072?\u1085?\u1077?)_x000b_\u1080? \u1085?\u1072? \u1087?\u1088?\u1080?\u1083?\u1086?\u1078?\u1077?\u1085?\u1080?\u1077? XX (\u1054?\u1082?\u1086?\u1083?\u1085?\u1072? \u1089?\u1088?\u1077?\u1076?\u1072?)_x000b_\u1082?\u1098?\u1084? \u1057?\u1087?\u1086?\u1088?\u1072?\u1079?\u1091?\u1084?\u1077?\u1085?\u1080?\u1077?\u1090?\u1086? \u1079?\u1072? \u1045?\u1048?\u1055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_x000b_"/>
    <w:docVar w:name="LW_TYPEACTEPRINCIPAL.CP" w:val="\u1087?\u1088?\u1077?\u1076?\u1083?\u1086?\u1078?\u1077?\u1085?\u1080?\u1077? \u1079?\u1072? \u1056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sz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link w:val="Articleheading"/>
    <w:rPr>
      <w:rFonts w:ascii="Times New Roman" w:hAnsi="Times New Roman"/>
      <w:i/>
      <w:color w:val="000000"/>
      <w:sz w:val="24"/>
      <w:szCs w:val="24"/>
      <w:lang w:val="bg-BG" w:eastAsia="bg-BG"/>
    </w:rPr>
  </w:style>
  <w:style w:type="character" w:customStyle="1" w:styleId="ArticletextChar">
    <w:name w:val="Article text Char"/>
    <w:link w:val="Articletext"/>
    <w:rPr>
      <w:rFonts w:ascii="Times New Roman" w:hAnsi="Times New Roman"/>
      <w:i w:val="0"/>
      <w:color w:val="000000"/>
      <w:sz w:val="24"/>
      <w:szCs w:val="24"/>
      <w:lang w:val="bg-BG" w:eastAsia="bg-BG"/>
    </w:rPr>
  </w:style>
  <w:style w:type="character" w:customStyle="1" w:styleId="Point1Char">
    <w:name w:val="Point 1 Cha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2064-7427-4DE1-A56B-F7C0C46C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509</Words>
  <Characters>2649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2014-02-26T13:25:00Z</cp:lastPrinted>
  <dcterms:created xsi:type="dcterms:W3CDTF">2015-07-07T09:49:00Z</dcterms:created>
  <dcterms:modified xsi:type="dcterms:W3CDTF">2015-07-08T12:01:00Z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02)</vt:lpwstr>
  </property>
</Properties>
</file>