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D808A63B4A040CC94DC1A6B89FCCD78" style="width:450.75pt;height:393.75pt">
            <v:imagedata r:id="rId9" o:title=""/>
          </v:shape>
        </w:pict>
      </w:r>
    </w:p>
    <w:p>
      <w:pPr>
        <w:pStyle w:val="Pagedecouverture"/>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rPr>
          <w:noProof/>
          <w:spacing w:val="-6"/>
        </w:rPr>
      </w:pPr>
      <w:r>
        <w:rPr>
          <w:noProof/>
          <w:spacing w:val="-6"/>
        </w:rPr>
        <w:t xml:space="preserve">С цел да бъдат постигнати необходимата правна сигурност и еднородност на вътрешния пазар Съвместният комитет на ЕИП следва да включи цялото съответно законодателство на ЕС в Споразумението за ЕИП възможно най-скоро след приемането му. </w:t>
      </w:r>
    </w:p>
    <w:p>
      <w:pPr>
        <w:pStyle w:val="ManualHeading1"/>
        <w:rPr>
          <w:noProof/>
        </w:rPr>
      </w:pPr>
      <w:r>
        <w:rPr>
          <w:noProof/>
        </w:rPr>
        <w:t>2.</w:t>
      </w:r>
      <w:r>
        <w:rPr>
          <w:noProof/>
        </w:rPr>
        <w:tab/>
        <w:t>РЕЗУЛТАТИ ОТ КОНСУЛТАЦИИТЕ СЪС ЗАИНТЕРЕСОВАНИТЕ СТРАНИ И ОТ ОЦЕНКИТЕ НА ВЪЗДЕЙСТВИЕТО</w:t>
      </w:r>
    </w:p>
    <w:p>
      <w:pPr>
        <w:rPr>
          <w:noProof/>
        </w:rPr>
      </w:pPr>
      <w:r>
        <w:rPr>
          <w:noProof/>
        </w:rPr>
        <w:t>Проектът на решение на Съвместния комитет на ЕИП (приложен към предложеното решение на Съвета) има за цел да измени приложение XXI (Статистика) към Споразумението за ЕИП, за да се включи Регламент (ЕС) № 431/2014 на Комисията от 24 април 2014 г. за изменение на Регламент (ЕО) № 1099/2008 относно статистиката за енергийния сектор, по отношение на изготвянето на годишната статистика за енергийното потребление в домакинствата</w:t>
      </w:r>
      <w:r>
        <w:rPr>
          <w:rStyle w:val="FootnoteReference"/>
          <w:noProof/>
        </w:rPr>
        <w:footnoteReference w:id="1"/>
      </w:r>
      <w:r>
        <w:rPr>
          <w:noProof/>
        </w:rPr>
        <w:t xml:space="preserve"> в Споразумението за ЕИП.</w:t>
      </w:r>
    </w:p>
    <w:p>
      <w:pPr>
        <w:rPr>
          <w:noProof/>
          <w:szCs w:val="24"/>
        </w:rPr>
      </w:pPr>
      <w:r>
        <w:rPr>
          <w:noProof/>
        </w:rPr>
        <w:t>Държавите от ЕИП членки на ЕАСТ искат дерогации от достиженията на правото на ЕС по отношение на Лихтенщайн и Исландия. Тъй като с тези адаптации се въвеждат промени, които са повече от чисто технически корекции, както е предвидено в член 1, параграф 3 от Регламент (ЕО) № 2894/94 на Съвета, съответната позиция на ЕС се приема от Съвета.</w:t>
      </w:r>
    </w:p>
    <w:p>
      <w:pPr>
        <w:rPr>
          <w:noProof/>
        </w:rPr>
      </w:pPr>
      <w:r>
        <w:rPr>
          <w:noProof/>
        </w:rPr>
        <w:t xml:space="preserve">Държавите от ЕИП членки на ЕАСТ искат дерогация за Исландия, като твърдят, че Исландия не е свързана към Европейската енергийна мрежа и като такава е изолирана независима енергийна система. Почти 100 % от производство на електроенергия в Исландия се основава на възобновяеми източници, което практически съответства на цялото крайно потребление на енергия в жилищните сгради.  Потреблението на електроенергия от домакинствата в Исландия възлиза на 4 % от общото потребление на енергия в Исландия. Следователно подробната разбивка на енергийното потребление на домакинствата по дейности, съдържащо се в приложение Б към Регламент (ЕО) № 1099/2008, не е от значение за исландската електроенергийна стратегия и още по-малко за електроенергийна стратегия на ЕС, тъй като Исландия представлява изолирана енергийна система. Поради това тази конкретна статистика не е от интерес за държавата и няма добавена стойност за европейската статистика, изготвена в съответствие с Регламента. </w:t>
      </w:r>
    </w:p>
    <w:p>
      <w:pPr>
        <w:rPr>
          <w:noProof/>
        </w:rPr>
      </w:pPr>
      <w:r>
        <w:rPr>
          <w:noProof/>
        </w:rPr>
        <w:t xml:space="preserve">Освен това изпълнението ще наложи събиране на данни за проучване, което ще представлява скъпоструваща и тежка задача и вероятно ще доведе до отклоняване на организационен капацитет и средства от изготвянето на статистически данни от по-голямо значение както за ЕС, така и за Исландия. </w:t>
      </w:r>
    </w:p>
    <w:p>
      <w:pPr>
        <w:rPr>
          <w:noProof/>
        </w:rPr>
      </w:pPr>
      <w:r>
        <w:rPr>
          <w:noProof/>
        </w:rPr>
        <w:t xml:space="preserve">В този контекст, като се има предвид специфичната ситуация, описана по-горе, се предлага текст с адаптация, който освобождава Исландия от задължението за събиране на данни, попадащо в приложното поле на приложение Б. </w:t>
      </w:r>
    </w:p>
    <w:p>
      <w:pPr>
        <w:rPr>
          <w:noProof/>
          <w:spacing w:val="-6"/>
        </w:rPr>
      </w:pPr>
      <w:r>
        <w:rPr>
          <w:noProof/>
          <w:spacing w:val="-6"/>
        </w:rPr>
        <w:t>Моля, имайте предвид, че по технически причини решението на Съвместния комитет замества целия текст на точка 26а от приложение XXI към Споразумението за ЕИП. Въпреки това Регламент (ЕО) № 1099/2008 и специфичното освобождаване за Лихтенщайн, предвидено в буква а), са включени в Споразумението за ЕИП от влизането в сила на Решение № 89/2009 на Съвместния комитет на ЕИП от 3 юли 2009 г.</w:t>
      </w:r>
    </w:p>
    <w:p>
      <w:pPr>
        <w:rPr>
          <w:noProof/>
          <w:spacing w:val="-6"/>
          <w:sz w:val="20"/>
          <w:szCs w:val="20"/>
        </w:rPr>
      </w:pPr>
    </w:p>
    <w:p>
      <w:pPr>
        <w:pStyle w:val="ManualHeading1"/>
        <w:rPr>
          <w:noProof/>
        </w:rPr>
      </w:pPr>
      <w:r>
        <w:rPr>
          <w:noProof/>
        </w:rPr>
        <w:t>3.</w:t>
      </w:r>
      <w:r>
        <w:rPr>
          <w:noProof/>
        </w:rPr>
        <w:tab/>
        <w:t>ПРАВНИ ЕЛЕМЕНТИ НА ПРЕДЛОЖЕНИЕТО</w:t>
      </w:r>
    </w:p>
    <w:p>
      <w:pPr>
        <w:rPr>
          <w:noProof/>
        </w:rPr>
      </w:pPr>
      <w:r>
        <w:rPr>
          <w:noProof/>
        </w:rPr>
        <w:t xml:space="preserve">Съгласно член 1, параграф 3 от Регламент (ЕО) № 2894/94 на Съвета относно условията за прилагане на Споразумението за Европейското икономическо пространство Съветът определя позицията, която да бъде приета от името на Съюза по отношение на подобни решения, въз основа на предложение на Комисията. </w:t>
      </w:r>
    </w:p>
    <w:p>
      <w:pPr>
        <w:rPr>
          <w:noProof/>
        </w:rPr>
      </w:pPr>
      <w:r>
        <w:rPr>
          <w:noProof/>
        </w:rPr>
        <w:t>Комисията представя проекта на решение на Съвместния комитет на ЕИП пред Съвета, който да го приеме като позиция на Съюза. Комисията се надява да има възможност да изложи позицията на Съюза пред Съвместния комитет на ЕИП възможно най-скоро.</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2015/0144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позицията, която да бъде приета от името на Европейския съюз</w:t>
      </w:r>
      <w:r>
        <w:rPr>
          <w:noProof/>
        </w:rPr>
        <w:br/>
        <w:t>в Съвместния комитет на ЕИП относно изменение на приложение XXI (Статистика)</w:t>
      </w:r>
      <w:r>
        <w:rPr>
          <w:noProof/>
        </w:rPr>
        <w:br/>
        <w:t>към Споразумението за ЕИП</w:t>
      </w:r>
      <w:r>
        <w:rPr>
          <w:noProof/>
        </w:rPr>
        <w:br/>
        <w:t>(Статистика в областта на енергетиката)</w:t>
      </w:r>
    </w:p>
    <w:p>
      <w:pPr>
        <w:pStyle w:val="Institutionquiagit"/>
        <w:rPr>
          <w:noProof/>
        </w:rPr>
      </w:pPr>
      <w:r>
        <w:rPr>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338, параграф 1 и член 218, параграф 9 от него,</w:t>
      </w:r>
    </w:p>
    <w:p>
      <w:pPr>
        <w:rPr>
          <w:noProof/>
        </w:rPr>
      </w:pPr>
      <w:r>
        <w:rPr>
          <w:noProof/>
        </w:rPr>
        <w:t>като взе предвид Регламент (ЕО) № 2894/94 на Съвета от 28 ноември 1994 г. относно условията за прилагане на Споразумението за Европейското икономическо пространство</w:t>
      </w:r>
      <w:r>
        <w:rPr>
          <w:rStyle w:val="FootnoteReference"/>
          <w:noProof/>
        </w:rPr>
        <w:footnoteReference w:id="2"/>
      </w:r>
      <w:r>
        <w:rPr>
          <w:noProof/>
        </w:rPr>
        <w:t>, и по-специално член 1, параграф 3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Споразумението за Европейското икономическо пространство</w:t>
      </w:r>
      <w:r>
        <w:rPr>
          <w:rStyle w:val="FootnoteReference"/>
          <w:noProof/>
        </w:rPr>
        <w:footnoteReference w:id="3"/>
      </w:r>
      <w:r>
        <w:rPr>
          <w:noProof/>
        </w:rPr>
        <w:t xml:space="preserve"> („Споразумението за ЕИП“) влезе в сила на 1 януари 1994 г.</w:t>
      </w:r>
    </w:p>
    <w:p>
      <w:pPr>
        <w:pStyle w:val="ManualConsidrant"/>
        <w:rPr>
          <w:noProof/>
        </w:rPr>
      </w:pPr>
      <w:r>
        <w:t>(2)</w:t>
      </w:r>
      <w:r>
        <w:tab/>
      </w:r>
      <w:r>
        <w:rPr>
          <w:noProof/>
        </w:rPr>
        <w:t>В съответствие с член 98 от Споразумението за ЕИП Съвместният комитет на ЕИП може да реши да измени, inter alia, приложение XXI (Статистика) към Споразумението за ЕИП.</w:t>
      </w:r>
    </w:p>
    <w:p>
      <w:pPr>
        <w:pStyle w:val="ManualConsidrant"/>
        <w:rPr>
          <w:noProof/>
        </w:rPr>
      </w:pPr>
      <w:r>
        <w:t>(3)</w:t>
      </w:r>
      <w:r>
        <w:tab/>
      </w:r>
      <w:r>
        <w:rPr>
          <w:noProof/>
        </w:rPr>
        <w:t>Регламент (ЕС) № 431/2014 на Комисията за изменение на Регламент (ЕО) № 1099/2008 на Европейския парламент и на Съвета</w:t>
      </w:r>
      <w:r>
        <w:rPr>
          <w:rStyle w:val="FootnoteReference"/>
          <w:noProof/>
        </w:rPr>
        <w:footnoteReference w:id="4"/>
      </w:r>
      <w:r>
        <w:rPr>
          <w:noProof/>
        </w:rPr>
        <w:t xml:space="preserve"> следва да бъде включен в Споразумението за ЕИП.</w:t>
      </w:r>
    </w:p>
    <w:p>
      <w:pPr>
        <w:pStyle w:val="ManualConsidrant"/>
        <w:rPr>
          <w:noProof/>
        </w:rPr>
      </w:pPr>
      <w:r>
        <w:t>(4)</w:t>
      </w:r>
      <w:r>
        <w:tab/>
      </w:r>
      <w:r>
        <w:rPr>
          <w:noProof/>
        </w:rPr>
        <w:t>Поради това приложение XXI към Споразумението за ЕИП следва да бъде съответно изменено.</w:t>
      </w:r>
    </w:p>
    <w:p>
      <w:pPr>
        <w:pStyle w:val="ManualConsidrant"/>
        <w:rPr>
          <w:noProof/>
        </w:rPr>
      </w:pPr>
      <w:r>
        <w:t>(5)</w:t>
      </w:r>
      <w:r>
        <w:tab/>
      </w:r>
      <w:r>
        <w:rPr>
          <w:noProof/>
        </w:rPr>
        <w:t>Позицията на Съюза в рамките на Съвместния комитет на ЕИП следва да се основава на приложения проект на решение,</w:t>
      </w:r>
    </w:p>
    <w:p>
      <w:pPr>
        <w:pStyle w:val="Formuledadoption"/>
        <w:rPr>
          <w:noProof/>
        </w:rPr>
      </w:pPr>
      <w:r>
        <w:rPr>
          <w:noProof/>
        </w:rPr>
        <w:t xml:space="preserve">ПРИЕ НАСТОЯЩОТО РЕШЕНИЕ: </w:t>
      </w:r>
    </w:p>
    <w:p>
      <w:pPr>
        <w:pStyle w:val="Titrearticle"/>
        <w:rPr>
          <w:noProof/>
        </w:rPr>
      </w:pPr>
      <w:r>
        <w:rPr>
          <w:noProof/>
        </w:rPr>
        <w:t>Член 1</w:t>
      </w:r>
    </w:p>
    <w:p>
      <w:pPr>
        <w:rPr>
          <w:noProof/>
        </w:rPr>
      </w:pPr>
      <w:r>
        <w:rPr>
          <w:noProof/>
        </w:rPr>
        <w:t xml:space="preserve">Позицията, която ще да бъде приета от името на Съюза в рамките на Съвместния комитет на ЕИП във връзка с предложеното изменение на приложение XXI </w:t>
      </w:r>
      <w:r>
        <w:rPr>
          <w:noProof/>
        </w:rPr>
        <w:lastRenderedPageBreak/>
        <w:t>(Статистика) към Споразумението за ЕИП, се основава на проекта на решение на Съвместния комитет на ЕИП, приложен към настоящото решение.</w:t>
      </w:r>
    </w:p>
    <w:p>
      <w:pPr>
        <w:pStyle w:val="Titrearticle"/>
        <w:rPr>
          <w:noProof/>
        </w:rPr>
      </w:pPr>
      <w:r>
        <w:rPr>
          <w:noProof/>
        </w:rPr>
        <w:t>Член 2</w:t>
      </w:r>
    </w:p>
    <w:p>
      <w:pPr>
        <w:keepLines/>
        <w:rPr>
          <w:noProof/>
        </w:rPr>
      </w:pPr>
      <w:r>
        <w:rPr>
          <w:noProof/>
        </w:rPr>
        <w:t>Настоящото решение влиза в сила в деня на приемането му.</w:t>
      </w:r>
    </w:p>
    <w:p>
      <w:pPr>
        <w:pStyle w:val="Fait"/>
        <w:rPr>
          <w:noProof/>
        </w:rPr>
      </w:pPr>
      <w:r>
        <w:rPr>
          <w:noProof/>
        </w:rPr>
        <w:t>Съставено в Брюксел на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ОВ L 131, 1.5.2014 г., стр. 1.</w:t>
      </w:r>
    </w:p>
  </w:footnote>
  <w:footnote w:id="2">
    <w:p>
      <w:pPr>
        <w:pStyle w:val="FootnoteText"/>
      </w:pPr>
      <w:r>
        <w:rPr>
          <w:rStyle w:val="FootnoteReference"/>
        </w:rPr>
        <w:footnoteRef/>
      </w:r>
      <w:r>
        <w:tab/>
        <w:t xml:space="preserve">ОВ L 305, 30.11.1994 г., стр. 6. </w:t>
      </w:r>
    </w:p>
  </w:footnote>
  <w:footnote w:id="3">
    <w:p>
      <w:pPr>
        <w:pStyle w:val="FootnoteText"/>
      </w:pPr>
      <w:r>
        <w:rPr>
          <w:rStyle w:val="FootnoteReference"/>
        </w:rPr>
        <w:footnoteRef/>
      </w:r>
      <w:r>
        <w:tab/>
        <w:t xml:space="preserve">ОВ L 1, 3.1.1994 г., стр. 3. </w:t>
      </w:r>
    </w:p>
  </w:footnote>
  <w:footnote w:id="4">
    <w:p>
      <w:pPr>
        <w:pStyle w:val="FootnoteText"/>
      </w:pPr>
      <w:r>
        <w:rPr>
          <w:rStyle w:val="FootnoteReference"/>
        </w:rPr>
        <w:footnoteRef/>
      </w:r>
      <w:r>
        <w:tab/>
        <w:t>Регламент (ЕС) № 431/2014 на Комисията от 24 април 2014 г. за изменение на Регламент (ЕО) № 1099/2008 на Европейския парламент и на Съвета относно статистиката за енергийния сектор, по отношение на изготвянето на годишната статистика за енергийното потребление в домакинствата (ОВ L 131, 1.5.2014 г., стр.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D82550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9641A32"/>
    <w:lvl w:ilvl="0">
      <w:start w:val="1"/>
      <w:numFmt w:val="decimal"/>
      <w:pStyle w:val="ListNumber3"/>
      <w:lvlText w:val="%1."/>
      <w:lvlJc w:val="left"/>
      <w:pPr>
        <w:tabs>
          <w:tab w:val="num" w:pos="926"/>
        </w:tabs>
        <w:ind w:left="926" w:hanging="360"/>
      </w:pPr>
    </w:lvl>
  </w:abstractNum>
  <w:abstractNum w:abstractNumId="2">
    <w:nsid w:val="FFFFFF7F"/>
    <w:multiLevelType w:val="singleLevel"/>
    <w:tmpl w:val="C1429B2A"/>
    <w:lvl w:ilvl="0">
      <w:start w:val="1"/>
      <w:numFmt w:val="decimal"/>
      <w:pStyle w:val="ListNumber2"/>
      <w:lvlText w:val="%1."/>
      <w:lvlJc w:val="left"/>
      <w:pPr>
        <w:tabs>
          <w:tab w:val="num" w:pos="643"/>
        </w:tabs>
        <w:ind w:left="643" w:hanging="360"/>
      </w:pPr>
    </w:lvl>
  </w:abstractNum>
  <w:abstractNum w:abstractNumId="3">
    <w:nsid w:val="FFFFFF81"/>
    <w:multiLevelType w:val="singleLevel"/>
    <w:tmpl w:val="87EA8CF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B8C657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A4E724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39C3710"/>
    <w:lvl w:ilvl="0">
      <w:start w:val="1"/>
      <w:numFmt w:val="decimal"/>
      <w:pStyle w:val="ListNumber"/>
      <w:lvlText w:val="%1."/>
      <w:lvlJc w:val="left"/>
      <w:pPr>
        <w:tabs>
          <w:tab w:val="num" w:pos="360"/>
        </w:tabs>
        <w:ind w:left="360" w:hanging="360"/>
      </w:pPr>
    </w:lvl>
  </w:abstractNum>
  <w:abstractNum w:abstractNumId="7">
    <w:nsid w:val="FFFFFF89"/>
    <w:multiLevelType w:val="singleLevel"/>
    <w:tmpl w:val="339AF32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rawingGridHorizontalSpacing w:val="57"/>
  <w:characterSpacingControl w:val="doNotCompress"/>
  <w:hdrShapeDefaults>
    <o:shapedefaults v:ext="edit" spidmax="133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DQCDateTime" w:val="2015-07-02 13:02:1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2"/>
    <w:docVar w:name="DQCWithWarnings" w:val="0"/>
    <w:docVar w:name="LW_CONFIDENCE" w:val=" "/>
    <w:docVar w:name="LW_CONST_RESTREINT_UE" w:val="RESTREINT UE"/>
    <w:docVar w:name="LW_CORRIGENDUM" w:val="&lt;UNUSED&gt;"/>
    <w:docVar w:name="LW_COVERPAGE_GUID" w:val="9D808A63B4A040CC94DC1A6B89FCCD78"/>
    <w:docVar w:name="LW_CROSSREFERENCE" w:val="&lt;UNUSED&gt;"/>
    <w:docVar w:name="LW_DocType" w:val="COM"/>
    <w:docVar w:name="LW_EMISSION" w:val="9.7.2015"/>
    <w:docVar w:name="LW_EMISSION_ISODATE" w:val="2015-07-09"/>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144"/>
    <w:docVar w:name="LW_REF.II.NEW.CP_YEAR" w:val="2015"/>
    <w:docVar w:name="LW_REF.INST.NEW" w:val="COM"/>
    <w:docVar w:name="LW_REF.INST.NEW_ADOPTED" w:val="final"/>
    <w:docVar w:name="LW_REF.INST.NEW_TEXT" w:val="(2015) 328"/>
    <w:docVar w:name="LW_REF.INTERNE" w:val="&lt;UNUSED&gt;"/>
    <w:docVar w:name="LW_SOUS.TITRE.OBJ.CP" w:val="&lt;UNUSED&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76?\u1072? \u1073?\u1098?\u1076?\u1077? \u1087?\u1088?\u1080?\u1077?\u1090?\u1072? \u1086?\u1090? \u1080?\u1084?\u1077?\u1090?\u1086? \u1085?\u1072? \u1045?\u1074?\u1088?\u1086?\u1087?\u1077?\u1081?\u1089?\u1082?\u1080?\u1103? \u1089?\u1098?\u1102?\u1079?_x000b_\u1074? \u1057?\u1098?\u1074?\u1084?\u1077?\u1089?\u1090?\u1085?\u1080?\u1103? \u1082?\u1086?\u1084?\u1080?\u1090?\u1077?\u1090? \u1085?\u1072? \u1045?\u1048?\u1055? \u1086?\u1090?\u1085?\u1086?\u1089?\u1085?\u1086? \u1080?\u1079?\u1084?\u1077?\u1085?\u1077?\u1085?\u1080?\u1077? \u1085?\u1072? \u1087?\u1088?\u1080?\u1083?\u1086?\u1078?\u1077?\u1085?\u1080?\u1077? XXI (\u1057?\u1090?\u1072?\u1090?\u1080?\u1089?\u1090?\u1080?\u1082?\u1072?)_x000b_\u1082?\u1098?\u1084? \u1057?\u1087?\u1086?\u1088?\u1072?\u1079?\u1091?\u1084?\u1077?\u1085?\u1080?\u1077?\u1090?\u1086? \u1079?\u1072? \u1045?\u1048?\u1055?_x000b_(\u1057?\u1090?\u1072?\u1090?\u1080?\u1089?\u1090?\u1080?\u1082?\u1072? \u1074? \u1086?\u1073?\u1083?\u1072?\u1089?\u1090?\u1090?\u1072? \u1085?\u1072? \u1077?\u1085?\u1077?\u1088?\u1075?\u1077?\u1090?\u1080?\u1082?\u1072?\u1090?\u1072?)"/>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bg-BG"/>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line="240" w:lineRule="auto"/>
      <w:jc w:val="both"/>
    </w:pPr>
    <w:rPr>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0"/>
      <w:ind w:left="283"/>
      <w:jc w:val="left"/>
    </w:pPr>
  </w:style>
  <w:style w:type="character" w:customStyle="1" w:styleId="BodyTextIndentChar">
    <w:name w:val="Body Text Indent Char"/>
    <w:link w:val="BodyTextIndent"/>
    <w:rPr>
      <w:sz w:val="24"/>
      <w:szCs w:val="24"/>
      <w:lang w:val="bg-BG" w:eastAsia="bg-BG"/>
    </w:rPr>
  </w:style>
  <w:style w:type="paragraph" w:styleId="BodyText2">
    <w:name w:val="Body Text 2"/>
    <w:basedOn w:val="Normal"/>
    <w:link w:val="BodyText2Char"/>
    <w:pPr>
      <w:spacing w:line="480" w:lineRule="auto"/>
    </w:pPr>
  </w:style>
  <w:style w:type="character" w:customStyle="1" w:styleId="BodyText2Char">
    <w:name w:val="Body Text 2 Char"/>
    <w:link w:val="BodyText2"/>
    <w:rPr>
      <w:sz w:val="24"/>
      <w:szCs w:val="24"/>
      <w:lang w:eastAsia="bg-BG"/>
    </w:rPr>
  </w:style>
  <w:style w:type="paragraph" w:customStyle="1" w:styleId="Default">
    <w:name w:val="Default"/>
    <w:pPr>
      <w:autoSpaceDE w:val="0"/>
      <w:autoSpaceDN w:val="0"/>
      <w:adjustRightInd w:val="0"/>
    </w:pPr>
    <w:rPr>
      <w:color w:val="000000"/>
      <w:sz w:val="24"/>
      <w:szCs w:val="24"/>
    </w:rPr>
  </w:style>
  <w:style w:type="paragraph" w:styleId="ListBullet">
    <w:name w:val="List Bullet"/>
    <w:basedOn w:val="Normal"/>
    <w:pPr>
      <w:numPr>
        <w:numId w:val="1"/>
      </w:numPr>
      <w:contextualSpacing/>
    </w:pPr>
  </w:style>
  <w:style w:type="paragraph" w:styleId="ListBullet2">
    <w:name w:val="List Bullet 2"/>
    <w:basedOn w:val="Normal"/>
    <w:pPr>
      <w:numPr>
        <w:numId w:val="2"/>
      </w:numPr>
      <w:contextualSpacing/>
    </w:pPr>
  </w:style>
  <w:style w:type="paragraph" w:styleId="ListBullet3">
    <w:name w:val="List Bullet 3"/>
    <w:basedOn w:val="Normal"/>
    <w:pPr>
      <w:numPr>
        <w:numId w:val="3"/>
      </w:numPr>
      <w:contextualSpacing/>
    </w:pPr>
  </w:style>
  <w:style w:type="paragraph" w:styleId="ListBullet4">
    <w:name w:val="List Bullet 4"/>
    <w:basedOn w:val="Normal"/>
    <w:pPr>
      <w:numPr>
        <w:numId w:val="4"/>
      </w:numPr>
      <w:contextualSpacing/>
    </w:pPr>
  </w:style>
  <w:style w:type="paragraph" w:styleId="Caption">
    <w:name w:val="caption"/>
    <w:basedOn w:val="Normal"/>
    <w:next w:val="Normal"/>
    <w:semiHidden/>
    <w:unhideWhenUsed/>
    <w:qFormat/>
    <w:rPr>
      <w:b/>
      <w:bCs/>
      <w:sz w:val="20"/>
    </w:rPr>
  </w:style>
  <w:style w:type="paragraph" w:styleId="TableofFigures">
    <w:name w:val="table of figures"/>
    <w:basedOn w:val="Normal"/>
    <w:next w:val="Normal"/>
  </w:style>
  <w:style w:type="paragraph" w:styleId="ListNumber">
    <w:name w:val="List Number"/>
    <w:basedOn w:val="Normal"/>
    <w:pPr>
      <w:numPr>
        <w:numId w:val="6"/>
      </w:numPr>
      <w:contextualSpacing/>
    </w:pPr>
  </w:style>
  <w:style w:type="paragraph" w:styleId="ListNumber2">
    <w:name w:val="List Number 2"/>
    <w:basedOn w:val="Normal"/>
    <w:pPr>
      <w:numPr>
        <w:numId w:val="7"/>
      </w:numPr>
      <w:contextualSpacing/>
    </w:pPr>
  </w:style>
  <w:style w:type="paragraph" w:styleId="ListNumber3">
    <w:name w:val="List Number 3"/>
    <w:basedOn w:val="Normal"/>
    <w:pPr>
      <w:numPr>
        <w:numId w:val="8"/>
      </w:numPr>
      <w:contextualSpacing/>
    </w:pPr>
  </w:style>
  <w:style w:type="paragraph" w:styleId="ListNumber4">
    <w:name w:val="List Number 4"/>
    <w:basedOn w:val="Normal"/>
    <w:pPr>
      <w:numPr>
        <w:numId w:val="9"/>
      </w:numPr>
      <w:contextualSpacing/>
    </w:p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Strong">
    <w:name w:val="Strong"/>
    <w:uiPriority w:val="22"/>
    <w:qFormat/>
    <w:rPr>
      <w:b/>
      <w:bCs/>
    </w:rPr>
  </w:style>
  <w:style w:type="paragraph" w:customStyle="1" w:styleId="CM1">
    <w:name w:val="CM1"/>
    <w:basedOn w:val="Default"/>
    <w:next w:val="Default"/>
    <w:uiPriority w:val="99"/>
    <w:rPr>
      <w:rFonts w:ascii="EUAlbertina" w:hAnsi="EUAlbertina"/>
      <w:color w:val="auto"/>
    </w:rPr>
  </w:style>
  <w:style w:type="paragraph" w:customStyle="1" w:styleId="CM3">
    <w:name w:val="CM3"/>
    <w:basedOn w:val="Default"/>
    <w:next w:val="Default"/>
    <w:uiPriority w:val="99"/>
    <w:rPr>
      <w:rFonts w:ascii="EUAlbertina" w:hAnsi="EUAlbertina"/>
      <w:color w:val="auto"/>
    </w:rPr>
  </w:style>
  <w:style w:type="paragraph" w:styleId="ListParagraph">
    <w:name w:val="List Paragraph"/>
    <w:basedOn w:val="Normal"/>
    <w:uiPriority w:val="34"/>
    <w:qFormat/>
    <w:pPr>
      <w:spacing w:before="0" w:after="200" w:line="276" w:lineRule="auto"/>
      <w:ind w:left="720"/>
      <w:contextualSpacing/>
      <w:jc w:val="left"/>
    </w:pPr>
    <w:rPr>
      <w:rFonts w:eastAsia="Calibri"/>
      <w:sz w:val="20"/>
    </w:rPr>
  </w:style>
  <w:style w:type="paragraph" w:styleId="Header">
    <w:name w:val="header"/>
    <w:basedOn w:val="Normal"/>
    <w:link w:val="HeaderChar"/>
    <w:uiPriority w:val="99"/>
    <w:unhideWhenUsed/>
    <w:pPr>
      <w:tabs>
        <w:tab w:val="center" w:pos="4535"/>
        <w:tab w:val="right" w:pos="9071"/>
      </w:tabs>
      <w:spacing w:before="0"/>
    </w:pPr>
    <w:rPr>
      <w:rFonts w:eastAsia="Calibri"/>
      <w:lang w:eastAsia="en-US" w:bidi="ar-SA"/>
    </w:rPr>
  </w:style>
  <w:style w:type="character" w:customStyle="1" w:styleId="HeaderChar">
    <w:name w:val="Header Char"/>
    <w:link w:val="Header"/>
    <w:uiPriority w:val="99"/>
    <w:rPr>
      <w:rFonts w:eastAsia="Calibri"/>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Calibri"/>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5461">
      <w:bodyDiv w:val="1"/>
      <w:marLeft w:val="0"/>
      <w:marRight w:val="0"/>
      <w:marTop w:val="0"/>
      <w:marBottom w:val="0"/>
      <w:divBdr>
        <w:top w:val="none" w:sz="0" w:space="0" w:color="auto"/>
        <w:left w:val="none" w:sz="0" w:space="0" w:color="auto"/>
        <w:bottom w:val="none" w:sz="0" w:space="0" w:color="auto"/>
        <w:right w:val="none" w:sz="0" w:space="0" w:color="auto"/>
      </w:divBdr>
    </w:div>
    <w:div w:id="1242329728">
      <w:bodyDiv w:val="1"/>
      <w:marLeft w:val="0"/>
      <w:marRight w:val="0"/>
      <w:marTop w:val="0"/>
      <w:marBottom w:val="0"/>
      <w:divBdr>
        <w:top w:val="none" w:sz="0" w:space="0" w:color="auto"/>
        <w:left w:val="none" w:sz="0" w:space="0" w:color="auto"/>
        <w:bottom w:val="none" w:sz="0" w:space="0" w:color="auto"/>
        <w:right w:val="none" w:sz="0" w:space="0" w:color="auto"/>
      </w:divBdr>
    </w:div>
    <w:div w:id="1578780827">
      <w:bodyDiv w:val="1"/>
      <w:marLeft w:val="0"/>
      <w:marRight w:val="0"/>
      <w:marTop w:val="0"/>
      <w:marBottom w:val="0"/>
      <w:divBdr>
        <w:top w:val="none" w:sz="0" w:space="0" w:color="auto"/>
        <w:left w:val="none" w:sz="0" w:space="0" w:color="auto"/>
        <w:bottom w:val="none" w:sz="0" w:space="0" w:color="auto"/>
        <w:right w:val="none" w:sz="0" w:space="0" w:color="auto"/>
      </w:divBdr>
      <w:divsChild>
        <w:div w:id="19940859">
          <w:marLeft w:val="0"/>
          <w:marRight w:val="0"/>
          <w:marTop w:val="0"/>
          <w:marBottom w:val="0"/>
          <w:divBdr>
            <w:top w:val="none" w:sz="0" w:space="0" w:color="auto"/>
            <w:left w:val="none" w:sz="0" w:space="0" w:color="auto"/>
            <w:bottom w:val="none" w:sz="0" w:space="0" w:color="auto"/>
            <w:right w:val="none" w:sz="0" w:space="0" w:color="auto"/>
          </w:divBdr>
          <w:divsChild>
            <w:div w:id="307515087">
              <w:marLeft w:val="2"/>
              <w:marRight w:val="2"/>
              <w:marTop w:val="0"/>
              <w:marBottom w:val="0"/>
              <w:divBdr>
                <w:top w:val="none" w:sz="0" w:space="0" w:color="auto"/>
                <w:left w:val="none" w:sz="0" w:space="0" w:color="auto"/>
                <w:bottom w:val="none" w:sz="0" w:space="0" w:color="auto"/>
                <w:right w:val="none" w:sz="0" w:space="0" w:color="auto"/>
              </w:divBdr>
              <w:divsChild>
                <w:div w:id="1828667934">
                  <w:marLeft w:val="0"/>
                  <w:marRight w:val="0"/>
                  <w:marTop w:val="0"/>
                  <w:marBottom w:val="0"/>
                  <w:divBdr>
                    <w:top w:val="none" w:sz="0" w:space="0" w:color="auto"/>
                    <w:left w:val="none" w:sz="0" w:space="0" w:color="auto"/>
                    <w:bottom w:val="none" w:sz="0" w:space="0" w:color="auto"/>
                    <w:right w:val="none" w:sz="0" w:space="0" w:color="auto"/>
                  </w:divBdr>
                  <w:divsChild>
                    <w:div w:id="932975110">
                      <w:marLeft w:val="0"/>
                      <w:marRight w:val="0"/>
                      <w:marTop w:val="0"/>
                      <w:marBottom w:val="0"/>
                      <w:divBdr>
                        <w:top w:val="none" w:sz="0" w:space="0" w:color="auto"/>
                        <w:left w:val="none" w:sz="0" w:space="0" w:color="auto"/>
                        <w:bottom w:val="none" w:sz="0" w:space="0" w:color="auto"/>
                        <w:right w:val="none" w:sz="0" w:space="0" w:color="auto"/>
                      </w:divBdr>
                      <w:divsChild>
                        <w:div w:id="1861619885">
                          <w:marLeft w:val="0"/>
                          <w:marRight w:val="0"/>
                          <w:marTop w:val="0"/>
                          <w:marBottom w:val="0"/>
                          <w:divBdr>
                            <w:top w:val="none" w:sz="0" w:space="0" w:color="auto"/>
                            <w:left w:val="none" w:sz="0" w:space="0" w:color="auto"/>
                            <w:bottom w:val="none" w:sz="0" w:space="0" w:color="auto"/>
                            <w:right w:val="none" w:sz="0" w:space="0" w:color="auto"/>
                          </w:divBdr>
                          <w:divsChild>
                            <w:div w:id="2047023996">
                              <w:marLeft w:val="0"/>
                              <w:marRight w:val="0"/>
                              <w:marTop w:val="0"/>
                              <w:marBottom w:val="0"/>
                              <w:divBdr>
                                <w:top w:val="none" w:sz="0" w:space="0" w:color="auto"/>
                                <w:left w:val="none" w:sz="0" w:space="0" w:color="auto"/>
                                <w:bottom w:val="none" w:sz="0" w:space="0" w:color="auto"/>
                                <w:right w:val="none" w:sz="0" w:space="0" w:color="auto"/>
                              </w:divBdr>
                              <w:divsChild>
                                <w:div w:id="1368599428">
                                  <w:marLeft w:val="0"/>
                                  <w:marRight w:val="0"/>
                                  <w:marTop w:val="0"/>
                                  <w:marBottom w:val="0"/>
                                  <w:divBdr>
                                    <w:top w:val="none" w:sz="0" w:space="0" w:color="auto"/>
                                    <w:left w:val="none" w:sz="0" w:space="0" w:color="auto"/>
                                    <w:bottom w:val="none" w:sz="0" w:space="0" w:color="auto"/>
                                    <w:right w:val="none" w:sz="0" w:space="0" w:color="auto"/>
                                  </w:divBdr>
                                  <w:divsChild>
                                    <w:div w:id="1736586996">
                                      <w:marLeft w:val="0"/>
                                      <w:marRight w:val="0"/>
                                      <w:marTop w:val="0"/>
                                      <w:marBottom w:val="0"/>
                                      <w:divBdr>
                                        <w:top w:val="none" w:sz="0" w:space="0" w:color="auto"/>
                                        <w:left w:val="none" w:sz="0" w:space="0" w:color="auto"/>
                                        <w:bottom w:val="none" w:sz="0" w:space="0" w:color="auto"/>
                                        <w:right w:val="none" w:sz="0" w:space="0" w:color="auto"/>
                                      </w:divBdr>
                                      <w:divsChild>
                                        <w:div w:id="1481725310">
                                          <w:marLeft w:val="0"/>
                                          <w:marRight w:val="0"/>
                                          <w:marTop w:val="0"/>
                                          <w:marBottom w:val="0"/>
                                          <w:divBdr>
                                            <w:top w:val="none" w:sz="0" w:space="0" w:color="auto"/>
                                            <w:left w:val="none" w:sz="0" w:space="0" w:color="auto"/>
                                            <w:bottom w:val="none" w:sz="0" w:space="0" w:color="auto"/>
                                            <w:right w:val="none" w:sz="0" w:space="0" w:color="auto"/>
                                          </w:divBdr>
                                          <w:divsChild>
                                            <w:div w:id="1711151638">
                                              <w:marLeft w:val="0"/>
                                              <w:marRight w:val="0"/>
                                              <w:marTop w:val="0"/>
                                              <w:marBottom w:val="0"/>
                                              <w:divBdr>
                                                <w:top w:val="none" w:sz="0" w:space="0" w:color="auto"/>
                                                <w:left w:val="none" w:sz="0" w:space="0" w:color="auto"/>
                                                <w:bottom w:val="none" w:sz="0" w:space="0" w:color="auto"/>
                                                <w:right w:val="none" w:sz="0" w:space="0" w:color="auto"/>
                                              </w:divBdr>
                                              <w:divsChild>
                                                <w:div w:id="8051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B353A-3E7A-43FB-8043-6F67182E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830</Words>
  <Characters>4611</Characters>
  <Application>Microsoft Office Word</Application>
  <DocSecurity>0</DocSecurity>
  <Lines>96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DIGIT/A3</cp:lastModifiedBy>
  <cp:revision>18</cp:revision>
  <cp:lastPrinted>2014-03-28T08:12:00Z</cp:lastPrinted>
  <dcterms:created xsi:type="dcterms:W3CDTF">2015-07-01T07:54:00Z</dcterms:created>
  <dcterms:modified xsi:type="dcterms:W3CDTF">2015-07-02T11:02:00Z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5.8.64.0</vt:lpwstr>
  </property>
  <property fmtid="{D5CDD505-2E9C-101B-9397-08002B2CF9AE}" pid="5" name="Last edited using">
    <vt:lpwstr>LW 5.8.4, Build 20150407</vt:lpwstr>
  </property>
  <property fmtid="{D5CDD505-2E9C-101B-9397-08002B2CF9AE}" pid="6" name="Created using">
    <vt:lpwstr>LW 5.8.2, Build 20120919</vt:lpwstr>
  </property>
  <property fmtid="{D5CDD505-2E9C-101B-9397-08002B2CF9AE}" pid="7" name="LWTemplateID">
    <vt:lpwstr>SJ-019</vt:lpwstr>
  </property>
  <property fmtid="{D5CDD505-2E9C-101B-9397-08002B2CF9AE}" pid="8" name="Part">
    <vt:lpwstr>1</vt:lpwstr>
  </property>
  <property fmtid="{D5CDD505-2E9C-101B-9397-08002B2CF9AE}" pid="9" name="Total parts">
    <vt:lpwstr>1</vt:lpwstr>
  </property>
  <property fmtid="{D5CDD505-2E9C-101B-9397-08002B2CF9AE}" pid="10" name="_NewReviewCycle">
    <vt:lpwstr/>
  </property>
  <property fmtid="{D5CDD505-2E9C-101B-9397-08002B2CF9AE}" pid="11" name="DQCStatus">
    <vt:lpwstr>Green (DQC version 02)</vt:lpwstr>
  </property>
</Properties>
</file>