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E44FB367D2A4712A799CC64AB9A435A" style="width:450.35pt;height:510.7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t>ANNEXE</w:t>
      </w:r>
      <w:r>
        <w:rPr>
          <w:noProof/>
        </w:rPr>
        <w:br/>
      </w:r>
      <w:r>
        <w:rPr>
          <w:noProof/>
          <w:u w:val="none"/>
        </w:rPr>
        <w:br/>
        <w:t>DÉCISION DU COMITÉ MIXTE DE L'EEE</w:t>
      </w:r>
      <w:r>
        <w:rPr>
          <w:noProof/>
          <w:u w:val="none"/>
        </w:rPr>
        <w:br/>
        <w:t>N° .../2015</w:t>
      </w:r>
      <w:r>
        <w:rPr>
          <w:noProof/>
          <w:u w:val="none"/>
        </w:rPr>
        <w:br/>
        <w:t xml:space="preserve">modifiant l'annexe XXI (Statistiques) </w:t>
      </w:r>
      <w:r>
        <w:rPr>
          <w:noProof/>
          <w:u w:val="none"/>
        </w:rPr>
        <w:br/>
        <w:t>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10"/>
        </w:numPr>
        <w:rPr>
          <w:noProof/>
        </w:rPr>
      </w:pPr>
      <w:r>
        <w:rPr>
          <w:noProof/>
        </w:rPr>
        <w:t>Le règlement (UE) n° 431/2014 de la Commission du 24 avril 2014 modifiant le règlement (CE) n° 1099/2008 du Parlement européen et du Conseil concernant les statistiques de l’énergie, relativement à la mise en œuvre de statistiques annuelles de la consommation d’énergie des ménages</w:t>
      </w:r>
      <w:r>
        <w:rPr>
          <w:rStyle w:val="FootnoteReference"/>
          <w:noProof/>
        </w:rPr>
        <w:footnoteReference w:id="1"/>
      </w:r>
      <w:r>
        <w:rPr>
          <w:noProof/>
        </w:rPr>
        <w:t xml:space="preserve"> doit être intégré dans l'accord EEE.</w:t>
      </w:r>
    </w:p>
    <w:p>
      <w:pPr>
        <w:pStyle w:val="Considrant"/>
        <w:rPr>
          <w:noProof/>
        </w:rPr>
      </w:pPr>
      <w:r>
        <w:rPr>
          <w:noProof/>
        </w:rPr>
        <w:t>Il convient, dès lors, de modifier l’annexe XXI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point 26a [règlement (CE) nº 1099/2008 du Parlement européen et du Conseil] de l'annexe XXI est remplacé par le texte suivant:</w:t>
      </w:r>
    </w:p>
    <w:p>
      <w:pPr>
        <w:rPr>
          <w:noProof/>
        </w:rPr>
      </w:pPr>
      <w:r>
        <w:rPr>
          <w:noProof/>
        </w:rPr>
        <w:t>«</w:t>
      </w:r>
      <w:r>
        <w:rPr>
          <w:b/>
          <w:noProof/>
        </w:rPr>
        <w:t>32008 R 1099</w:t>
      </w:r>
      <w:r>
        <w:rPr>
          <w:noProof/>
        </w:rPr>
        <w:t>: règlement (CE) nº 1099/2008 du Parlement européen et du Conseil du 22 octobre 2008 concernant les statistiques de l'énergie (JO L 304 du 14.11.2008, p. 1), modifié par:</w:t>
      </w:r>
    </w:p>
    <w:p>
      <w:pPr>
        <w:pStyle w:val="Point0"/>
        <w:rPr>
          <w:noProof/>
        </w:rPr>
      </w:pPr>
      <w:r>
        <w:rPr>
          <w:noProof/>
        </w:rPr>
        <w:t>-</w:t>
      </w:r>
      <w:r>
        <w:rPr>
          <w:noProof/>
        </w:rPr>
        <w:tab/>
      </w:r>
      <w:r>
        <w:rPr>
          <w:b/>
          <w:noProof/>
        </w:rPr>
        <w:t>32013 R 0147</w:t>
      </w:r>
      <w:r>
        <w:rPr>
          <w:noProof/>
        </w:rPr>
        <w:t>: règlement (UE) nº 147/2013 de la Commission du 13 février 2013 (JO L 50 du 22.2.2013, p. 1),</w:t>
      </w:r>
    </w:p>
    <w:p>
      <w:pPr>
        <w:pStyle w:val="Point0"/>
        <w:rPr>
          <w:noProof/>
        </w:rPr>
      </w:pPr>
      <w:r>
        <w:rPr>
          <w:noProof/>
        </w:rPr>
        <w:t>-</w:t>
      </w:r>
      <w:r>
        <w:rPr>
          <w:noProof/>
        </w:rPr>
        <w:tab/>
      </w:r>
      <w:r>
        <w:rPr>
          <w:b/>
          <w:noProof/>
        </w:rPr>
        <w:t>32014 R 0431</w:t>
      </w:r>
      <w:r>
        <w:rPr>
          <w:noProof/>
        </w:rPr>
        <w:t>: règlement (UE) nº 431/2014 de la Commission du 24 avril 2014 (JO L 131 du 1.5.2014, p. 1).</w:t>
      </w:r>
    </w:p>
    <w:p>
      <w:pPr>
        <w:rPr>
          <w:noProof/>
        </w:rPr>
      </w:pPr>
      <w:r>
        <w:rPr>
          <w:noProof/>
        </w:rPr>
        <w:t>Aux fins du présent accord, les dispositions du règlement sont adaptées comme suit:</w:t>
      </w:r>
    </w:p>
    <w:p>
      <w:pPr>
        <w:pStyle w:val="Point0"/>
        <w:rPr>
          <w:noProof/>
        </w:rPr>
      </w:pPr>
      <w:r>
        <w:rPr>
          <w:noProof/>
        </w:rPr>
        <w:t>a)</w:t>
      </w:r>
      <w:r>
        <w:rPr>
          <w:noProof/>
        </w:rPr>
        <w:tab/>
        <w:t>Le Liechtenstein est dispensé de l'obligation de collecter les données demandées au titre du présent règlement, exception faite des données relatives aux importations et aux exportations des différents produits énergétiques et à la production d'électricité aux fins des statistiques annuelles de l'énergie (annexe B).</w:t>
      </w:r>
    </w:p>
    <w:p>
      <w:pPr>
        <w:pStyle w:val="Point0"/>
        <w:rPr>
          <w:noProof/>
        </w:rPr>
      </w:pPr>
      <w:r>
        <w:rPr>
          <w:noProof/>
        </w:rPr>
        <w:t>b)</w:t>
      </w:r>
      <w:r>
        <w:rPr>
          <w:noProof/>
        </w:rPr>
        <w:tab/>
        <w:t>L’Islande est dispensée de l'obligation de déclarer les agrégats définis à l’annexe B concernant la ventilation de la consommation énergétique détaillée par type d’utilisation finale (chauffage, refroidissement des locaux, production d’eau chaude, cuisson, éclairage, appareils électriques et autres utilisations finales) du secteur résidentiel tel qu’il est défini à la section 2.3 de l’annexe A.»</w:t>
      </w:r>
    </w:p>
    <w:p>
      <w:pPr>
        <w:pStyle w:val="Titrearticle"/>
        <w:rPr>
          <w:noProof/>
        </w:rPr>
      </w:pPr>
      <w:r>
        <w:rPr>
          <w:noProof/>
        </w:rPr>
        <w:t>Article 2</w:t>
      </w:r>
    </w:p>
    <w:p>
      <w:pPr>
        <w:rPr>
          <w:noProof/>
        </w:rPr>
      </w:pPr>
      <w:r>
        <w:rPr>
          <w:noProof/>
        </w:rPr>
        <w:t xml:space="preserve">Les textes du règlement (UE) n° 431/2014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2"/>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131 du 1.5.2014, p. 1.</w:t>
      </w:r>
    </w:p>
  </w:footnote>
  <w:footnote w:id="2">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C6C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FAF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24E5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EE4E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423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6C0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2"/>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9"/>
  </w:num>
  <w:num w:numId="33">
    <w:abstractNumId w:val="15"/>
  </w:num>
  <w:num w:numId="34">
    <w:abstractNumId w:val="17"/>
  </w:num>
  <w:num w:numId="35">
    <w:abstractNumId w:val="18"/>
  </w:num>
  <w:num w:numId="36">
    <w:abstractNumId w:val="11"/>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02 13:01:5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CE44FB367D2A4712A799CC64AB9A435A"/>
    <w:docVar w:name="LW_CROSSREFERENCE" w:val="&lt;UNUSED&gt;"/>
    <w:docVar w:name="LW_DocType" w:val="ANNEX"/>
    <w:docVar w:name="LW_EMISSION" w:val="9.7.2015"/>
    <w:docVar w:name="LW_EMISSION_ISODATE" w:val="2015-07-0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position à adopter, au nom de l\u8217?Union européenne, au sein du Comité mixte de l\u8217?EEE en ce qui concerne une modification de l\u8217?annexe XXI (Statistiques) de l\u8217?accord EEE_x000b_(Statistiques de l'énergie)_x000b__x000b__x000b_"/>
    <w:docVar w:name="LW_OBJETACTEPRINCIPAL.CP" w:val="relative à la position à adopter, au nom de l\u8217?Union européenne, au sein du Comité mixte de l\u8217?EEE en ce qui concerne une modification de l\u8217?annexe XXI (Statistiques) de l\u8217?accord EEE_x000b_(Statistiques de l'énergie)_x000b__x000b__x000b_"/>
    <w:docVar w:name="LW_PART_NBR" w:val="1"/>
    <w:docVar w:name="LW_PART_NBR_TOTAL" w:val="1"/>
    <w:docVar w:name="LW_REF.INST.NEW" w:val="COM"/>
    <w:docVar w:name="LW_REF.INST.NEW_ADOPTED" w:val="final"/>
    <w:docVar w:name="LW_REF.INST.NEW_TEXT" w:val="(2015) 328"/>
    <w:docVar w:name="LW_REF.INTERNE" w:val="&lt;UNUSED&gt;"/>
    <w:docVar w:name="LW_SUPERTITRE" w:val="&lt;UNUSED&gt;"/>
    <w:docVar w:name="LW_TITRE.OBJ" w:val="DÉCISION DU COMITÉ MIXTE DE L'EEE N° .../2015_x000b_modifiant l'annexe XXI (Statistiques) _x000b_de l'accord EEE"/>
    <w:docVar w:name="LW_TITRE.OBJ.CP" w:val="DÉCISION DU COMITÉ MIXTE DE L'EEE N° .../2015_x000b_modifiant l'annexe XXI (Statistiques) _x000b_de l'accord EEE"/>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ListDash3">
    <w:name w:val="List Dash 3"/>
    <w:basedOn w:val="Normal"/>
    <w:pPr>
      <w:numPr>
        <w:numId w:val="9"/>
      </w:numPr>
    </w:pPr>
    <w:rPr>
      <w:rFonts w:eastAsia="Times New Roman"/>
      <w:szCs w:val="24"/>
    </w:rPr>
  </w:style>
  <w:style w:type="character" w:customStyle="1" w:styleId="Point0Char">
    <w:name w:val="Point 0 Char"/>
    <w:rPr>
      <w:rFonts w:ascii="Times New Roman" w:hAnsi="Times New Roman"/>
      <w:sz w:val="24"/>
    </w:rPr>
  </w:style>
  <w:style w:type="paragraph" w:styleId="ListParagraph">
    <w:name w:val="List Paragraph"/>
    <w:basedOn w:val="Normal"/>
    <w:uiPriority w:val="34"/>
    <w:qFormat/>
    <w:pPr>
      <w:spacing w:before="0" w:after="200" w:line="276" w:lineRule="auto"/>
      <w:ind w:left="720"/>
      <w:contextualSpacing/>
      <w:jc w:val="left"/>
    </w:pPr>
    <w:rPr>
      <w:sz w:val="20"/>
    </w:rPr>
  </w:style>
  <w:style w:type="paragraph" w:customStyle="1" w:styleId="Articleheading">
    <w:name w:val="Article heading"/>
    <w:basedOn w:val="Normal"/>
    <w:link w:val="ArticleheadingChar"/>
    <w:qFormat/>
    <w:pPr>
      <w:keepNext/>
      <w:tabs>
        <w:tab w:val="left" w:pos="709"/>
      </w:tabs>
      <w:spacing w:before="360"/>
      <w:jc w:val="center"/>
    </w:pPr>
    <w:rPr>
      <w:i/>
      <w:color w:val="000000"/>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link w:val="Articleheading"/>
    <w:rPr>
      <w:rFonts w:ascii="Times New Roman" w:hAnsi="Times New Roman"/>
      <w:i/>
      <w:color w:val="000000"/>
      <w:sz w:val="24"/>
      <w:szCs w:val="24"/>
      <w:lang w:val="fr-FR" w:eastAsia="fr-FR"/>
    </w:rPr>
  </w:style>
  <w:style w:type="character" w:customStyle="1" w:styleId="ArticletextChar">
    <w:name w:val="Article text Char"/>
    <w:link w:val="Articletext"/>
    <w:rPr>
      <w:rFonts w:ascii="Times New Roman" w:hAnsi="Times New Roman"/>
      <w:i w:val="0"/>
      <w:color w:val="000000"/>
      <w:sz w:val="24"/>
      <w:szCs w:val="24"/>
      <w:lang w:val="fr-FR" w:eastAsia="fr-FR"/>
    </w:rPr>
  </w:style>
  <w:style w:type="character" w:customStyle="1" w:styleId="Point1Char">
    <w:name w:val="Point 1 Cha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419</Words>
  <Characters>2220</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cp:lastPrinted>2014-02-26T13:25:00Z</cp:lastPrinted>
  <dcterms:created xsi:type="dcterms:W3CDTF">2015-06-26T15:46:00Z</dcterms:created>
  <dcterms:modified xsi:type="dcterms:W3CDTF">2015-07-02T11:01:00Z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_NewReviewCycle">
    <vt:lpwstr/>
  </property>
  <property fmtid="{D5CDD505-2E9C-101B-9397-08002B2CF9AE}" pid="13" name="DQCStatus">
    <vt:lpwstr>Green (DQC version 02)</vt:lpwstr>
  </property>
</Properties>
</file>