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37968EF761C4064AC02306BDAC70CE6" style="width:450.8pt;height:483.3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</w:rPr>
        <w:lastRenderedPageBreak/>
        <w:t>ПРИЛОЖЕНИЕ</w:t>
      </w:r>
      <w:r>
        <w:rPr>
          <w:noProof/>
        </w:rPr>
        <w:br/>
      </w:r>
      <w:r>
        <w:rPr>
          <w:noProof/>
          <w:u w:val="none"/>
        </w:rPr>
        <w:br/>
        <w:t>РЕШЕНИЕ НА СЪВМЕСТНИЯ КОМИТЕТ НА ЕИП</w:t>
      </w:r>
      <w:r>
        <w:rPr>
          <w:noProof/>
          <w:u w:val="none"/>
        </w:rPr>
        <w:br/>
        <w:t>№ .../2015</w:t>
      </w:r>
      <w:r>
        <w:rPr>
          <w:noProof/>
          <w:u w:val="none"/>
        </w:rPr>
        <w:br/>
        <w:t>за изменение на приложение ХХІ (Статистика)</w:t>
      </w:r>
      <w:r>
        <w:rPr>
          <w:noProof/>
          <w:u w:val="none"/>
        </w:rPr>
        <w:br/>
        <w:t>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0"/>
        </w:numPr>
        <w:rPr>
          <w:noProof/>
        </w:rPr>
      </w:pPr>
      <w:r>
        <w:rPr>
          <w:noProof/>
        </w:rPr>
        <w:t>Регламент (ЕС) № 431/2014 на Комисията от 24 април 2014 г. за изменение на Регламент (ЕО) № 1099/2008 на Европейския парламент и на Съвета относно статистиката за енергийния сектор, по отношение на изготвянето на годишната статистика за енергийното потребление в домакинствата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>Поради това приложение XXI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Текстът на точка 26а (Регламент (ЕО) № 1099/2008 на Европейския парламент и на Съвета) от приложение XXI се заменя със следното:</w:t>
      </w:r>
    </w:p>
    <w:p>
      <w:pPr>
        <w:rPr>
          <w:noProof/>
        </w:rPr>
      </w:pPr>
      <w:r>
        <w:rPr>
          <w:noProof/>
        </w:rPr>
        <w:t>„</w:t>
      </w:r>
      <w:r>
        <w:rPr>
          <w:b/>
          <w:noProof/>
        </w:rPr>
        <w:t>32008 R 1099</w:t>
      </w:r>
      <w:r>
        <w:rPr>
          <w:noProof/>
        </w:rPr>
        <w:t>: Регламент (ЕО) № 1099/2008 на Европейския парламент и на Съвета от 22 октомври 2008 г. относно статистиката за енергийния сектор (ОВ L 304, 14.11.2008 г., стр. 1), изменен с:</w:t>
      </w:r>
    </w:p>
    <w:p>
      <w:pPr>
        <w:pStyle w:val="Point0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b/>
          <w:noProof/>
        </w:rPr>
        <w:t>32013 R 0147</w:t>
      </w:r>
      <w:r>
        <w:rPr>
          <w:noProof/>
        </w:rPr>
        <w:t>: Регламент (ЕС) № 147/2013 на Комисията от 13 февруари 2013 г. (OВ L 50, 22.2.2013 г., стр. 1),</w:t>
      </w:r>
    </w:p>
    <w:p>
      <w:pPr>
        <w:pStyle w:val="Point0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b/>
          <w:noProof/>
        </w:rPr>
        <w:t>32014 R 0431</w:t>
      </w:r>
      <w:r>
        <w:rPr>
          <w:noProof/>
        </w:rPr>
        <w:t>: Регламент (ЕС) № 431/2014 на Комисията от 24 април 2014 г. (ОВ L 131, 1.5.2014 г., стр. 1).</w:t>
      </w:r>
    </w:p>
    <w:p>
      <w:pPr>
        <w:rPr>
          <w:noProof/>
        </w:rPr>
      </w:pPr>
      <w:r>
        <w:rPr>
          <w:noProof/>
        </w:rPr>
        <w:t>За целите на настоящото Споразумение разпоредбите на този регламент се тълкуват със следните адаптации: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Лихтенщайн е освободен от събирането на данни съгласно изискванията в настоящия регламент, с изключение на данни, отнасящи се до вноса и износа на различните енергийни продукти и производството на електроенергия, за годишната енергийна статистика (приложение Б).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Исландия е освободена от докладване на агрегираните показатели, посочени в приложение Б, свързани с потреблението на енергия в подробна разбивка по вид крайна употреба (отопление, охлаждане, топла вода, готвене, осветление и </w:t>
      </w:r>
      <w:r>
        <w:rPr>
          <w:noProof/>
        </w:rPr>
        <w:lastRenderedPageBreak/>
        <w:t>електроуреди, други) на жилищния сектор, както е определено в раздел 2.3 от приложение А.“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Текстовете на Регламент (ЕС) № 431/2014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на […] г., при условие че са внесени всички нотификации, предвидени в член 103, параграф 1 от Споразумението за ЕИП</w:t>
      </w:r>
      <w:r>
        <w:rPr>
          <w:rStyle w:val="FootnoteReference"/>
          <w:noProof/>
        </w:rPr>
        <w:footnoteReference w:customMarkFollows="1" w:id="2"/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ОВ L 131, 1.5.2014 г., стр. 1.</w:t>
      </w:r>
    </w:p>
  </w:footnote>
  <w:footnote w:id="2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22"/>
    <w:lvlOverride w:ilvl="0">
      <w:startOverride w:val="1"/>
    </w:lvlOverride>
  </w:num>
  <w:num w:numId="11">
    <w:abstractNumId w:val="19"/>
  </w:num>
  <w:num w:numId="12">
    <w:abstractNumId w:val="13"/>
  </w:num>
  <w:num w:numId="13">
    <w:abstractNumId w:val="21"/>
  </w:num>
  <w:num w:numId="14">
    <w:abstractNumId w:val="12"/>
  </w:num>
  <w:num w:numId="15">
    <w:abstractNumId w:val="14"/>
  </w:num>
  <w:num w:numId="16">
    <w:abstractNumId w:val="10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18"/>
  </w:num>
  <w:num w:numId="22">
    <w:abstractNumId w:val="11"/>
  </w:num>
  <w:num w:numId="23">
    <w:abstractNumId w:val="16"/>
  </w:num>
  <w:num w:numId="24">
    <w:abstractNumId w:val="22"/>
  </w:num>
  <w:num w:numId="25">
    <w:abstractNumId w:val="19"/>
  </w:num>
  <w:num w:numId="26">
    <w:abstractNumId w:val="13"/>
  </w:num>
  <w:num w:numId="27">
    <w:abstractNumId w:val="21"/>
  </w:num>
  <w:num w:numId="28">
    <w:abstractNumId w:val="12"/>
  </w:num>
  <w:num w:numId="29">
    <w:abstractNumId w:val="14"/>
  </w:num>
  <w:num w:numId="30">
    <w:abstractNumId w:val="10"/>
  </w:num>
  <w:num w:numId="31">
    <w:abstractNumId w:val="20"/>
  </w:num>
  <w:num w:numId="32">
    <w:abstractNumId w:val="9"/>
  </w:num>
  <w:num w:numId="33">
    <w:abstractNumId w:val="15"/>
  </w:num>
  <w:num w:numId="34">
    <w:abstractNumId w:val="17"/>
  </w:num>
  <w:num w:numId="35">
    <w:abstractNumId w:val="18"/>
  </w:num>
  <w:num w:numId="36">
    <w:abstractNumId w:val="11"/>
  </w:num>
  <w:num w:numId="37">
    <w:abstractNumId w:val="16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07-02 13:03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37968EF761C4064AC02306BDAC70CE6"/>
    <w:docVar w:name="LW_CROSSREFERENCE" w:val="&lt;UNUSED&gt;"/>
    <w:docVar w:name="LW_DocType" w:val="ANNEX"/>
    <w:docVar w:name="LW_EMISSION" w:val="9.7.2015"/>
    <w:docVar w:name="LW_EMISSION_ISODATE" w:val="2015-07-09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57?\u1098?\u1074?\u1084?\u1077?\u1089?\u1090?\u1085?\u1080?\u1103? \u1082?\u1086?\u1084?\u1080?\u1090?\u1077?\u1090? \u1085?\u1072? \u1045?\u1048?\u1055? \u1086?\u1090?\u1085?\u1086?\u1089?\u1085?\u1086? \u1080?\u1079?\u1084?\u1077?\u1085?\u1077?\u1085?\u1080?\u1077? \u1085?\u1072? \u1087?\u1088?\u1080?\u1083?\u1086?\u1078?\u1077?\u1085?\u1080?\u1077? XXI (\u1057?\u1090?\u1072?\u1090?\u1080?\u1089?\u1090?\u1080?\u1082?\u1072?) \u1082?\u1098?\u1084? \u1057?\u1087?\u1086?\u1088?\u1072?\u1079?\u1091?\u1084?\u1077?\u1085?\u1080?\u1077?\u1090?\u1086? \u1079?\u1072? \u1045?\u1048?\u1055?_x000b_(\u1057?\u1090?\u1072?\u1090?\u1080?\u1089?\u1090?\u1080?\u1082?\u1072? \u1074? \u1086?\u1073?\u1083?\u1072?\u1089?\u1090?\u1090?\u1072? \u1085?\u1072? \u1077?\u1085?\u1077?\u1088?\u1075?\u1077?\u1090?\u1080?\u1082?\u1072?\u1090?\u1072?)"/>
    <w:docVar w:name="LW_OBJETACTEPRINCIPAL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57?\u1098?\u1074?\u1084?\u1077?\u1089?\u1090?\u1085?\u1080?\u1103? \u1082?\u1086?\u1084?\u1080?\u1090?\u1077?\u1090? \u1085?\u1072? \u1045?\u1048?\u1055? \u1086?\u1090?\u1085?\u1086?\u1089?\u1085?\u1086? \u1080?\u1079?\u1084?\u1077?\u1085?\u1077?\u1085?\u1080?\u1077? \u1085?\u1072? \u1087?\u1088?\u1080?\u1083?\u1086?\u1078?\u1077?\u1085?\u1080?\u1077? XXI (\u1057?\u1090?\u1072?\u1090?\u1080?\u1089?\u1090?\u1080?\u1082?\u1072?) \u1082?\u1098?\u1084? \u1057?\u1087?\u1086?\u1088?\u1072?\u1079?\u1091?\u1084?\u1077?\u1085?\u1080?\u1077?\u1090?\u1086? \u1079?\u1072? \u1045?\u1048?\u1055?_x000b_(\u1057?\u1090?\u1072?\u1090?\u1080?\u1089?\u1090?\u1080?\u1082?\u1072? \u1074? \u1086?\u1073?\u1083?\u1072?\u1089?\u1090?\u1090?\u1072? \u1085?\u1072? \u1077?\u1085?\u1077?\u1088?\u1075?\u1077?\u1090?\u1080?\u1082?\u1072?\u1090?\u1072?)"/>
    <w:docVar w:name="LW_PART_NBR" w:val="1"/>
    <w:docVar w:name="LW_PART_NBR_TOTAL" w:val="1"/>
    <w:docVar w:name="LW_REF.INST.NEW" w:val="COM"/>
    <w:docVar w:name="LW_REF.INST.NEW_ADOPTED" w:val="final"/>
    <w:docVar w:name="LW_REF.INST.NEW_TEXT" w:val="(2015) 328"/>
    <w:docVar w:name="LW_REF.INTERNE" w:val="&lt;UNUSED&gt;"/>
    <w:docVar w:name="LW_SUPERTITRE" w:val="&lt;UNUSED&gt;"/>
    <w:docVar w:name="LW_TITRE.OBJ" w:val="\u1056?\u1045?\u1064?\u1045?\u1053?\u1048?\u1045? \u1053?\u1040? \u1057?\u1066?\u1042?\u1052?\u1045?\u1057?\u1058?\u1053?\u1048?\u1071? \u1050?\u1054?\u1052?\u1048?\u1058?\u1045?\u1058? \u1053?\u1040? \u1045?\u1048?\u1055?_x000b_\u8470? .../2015_x000b_\u1079?\u1072? \u1080?\u1079?\u1084?\u1077?\u1085?\u1077?\u1085?\u1080?\u1077? \u1085?\u1072? \u1087?\u1088?\u1080?\u1083?\u1086?\u1078?\u1077?\u1085?\u1080?\u1077? \u1061?\u1061?\u1030? (\u1057?\u1090?\u1072?\u1090?\u1080?\u1089?\u1090?\u1080?\u1082?\u1072?)_x000b_\u1082?\u1098?\u1084? \u1057?\u1087?\u1086?\u1088?\u1072?\u1079?\u1091?\u1084?\u1077?\u1085?\u1080?\u1077?\u1090?\u1086? \u1079?\u1072? \u1045?\u1048?\u1055?"/>
    <w:docVar w:name="LW_TITRE.OBJ.CP" w:val="\u1056?\u1045?\u1064?\u1045?\u1053?\u1048?\u1045? \u1053?\u1040? \u1057?\u1066?\u1042?\u1052?\u1045?\u1057?\u1058?\u1053?\u1048?\u1071? \u1050?\u1054?\u1052?\u1048?\u1058?\u1045?\u1058? \u1053?\u1040? \u1045?\u1048?\u1055?_x000b_\u8470? .../2015_x000b_\u1079?\u1072? \u1080?\u1079?\u1084?\u1077?\u1085?\u1077?\u1085?\u1080?\u1077? \u1085?\u1072? \u1087?\u1088?\u1080?\u1083?\u1086?\u1078?\u1077?\u1085?\u1080?\u1077? \u1061?\u1061?\u1030? (\u1057?\u1090?\u1072?\u1090?\u1080?\u1089?\u1090?\u1080?\u1082?\u1072?)_x000b_\u1082?\u1098?\u1084? \u1057?\u1087?\u1086?\u1088?\u1072?\u1079?\u1091?\u1084?\u1077?\u1085?\u1080?\u1077?\u1090?\u1086? \u1079?\u1072? \u1045?\u1048?\u1055?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\u1090?\u1086? \u1079?\u1072? \u1088?\u1077?\u1096?\u1077?\u1085?\u1080?\u1077? \u1085?\u1072? \u1057?\u1098?\u1074?\u1077?\u1090?\u1072?"/>
    <w:docVar w:name="LW_TYPEACTEPRINCIPAL.CP" w:val="\u1087?\u1088?\u1077?\u1076?\u1083?\u1086?\u1078?\u1077?\u1085?\u1080?\u1077?\u1090?\u1086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character" w:customStyle="1" w:styleId="Point0Char">
    <w:name w:val="Point 0 Char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sz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link w:val="Articleheading"/>
    <w:rPr>
      <w:rFonts w:ascii="Times New Roman" w:hAnsi="Times New Roman"/>
      <w:i/>
      <w:color w:val="000000"/>
      <w:sz w:val="24"/>
      <w:szCs w:val="24"/>
      <w:lang w:val="bg-BG" w:eastAsia="bg-BG"/>
    </w:rPr>
  </w:style>
  <w:style w:type="character" w:customStyle="1" w:styleId="ArticletextChar">
    <w:name w:val="Article text Char"/>
    <w:link w:val="Articletext"/>
    <w:rPr>
      <w:rFonts w:ascii="Times New Roman" w:hAnsi="Times New Roman"/>
      <w:i w:val="0"/>
      <w:color w:val="000000"/>
      <w:sz w:val="24"/>
      <w:szCs w:val="24"/>
      <w:lang w:val="bg-BG" w:eastAsia="bg-BG"/>
    </w:rPr>
  </w:style>
  <w:style w:type="character" w:customStyle="1" w:styleId="Point1Char">
    <w:name w:val="Point 1 Char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89A2-D28A-4FDF-AF73-0DF0E64D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403</Words>
  <Characters>2171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2014-02-26T13:25:00Z</cp:lastPrinted>
  <dcterms:created xsi:type="dcterms:W3CDTF">2015-07-01T08:38:00Z</dcterms:created>
  <dcterms:modified xsi:type="dcterms:W3CDTF">2015-07-02T11:03:00Z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_NewReviewCycle">
    <vt:lpwstr/>
  </property>
  <property fmtid="{D5CDD505-2E9C-101B-9397-08002B2CF9AE}" pid="13" name="DQCStatus">
    <vt:lpwstr>Green (DQC version 02)</vt:lpwstr>
  </property>
</Properties>
</file>