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02" w:rsidRDefault="00E236D1" w:rsidP="00E236D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C637DD61F05443582B0F4E01B15657F" style="width:450.4pt;height:306.4pt">
            <v:imagedata r:id="rId9" o:title=""/>
          </v:shape>
        </w:pict>
      </w:r>
    </w:p>
    <w:bookmarkEnd w:id="0"/>
    <w:p w:rsidR="00691A02" w:rsidRDefault="00691A02">
      <w:pPr>
        <w:rPr>
          <w:noProof/>
        </w:rPr>
        <w:sectPr w:rsidR="00691A02" w:rsidSect="00E236D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91A02" w:rsidRDefault="00E236D1">
      <w:pPr>
        <w:jc w:val="both"/>
        <w:rPr>
          <w:rFonts w:ascii="Times New Roman" w:hAnsi="Times New Roman" w:cs="Times New Roman"/>
          <w:noProof/>
          <w:sz w:val="24"/>
          <w:szCs w:val="24"/>
        </w:rPr>
      </w:pPr>
      <w:bookmarkStart w:id="1" w:name="_GoBack"/>
      <w:bookmarkEnd w:id="1"/>
      <w:r>
        <w:rPr>
          <w:rFonts w:ascii="Times New Roman" w:hAnsi="Times New Roman"/>
          <w:b/>
          <w:noProof/>
          <w:sz w:val="24"/>
        </w:rPr>
        <w:lastRenderedPageBreak/>
        <w:t>I. ВЪВЕДЕНИЕ</w:t>
      </w:r>
    </w:p>
    <w:p w:rsidR="00691A02" w:rsidRDefault="00E236D1">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color w:val="000000"/>
          <w:sz w:val="24"/>
        </w:rPr>
        <w:t xml:space="preserve">Предвид увеличаването през последните години на броя на природните и причинените от </w:t>
      </w:r>
      <w:r>
        <w:rPr>
          <w:rFonts w:ascii="Times New Roman" w:hAnsi="Times New Roman"/>
          <w:noProof/>
          <w:color w:val="000000"/>
          <w:sz w:val="24"/>
        </w:rPr>
        <w:t>човека бедствия в света хуманитарните организации се нуждаят от повече добре подготвени хора, които да ги подкрепят при подпомагането на засегнатите от бедствия общности.</w:t>
      </w:r>
      <w:r>
        <w:rPr>
          <w:rFonts w:ascii="Times New Roman" w:hAnsi="Times New Roman"/>
          <w:noProof/>
          <w:sz w:val="24"/>
        </w:rPr>
        <w:t xml:space="preserve"> Според предвиденото в Договора от Лисабон</w:t>
      </w:r>
      <w:r>
        <w:rPr>
          <w:rStyle w:val="FootnoteReference"/>
          <w:rFonts w:ascii="Times New Roman" w:hAnsi="Times New Roman"/>
          <w:noProof/>
          <w:sz w:val="24"/>
        </w:rPr>
        <w:footnoteReference w:id="1"/>
      </w:r>
      <w:r>
        <w:rPr>
          <w:rFonts w:ascii="Times New Roman" w:hAnsi="Times New Roman"/>
          <w:noProof/>
          <w:sz w:val="24"/>
        </w:rPr>
        <w:t xml:space="preserve"> Европейският съюз създаде инициативата „До</w:t>
      </w:r>
      <w:r>
        <w:rPr>
          <w:rFonts w:ascii="Times New Roman" w:hAnsi="Times New Roman"/>
          <w:noProof/>
          <w:sz w:val="24"/>
        </w:rPr>
        <w:t>броволци на ЕС за хуманитарна помощ“. Целта е да се съдейства за укрепването на капацитета на Съюза за осигуряване на свързана с конкретните потребности хуманитарна помощ, както и за укрепването на капацитета и устойчивостта на уязвимите или засегнатите от</w:t>
      </w:r>
      <w:r>
        <w:rPr>
          <w:rFonts w:ascii="Times New Roman" w:hAnsi="Times New Roman"/>
          <w:noProof/>
          <w:sz w:val="24"/>
        </w:rPr>
        <w:t xml:space="preserve"> бедствия общности в трети държави,</w:t>
      </w:r>
      <w:r>
        <w:rPr>
          <w:rFonts w:ascii="Times New Roman" w:hAnsi="Times New Roman"/>
          <w:noProof/>
          <w:color w:val="444444"/>
          <w:sz w:val="24"/>
        </w:rPr>
        <w:t xml:space="preserve"> </w:t>
      </w:r>
      <w:r>
        <w:rPr>
          <w:rFonts w:ascii="Times New Roman" w:hAnsi="Times New Roman"/>
          <w:noProof/>
          <w:sz w:val="24"/>
        </w:rPr>
        <w:t>като същевременно се даде възможност на европейските граждани да участват в хуманитарни дейности в трети държави като израз на солидарност с хората в нужда.</w:t>
      </w:r>
      <w:r>
        <w:rPr>
          <w:noProof/>
          <w:color w:val="000000"/>
        </w:rPr>
        <w:t xml:space="preserve"> </w:t>
      </w:r>
    </w:p>
    <w:p w:rsidR="00691A02" w:rsidRDefault="00691A02">
      <w:pPr>
        <w:pStyle w:val="Default"/>
        <w:spacing w:line="276" w:lineRule="auto"/>
        <w:jc w:val="both"/>
        <w:rPr>
          <w:noProof/>
        </w:rPr>
      </w:pPr>
    </w:p>
    <w:p w:rsidR="00691A02" w:rsidRDefault="00E236D1">
      <w:pPr>
        <w:pStyle w:val="Default"/>
        <w:spacing w:line="276" w:lineRule="auto"/>
        <w:jc w:val="both"/>
        <w:rPr>
          <w:noProof/>
        </w:rPr>
      </w:pPr>
      <w:r>
        <w:rPr>
          <w:noProof/>
        </w:rPr>
        <w:t>В член 27 от Регламент (ЕС) № 375/2014, с който се създава ин</w:t>
      </w:r>
      <w:r>
        <w:rPr>
          <w:noProof/>
        </w:rPr>
        <w:t>ициативата „Доброволци на ЕС за хуманитарна помощ“</w:t>
      </w:r>
      <w:r>
        <w:rPr>
          <w:rStyle w:val="FootnoteReference"/>
          <w:noProof/>
        </w:rPr>
        <w:footnoteReference w:id="2"/>
      </w:r>
      <w:r>
        <w:rPr>
          <w:noProof/>
        </w:rPr>
        <w:t>, се посочва, че от Комисията се изисква да представя пред Европейския парламент и Съвета годишни доклади, в които се разглежда напредъкът, постигнат при прилагането на регламента.</w:t>
      </w:r>
    </w:p>
    <w:p w:rsidR="00691A02" w:rsidRDefault="00691A02">
      <w:pPr>
        <w:autoSpaceDE w:val="0"/>
        <w:autoSpaceDN w:val="0"/>
        <w:adjustRightInd w:val="0"/>
        <w:spacing w:after="0"/>
        <w:jc w:val="both"/>
        <w:rPr>
          <w:rFonts w:ascii="Times New Roman" w:hAnsi="Times New Roman" w:cs="Times New Roman"/>
          <w:noProof/>
          <w:sz w:val="24"/>
          <w:szCs w:val="24"/>
        </w:rPr>
      </w:pPr>
    </w:p>
    <w:p w:rsidR="00691A02" w:rsidRDefault="00E236D1">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В настоящия годишен док</w:t>
      </w:r>
      <w:r>
        <w:rPr>
          <w:rFonts w:ascii="Times New Roman" w:hAnsi="Times New Roman"/>
          <w:noProof/>
          <w:sz w:val="24"/>
        </w:rPr>
        <w:t>лад са посочени основните дейности и постижения при изпълнението на инициативата „Доброволци на ЕС за хуманитарна помощ“ през 2014 г., като се вземат предвид особеностите на първата година, която е посветена на приемането на необходимите правни актове, оче</w:t>
      </w:r>
      <w:r>
        <w:rPr>
          <w:rFonts w:ascii="Times New Roman" w:hAnsi="Times New Roman"/>
          <w:noProof/>
          <w:sz w:val="24"/>
        </w:rPr>
        <w:t xml:space="preserve">ртаващи следващите стъпки в изпълнението на инициативата „Доброволци на ЕС за хуманитарна помощ“. </w:t>
      </w:r>
    </w:p>
    <w:p w:rsidR="00691A02" w:rsidRDefault="00691A02">
      <w:pPr>
        <w:spacing w:after="0"/>
        <w:jc w:val="both"/>
        <w:rPr>
          <w:rFonts w:ascii="Times New Roman" w:hAnsi="Times New Roman" w:cs="Times New Roman"/>
          <w:noProof/>
          <w:sz w:val="24"/>
          <w:szCs w:val="24"/>
        </w:rPr>
      </w:pPr>
    </w:p>
    <w:p w:rsidR="00691A02" w:rsidRDefault="00E236D1">
      <w:pPr>
        <w:jc w:val="both"/>
        <w:rPr>
          <w:rFonts w:ascii="Times New Roman" w:hAnsi="Times New Roman" w:cs="Times New Roman"/>
          <w:b/>
          <w:noProof/>
          <w:sz w:val="24"/>
          <w:szCs w:val="24"/>
        </w:rPr>
      </w:pPr>
      <w:r>
        <w:rPr>
          <w:rFonts w:ascii="Times New Roman" w:hAnsi="Times New Roman"/>
          <w:b/>
          <w:noProof/>
          <w:sz w:val="24"/>
        </w:rPr>
        <w:t>II. ПОДГОТВИТЕЛНИ ДЕЙНОСТИ</w:t>
      </w:r>
    </w:p>
    <w:p w:rsidR="00691A02" w:rsidRDefault="00E236D1">
      <w:pPr>
        <w:jc w:val="both"/>
        <w:rPr>
          <w:rFonts w:ascii="Times New Roman" w:hAnsi="Times New Roman" w:cs="Times New Roman"/>
          <w:b/>
          <w:noProof/>
          <w:sz w:val="24"/>
          <w:szCs w:val="24"/>
        </w:rPr>
      </w:pPr>
      <w:r>
        <w:rPr>
          <w:rFonts w:ascii="Times New Roman" w:hAnsi="Times New Roman"/>
          <w:b/>
          <w:noProof/>
          <w:sz w:val="24"/>
        </w:rPr>
        <w:t>1. ПИЛОТНО ДЕЙСТВИЕ</w:t>
      </w:r>
    </w:p>
    <w:p w:rsidR="00691A02" w:rsidRDefault="00E236D1">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sz w:val="24"/>
        </w:rPr>
        <w:t>Инициативата „Доброволци на ЕС за хуманитарна помощ“ има солидни основи благодарение на п</w:t>
      </w:r>
      <w:r>
        <w:rPr>
          <w:rFonts w:ascii="Times New Roman" w:hAnsi="Times New Roman"/>
          <w:noProof/>
          <w:color w:val="000000"/>
          <w:sz w:val="24"/>
        </w:rPr>
        <w:t xml:space="preserve">илотната действие, </w:t>
      </w:r>
      <w:r>
        <w:rPr>
          <w:rFonts w:ascii="Times New Roman" w:hAnsi="Times New Roman"/>
          <w:noProof/>
          <w:color w:val="000000"/>
          <w:sz w:val="24"/>
        </w:rPr>
        <w:t>която беше проведена на три етапа през периода 2011—2014 г., и чиято цел бе да ръководи процеса на изготвяне на инициативата, както и да дава насока при изготвянето на стандарти и системи в рамките на конкретните измерения(обучение, механизъм за сертифицир</w:t>
      </w:r>
      <w:r>
        <w:rPr>
          <w:rFonts w:ascii="Times New Roman" w:hAnsi="Times New Roman"/>
          <w:noProof/>
          <w:color w:val="000000"/>
          <w:sz w:val="24"/>
        </w:rPr>
        <w:t>ане, за изпращане на терен, база данни) на инициативата „Доброволци на ЕС за хуманитарна помощ“. В рамките на това действие бяха финансирани дванадесет пилотни проекта, като чрез тях на терен бяха изпратени около 300 доброволци в 49 трети държави.</w:t>
      </w:r>
    </w:p>
    <w:p w:rsidR="00691A02" w:rsidRDefault="00691A02">
      <w:pPr>
        <w:autoSpaceDE w:val="0"/>
        <w:autoSpaceDN w:val="0"/>
        <w:adjustRightInd w:val="0"/>
        <w:spacing w:after="0"/>
        <w:jc w:val="both"/>
        <w:rPr>
          <w:rFonts w:ascii="Times New Roman" w:hAnsi="Times New Roman" w:cs="Times New Roman"/>
          <w:noProof/>
          <w:sz w:val="24"/>
          <w:szCs w:val="24"/>
        </w:rPr>
      </w:pPr>
    </w:p>
    <w:p w:rsidR="00691A02" w:rsidRDefault="00E236D1">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noProof/>
          <w:sz w:val="24"/>
        </w:rPr>
        <w:lastRenderedPageBreak/>
        <w:t>Пилотно</w:t>
      </w:r>
      <w:r>
        <w:rPr>
          <w:rFonts w:ascii="Times New Roman" w:hAnsi="Times New Roman"/>
          <w:noProof/>
          <w:sz w:val="24"/>
        </w:rPr>
        <w:t>то действие на инициативата „Доброволци на ЕС за хуманитарна помощ“</w:t>
      </w:r>
      <w:r>
        <w:rPr>
          <w:rStyle w:val="FootnoteReference"/>
          <w:rFonts w:ascii="Times New Roman" w:hAnsi="Times New Roman"/>
          <w:noProof/>
          <w:color w:val="000000"/>
          <w:sz w:val="24"/>
        </w:rPr>
        <w:footnoteReference w:id="3"/>
      </w:r>
      <w:r>
        <w:rPr>
          <w:rFonts w:ascii="Times New Roman" w:hAnsi="Times New Roman"/>
          <w:noProof/>
          <w:sz w:val="24"/>
        </w:rPr>
        <w:t xml:space="preserve"> се оказа ефективно за изпитване на различни модели или методи за прилагане на различните измерения на инициативата. Извлечените поуки бяха взети предвид при разработването на законодателс</w:t>
      </w:r>
      <w:r>
        <w:rPr>
          <w:rFonts w:ascii="Times New Roman" w:hAnsi="Times New Roman"/>
          <w:noProof/>
          <w:sz w:val="24"/>
        </w:rPr>
        <w:t>твото, актовете за изпълнение и делегираните актове и ще дадат възможност за плавен преход към изпращането на терен на доброволци на ЕС за хуманитарна помощ по силата на Регламент (ЕС) № 375/2014. Освен това една от основните задачи на оценката беше също т</w:t>
      </w:r>
      <w:r>
        <w:rPr>
          <w:rFonts w:ascii="Times New Roman" w:hAnsi="Times New Roman"/>
          <w:noProof/>
          <w:sz w:val="24"/>
        </w:rPr>
        <w:t>ака разработването и предлагането на рамка за мониторинг и оценка, която да подпомогне извършването на редовна оценка на прилагането на инициативата.</w:t>
      </w:r>
    </w:p>
    <w:p w:rsidR="00691A02" w:rsidRDefault="00691A02">
      <w:pPr>
        <w:spacing w:after="120"/>
        <w:jc w:val="both"/>
        <w:rPr>
          <w:rFonts w:ascii="Times New Roman" w:hAnsi="Times New Roman" w:cs="Times New Roman"/>
          <w:noProof/>
          <w:sz w:val="24"/>
          <w:szCs w:val="24"/>
        </w:rPr>
      </w:pPr>
    </w:p>
    <w:p w:rsidR="00691A02" w:rsidRDefault="00E236D1">
      <w:pPr>
        <w:spacing w:after="120"/>
        <w:jc w:val="both"/>
        <w:rPr>
          <w:rFonts w:ascii="Times New Roman" w:hAnsi="Times New Roman" w:cs="Times New Roman"/>
          <w:b/>
          <w:noProof/>
          <w:sz w:val="24"/>
          <w:szCs w:val="24"/>
        </w:rPr>
      </w:pPr>
      <w:r>
        <w:rPr>
          <w:rFonts w:ascii="Times New Roman" w:hAnsi="Times New Roman"/>
          <w:b/>
          <w:noProof/>
          <w:sz w:val="24"/>
        </w:rPr>
        <w:t>2. ОЦЕНКА НА ПОТРЕБНОСТИТЕ</w:t>
      </w:r>
    </w:p>
    <w:p w:rsidR="00691A02" w:rsidRDefault="00E236D1">
      <w:pPr>
        <w:spacing w:after="120"/>
        <w:jc w:val="both"/>
        <w:rPr>
          <w:rFonts w:ascii="Times New Roman" w:hAnsi="Times New Roman" w:cs="Times New Roman"/>
          <w:noProof/>
          <w:sz w:val="24"/>
          <w:szCs w:val="24"/>
        </w:rPr>
      </w:pPr>
      <w:r>
        <w:rPr>
          <w:rFonts w:ascii="Times New Roman" w:hAnsi="Times New Roman"/>
          <w:noProof/>
          <w:sz w:val="24"/>
        </w:rPr>
        <w:t>Като се има предвид, че по същността си новата инициатива е водена в голяма ст</w:t>
      </w:r>
      <w:r>
        <w:rPr>
          <w:rFonts w:ascii="Times New Roman" w:hAnsi="Times New Roman"/>
          <w:noProof/>
          <w:sz w:val="24"/>
        </w:rPr>
        <w:t>епен от потребностите, Комисията активно изгражда основата за разработване на рамка на инициативата „Доброволци на ЕС за хуманитарна помощ“ за оценка на потребностите. За тази цел бяха използвани няколко способа: всеобхватно проучване относно настоящите по</w:t>
      </w:r>
      <w:r>
        <w:rPr>
          <w:rFonts w:ascii="Times New Roman" w:hAnsi="Times New Roman"/>
          <w:noProof/>
          <w:sz w:val="24"/>
        </w:rPr>
        <w:t>требности от доброволци</w:t>
      </w:r>
      <w:r>
        <w:rPr>
          <w:rStyle w:val="FootnoteReference"/>
          <w:rFonts w:ascii="Times New Roman" w:hAnsi="Times New Roman"/>
          <w:noProof/>
          <w:sz w:val="24"/>
        </w:rPr>
        <w:footnoteReference w:id="4"/>
      </w:r>
      <w:r>
        <w:rPr>
          <w:rFonts w:ascii="Times New Roman" w:hAnsi="Times New Roman"/>
          <w:noProof/>
          <w:sz w:val="24"/>
        </w:rPr>
        <w:t xml:space="preserve">; семинар с участието на широк кръг от експерти и специалисти за проучване на различни методологични процеси за ежегодно анализиране на потребностите; и оценка на пилотните действия. Тази рамка ще даде възможност за ежегодна оценка </w:t>
      </w:r>
      <w:r>
        <w:rPr>
          <w:rFonts w:ascii="Times New Roman" w:hAnsi="Times New Roman"/>
          <w:noProof/>
          <w:sz w:val="24"/>
        </w:rPr>
        <w:t>на потребностите, които ще бъдат обхванати от действията по инициативата. Методологията за оценка на потребностите е подобна на използваната за действията в областта на хуманитарната помощ, като се взема предвид спецификата на схемата за доброволците на ЕС</w:t>
      </w:r>
      <w:r>
        <w:rPr>
          <w:rFonts w:ascii="Times New Roman" w:hAnsi="Times New Roman"/>
          <w:noProof/>
          <w:sz w:val="24"/>
        </w:rPr>
        <w:t xml:space="preserve"> за хуманитарна помощ и като предварително се изключат районите с продължаващи въоръжени конфликти, в които доброволците на ЕС не следва да бъдат изпращани на терен. Това дава възможност за индивидуален подход, като същевременно се гарантира оптимална съгл</w:t>
      </w:r>
      <w:r>
        <w:rPr>
          <w:rFonts w:ascii="Times New Roman" w:hAnsi="Times New Roman"/>
          <w:noProof/>
          <w:sz w:val="24"/>
        </w:rPr>
        <w:t>асуваност и допълняемост с решенията на ЕС в областта на хуманитарната помощ в световен мащаб.</w:t>
      </w:r>
    </w:p>
    <w:p w:rsidR="00691A02" w:rsidRDefault="00691A02">
      <w:pPr>
        <w:spacing w:after="120"/>
        <w:jc w:val="both"/>
        <w:rPr>
          <w:rFonts w:ascii="Times New Roman" w:hAnsi="Times New Roman" w:cs="Times New Roman"/>
          <w:noProof/>
          <w:sz w:val="24"/>
          <w:szCs w:val="24"/>
        </w:rPr>
      </w:pPr>
    </w:p>
    <w:p w:rsidR="00691A02" w:rsidRDefault="00E236D1">
      <w:pPr>
        <w:jc w:val="both"/>
        <w:rPr>
          <w:rFonts w:ascii="Times New Roman" w:hAnsi="Times New Roman" w:cs="Times New Roman"/>
          <w:b/>
          <w:noProof/>
          <w:sz w:val="24"/>
          <w:szCs w:val="24"/>
        </w:rPr>
      </w:pPr>
      <w:r>
        <w:rPr>
          <w:rFonts w:ascii="Times New Roman" w:hAnsi="Times New Roman"/>
          <w:b/>
          <w:noProof/>
          <w:sz w:val="24"/>
        </w:rPr>
        <w:t>III. ПРИЕМАНЕ НА ЗАКОНОДАТЕЛСТВОТО</w:t>
      </w:r>
    </w:p>
    <w:p w:rsidR="00691A02" w:rsidRDefault="00E236D1">
      <w:pPr>
        <w:jc w:val="both"/>
        <w:rPr>
          <w:rFonts w:ascii="Times New Roman" w:hAnsi="Times New Roman" w:cs="Times New Roman"/>
          <w:noProof/>
          <w:sz w:val="24"/>
          <w:szCs w:val="24"/>
        </w:rPr>
      </w:pPr>
      <w:r>
        <w:rPr>
          <w:rFonts w:ascii="Times New Roman" w:hAnsi="Times New Roman"/>
          <w:noProof/>
          <w:sz w:val="24"/>
        </w:rPr>
        <w:t xml:space="preserve">През 2014 г. основните постижения бяха приемането на целия законодателен пакет, с което беше осигурено правното основание за </w:t>
      </w:r>
      <w:r>
        <w:rPr>
          <w:rFonts w:ascii="Times New Roman" w:hAnsi="Times New Roman"/>
          <w:noProof/>
          <w:sz w:val="24"/>
        </w:rPr>
        <w:t>инициативата „Доброволци на ЕС за хуманитарна помощ“ с цел установяване на правила за изпълнението ѝ и за изготвяне на съответните стандарти.</w:t>
      </w:r>
    </w:p>
    <w:p w:rsidR="00691A02" w:rsidRDefault="00E236D1">
      <w:pPr>
        <w:jc w:val="both"/>
        <w:rPr>
          <w:rFonts w:ascii="Times New Roman" w:hAnsi="Times New Roman" w:cs="Times New Roman"/>
          <w:noProof/>
          <w:sz w:val="24"/>
          <w:szCs w:val="24"/>
        </w:rPr>
      </w:pPr>
      <w:r>
        <w:rPr>
          <w:rFonts w:ascii="Times New Roman" w:hAnsi="Times New Roman"/>
          <w:noProof/>
          <w:sz w:val="24"/>
        </w:rPr>
        <w:t>Регламентът за създаване на инициативата „Доброволци на ЕС за хуманитарна помощ“ беше приет на 3 април 2014 г., ка</w:t>
      </w:r>
      <w:r>
        <w:rPr>
          <w:rFonts w:ascii="Times New Roman" w:hAnsi="Times New Roman"/>
          <w:noProof/>
          <w:sz w:val="24"/>
        </w:rPr>
        <w:t>то така бе създадена рамката за съвместен принос на доброволците на ЕС за подпомагането и допълването на операции за хуманитарна помощ в трети държави. Програмата ще открие възможности за около 18 000 души, които да се включат като доброволци в хуманитарни</w:t>
      </w:r>
      <w:r>
        <w:rPr>
          <w:rFonts w:ascii="Times New Roman" w:hAnsi="Times New Roman"/>
          <w:noProof/>
          <w:sz w:val="24"/>
        </w:rPr>
        <w:t xml:space="preserve"> операции по целия свят до 2020 г., включително доброволци на ЕС за хуманитарна помощ, доброволци, работещи онлайн, и местни хора, на които се предлага помощ за изграждането на капацитет. Инициативата „Доброволци на ЕС за хуманитарна помощ“ е отворена за р</w:t>
      </w:r>
      <w:r>
        <w:rPr>
          <w:rFonts w:ascii="Times New Roman" w:hAnsi="Times New Roman"/>
          <w:noProof/>
          <w:sz w:val="24"/>
        </w:rPr>
        <w:t>азлични професионални профили — от млади хора до утвърдени хуманитарни експерти, с цел удовлетворяване на потребностите от хуманитарна помощ на най-уязвимите хора.</w:t>
      </w:r>
      <w:r>
        <w:rPr>
          <w:rFonts w:ascii="EC Square Sans Pro" w:hAnsi="EC Square Sans Pro"/>
          <w:noProof/>
          <w:sz w:val="24"/>
        </w:rPr>
        <w:t xml:space="preserve"> </w:t>
      </w:r>
      <w:r>
        <w:rPr>
          <w:rFonts w:ascii="Times New Roman" w:hAnsi="Times New Roman"/>
          <w:noProof/>
          <w:sz w:val="24"/>
        </w:rPr>
        <w:t xml:space="preserve">ЕС ще гарантира, че участниците са изпратени там, където техните умения са най-необходими и </w:t>
      </w:r>
      <w:r>
        <w:rPr>
          <w:rFonts w:ascii="Times New Roman" w:hAnsi="Times New Roman"/>
          <w:noProof/>
          <w:sz w:val="24"/>
        </w:rPr>
        <w:t xml:space="preserve">където ще допринесат за повишаване на местния капацитет и местното доброволчество. </w:t>
      </w:r>
    </w:p>
    <w:p w:rsidR="00691A02" w:rsidRDefault="00E236D1">
      <w:pPr>
        <w:spacing w:after="0"/>
        <w:jc w:val="both"/>
        <w:rPr>
          <w:rFonts w:ascii="Times New Roman" w:hAnsi="Times New Roman"/>
          <w:noProof/>
          <w:sz w:val="24"/>
          <w:szCs w:val="24"/>
        </w:rPr>
      </w:pPr>
      <w:r>
        <w:rPr>
          <w:rFonts w:ascii="Times New Roman" w:hAnsi="Times New Roman"/>
          <w:noProof/>
          <w:sz w:val="24"/>
        </w:rPr>
        <w:t>В края на 2014 г. бяха приети и влязоха в сила делегиран акт</w:t>
      </w:r>
      <w:r>
        <w:rPr>
          <w:rStyle w:val="FootnoteReference"/>
          <w:rFonts w:ascii="Times New Roman" w:hAnsi="Times New Roman"/>
          <w:noProof/>
          <w:sz w:val="24"/>
        </w:rPr>
        <w:footnoteReference w:id="5"/>
      </w:r>
      <w:r>
        <w:rPr>
          <w:rFonts w:ascii="Times New Roman" w:hAnsi="Times New Roman"/>
          <w:noProof/>
          <w:sz w:val="24"/>
        </w:rPr>
        <w:t xml:space="preserve"> и акт за изпълнение</w:t>
      </w:r>
      <w:r>
        <w:rPr>
          <w:rStyle w:val="FootnoteReference"/>
          <w:rFonts w:ascii="Times New Roman" w:hAnsi="Times New Roman"/>
          <w:noProof/>
          <w:sz w:val="24"/>
        </w:rPr>
        <w:footnoteReference w:id="6"/>
      </w:r>
      <w:r>
        <w:rPr>
          <w:rFonts w:ascii="Times New Roman" w:hAnsi="Times New Roman"/>
          <w:noProof/>
          <w:sz w:val="24"/>
        </w:rPr>
        <w:t xml:space="preserve">. Както се предвижда в регламента, в тези актове са посочени високи стандарти и процедури </w:t>
      </w:r>
      <w:r>
        <w:rPr>
          <w:rFonts w:ascii="Times New Roman" w:hAnsi="Times New Roman"/>
          <w:noProof/>
          <w:sz w:val="24"/>
        </w:rPr>
        <w:t xml:space="preserve">за сертифициране на изпращащите и приемащите организации, както и за подбора, обучението и изпращането на доброволците на терен. </w:t>
      </w:r>
    </w:p>
    <w:p w:rsidR="00691A02" w:rsidRDefault="00691A02">
      <w:pPr>
        <w:spacing w:after="0" w:line="240" w:lineRule="auto"/>
        <w:jc w:val="both"/>
        <w:rPr>
          <w:rFonts w:ascii="Times New Roman" w:hAnsi="Times New Roman" w:cs="Times New Roman"/>
          <w:noProof/>
          <w:sz w:val="24"/>
          <w:szCs w:val="24"/>
        </w:rPr>
      </w:pPr>
    </w:p>
    <w:p w:rsidR="00691A02" w:rsidRDefault="00E236D1">
      <w:pPr>
        <w:jc w:val="both"/>
        <w:rPr>
          <w:rFonts w:ascii="Times New Roman" w:hAnsi="Times New Roman" w:cs="Times New Roman"/>
          <w:noProof/>
          <w:sz w:val="24"/>
          <w:szCs w:val="24"/>
        </w:rPr>
      </w:pPr>
      <w:r>
        <w:rPr>
          <w:rFonts w:ascii="Times New Roman" w:hAnsi="Times New Roman"/>
          <w:noProof/>
          <w:sz w:val="24"/>
        </w:rPr>
        <w:t>На 16 юни 2014 г. Комисията прие първата годишна работна програма на инициативата „Доброволци на ЕС за хуманитарна помощ“</w:t>
      </w:r>
      <w:r>
        <w:rPr>
          <w:rStyle w:val="FootnoteReference"/>
          <w:rFonts w:ascii="Times New Roman" w:hAnsi="Times New Roman"/>
          <w:noProof/>
          <w:sz w:val="24"/>
        </w:rPr>
        <w:footnoteReference w:id="7"/>
      </w:r>
      <w:r>
        <w:rPr>
          <w:rFonts w:ascii="Times New Roman" w:hAnsi="Times New Roman"/>
          <w:noProof/>
          <w:sz w:val="24"/>
        </w:rPr>
        <w:t>. П</w:t>
      </w:r>
      <w:r>
        <w:rPr>
          <w:rFonts w:ascii="Times New Roman" w:hAnsi="Times New Roman"/>
          <w:noProof/>
          <w:sz w:val="24"/>
        </w:rPr>
        <w:t>рез 2014 г. бюджетът за изпълнението на инициативата бе определен на 12 148 000 EUR за предоставяне на техническа помощ на потенциалните изпращащи организации при тяхната подготовка за сертифициране; за изграждане на капацитет на потенциалните приемащи орг</w:t>
      </w:r>
      <w:r>
        <w:rPr>
          <w:rFonts w:ascii="Times New Roman" w:hAnsi="Times New Roman"/>
          <w:noProof/>
          <w:sz w:val="24"/>
        </w:rPr>
        <w:t>анизации от трети държави, които биха искали да участват в инициативата; стартиране на процеса на сертифициране на изпращащите и приемащите организации; разработване на техническа среда за всички свързани мерки за подкрепа и стартиране на застрахователен д</w:t>
      </w:r>
      <w:r>
        <w:rPr>
          <w:rFonts w:ascii="Times New Roman" w:hAnsi="Times New Roman"/>
          <w:noProof/>
          <w:sz w:val="24"/>
        </w:rPr>
        <w:t xml:space="preserve">оговор, който да гарантира застрахователно покритие за периода 2015—2020 г. </w:t>
      </w:r>
    </w:p>
    <w:p w:rsidR="00691A02" w:rsidRDefault="00E236D1">
      <w:pPr>
        <w:jc w:val="both"/>
        <w:rPr>
          <w:rFonts w:ascii="Times New Roman" w:hAnsi="Times New Roman" w:cs="Times New Roman"/>
          <w:noProof/>
          <w:sz w:val="24"/>
          <w:szCs w:val="24"/>
        </w:rPr>
      </w:pPr>
      <w:r>
        <w:rPr>
          <w:rFonts w:ascii="Times New Roman" w:hAnsi="Times New Roman"/>
          <w:b/>
          <w:noProof/>
          <w:sz w:val="24"/>
        </w:rPr>
        <w:t>IV. ДЕЛЕГИРАНЕ НА ЗАДАЧИ НА EACEA</w:t>
      </w:r>
    </w:p>
    <w:p w:rsidR="00691A02" w:rsidRDefault="00E236D1">
      <w:pPr>
        <w:autoSpaceDE w:val="0"/>
        <w:autoSpaceDN w:val="0"/>
        <w:adjustRightInd w:val="0"/>
        <w:spacing w:after="0"/>
        <w:jc w:val="both"/>
        <w:rPr>
          <w:rFonts w:ascii="Times New Roman" w:hAnsi="Times New Roman"/>
          <w:noProof/>
          <w:sz w:val="24"/>
        </w:rPr>
      </w:pPr>
      <w:r>
        <w:rPr>
          <w:rFonts w:ascii="Times New Roman" w:hAnsi="Times New Roman"/>
          <w:noProof/>
          <w:sz w:val="24"/>
        </w:rPr>
        <w:t>Както се предвижда в Регламент (ЕС) № 375/2014, Комисията е натоварена с изпълнението на инициативата „Доброволци на ЕС за хуманитарна помощ“ и е</w:t>
      </w:r>
      <w:r>
        <w:rPr>
          <w:rFonts w:ascii="Times New Roman" w:hAnsi="Times New Roman"/>
          <w:noProof/>
          <w:sz w:val="24"/>
        </w:rPr>
        <w:t xml:space="preserve"> делегирала определени задачи на Изпълнителната агенция за образование, аудиовизия и култура (EACEA). EACEA е изпълнителна агенция, отговорна за изпълнението на техническите аспекти на програмите на ЕС чрез покани за представяне на предложения, покани за у</w:t>
      </w:r>
      <w:r>
        <w:rPr>
          <w:rFonts w:ascii="Times New Roman" w:hAnsi="Times New Roman"/>
          <w:noProof/>
          <w:sz w:val="24"/>
        </w:rPr>
        <w:t>частие в тръжни процедури и управление на договори след това и за изпълнението на съответните бюджетни кредити</w:t>
      </w:r>
      <w:r>
        <w:rPr>
          <w:rStyle w:val="FootnoteReference"/>
          <w:rFonts w:ascii="Times New Roman" w:hAnsi="Times New Roman"/>
          <w:noProof/>
          <w:sz w:val="24"/>
        </w:rPr>
        <w:footnoteReference w:id="8"/>
      </w:r>
      <w:r>
        <w:rPr>
          <w:rFonts w:ascii="Times New Roman" w:hAnsi="Times New Roman"/>
          <w:noProof/>
          <w:sz w:val="24"/>
        </w:rPr>
        <w:t xml:space="preserve">. Това се изразява в годишни работни програми, приети от Комисията за изпълнение на решенията, в които се определят приоритетите и действията за </w:t>
      </w:r>
      <w:r>
        <w:rPr>
          <w:rFonts w:ascii="Times New Roman" w:hAnsi="Times New Roman"/>
          <w:noProof/>
          <w:sz w:val="24"/>
        </w:rPr>
        <w:t>всяка година, и които служат за основа за поканите за представяне на предложения и оферти, управлявани от EACEA. По отношение на оперативното управление Комисията чрез ръководната Генерална дирекция „Хуманитарна помощ и гражданска защита“ е пряко отговорна</w:t>
      </w:r>
      <w:r>
        <w:rPr>
          <w:rFonts w:ascii="Times New Roman" w:hAnsi="Times New Roman"/>
          <w:noProof/>
          <w:sz w:val="24"/>
        </w:rPr>
        <w:t xml:space="preserve"> за създаването на Мрежата за инициативата „Доброволци на ЕС за хуманитарна помощ“, централната интернет платформа, която ще бъде разработена през 2015 г., и за комуникациите. Условията и процедурите на взаимодействие се уреждат от меморандуми за разбирате</w:t>
      </w:r>
      <w:r>
        <w:rPr>
          <w:rFonts w:ascii="Times New Roman" w:hAnsi="Times New Roman"/>
          <w:noProof/>
          <w:sz w:val="24"/>
        </w:rPr>
        <w:t>лство между ГД „Хуманитарна помощ и гражданска защита“ и EACEA.</w:t>
      </w:r>
    </w:p>
    <w:p w:rsidR="00691A02" w:rsidRDefault="00691A02">
      <w:pPr>
        <w:autoSpaceDE w:val="0"/>
        <w:autoSpaceDN w:val="0"/>
        <w:adjustRightInd w:val="0"/>
        <w:spacing w:after="0" w:line="240" w:lineRule="auto"/>
        <w:rPr>
          <w:rFonts w:ascii="Calibri,BoldItalic" w:hAnsi="Calibri,BoldItalic" w:cs="Calibri,BoldItalic"/>
          <w:b/>
          <w:bCs/>
          <w:i/>
          <w:iCs/>
          <w:noProof/>
          <w:sz w:val="26"/>
          <w:szCs w:val="26"/>
        </w:rPr>
      </w:pPr>
    </w:p>
    <w:p w:rsidR="00691A02" w:rsidRDefault="00E236D1">
      <w:pPr>
        <w:jc w:val="both"/>
        <w:rPr>
          <w:rFonts w:ascii="Times New Roman" w:hAnsi="Times New Roman" w:cs="Times New Roman"/>
          <w:noProof/>
          <w:sz w:val="24"/>
          <w:szCs w:val="24"/>
        </w:rPr>
      </w:pPr>
      <w:r>
        <w:rPr>
          <w:rFonts w:ascii="Times New Roman" w:hAnsi="Times New Roman"/>
          <w:b/>
          <w:noProof/>
          <w:sz w:val="24"/>
        </w:rPr>
        <w:t>V. ДЕЙНОСТИ, ОСЪЩЕСТВЕНИ ПРЕЗ 2014 г.</w:t>
      </w:r>
    </w:p>
    <w:p w:rsidR="00691A02" w:rsidRDefault="00E236D1">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На 31 декември 2014 г. беше публикувана открита покана за представяне на оферти за застраховане, чиято цел е да се гарантира, че доброволците, участващи </w:t>
      </w:r>
      <w:r>
        <w:rPr>
          <w:rFonts w:ascii="Times New Roman" w:hAnsi="Times New Roman"/>
          <w:noProof/>
          <w:sz w:val="24"/>
        </w:rPr>
        <w:t xml:space="preserve">в инициативата „Доброволци на ЕС за хуманитарна помощ“, са обхванати от цялостен застрахователен план, изготвен специално за тяхната защита по време на целия срок на престоя им на място (дейност 3 от годишната работна програма за 2014 г.). </w:t>
      </w:r>
    </w:p>
    <w:p w:rsidR="00691A02" w:rsidRDefault="00691A02">
      <w:pPr>
        <w:autoSpaceDE w:val="0"/>
        <w:autoSpaceDN w:val="0"/>
        <w:adjustRightInd w:val="0"/>
        <w:spacing w:after="0"/>
        <w:jc w:val="both"/>
        <w:rPr>
          <w:rFonts w:ascii="Times New Roman" w:hAnsi="Times New Roman" w:cs="Times New Roman"/>
          <w:noProof/>
          <w:sz w:val="24"/>
          <w:szCs w:val="24"/>
        </w:rPr>
      </w:pPr>
    </w:p>
    <w:p w:rsidR="00691A02" w:rsidRDefault="00E236D1">
      <w:pPr>
        <w:jc w:val="both"/>
        <w:rPr>
          <w:noProof/>
        </w:rPr>
      </w:pPr>
      <w:r>
        <w:rPr>
          <w:rFonts w:ascii="Times New Roman" w:hAnsi="Times New Roman"/>
          <w:noProof/>
          <w:sz w:val="24"/>
        </w:rPr>
        <w:t xml:space="preserve">В началото на </w:t>
      </w:r>
      <w:r>
        <w:rPr>
          <w:rFonts w:ascii="Times New Roman" w:hAnsi="Times New Roman"/>
          <w:noProof/>
          <w:sz w:val="24"/>
        </w:rPr>
        <w:t>2015 г. бяха изпълнени всички необходими действия, за да се гарантира публикуването на покана за представяне на предложения за техническа помощ за изпращащите организации и за изграждане на капацитет в областта на хуманитарната помощ на приемащите организа</w:t>
      </w:r>
      <w:r>
        <w:rPr>
          <w:rFonts w:ascii="Times New Roman" w:hAnsi="Times New Roman"/>
          <w:noProof/>
          <w:sz w:val="24"/>
        </w:rPr>
        <w:t>ции (действие 1) и покана за представяне на кандидатури за сертифициране на изпращащите и приемащите организации, които желаят да участват в инициативата „Доброволци на ЕС за хуманитарна помощ“ (действие 2)</w:t>
      </w:r>
      <w:r>
        <w:rPr>
          <w:rStyle w:val="FootnoteReference"/>
          <w:rFonts w:ascii="Times New Roman" w:hAnsi="Times New Roman"/>
          <w:noProof/>
          <w:sz w:val="24"/>
        </w:rPr>
        <w:footnoteReference w:id="9"/>
      </w:r>
      <w:r>
        <w:rPr>
          <w:rFonts w:ascii="Times New Roman" w:hAnsi="Times New Roman"/>
          <w:noProof/>
          <w:sz w:val="24"/>
        </w:rPr>
        <w:t xml:space="preserve">. </w:t>
      </w:r>
    </w:p>
    <w:p w:rsidR="00691A02" w:rsidRDefault="00E236D1">
      <w:pPr>
        <w:jc w:val="both"/>
        <w:rPr>
          <w:rFonts w:ascii="Times New Roman" w:hAnsi="Times New Roman" w:cs="Times New Roman"/>
          <w:noProof/>
          <w:sz w:val="24"/>
          <w:szCs w:val="24"/>
        </w:rPr>
      </w:pPr>
      <w:r>
        <w:rPr>
          <w:rFonts w:ascii="Times New Roman" w:hAnsi="Times New Roman"/>
          <w:noProof/>
          <w:sz w:val="24"/>
        </w:rPr>
        <w:t xml:space="preserve">Инициативата „Доброволци на ЕС за хуманитарна </w:t>
      </w:r>
      <w:r>
        <w:rPr>
          <w:rFonts w:ascii="Times New Roman" w:hAnsi="Times New Roman"/>
          <w:noProof/>
          <w:sz w:val="24"/>
        </w:rPr>
        <w:t>помощ“ дава допълнителна възможност да се открои значението и въздействието на доброволчеството и да се изрази чрез действия солидарността на ЕС с общностите в държави, засегнати от бедствие. Целта на мерките за подпомагане на свързването в мрежа и комуник</w:t>
      </w:r>
      <w:r>
        <w:rPr>
          <w:rFonts w:ascii="Times New Roman" w:hAnsi="Times New Roman"/>
          <w:noProof/>
          <w:sz w:val="24"/>
        </w:rPr>
        <w:t>ацията (действие 4) е повишаване на осведомеността, насърчаване на участието, създаването на нови възможности за участие и подкрепа за изграждането на мрежа между участниците. През 2014 г. службите на Комисията и EACEA подготвиха също така Ден за информаци</w:t>
      </w:r>
      <w:r>
        <w:rPr>
          <w:rFonts w:ascii="Times New Roman" w:hAnsi="Times New Roman"/>
          <w:noProof/>
          <w:sz w:val="24"/>
        </w:rPr>
        <w:t xml:space="preserve">я и контакти, който се проведе през януари 2015 г. Целта на тази проява бе да се обяснят на бъдещите партньори — изпълнителни организации, възможностите, предоставени по инициативата „Доброволци на ЕС за хуманитарна помощ“, и да се стартират дейностите на </w:t>
      </w:r>
      <w:r>
        <w:rPr>
          <w:rFonts w:ascii="Times New Roman" w:hAnsi="Times New Roman"/>
          <w:noProof/>
          <w:sz w:val="24"/>
        </w:rPr>
        <w:t>инициативата (покана за представяне на предложения за техническа помощ и изграждане на капацитет и покана за представяне на кандидатури за сертифициране на изпращащите и приемащите организации).</w:t>
      </w:r>
    </w:p>
    <w:p w:rsidR="00691A02" w:rsidRDefault="00E236D1">
      <w:pPr>
        <w:jc w:val="both"/>
        <w:rPr>
          <w:rFonts w:ascii="Times New Roman" w:hAnsi="Times New Roman" w:cs="Times New Roman"/>
          <w:noProof/>
          <w:sz w:val="24"/>
          <w:szCs w:val="24"/>
        </w:rPr>
      </w:pPr>
      <w:r>
        <w:rPr>
          <w:rFonts w:ascii="Times New Roman" w:hAnsi="Times New Roman"/>
          <w:noProof/>
          <w:sz w:val="24"/>
        </w:rPr>
        <w:t xml:space="preserve">На интернет страницата на доброволците на ЕС за хуманитарна </w:t>
      </w:r>
      <w:r>
        <w:rPr>
          <w:rFonts w:ascii="Times New Roman" w:hAnsi="Times New Roman"/>
          <w:noProof/>
          <w:sz w:val="24"/>
        </w:rPr>
        <w:t>помощ на уебсайта на ГД „Хуманитарна помощ и гражданска защита“</w:t>
      </w:r>
      <w:r>
        <w:rPr>
          <w:rStyle w:val="FootnoteReference"/>
          <w:rFonts w:ascii="Times New Roman" w:hAnsi="Times New Roman"/>
          <w:noProof/>
          <w:sz w:val="24"/>
        </w:rPr>
        <w:footnoteReference w:id="10"/>
      </w:r>
      <w:r>
        <w:rPr>
          <w:rFonts w:ascii="Times New Roman" w:hAnsi="Times New Roman"/>
          <w:noProof/>
          <w:sz w:val="24"/>
        </w:rPr>
        <w:t xml:space="preserve"> ще продължи публикуването на информация за инициативата и на комуникационни продукти като блогове на доброволци, статии и видео материали. Платформа за инициативата ще предоставя допълнителна</w:t>
      </w:r>
      <w:r>
        <w:rPr>
          <w:rFonts w:ascii="Times New Roman" w:hAnsi="Times New Roman"/>
          <w:noProof/>
          <w:sz w:val="24"/>
        </w:rPr>
        <w:t xml:space="preserve"> информация за доброволците и за участващите организации, пространство за онлайн наставничество на доброволците, доброволчески дейности онлайн и възможности за изграждане на мрежи както на доброволци, така и на организации. Конкретните дейности, предвидени</w:t>
      </w:r>
      <w:r>
        <w:rPr>
          <w:rFonts w:ascii="Times New Roman" w:hAnsi="Times New Roman"/>
          <w:noProof/>
          <w:sz w:val="24"/>
        </w:rPr>
        <w:t xml:space="preserve"> за 2015 г., включват конференция за извличане на опит от пилотната фаза за следващите етапи на инициативата, разработване на платформата и проява във връзка със стартирането.</w:t>
      </w:r>
    </w:p>
    <w:p w:rsidR="00691A02" w:rsidRDefault="00E236D1">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Резултатите от тези дейности в рамките на действията на годишната работна програ</w:t>
      </w:r>
      <w:r>
        <w:rPr>
          <w:rFonts w:ascii="Times New Roman" w:hAnsi="Times New Roman"/>
          <w:noProof/>
          <w:sz w:val="24"/>
        </w:rPr>
        <w:t>ма ще бъдат представени в следващия годишен доклад.</w:t>
      </w:r>
    </w:p>
    <w:p w:rsidR="00691A02" w:rsidRDefault="00691A02">
      <w:pPr>
        <w:autoSpaceDE w:val="0"/>
        <w:autoSpaceDN w:val="0"/>
        <w:adjustRightInd w:val="0"/>
        <w:spacing w:after="0"/>
        <w:jc w:val="both"/>
        <w:rPr>
          <w:rFonts w:ascii="Times New Roman" w:hAnsi="Times New Roman" w:cs="Times New Roman"/>
          <w:noProof/>
          <w:sz w:val="24"/>
          <w:szCs w:val="24"/>
        </w:rPr>
      </w:pPr>
    </w:p>
    <w:p w:rsidR="00691A02" w:rsidRDefault="00E236D1">
      <w:pPr>
        <w:jc w:val="both"/>
        <w:rPr>
          <w:rFonts w:ascii="Times New Roman" w:hAnsi="Times New Roman" w:cs="Times New Roman"/>
          <w:b/>
          <w:noProof/>
          <w:sz w:val="24"/>
          <w:szCs w:val="24"/>
        </w:rPr>
      </w:pPr>
      <w:r>
        <w:rPr>
          <w:rFonts w:ascii="Times New Roman" w:hAnsi="Times New Roman"/>
          <w:b/>
          <w:noProof/>
          <w:sz w:val="24"/>
        </w:rPr>
        <w:t>VI. ЗАКЛЮЧЕНИЕ И СЛЕДВАЩИ СТЪПКИ</w:t>
      </w:r>
    </w:p>
    <w:p w:rsidR="00691A02" w:rsidRDefault="00E236D1">
      <w:pPr>
        <w:pStyle w:val="Default"/>
        <w:spacing w:line="276" w:lineRule="auto"/>
        <w:jc w:val="both"/>
        <w:rPr>
          <w:noProof/>
        </w:rPr>
      </w:pPr>
      <w:r>
        <w:rPr>
          <w:noProof/>
        </w:rPr>
        <w:t>2014 година беше много важна година за инициативата „Доброволци на ЕС за хуманитарна помощ“, тъй като беше прието правното основание, последвано от административни и орга</w:t>
      </w:r>
      <w:r>
        <w:rPr>
          <w:noProof/>
        </w:rPr>
        <w:t>низационни дейности, което създаде солидна основа и благоприятни условия за установяването и разрастването на инициативата. Поради необходимостта от приемане на делегирани актове и актове за изпълнение 2014 година беше главно година на законодателни и подг</w:t>
      </w:r>
      <w:r>
        <w:rPr>
          <w:noProof/>
        </w:rPr>
        <w:t>отвителни мерки. 2014 година отбеляза също така изпълнението на последната година на пилотното действие, от което бяха извлечени важни поуки, които вече бяха включени в общите действия на законодателството.</w:t>
      </w:r>
    </w:p>
    <w:p w:rsidR="00691A02" w:rsidRDefault="00691A02">
      <w:pPr>
        <w:contextualSpacing/>
        <w:jc w:val="both"/>
        <w:outlineLvl w:val="0"/>
        <w:rPr>
          <w:rFonts w:ascii="Times New Roman" w:hAnsi="Times New Roman" w:cs="Times New Roman"/>
          <w:noProof/>
          <w:sz w:val="24"/>
          <w:szCs w:val="24"/>
        </w:rPr>
      </w:pPr>
    </w:p>
    <w:p w:rsidR="00691A02" w:rsidRDefault="00E236D1">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Инициативата „Доброволци на ЕС за хуманитарна по</w:t>
      </w:r>
      <w:r>
        <w:rPr>
          <w:rFonts w:ascii="Times New Roman" w:hAnsi="Times New Roman"/>
          <w:noProof/>
          <w:sz w:val="24"/>
        </w:rPr>
        <w:t>мощ“ е на път да изпълни своите многогодишни цели. След приемането на горепосочените правни актове бяха подготвени всички действия за стартирането през 2015 г. на: сертифицирането на изпращащите и приемащите организации, които желаят да участват в инициати</w:t>
      </w:r>
      <w:r>
        <w:rPr>
          <w:rFonts w:ascii="Times New Roman" w:hAnsi="Times New Roman"/>
          <w:noProof/>
          <w:sz w:val="24"/>
        </w:rPr>
        <w:t>вата „Доброволци на ЕС за хуманитарна помощ“, изграждането на капацитета на приемащите организации и техническа помощ за изпращащите организации, всеобхватната застрахователна схема за доброволците, обучението преди изпращането на терен за всички доброволц</w:t>
      </w:r>
      <w:r>
        <w:rPr>
          <w:rFonts w:ascii="Times New Roman" w:hAnsi="Times New Roman"/>
          <w:noProof/>
          <w:sz w:val="24"/>
        </w:rPr>
        <w:t>и, изпращането на терен на доброволци от сертифицирани организации. Първите свободни места за доброволци ще бъдат на разположение в началото на 2016 г.</w:t>
      </w:r>
    </w:p>
    <w:p w:rsidR="00691A02" w:rsidRDefault="00691A02">
      <w:pPr>
        <w:autoSpaceDE w:val="0"/>
        <w:autoSpaceDN w:val="0"/>
        <w:adjustRightInd w:val="0"/>
        <w:spacing w:after="0"/>
        <w:jc w:val="both"/>
        <w:rPr>
          <w:rFonts w:ascii="Times New Roman" w:hAnsi="Times New Roman" w:cs="Times New Roman"/>
          <w:noProof/>
          <w:sz w:val="24"/>
          <w:szCs w:val="24"/>
        </w:rPr>
      </w:pPr>
    </w:p>
    <w:p w:rsidR="00691A02" w:rsidRDefault="00E236D1">
      <w:pPr>
        <w:pStyle w:val="Default"/>
        <w:spacing w:line="276" w:lineRule="auto"/>
        <w:jc w:val="both"/>
        <w:rPr>
          <w:noProof/>
        </w:rPr>
      </w:pPr>
      <w:r>
        <w:rPr>
          <w:noProof/>
        </w:rPr>
        <w:t xml:space="preserve">Комисията ще продължи да насърчава инициативата „Доброволци на ЕС за хуманитарна помощ“ и да инвестира </w:t>
      </w:r>
      <w:r>
        <w:rPr>
          <w:noProof/>
        </w:rPr>
        <w:t>в ползотворно информиране с цел повишаване на осведомеността и събирането на информация от извлечените поуки. Планирано е провеждането на редица дейности, сред които конференция за отбелязване на приключването на подготвителните действия със завръщането на</w:t>
      </w:r>
      <w:r>
        <w:rPr>
          <w:noProof/>
        </w:rPr>
        <w:t xml:space="preserve"> доброволците от окончателната фаза на пилотни проекти и събитие с голяма видимост за стартиране на изпращането на доброволци на терен.</w:t>
      </w:r>
    </w:p>
    <w:p w:rsidR="00691A02" w:rsidRDefault="00691A02">
      <w:pPr>
        <w:pStyle w:val="Default"/>
        <w:spacing w:line="276" w:lineRule="auto"/>
        <w:jc w:val="both"/>
        <w:rPr>
          <w:bCs/>
          <w:noProof/>
        </w:rPr>
      </w:pPr>
    </w:p>
    <w:p w:rsidR="00691A02" w:rsidRDefault="00E236D1">
      <w:pPr>
        <w:jc w:val="both"/>
        <w:rPr>
          <w:rFonts w:ascii="Times New Roman" w:hAnsi="Times New Roman" w:cs="Times New Roman"/>
          <w:noProof/>
          <w:sz w:val="24"/>
          <w:szCs w:val="24"/>
        </w:rPr>
      </w:pPr>
      <w:r>
        <w:rPr>
          <w:rFonts w:ascii="Times New Roman" w:hAnsi="Times New Roman"/>
          <w:noProof/>
          <w:sz w:val="24"/>
        </w:rPr>
        <w:t xml:space="preserve">Повече информация относно инициативата „Доброволци на ЕС за хуманитарна помощ“ може да бъде намерена на следния адрес: </w:t>
      </w:r>
    </w:p>
    <w:p w:rsidR="00691A02" w:rsidRDefault="00E236D1">
      <w:pPr>
        <w:jc w:val="both"/>
        <w:rPr>
          <w:rFonts w:ascii="Times New Roman" w:hAnsi="Times New Roman" w:cs="Times New Roman"/>
          <w:noProof/>
          <w:sz w:val="24"/>
          <w:szCs w:val="24"/>
        </w:rPr>
      </w:pPr>
      <w:hyperlink r:id="rId16">
        <w:r>
          <w:rPr>
            <w:rStyle w:val="Hyperlink"/>
            <w:rFonts w:ascii="Times New Roman" w:hAnsi="Times New Roman"/>
            <w:noProof/>
            <w:sz w:val="24"/>
          </w:rPr>
          <w:t>http://ec.europa.eu/echo/what/humanitarian-aid/eu-aid-volunteers_en</w:t>
        </w:r>
      </w:hyperlink>
      <w:r>
        <w:rPr>
          <w:rFonts w:ascii="Times New Roman" w:hAnsi="Times New Roman"/>
          <w:noProof/>
          <w:sz w:val="24"/>
        </w:rPr>
        <w:t xml:space="preserve"> </w:t>
      </w:r>
    </w:p>
    <w:sectPr w:rsidR="00691A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02" w:rsidRDefault="00E236D1">
      <w:pPr>
        <w:spacing w:after="0" w:line="240" w:lineRule="auto"/>
      </w:pPr>
      <w:r>
        <w:separator/>
      </w:r>
    </w:p>
  </w:endnote>
  <w:endnote w:type="continuationSeparator" w:id="0">
    <w:p w:rsidR="00691A02" w:rsidRDefault="00E2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D1" w:rsidRPr="00E236D1" w:rsidRDefault="00E236D1" w:rsidP="00E23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D1" w:rsidRPr="00E236D1" w:rsidRDefault="00E236D1" w:rsidP="00E236D1">
    <w:pPr>
      <w:pStyle w:val="FooterCoverPage"/>
      <w:rPr>
        <w:rFonts w:ascii="Arial" w:hAnsi="Arial" w:cs="Arial"/>
        <w:b/>
        <w:sz w:val="48"/>
      </w:rPr>
    </w:pPr>
    <w:r w:rsidRPr="00E236D1">
      <w:rPr>
        <w:rFonts w:ascii="Arial" w:hAnsi="Arial" w:cs="Arial"/>
        <w:b/>
        <w:sz w:val="48"/>
      </w:rPr>
      <w:t>BG</w:t>
    </w:r>
    <w:r w:rsidRPr="00E236D1">
      <w:rPr>
        <w:rFonts w:ascii="Arial" w:hAnsi="Arial" w:cs="Arial"/>
        <w:b/>
        <w:sz w:val="48"/>
      </w:rPr>
      <w:tab/>
    </w:r>
    <w:r w:rsidRPr="00E236D1">
      <w:rPr>
        <w:rFonts w:ascii="Arial" w:hAnsi="Arial" w:cs="Arial"/>
        <w:b/>
        <w:sz w:val="48"/>
      </w:rPr>
      <w:tab/>
    </w:r>
    <w:fldSimple w:instr=" DOCVARIABLE &quot;LW_Confidence&quot; \* MERGEFORMAT ">
      <w:r>
        <w:t xml:space="preserve"> </w:t>
      </w:r>
    </w:fldSimple>
    <w:r w:rsidRPr="00E236D1">
      <w:tab/>
    </w:r>
    <w:r w:rsidRPr="00E236D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D1" w:rsidRPr="00E236D1" w:rsidRDefault="00E236D1" w:rsidP="00E236D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02" w:rsidRDefault="00691A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306536"/>
      <w:docPartObj>
        <w:docPartGallery w:val="Page Numbers (Bottom of Page)"/>
        <w:docPartUnique/>
      </w:docPartObj>
    </w:sdtPr>
    <w:sdtEndPr>
      <w:rPr>
        <w:noProof/>
      </w:rPr>
    </w:sdtEndPr>
    <w:sdtContent>
      <w:p w:rsidR="00691A02" w:rsidRDefault="00E236D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691A02" w:rsidRDefault="00691A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02" w:rsidRDefault="00691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02" w:rsidRDefault="00E236D1">
      <w:pPr>
        <w:spacing w:after="0" w:line="240" w:lineRule="auto"/>
      </w:pPr>
      <w:r>
        <w:separator/>
      </w:r>
    </w:p>
  </w:footnote>
  <w:footnote w:type="continuationSeparator" w:id="0">
    <w:p w:rsidR="00691A02" w:rsidRDefault="00E236D1">
      <w:pPr>
        <w:spacing w:after="0" w:line="240" w:lineRule="auto"/>
      </w:pPr>
      <w:r>
        <w:continuationSeparator/>
      </w:r>
    </w:p>
  </w:footnote>
  <w:footnote w:id="1">
    <w:p w:rsidR="00691A02" w:rsidRDefault="00E236D1">
      <w:pPr>
        <w:pStyle w:val="FootnoteText"/>
        <w:ind w:left="0" w:firstLine="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Член 214, параграф 5 от Договора за функционирането на Европейския съюз: „</w:t>
      </w:r>
      <w:r>
        <w:rPr>
          <w:rFonts w:ascii="Times New Roman" w:hAnsi="Times New Roman"/>
          <w:color w:val="000000"/>
          <w:sz w:val="16"/>
          <w:szCs w:val="16"/>
        </w:rPr>
        <w:t>С цел установяването на рамка за съвместен принос на младите европейски граждани към действията на Съюза в областта на хуманитарната помощ, се създава Европейски доброволен корпус з</w:t>
      </w:r>
      <w:r>
        <w:rPr>
          <w:rFonts w:ascii="Times New Roman" w:hAnsi="Times New Roman"/>
          <w:color w:val="000000"/>
          <w:sz w:val="16"/>
          <w:szCs w:val="16"/>
        </w:rPr>
        <w:t>а хуманитарна помощ. Европейският парламент и Съветът, като действат чрез регламенти, в съответствие с обикновената законодателна процедура, определят статута, реда и условията на неговото функциониране.</w:t>
      </w:r>
      <w:r>
        <w:rPr>
          <w:rFonts w:ascii="Times New Roman" w:hAnsi="Times New Roman"/>
          <w:sz w:val="16"/>
          <w:szCs w:val="16"/>
        </w:rPr>
        <w:t>“</w:t>
      </w:r>
    </w:p>
  </w:footnote>
  <w:footnote w:id="2">
    <w:p w:rsidR="00691A02" w:rsidRDefault="00E236D1">
      <w:pPr>
        <w:pStyle w:val="FootnoteText"/>
        <w:ind w:left="0" w:firstLine="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Регламент (ЕС) №</w:t>
      </w:r>
      <w:r>
        <w:rPr>
          <w:rFonts w:ascii="Times New Roman" w:hAnsi="Times New Roman"/>
          <w:sz w:val="16"/>
          <w:szCs w:val="16"/>
          <w:lang w:val="en-GB"/>
        </w:rPr>
        <w:t> </w:t>
      </w:r>
      <w:r>
        <w:rPr>
          <w:rFonts w:ascii="Times New Roman" w:hAnsi="Times New Roman"/>
          <w:sz w:val="16"/>
          <w:szCs w:val="16"/>
        </w:rPr>
        <w:t xml:space="preserve">375/2014 на Европейския </w:t>
      </w:r>
      <w:r>
        <w:rPr>
          <w:rFonts w:ascii="Times New Roman" w:hAnsi="Times New Roman"/>
          <w:sz w:val="16"/>
          <w:szCs w:val="16"/>
        </w:rPr>
        <w:t>парламент и на Съвета от 3 април 2014</w:t>
      </w:r>
      <w:r>
        <w:rPr>
          <w:rFonts w:ascii="Times New Roman" w:hAnsi="Times New Roman"/>
          <w:sz w:val="16"/>
          <w:szCs w:val="16"/>
          <w:lang w:val="en-GB"/>
        </w:rPr>
        <w:t> </w:t>
      </w:r>
      <w:r>
        <w:rPr>
          <w:rFonts w:ascii="Times New Roman" w:hAnsi="Times New Roman"/>
          <w:sz w:val="16"/>
          <w:szCs w:val="16"/>
        </w:rPr>
        <w:t>г. за създаване на Европейския доброволчески корпус за хуманитарна помощ (инициатива „Доброволци на ЕС за хуманитарна помощ“) (ОВ L 122, 24.4.2014 г., стр.</w:t>
      </w:r>
      <w:r>
        <w:rPr>
          <w:rFonts w:ascii="Times New Roman" w:hAnsi="Times New Roman"/>
          <w:sz w:val="16"/>
          <w:szCs w:val="16"/>
          <w:lang w:val="en-GB"/>
        </w:rPr>
        <w:t> </w:t>
      </w:r>
      <w:r>
        <w:rPr>
          <w:rFonts w:ascii="Times New Roman" w:hAnsi="Times New Roman"/>
          <w:sz w:val="16"/>
          <w:szCs w:val="16"/>
        </w:rPr>
        <w:t>1).</w:t>
      </w:r>
    </w:p>
  </w:footnote>
  <w:footnote w:id="3">
    <w:p w:rsidR="00691A02" w:rsidRDefault="00E236D1">
      <w:pPr>
        <w:pStyle w:val="Default"/>
        <w:spacing w:before="100" w:beforeAutospacing="1"/>
        <w:jc w:val="both"/>
        <w:rPr>
          <w:sz w:val="16"/>
          <w:szCs w:val="16"/>
        </w:rPr>
      </w:pPr>
      <w:r>
        <w:rPr>
          <w:rStyle w:val="FootnoteReference"/>
          <w:sz w:val="16"/>
          <w:szCs w:val="16"/>
        </w:rPr>
        <w:footnoteRef/>
      </w:r>
      <w:r>
        <w:rPr>
          <w:sz w:val="16"/>
          <w:szCs w:val="16"/>
        </w:rPr>
        <w:t xml:space="preserve"> Пилотното действие беше оценено от независим оценител: </w:t>
      </w:r>
    </w:p>
    <w:p w:rsidR="00691A02" w:rsidRDefault="00E236D1">
      <w:pPr>
        <w:pStyle w:val="Default"/>
        <w:jc w:val="both"/>
        <w:rPr>
          <w:sz w:val="16"/>
          <w:szCs w:val="16"/>
        </w:rPr>
      </w:pPr>
      <w:hyperlink r:id="rId1">
        <w:r>
          <w:rPr>
            <w:rStyle w:val="Hyperlink"/>
            <w:sz w:val="16"/>
            <w:szCs w:val="16"/>
          </w:rPr>
          <w:t>http://ec.europa.eu/echo/files/evaluation/2014/pilot_project_euaidvolunteers_final_report_en.pdf</w:t>
        </w:r>
      </w:hyperlink>
    </w:p>
  </w:footnote>
  <w:footnote w:id="4">
    <w:p w:rsidR="00691A02" w:rsidRDefault="00E236D1">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
        <w:r>
          <w:rPr>
            <w:rStyle w:val="Hyperlink"/>
            <w:rFonts w:ascii="Times New Roman" w:hAnsi="Times New Roman"/>
            <w:sz w:val="16"/>
            <w:szCs w:val="16"/>
          </w:rPr>
          <w:t>http://ec.europa.eu/echo/files/euaidvolunteers/EUAV_Study_Needs_Assessment_en.pdf</w:t>
        </w:r>
      </w:hyperlink>
      <w:r>
        <w:rPr>
          <w:rFonts w:ascii="Times New Roman" w:hAnsi="Times New Roman"/>
          <w:sz w:val="16"/>
          <w:szCs w:val="16"/>
        </w:rPr>
        <w:t xml:space="preserve"> </w:t>
      </w:r>
    </w:p>
  </w:footnote>
  <w:footnote w:id="5">
    <w:p w:rsidR="00691A02" w:rsidRDefault="00E236D1">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Делегиран регламент (ЕС) №</w:t>
      </w:r>
      <w:r>
        <w:rPr>
          <w:rFonts w:ascii="Times New Roman" w:hAnsi="Times New Roman" w:cs="Times New Roman"/>
          <w:sz w:val="16"/>
          <w:szCs w:val="16"/>
          <w:lang w:val="en-GB"/>
        </w:rPr>
        <w:t> </w:t>
      </w:r>
      <w:r>
        <w:rPr>
          <w:rFonts w:ascii="Times New Roman" w:hAnsi="Times New Roman" w:cs="Times New Roman"/>
          <w:sz w:val="16"/>
          <w:szCs w:val="16"/>
        </w:rPr>
        <w:t>1398/2014 на Комисията от 24 октомври 2014</w:t>
      </w:r>
      <w:r>
        <w:rPr>
          <w:rFonts w:ascii="Times New Roman" w:hAnsi="Times New Roman" w:cs="Times New Roman"/>
          <w:sz w:val="16"/>
          <w:szCs w:val="16"/>
          <w:lang w:val="en-GB"/>
        </w:rPr>
        <w:t> </w:t>
      </w:r>
      <w:r>
        <w:rPr>
          <w:rFonts w:ascii="Times New Roman" w:hAnsi="Times New Roman" w:cs="Times New Roman"/>
          <w:sz w:val="16"/>
          <w:szCs w:val="16"/>
        </w:rPr>
        <w:t xml:space="preserve">г. за определяне на стандарти по отношение на кандидатите за доброволци и доброволците на ЕС за хуманитарна помощ (OВ L 373, 31.12.2014 г., стp. 8). </w:t>
      </w:r>
    </w:p>
  </w:footnote>
  <w:footnote w:id="6">
    <w:p w:rsidR="00691A02" w:rsidRDefault="00E236D1">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Регламент за изпълнение (ЕС) №</w:t>
      </w:r>
      <w:r>
        <w:rPr>
          <w:rFonts w:ascii="Times New Roman" w:hAnsi="Times New Roman" w:cs="Times New Roman"/>
          <w:sz w:val="16"/>
          <w:szCs w:val="16"/>
          <w:lang w:val="en-GB"/>
        </w:rPr>
        <w:t> </w:t>
      </w:r>
      <w:r>
        <w:rPr>
          <w:rFonts w:ascii="Times New Roman" w:hAnsi="Times New Roman" w:cs="Times New Roman"/>
          <w:sz w:val="16"/>
          <w:szCs w:val="16"/>
        </w:rPr>
        <w:t>1244/2014 на Комисията от 20 ноември 2014</w:t>
      </w:r>
      <w:r>
        <w:rPr>
          <w:rFonts w:ascii="Times New Roman" w:hAnsi="Times New Roman" w:cs="Times New Roman"/>
          <w:sz w:val="16"/>
          <w:szCs w:val="16"/>
          <w:lang w:val="en-GB"/>
        </w:rPr>
        <w:t> </w:t>
      </w:r>
      <w:r>
        <w:rPr>
          <w:rFonts w:ascii="Times New Roman" w:hAnsi="Times New Roman" w:cs="Times New Roman"/>
          <w:sz w:val="16"/>
          <w:szCs w:val="16"/>
        </w:rPr>
        <w:t>г. за определяне на правилата з</w:t>
      </w:r>
      <w:r>
        <w:rPr>
          <w:rFonts w:ascii="Times New Roman" w:hAnsi="Times New Roman" w:cs="Times New Roman"/>
          <w:sz w:val="16"/>
          <w:szCs w:val="16"/>
        </w:rPr>
        <w:t>а изпълнение на Регламент (ЕС) №</w:t>
      </w:r>
      <w:r>
        <w:rPr>
          <w:rFonts w:ascii="Times New Roman" w:hAnsi="Times New Roman" w:cs="Times New Roman"/>
          <w:sz w:val="16"/>
          <w:szCs w:val="16"/>
          <w:lang w:val="en-GB"/>
        </w:rPr>
        <w:t> </w:t>
      </w:r>
      <w:r>
        <w:rPr>
          <w:rFonts w:ascii="Times New Roman" w:hAnsi="Times New Roman" w:cs="Times New Roman"/>
          <w:sz w:val="16"/>
          <w:szCs w:val="16"/>
        </w:rPr>
        <w:t xml:space="preserve">375/2014 на Европейския парламент и на Съвета за създаване на Европейския доброволчески корпус за хуманитарна помощ (инициатива „Доброволци на ЕС за хуманитарна помощ“) (OВ L 334, 21.11.2014 г., стp. 52). </w:t>
      </w:r>
    </w:p>
  </w:footnote>
  <w:footnote w:id="7">
    <w:p w:rsidR="00691A02" w:rsidRDefault="00E236D1">
      <w:pPr>
        <w:pStyle w:val="FootnoteText"/>
        <w:ind w:left="0" w:firstLine="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Решение за изпъ</w:t>
      </w:r>
      <w:r>
        <w:rPr>
          <w:rFonts w:ascii="Times New Roman" w:hAnsi="Times New Roman"/>
          <w:sz w:val="16"/>
          <w:szCs w:val="16"/>
        </w:rPr>
        <w:t>лнение на Комисията C(2014)3872 от 16.6.2014 г. относно приемането на работната програма за 2014 г. и финансирането за изпълнението на инициативата „Доброволци на ЕС за хуманитарна помощ“</w:t>
      </w:r>
      <w:r>
        <w:rPr>
          <w:rStyle w:val="Hyperlink"/>
          <w:rFonts w:ascii="Times New Roman" w:hAnsi="Times New Roman"/>
          <w:sz w:val="16"/>
          <w:szCs w:val="16"/>
        </w:rPr>
        <w:t>.</w:t>
      </w:r>
    </w:p>
  </w:footnote>
  <w:footnote w:id="8">
    <w:p w:rsidR="00691A02" w:rsidRDefault="00E236D1">
      <w:pPr>
        <w:pStyle w:val="FootnoteText"/>
        <w:ind w:left="0" w:firstLine="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Решение C(2013)9189 на Комисията от 18.12.2013 г. за делегиране н</w:t>
      </w:r>
      <w:r>
        <w:rPr>
          <w:rFonts w:ascii="Times New Roman" w:hAnsi="Times New Roman"/>
          <w:sz w:val="16"/>
          <w:szCs w:val="16"/>
        </w:rPr>
        <w:t>а правомощия на Изпълнителната агенция за образование, аудиовизия и култура с цел изпълнение на задачи, свързани с осъществяването на програми на Съюза в областта на образованието, аудио-визията и културата и включващи, по-специално, изпълнение на бюджетни</w:t>
      </w:r>
      <w:r>
        <w:rPr>
          <w:rFonts w:ascii="Times New Roman" w:hAnsi="Times New Roman"/>
          <w:sz w:val="16"/>
          <w:szCs w:val="16"/>
        </w:rPr>
        <w:t xml:space="preserve"> кредити, записани в общия бюджет на Съюза, и на средства по ЕФР (изменено с Решение на Комисията C(2015)658 от 12.2.2015 г.).</w:t>
      </w:r>
    </w:p>
  </w:footnote>
  <w:footnote w:id="9">
    <w:p w:rsidR="00691A02" w:rsidRDefault="00E236D1">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3">
        <w:r>
          <w:rPr>
            <w:rStyle w:val="Hyperlink"/>
            <w:rFonts w:ascii="Times New Roman" w:hAnsi="Times New Roman"/>
            <w:sz w:val="16"/>
            <w:szCs w:val="16"/>
          </w:rPr>
          <w:t>http://eacea.ec.europa.eu/eu-aid-volunteers_en</w:t>
        </w:r>
      </w:hyperlink>
      <w:r>
        <w:rPr>
          <w:rFonts w:ascii="Times New Roman" w:hAnsi="Times New Roman"/>
          <w:sz w:val="16"/>
          <w:szCs w:val="16"/>
        </w:rPr>
        <w:t xml:space="preserve"> </w:t>
      </w:r>
    </w:p>
    <w:p w:rsidR="00691A02" w:rsidRDefault="00691A02">
      <w:pPr>
        <w:pStyle w:val="FootnoteText"/>
        <w:rPr>
          <w:rFonts w:ascii="Times New Roman" w:hAnsi="Times New Roman"/>
          <w:sz w:val="16"/>
          <w:szCs w:val="16"/>
        </w:rPr>
      </w:pPr>
    </w:p>
  </w:footnote>
  <w:footnote w:id="10">
    <w:p w:rsidR="00691A02" w:rsidRDefault="00E236D1">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4">
        <w:r>
          <w:rPr>
            <w:rStyle w:val="Hyperlink"/>
            <w:rFonts w:ascii="Times New Roman" w:hAnsi="Times New Roman"/>
            <w:sz w:val="16"/>
            <w:szCs w:val="16"/>
          </w:rPr>
          <w:t>http://ec.europa.eu/echo/what/humanitarian-aid/eu-aid-volunteers_en</w:t>
        </w:r>
      </w:hyperlink>
      <w:r>
        <w:rPr>
          <w:rFonts w:ascii="Times New Roman" w:hAnsi="Times New Roman"/>
          <w:sz w:val="16"/>
        </w:rPr>
        <w:t xml:space="preserve"> </w:t>
      </w:r>
    </w:p>
    <w:p w:rsidR="00691A02" w:rsidRDefault="00691A0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D1" w:rsidRPr="00E236D1" w:rsidRDefault="00E236D1" w:rsidP="00E23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D1" w:rsidRPr="00E236D1" w:rsidRDefault="00E236D1" w:rsidP="00E236D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D1" w:rsidRPr="00E236D1" w:rsidRDefault="00E236D1" w:rsidP="00E236D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02" w:rsidRDefault="00691A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02" w:rsidRDefault="00691A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02" w:rsidRDefault="00691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1">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C637DD61F05443582B0F4E01B15657F"/>
    <w:docVar w:name="LW_CROSSREFERENCE" w:val="&lt;UNUSED&gt;"/>
    <w:docVar w:name="LW_DocType" w:val="NORMAL"/>
    <w:docVar w:name="LW_EMISSION" w:val="13.7.2015"/>
    <w:docVar w:name="LW_EMISSION_ISODATE" w:val="2015-07-13"/>
    <w:docVar w:name="LW_EMISSION_LOCATION" w:val="BRX"/>
    <w:docVar w:name="LW_EMISSION_PREFIX" w:val="\u1041?\u1088?\u1102?\u1082?\u1089?\u1077?\u1083?,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35"/>
    <w:docVar w:name="LW_REF.INTERNE" w:val="&lt;UNUSED&gt;"/>
    <w:docVar w:name="LW_SOUS.TITRE.OBJ.CP" w:val="&lt;UNUSED&gt;"/>
    <w:docVar w:name="LW_SUPERTITRE" w:val="&lt;UNUSED&gt;"/>
    <w:docVar w:name="LW_TITRE.OBJ.CP" w:val="\u1043?\u1086?\u1076?\u1080?\u1096?\u1077?\u1085? \u1076?\u1086?\u1082?\u1083?\u1072?\u1076? \u1079?\u1072? \u1087?\u1088?\u1080?\u1083?\u1072?\u1075?\u1072?\u1085?\u1077?\u1090?\u1086? \u1085?\u1072? \u1080?\u1085?\u1080?\u1094?\u1080?\u1072?\u1090?\u1080?\u1074?\u1072?\u1090?\u1072? ,,\u1044?\u1086?\u1073?\u1088?\u1086?\u1074?\u1086?\u1083?\u1094?\u1080? \u1085?\u1072? \u1045?\u1057? \u1079?\u1072? \u1093?\u1091?\u1084?\u1072?\u1085?\u1080?\u1090?\u1072?\u1088?\u1085?\u1072? \u1087?\u1086?\u1084?\u1086?\u1097?\u8220? \u1087?\u1088?\u1077?\u1079? 2014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691A02"/>
    <w:rsid w:val="00691A02"/>
    <w:rsid w:val="00E2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eastAsia="Times New Roman"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cs="Times New Roman"/>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Calibri" w:eastAsia="Times New Roman" w:hAnsi="Calibri" w:cs="Times New Roman"/>
      <w:sz w:val="24"/>
      <w:szCs w:val="24"/>
    </w:rPr>
  </w:style>
  <w:style w:type="character" w:customStyle="1" w:styleId="AARTextChar">
    <w:name w:val="AAR Text Char"/>
    <w:link w:val="AARText"/>
    <w:rPr>
      <w:rFonts w:ascii="Calibri" w:eastAsia="Times New Roman" w:hAnsi="Calibri" w:cs="Times New Roman"/>
      <w:sz w:val="24"/>
      <w:szCs w:val="24"/>
      <w:lan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ascii="Calibri" w:eastAsia="Times New Roman" w:hAnsi="Calibri" w:cs="Times New Roman"/>
      <w:sz w:val="20"/>
      <w:szCs w:val="20"/>
    </w:rPr>
  </w:style>
  <w:style w:type="character" w:customStyle="1" w:styleId="FootnoteTextChar">
    <w:name w:val="Footnote Text Char"/>
    <w:basedOn w:val="DefaultParagraphFont"/>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eastAsia="Times New Roman"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cs="Times New Roman"/>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Calibri" w:eastAsia="Times New Roman" w:hAnsi="Calibri" w:cs="Times New Roman"/>
      <w:sz w:val="24"/>
      <w:szCs w:val="24"/>
    </w:rPr>
  </w:style>
  <w:style w:type="character" w:customStyle="1" w:styleId="AARTextChar">
    <w:name w:val="AAR Text Char"/>
    <w:link w:val="AARText"/>
    <w:rPr>
      <w:rFonts w:ascii="Calibri" w:eastAsia="Times New Roman" w:hAnsi="Calibri" w:cs="Times New Roman"/>
      <w:sz w:val="24"/>
      <w:szCs w:val="24"/>
      <w:lan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ascii="Calibri" w:eastAsia="Times New Roman" w:hAnsi="Calibri" w:cs="Times New Roman"/>
      <w:sz w:val="20"/>
      <w:szCs w:val="20"/>
    </w:rPr>
  </w:style>
  <w:style w:type="character" w:customStyle="1" w:styleId="FootnoteTextChar">
    <w:name w:val="Footnote Text Char"/>
    <w:basedOn w:val="DefaultParagraphFont"/>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cho/what/humanitarian-aid/eu-aid-volunteers_e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acea.ec.europa.eu/eu-aid-volunteers_en" TargetMode="External"/><Relationship Id="rId2" Type="http://schemas.openxmlformats.org/officeDocument/2006/relationships/hyperlink" Target="http://ec.europa.eu/echo/files/euaidvolunteers/EUAV_Study_Needs_Assessment_en.pdf" TargetMode="External"/><Relationship Id="rId1" Type="http://schemas.openxmlformats.org/officeDocument/2006/relationships/hyperlink" Target="http://ec.europa.eu/echo/files/evaluation/2014/pilot_project_euaidvolunteers_final_report_en.pdf" TargetMode="External"/><Relationship Id="rId4" Type="http://schemas.openxmlformats.org/officeDocument/2006/relationships/hyperlink" Target="http://ec.europa.eu/echo/what/humanitarian-aid/eu-aid-volunte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2E6A-03B8-4F6D-AE4B-9E54CE02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1793</Words>
  <Characters>10644</Characters>
  <Application>Microsoft Office Word</Application>
  <DocSecurity>0</DocSecurity>
  <Lines>189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24</cp:revision>
  <cp:lastPrinted>2015-06-15T14:16:00Z</cp:lastPrinted>
  <dcterms:created xsi:type="dcterms:W3CDTF">2015-06-18T09:46:00Z</dcterms:created>
  <dcterms:modified xsi:type="dcterms:W3CDTF">2015-07-09T13:11:00Z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