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312B39EECAE4F38B3A15C9289B34F95" style="width:450.75pt;height:416.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2014/0213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Regulation amending Regulation (EU) No 1343/2011 of the European Parliament and of the Council of 13 December 2011 on certain provisions for fishing in the GFCM (General Fisheries Commission for the Mediterranean) Agreement area</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w:t>
            </w:r>
            <w:r>
              <w:rPr>
                <w:noProof/>
              </w:rPr>
              <w:br/>
              <w:t>(document COM(2014) 457 final – 2014/0213 (COD):</w:t>
            </w:r>
          </w:p>
        </w:tc>
        <w:tc>
          <w:tcPr>
            <w:tcW w:w="2483" w:type="dxa"/>
          </w:tcPr>
          <w:p>
            <w:pPr>
              <w:jc w:val="left"/>
              <w:rPr>
                <w:noProof/>
              </w:rPr>
            </w:pPr>
            <w:r>
              <w:rPr>
                <w:noProof/>
              </w:rPr>
              <w:t>11.07.2014.</w:t>
            </w:r>
          </w:p>
        </w:tc>
      </w:tr>
      <w:tr>
        <w:tc>
          <w:tcPr>
            <w:tcW w:w="6804" w:type="dxa"/>
          </w:tcPr>
          <w:p>
            <w:pPr>
              <w:rPr>
                <w:noProof/>
              </w:rPr>
            </w:pPr>
            <w:r>
              <w:rPr>
                <w:noProof/>
              </w:rPr>
              <w:t>Date of the opinion of the European Economic and Social Committee:</w:t>
            </w:r>
          </w:p>
        </w:tc>
        <w:tc>
          <w:tcPr>
            <w:tcW w:w="2483" w:type="dxa"/>
          </w:tcPr>
          <w:p>
            <w:pPr>
              <w:jc w:val="left"/>
              <w:rPr>
                <w:noProof/>
              </w:rPr>
            </w:pPr>
            <w:r>
              <w:rPr>
                <w:noProof/>
              </w:rPr>
              <w:t>15.10.2014.</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13.01.2015.</w:t>
            </w:r>
          </w:p>
        </w:tc>
      </w:tr>
      <w:tr>
        <w:tc>
          <w:tcPr>
            <w:tcW w:w="6804" w:type="dxa"/>
          </w:tcPr>
          <w:p>
            <w:pPr>
              <w:rPr>
                <w:noProof/>
              </w:rPr>
            </w:pPr>
            <w:r>
              <w:rPr>
                <w:noProof/>
              </w:rPr>
              <w:t>Date of transmission of the amended proposal:</w:t>
            </w:r>
          </w:p>
        </w:tc>
        <w:tc>
          <w:tcPr>
            <w:tcW w:w="2483" w:type="dxa"/>
          </w:tcPr>
          <w:p>
            <w:pPr>
              <w:jc w:val="left"/>
              <w:rPr>
                <w:noProof/>
              </w:rPr>
            </w:pPr>
            <w:r>
              <w:rPr>
                <w:noProof/>
              </w:rPr>
              <w:t>-</w:t>
            </w:r>
          </w:p>
        </w:tc>
      </w:tr>
      <w:tr>
        <w:tc>
          <w:tcPr>
            <w:tcW w:w="6804" w:type="dxa"/>
          </w:tcPr>
          <w:p>
            <w:pPr>
              <w:rPr>
                <w:noProof/>
              </w:rPr>
            </w:pPr>
            <w:r>
              <w:rPr>
                <w:noProof/>
              </w:rPr>
              <w:t>Date of adoption of the position of the Council:</w:t>
            </w:r>
          </w:p>
        </w:tc>
        <w:tc>
          <w:tcPr>
            <w:tcW w:w="2483" w:type="dxa"/>
          </w:tcPr>
          <w:p>
            <w:pPr>
              <w:jc w:val="left"/>
              <w:rPr>
                <w:noProof/>
              </w:rPr>
            </w:pPr>
            <w:r>
              <w:rPr>
                <w:noProof/>
              </w:rPr>
              <w:t>13.07.2015.</w:t>
            </w:r>
          </w:p>
        </w:tc>
      </w:tr>
    </w:tbl>
    <w:p>
      <w:pPr>
        <w:pStyle w:val="ManualHeading1"/>
        <w:rPr>
          <w:noProof/>
        </w:rPr>
      </w:pPr>
      <w:r>
        <w:rPr>
          <w:noProof/>
        </w:rPr>
        <w:t>2.</w:t>
      </w:r>
      <w:r>
        <w:rPr>
          <w:noProof/>
        </w:rPr>
        <w:tab/>
        <w:t>Objective of the proposal from the Commission</w:t>
      </w:r>
    </w:p>
    <w:p>
      <w:pPr>
        <w:rPr>
          <w:rFonts w:eastAsia="Times New Roman"/>
          <w:noProof/>
          <w:szCs w:val="24"/>
          <w:lang w:eastAsia="en-GB"/>
        </w:rPr>
      </w:pPr>
      <w:r>
        <w:rPr>
          <w:rFonts w:eastAsia="Times New Roman"/>
          <w:noProof/>
          <w:szCs w:val="24"/>
          <w:lang w:eastAsia="en-GB"/>
        </w:rPr>
        <w:t xml:space="preserve">The proposal aims at transposing in Union law a number of measures adopted </w:t>
      </w:r>
      <w:r>
        <w:rPr>
          <w:rFonts w:eastAsia="Times New Roman"/>
          <w:noProof/>
          <w:szCs w:val="24"/>
        </w:rPr>
        <w:t xml:space="preserve">in the framework of the Agreement for the establishment of the General Fisheries Commission for the Mediterranean (GFCM) </w:t>
      </w:r>
      <w:r>
        <w:rPr>
          <w:rFonts w:eastAsia="Times New Roman"/>
          <w:noProof/>
          <w:szCs w:val="24"/>
          <w:lang w:eastAsia="en-GB"/>
        </w:rPr>
        <w:t xml:space="preserve">between 2011 and 2013. These measures are already in force and binding on the EU and the ten Member States which are Contracting Parties to the GFCM Agreement (Bulgaria, Croatia, Cyprus, France, Greece, Italy, Malta, Slovenia, Spain and Romania). To the extent to which the content of the GFCM recommendations is not covered or is only partially covered by existing Union law, the transposition of the relevant GFCM measures is </w:t>
      </w:r>
      <w:r>
        <w:rPr>
          <w:rFonts w:eastAsia="Times New Roman"/>
          <w:noProof/>
          <w:szCs w:val="24"/>
        </w:rPr>
        <w:t xml:space="preserve">necessary in order to make these measures applicable in a </w:t>
      </w:r>
      <w:r>
        <w:rPr>
          <w:rFonts w:eastAsia="Times New Roman"/>
          <w:noProof/>
          <w:szCs w:val="24"/>
          <w:lang w:eastAsia="en-GB"/>
        </w:rPr>
        <w:t xml:space="preserve">uniform and effective manner throughout the Union, including </w:t>
      </w:r>
      <w:r>
        <w:rPr>
          <w:rFonts w:eastAsia="Times New Roman"/>
          <w:noProof/>
          <w:szCs w:val="24"/>
        </w:rPr>
        <w:t>to natural or legal persons</w:t>
      </w:r>
      <w:r>
        <w:rPr>
          <w:rFonts w:eastAsia="Times New Roman"/>
          <w:noProof/>
          <w:szCs w:val="24"/>
          <w:lang w:eastAsia="en-GB"/>
        </w:rPr>
        <w:t xml:space="preserve">. </w:t>
      </w:r>
    </w:p>
    <w:p>
      <w:pPr>
        <w:pStyle w:val="ManualHeading1"/>
        <w:rPr>
          <w:noProof/>
        </w:rPr>
      </w:pPr>
      <w:r>
        <w:rPr>
          <w:noProof/>
        </w:rPr>
        <w:t>3.</w:t>
      </w:r>
      <w:r>
        <w:rPr>
          <w:noProof/>
        </w:rPr>
        <w:tab/>
        <w:t>Comments on the position of the Council</w:t>
      </w:r>
    </w:p>
    <w:p>
      <w:pPr>
        <w:ind w:left="850" w:hanging="850"/>
        <w:rPr>
          <w:rFonts w:eastAsia="Times New Roman"/>
          <w:b/>
          <w:noProof/>
          <w:szCs w:val="24"/>
        </w:rPr>
      </w:pPr>
      <w:r>
        <w:rPr>
          <w:rFonts w:eastAsia="Times New Roman"/>
          <w:b/>
          <w:noProof/>
          <w:szCs w:val="24"/>
        </w:rPr>
        <w:t>3.1.</w:t>
      </w:r>
      <w:r>
        <w:rPr>
          <w:rFonts w:eastAsia="Times New Roman"/>
          <w:b/>
          <w:noProof/>
          <w:szCs w:val="24"/>
        </w:rPr>
        <w:tab/>
        <w:t>General comments on Council position:</w:t>
      </w:r>
    </w:p>
    <w:p>
      <w:pPr>
        <w:rPr>
          <w:rFonts w:eastAsia="Times New Roman"/>
          <w:noProof/>
          <w:szCs w:val="24"/>
        </w:rPr>
      </w:pPr>
      <w:r>
        <w:rPr>
          <w:rFonts w:eastAsia="Times New Roman"/>
          <w:noProof/>
          <w:szCs w:val="24"/>
        </w:rPr>
        <w:t>The position of the Council reflects the political agreement reached by the European Parliament and the Council on 26 March 2015. The Commission supports this agreement. Nevertheless, it made two statements which are annexed below.</w:t>
      </w:r>
    </w:p>
    <w:p>
      <w:pPr>
        <w:ind w:left="850" w:hanging="850"/>
        <w:rPr>
          <w:rFonts w:eastAsia="Times New Roman"/>
          <w:b/>
          <w:noProof/>
          <w:szCs w:val="24"/>
        </w:rPr>
      </w:pPr>
      <w:r>
        <w:rPr>
          <w:rFonts w:eastAsia="Times New Roman"/>
          <w:b/>
          <w:noProof/>
          <w:szCs w:val="24"/>
        </w:rPr>
        <w:lastRenderedPageBreak/>
        <w:t>3.2.</w:t>
      </w:r>
      <w:r>
        <w:rPr>
          <w:rFonts w:eastAsia="Times New Roman"/>
          <w:b/>
          <w:noProof/>
          <w:szCs w:val="24"/>
        </w:rPr>
        <w:tab/>
        <w:t>Amendments by the European Parliament at first reading:</w:t>
      </w:r>
    </w:p>
    <w:p>
      <w:pPr>
        <w:rPr>
          <w:rFonts w:eastAsia="Times New Roman"/>
          <w:noProof/>
          <w:szCs w:val="24"/>
        </w:rPr>
      </w:pPr>
      <w:r>
        <w:rPr>
          <w:rFonts w:eastAsia="Times New Roman"/>
          <w:noProof/>
          <w:szCs w:val="24"/>
        </w:rPr>
        <w:t xml:space="preserve">The European Parliament made 25 amendments at first reading. With the exception of  amendment 19 (on fishing vessels equipped with trawl nets and purse seines in Geographical Sub-areas 17 or 18, which the European Parliament agreed to withdraw), all the other amendments have been  integrated in the Council position with further changes, as a result of the trilogue meetings of 2 and 26 March and of the inter-institutional technical meetings of 4 February and 4 March. </w:t>
      </w:r>
    </w:p>
    <w:p>
      <w:pPr>
        <w:ind w:left="850" w:hanging="850"/>
        <w:rPr>
          <w:rFonts w:eastAsia="Times New Roman"/>
          <w:b/>
          <w:noProof/>
          <w:szCs w:val="24"/>
        </w:rPr>
      </w:pPr>
      <w:r>
        <w:rPr>
          <w:rFonts w:eastAsia="Times New Roman"/>
          <w:b/>
          <w:noProof/>
          <w:szCs w:val="24"/>
        </w:rPr>
        <w:t>3.3.</w:t>
      </w:r>
      <w:r>
        <w:rPr>
          <w:rFonts w:eastAsia="Times New Roman"/>
          <w:b/>
          <w:noProof/>
          <w:szCs w:val="24"/>
        </w:rPr>
        <w:tab/>
        <w:t>New provisions introduced by the Council and Commission position in this regard:</w:t>
      </w:r>
    </w:p>
    <w:p>
      <w:pPr>
        <w:rPr>
          <w:rFonts w:eastAsia="Times New Roman"/>
          <w:noProof/>
          <w:szCs w:val="24"/>
        </w:rPr>
      </w:pPr>
      <w:r>
        <w:rPr>
          <w:rFonts w:eastAsia="Times New Roman"/>
          <w:noProof/>
          <w:szCs w:val="24"/>
        </w:rPr>
        <w:t>The Council in its position has introduced a new derogation in Article 15a, which concerns</w:t>
      </w:r>
      <w:r>
        <w:rPr>
          <w:rFonts w:eastAsia="Times New Roman"/>
          <w:noProof/>
          <w:spacing w:val="-2"/>
          <w:szCs w:val="24"/>
          <w:lang w:eastAsia="en-GB"/>
        </w:rPr>
        <w:t xml:space="preserve"> the use of trawl nets in coastal waters of the Black Sea and takes account of the prevailing situation in that region.</w:t>
      </w:r>
      <w:r>
        <w:rPr>
          <w:rFonts w:eastAsia="Times New Roman"/>
          <w:noProof/>
          <w:szCs w:val="24"/>
        </w:rPr>
        <w:t xml:space="preserve"> The Commission has no objections.</w:t>
      </w:r>
    </w:p>
    <w:p>
      <w:pPr>
        <w:ind w:left="850" w:hanging="850"/>
        <w:rPr>
          <w:rFonts w:eastAsia="Times New Roman"/>
          <w:b/>
          <w:noProof/>
          <w:szCs w:val="24"/>
        </w:rPr>
      </w:pPr>
      <w:r>
        <w:rPr>
          <w:rFonts w:eastAsia="Times New Roman"/>
          <w:b/>
          <w:noProof/>
          <w:szCs w:val="24"/>
        </w:rPr>
        <w:t>3.4.</w:t>
      </w:r>
      <w:r>
        <w:rPr>
          <w:rFonts w:eastAsia="Times New Roman"/>
          <w:b/>
          <w:noProof/>
          <w:szCs w:val="24"/>
        </w:rPr>
        <w:tab/>
        <w:t>Problems encountered in the adoption of the position at first reading and Commission position in this regard:</w:t>
      </w:r>
    </w:p>
    <w:p>
      <w:pPr>
        <w:rPr>
          <w:rFonts w:eastAsia="Times New Roman"/>
          <w:noProof/>
          <w:szCs w:val="24"/>
        </w:rPr>
      </w:pPr>
      <w:r>
        <w:rPr>
          <w:rFonts w:eastAsia="Times New Roman"/>
          <w:noProof/>
          <w:szCs w:val="24"/>
        </w:rPr>
        <w:t>The Commission has made two statements with a view to clarify some issues linked to derogations on red coral and more precisely to the adoption of national measures during a transitional period and to the final date for the use of Remotely Operated underwater Vehicles (ROVs) for observation and prospection of red coral.</w:t>
      </w:r>
    </w:p>
    <w:p>
      <w:pPr>
        <w:pStyle w:val="ManualHeading1"/>
        <w:rPr>
          <w:noProof/>
        </w:rPr>
      </w:pPr>
      <w:r>
        <w:rPr>
          <w:noProof/>
        </w:rPr>
        <w:t>4.</w:t>
      </w:r>
      <w:r>
        <w:rPr>
          <w:noProof/>
        </w:rPr>
        <w:tab/>
        <w:t>Conclusion</w:t>
      </w:r>
    </w:p>
    <w:p>
      <w:pPr>
        <w:rPr>
          <w:rFonts w:eastAsia="Times New Roman"/>
          <w:noProof/>
          <w:szCs w:val="24"/>
        </w:rPr>
      </w:pPr>
      <w:r>
        <w:rPr>
          <w:rFonts w:eastAsia="Times New Roman"/>
          <w:noProof/>
          <w:szCs w:val="24"/>
        </w:rPr>
        <w:t xml:space="preserve">The legal services and lawyer linguists of both institutions were mandated to make all the relevant adjustments to the text. The resulting document therefore represents the Commission proposal as modified and integrated by the political agreement reached by the co-legislators on 26 March. </w:t>
      </w:r>
    </w:p>
    <w:p>
      <w:pPr>
        <w:rPr>
          <w:rFonts w:eastAsia="Times New Roman"/>
          <w:noProof/>
          <w:szCs w:val="24"/>
        </w:rPr>
      </w:pPr>
      <w:r>
        <w:rPr>
          <w:rFonts w:eastAsia="Times New Roman"/>
          <w:noProof/>
          <w:szCs w:val="24"/>
        </w:rPr>
        <w:t>The Commission supports this agreement in general, but wants to make statements on two specific points of concern.</w:t>
      </w:r>
    </w:p>
    <w:p>
      <w:pPr>
        <w:rPr>
          <w:rFonts w:eastAsia="Times New Roman"/>
          <w:noProof/>
          <w:szCs w:val="24"/>
          <w:highlight w:val="cyan"/>
        </w:rPr>
      </w:pPr>
    </w:p>
    <w:p>
      <w:pPr>
        <w:ind w:left="850" w:hanging="850"/>
        <w:rPr>
          <w:rFonts w:eastAsia="Times New Roman"/>
          <w:b/>
          <w:smallCaps/>
          <w:noProof/>
          <w:szCs w:val="24"/>
        </w:rPr>
      </w:pPr>
      <w:r>
        <w:rPr>
          <w:rFonts w:eastAsia="Times New Roman"/>
          <w:b/>
          <w:smallCaps/>
          <w:noProof/>
          <w:szCs w:val="24"/>
        </w:rPr>
        <w:t>5.</w:t>
      </w:r>
      <w:r>
        <w:rPr>
          <w:rFonts w:eastAsia="Times New Roman"/>
          <w:b/>
          <w:smallCaps/>
          <w:noProof/>
          <w:szCs w:val="24"/>
        </w:rPr>
        <w:tab/>
        <w:t xml:space="preserve">Statements by the Commission </w:t>
      </w:r>
    </w:p>
    <w:p>
      <w:pPr>
        <w:spacing w:before="240"/>
        <w:rPr>
          <w:rFonts w:eastAsia="Times New Roman"/>
          <w:noProof/>
          <w:szCs w:val="24"/>
          <w:u w:val="single"/>
        </w:rPr>
      </w:pPr>
      <w:r>
        <w:rPr>
          <w:rFonts w:eastAsia="Times New Roman"/>
          <w:noProof/>
          <w:szCs w:val="24"/>
          <w:u w:val="single"/>
        </w:rPr>
        <w:t>Transitional national measures</w:t>
      </w:r>
    </w:p>
    <w:p>
      <w:pPr>
        <w:rPr>
          <w:rFonts w:eastAsia="Times New Roman"/>
          <w:noProof/>
          <w:szCs w:val="24"/>
        </w:rPr>
      </w:pPr>
      <w:r>
        <w:rPr>
          <w:rFonts w:eastAsia="Times New Roman"/>
          <w:noProof/>
          <w:szCs w:val="24"/>
        </w:rPr>
        <w:t>The Commission takes note of the decision of the European Parliament and the Council to allow Member States to keep existing derogations related to red coral harvesting without any time limit, and to provide for new derogations to be granted during a transitional period again without clear cut-off date.</w:t>
      </w:r>
    </w:p>
    <w:p>
      <w:pPr>
        <w:rPr>
          <w:rFonts w:eastAsia="Times New Roman"/>
          <w:noProof/>
          <w:szCs w:val="24"/>
        </w:rPr>
      </w:pPr>
      <w:r>
        <w:rPr>
          <w:rFonts w:eastAsia="Times New Roman"/>
          <w:noProof/>
          <w:szCs w:val="24"/>
        </w:rPr>
        <w:t xml:space="preserve">The Commission considers that, by their nature, derogations and/or transitional measures can only be temporary and that the unlimited exceptional regimes agreed between the co-legislators may put the Union in a position where it is not able to ensure that its international obligations towards the GFCM are fully respected. </w:t>
      </w:r>
    </w:p>
    <w:p>
      <w:pPr>
        <w:rPr>
          <w:rFonts w:eastAsia="Times New Roman"/>
          <w:noProof/>
          <w:szCs w:val="24"/>
        </w:rPr>
      </w:pPr>
      <w:r>
        <w:rPr>
          <w:rFonts w:eastAsia="Times New Roman"/>
          <w:noProof/>
          <w:szCs w:val="24"/>
        </w:rPr>
        <w:t>In the event that the above mentioned risks should materialize, the Commission will submit proposals for appropriate measures in accordance with the relevant provisions of the Treaty.</w:t>
      </w:r>
    </w:p>
    <w:p>
      <w:pPr>
        <w:rPr>
          <w:rFonts w:eastAsia="Times New Roman"/>
          <w:noProof/>
          <w:szCs w:val="24"/>
        </w:rPr>
      </w:pPr>
      <w:r>
        <w:rPr>
          <w:rFonts w:eastAsia="Times New Roman"/>
          <w:noProof/>
          <w:szCs w:val="24"/>
        </w:rPr>
        <w:t>In any event, the Commission emphasises that any decision in this case will not prejudice the Commission position in relation to other rules on derogations and/or transitional regimes.</w:t>
      </w:r>
    </w:p>
    <w:p>
      <w:pPr>
        <w:spacing w:before="240"/>
        <w:rPr>
          <w:rFonts w:eastAsia="Times New Roman"/>
          <w:noProof/>
          <w:szCs w:val="24"/>
          <w:u w:val="single"/>
        </w:rPr>
      </w:pPr>
      <w:r>
        <w:rPr>
          <w:rFonts w:eastAsia="Times New Roman"/>
          <w:noProof/>
          <w:szCs w:val="24"/>
          <w:u w:val="single"/>
        </w:rPr>
        <w:lastRenderedPageBreak/>
        <w:t>Final date for use of ROVs</w:t>
      </w:r>
    </w:p>
    <w:p>
      <w:pPr>
        <w:rPr>
          <w:rFonts w:eastAsia="Times New Roman"/>
          <w:noProof/>
          <w:szCs w:val="24"/>
        </w:rPr>
      </w:pPr>
      <w:r>
        <w:rPr>
          <w:rFonts w:eastAsia="Times New Roman"/>
          <w:noProof/>
          <w:szCs w:val="24"/>
        </w:rPr>
        <w:t xml:space="preserve">With regards to the final date of 31/12/2015, agreed by the European Parliament and the Council for authorised use of ROVs for observation and prospection of red coral, the Commission takes note of the decision of the co-legislators to interpret the words "until 2015" in paragraph 3a) of recommendation GFCM/35/2011/2, as "until 31 December 2015", thus deviating substantially from the Commission's proposal to consider only the time period before 2015, until 31 December 2014. </w:t>
      </w:r>
    </w:p>
    <w:p>
      <w:pPr>
        <w:rPr>
          <w:noProof/>
        </w:rPr>
      </w:pPr>
      <w:r>
        <w:rPr>
          <w:rFonts w:eastAsia="Times New Roman"/>
          <w:noProof/>
          <w:szCs w:val="24"/>
        </w:rPr>
        <w:t>Having already stressed that, by their nature, derogations can only be temporary, the Commission recalls that also the FAO Legal Service had expressed the view that only the time limit before 2015 should be considered. In the light of this, the Commission will assess if appropriate initiatives need to be taken in order to clarify the Union's position on the issue of ROVs within the GFCM.</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050EB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174D7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FA12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1609D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7968F0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04BA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2081C8A"/>
    <w:lvl w:ilvl="0">
      <w:start w:val="1"/>
      <w:numFmt w:val="decimal"/>
      <w:pStyle w:val="ListNumber"/>
      <w:lvlText w:val="%1."/>
      <w:lvlJc w:val="left"/>
      <w:pPr>
        <w:tabs>
          <w:tab w:val="num" w:pos="360"/>
        </w:tabs>
        <w:ind w:left="360" w:hanging="360"/>
      </w:pPr>
    </w:lvl>
  </w:abstractNum>
  <w:abstractNum w:abstractNumId="7">
    <w:nsid w:val="FFFFFF89"/>
    <w:multiLevelType w:val="singleLevel"/>
    <w:tmpl w:val="9E303E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FE970AC"/>
    <w:multiLevelType w:val="multilevel"/>
    <w:tmpl w:val="CCB0F2D8"/>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num>
  <w:num w:numId="2">
    <w:abstractNumId w:val="13"/>
  </w:num>
  <w:num w:numId="3">
    <w:abstractNumId w:val="21"/>
  </w:num>
  <w:num w:numId="4">
    <w:abstractNumId w:val="12"/>
  </w:num>
  <w:num w:numId="5">
    <w:abstractNumId w:val="14"/>
  </w:num>
  <w:num w:numId="6">
    <w:abstractNumId w:val="10"/>
  </w:num>
  <w:num w:numId="7">
    <w:abstractNumId w:val="20"/>
  </w:num>
  <w:num w:numId="8">
    <w:abstractNumId w:val="8"/>
  </w:num>
  <w:num w:numId="9">
    <w:abstractNumId w:val="15"/>
  </w:num>
  <w:num w:numId="10">
    <w:abstractNumId w:val="17"/>
  </w:num>
  <w:num w:numId="11">
    <w:abstractNumId w:val="18"/>
  </w:num>
  <w:num w:numId="12">
    <w:abstractNumId w:val="11"/>
  </w:num>
  <w:num w:numId="13">
    <w:abstractNumId w:val="16"/>
  </w:num>
  <w:num w:numId="14">
    <w:abstractNumId w:val="22"/>
  </w:num>
  <w:num w:numId="15">
    <w:abstractNumId w:val="9"/>
  </w:num>
  <w:num w:numId="16">
    <w:abstractNumId w:val="7"/>
  </w:num>
  <w:num w:numId="17">
    <w:abstractNumId w:val="5"/>
  </w:num>
  <w:num w:numId="18">
    <w:abstractNumId w:val="4"/>
  </w:num>
  <w:num w:numId="19">
    <w:abstractNumId w:val="3"/>
  </w:num>
  <w:num w:numId="20">
    <w:abstractNumId w:val="19"/>
  </w:num>
  <w:num w:numId="21">
    <w:abstractNumId w:val="13"/>
  </w:num>
  <w:num w:numId="22">
    <w:abstractNumId w:val="21"/>
  </w:num>
  <w:num w:numId="23">
    <w:abstractNumId w:val="12"/>
  </w:num>
  <w:num w:numId="24">
    <w:abstractNumId w:val="14"/>
  </w:num>
  <w:num w:numId="25">
    <w:abstractNumId w:val="10"/>
  </w:num>
  <w:num w:numId="26">
    <w:abstractNumId w:val="20"/>
  </w:num>
  <w:num w:numId="27">
    <w:abstractNumId w:val="8"/>
  </w:num>
  <w:num w:numId="28">
    <w:abstractNumId w:val="15"/>
  </w:num>
  <w:num w:numId="29">
    <w:abstractNumId w:val="17"/>
  </w:num>
  <w:num w:numId="30">
    <w:abstractNumId w:val="18"/>
  </w:num>
  <w:num w:numId="31">
    <w:abstractNumId w:val="11"/>
  </w:num>
  <w:num w:numId="32">
    <w:abstractNumId w:val="16"/>
  </w:num>
  <w:num w:numId="33">
    <w:abstractNumId w:val="22"/>
  </w:num>
  <w:num w:numId="34">
    <w:abstractNumId w:val="6"/>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0 17:19:3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9312B39EECAE4F38B3A15C9289B34F95"/>
    <w:docVar w:name="LW_CROSSREFERENCE" w:val="&lt;UNUSED&gt;"/>
    <w:docVar w:name="LW_DocType" w:val="COM"/>
    <w:docVar w:name="LW_EMISSION" w:val="14.7.2015"/>
    <w:docVar w:name="LW_EMISSION_ISODATE" w:val="2015-07-14"/>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13"/>
    <w:docVar w:name="LW_REF.II.NEW.CP_YEAR" w:val="2014"/>
    <w:docVar w:name="LW_REF.INST.NEW" w:val="COM"/>
    <w:docVar w:name="LW_REF.INST.NEW_ADOPTED" w:val="final"/>
    <w:docVar w:name="LW_REF.INST.NEW_TEXT" w:val="(2015) 354"/>
    <w:docVar w:name="LW_REF.INTERNE" w:val="&lt;UNUSED&gt;"/>
    <w:docVar w:name="LW_SOUS.TITRE.OBJ.CP" w:val="&lt;UNUSED&gt;"/>
    <w:docVar w:name="LW_SUPERTITRE" w:val="&lt;UNUSED&gt;"/>
    <w:docVar w:name="LW_TITRE.OBJ.CP" w:val="position of the Council on the adoption of a Regulation amending Regulation (EU) No 1343/2011 of the European Parliament and of the Council of 13 December 2011 on certain provisions for fishing in the GFCM (General Fisheries Commission for the Mediterranean) Agreement area"/>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6"/>
      </w:numPr>
      <w:contextualSpacing/>
    </w:pPr>
  </w:style>
  <w:style w:type="paragraph" w:styleId="ListBullet2">
    <w:name w:val="List Bullet 2"/>
    <w:basedOn w:val="Normal"/>
    <w:uiPriority w:val="99"/>
    <w:semiHidden/>
    <w:unhideWhenUsed/>
    <w:pPr>
      <w:numPr>
        <w:numId w:val="17"/>
      </w:numPr>
      <w:contextualSpacing/>
    </w:pPr>
  </w:style>
  <w:style w:type="paragraph" w:styleId="ListBullet3">
    <w:name w:val="List Bullet 3"/>
    <w:basedOn w:val="Normal"/>
    <w:uiPriority w:val="99"/>
    <w:semiHidden/>
    <w:unhideWhenUsed/>
    <w:pPr>
      <w:numPr>
        <w:numId w:val="18"/>
      </w:numPr>
      <w:contextualSpacing/>
    </w:pPr>
  </w:style>
  <w:style w:type="paragraph" w:styleId="ListBullet4">
    <w:name w:val="List Bullet 4"/>
    <w:basedOn w:val="Normal"/>
    <w:uiPriority w:val="99"/>
    <w:semiHidden/>
    <w:unhideWhenUsed/>
    <w:pPr>
      <w:numPr>
        <w:numId w:val="1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4"/>
      </w:numPr>
      <w:contextualSpacing/>
    </w:pPr>
  </w:style>
  <w:style w:type="paragraph" w:styleId="ListNumber2">
    <w:name w:val="List Number 2"/>
    <w:basedOn w:val="Normal"/>
    <w:uiPriority w:val="99"/>
    <w:semiHidden/>
    <w:unhideWhenUsed/>
    <w:pPr>
      <w:numPr>
        <w:numId w:val="35"/>
      </w:numPr>
      <w:contextualSpacing/>
    </w:pPr>
  </w:style>
  <w:style w:type="paragraph" w:styleId="ListNumber3">
    <w:name w:val="List Number 3"/>
    <w:basedOn w:val="Normal"/>
    <w:uiPriority w:val="99"/>
    <w:semiHidden/>
    <w:unhideWhenUsed/>
    <w:pPr>
      <w:numPr>
        <w:numId w:val="36"/>
      </w:numPr>
      <w:contextualSpacing/>
    </w:pPr>
  </w:style>
  <w:style w:type="paragraph" w:styleId="ListNumber4">
    <w:name w:val="List Number 4"/>
    <w:basedOn w:val="Normal"/>
    <w:uiPriority w:val="99"/>
    <w:semiHidden/>
    <w:unhideWhenUsed/>
    <w:pPr>
      <w:numPr>
        <w:numId w:val="3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6"/>
      </w:numPr>
      <w:contextualSpacing/>
    </w:pPr>
  </w:style>
  <w:style w:type="paragraph" w:styleId="ListBullet2">
    <w:name w:val="List Bullet 2"/>
    <w:basedOn w:val="Normal"/>
    <w:uiPriority w:val="99"/>
    <w:semiHidden/>
    <w:unhideWhenUsed/>
    <w:pPr>
      <w:numPr>
        <w:numId w:val="17"/>
      </w:numPr>
      <w:contextualSpacing/>
    </w:pPr>
  </w:style>
  <w:style w:type="paragraph" w:styleId="ListBullet3">
    <w:name w:val="List Bullet 3"/>
    <w:basedOn w:val="Normal"/>
    <w:uiPriority w:val="99"/>
    <w:semiHidden/>
    <w:unhideWhenUsed/>
    <w:pPr>
      <w:numPr>
        <w:numId w:val="18"/>
      </w:numPr>
      <w:contextualSpacing/>
    </w:pPr>
  </w:style>
  <w:style w:type="paragraph" w:styleId="ListBullet4">
    <w:name w:val="List Bullet 4"/>
    <w:basedOn w:val="Normal"/>
    <w:uiPriority w:val="99"/>
    <w:semiHidden/>
    <w:unhideWhenUsed/>
    <w:pPr>
      <w:numPr>
        <w:numId w:val="1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4"/>
      </w:numPr>
      <w:contextualSpacing/>
    </w:pPr>
  </w:style>
  <w:style w:type="paragraph" w:styleId="ListNumber2">
    <w:name w:val="List Number 2"/>
    <w:basedOn w:val="Normal"/>
    <w:uiPriority w:val="99"/>
    <w:semiHidden/>
    <w:unhideWhenUsed/>
    <w:pPr>
      <w:numPr>
        <w:numId w:val="35"/>
      </w:numPr>
      <w:contextualSpacing/>
    </w:pPr>
  </w:style>
  <w:style w:type="paragraph" w:styleId="ListNumber3">
    <w:name w:val="List Number 3"/>
    <w:basedOn w:val="Normal"/>
    <w:uiPriority w:val="99"/>
    <w:semiHidden/>
    <w:unhideWhenUsed/>
    <w:pPr>
      <w:numPr>
        <w:numId w:val="36"/>
      </w:numPr>
      <w:contextualSpacing/>
    </w:pPr>
  </w:style>
  <w:style w:type="paragraph" w:styleId="ListNumber4">
    <w:name w:val="List Number 4"/>
    <w:basedOn w:val="Normal"/>
    <w:uiPriority w:val="99"/>
    <w:semiHidden/>
    <w:unhideWhenUsed/>
    <w:pPr>
      <w:numPr>
        <w:numId w:val="37"/>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Pages>
  <Words>899</Words>
  <Characters>4803</Characters>
  <Application>Microsoft Office Word</Application>
  <DocSecurity>0</DocSecurity>
  <Lines>96</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2015-06-17T13:23:00Z</cp:lastPrinted>
  <dcterms:created xsi:type="dcterms:W3CDTF">2015-07-06T08:49:00Z</dcterms:created>
  <dcterms:modified xsi:type="dcterms:W3CDTF">2015-07-10T15:19:00Z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02)</vt:lpwstr>
  </property>
</Properties>
</file>