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86.xml" ContentType="application/vnd.openxmlformats-officedocument.wordprocessingml.foot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89.xml" ContentType="application/vnd.openxmlformats-officedocument.wordprocessingml.foot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header293.xml" ContentType="application/vnd.openxmlformats-officedocument.wordprocessingml.header+xml"/>
  <Override PartName="/word/footer292.xml" ContentType="application/vnd.openxmlformats-officedocument.wordprocessingml.foot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295.xml" ContentType="application/vnd.openxmlformats-officedocument.wordprocessingml.foot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0689" w:rsidRDefault="00DE1FA9" w:rsidP="00DE1FA9">
      <w:pPr>
        <w:pStyle w:val="Pagedecouverture"/>
      </w:pPr>
      <w:bookmarkStart w:id="0" w:name="_DMBM_2597"/>
      <w:bookmarkStart w:id="1" w:name="_CSF_TOC_1"/>
      <w:bookmarkStart w:id="2" w:name="LW_BM_COVERPAGE"/>
      <w:bookmarkStart w:id="3" w:name="_GoBack"/>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695C096672D141B6BD9C5F8B403CDCF9" style="width:450.6pt;height:307.15pt">
            <v:imagedata r:id="rId10" o:title=""/>
          </v:shape>
        </w:pict>
      </w:r>
      <w:bookmarkEnd w:id="3"/>
    </w:p>
    <w:bookmarkEnd w:id="2"/>
    <w:p w:rsidR="0012099B" w:rsidRDefault="0012099B" w:rsidP="0012099B">
      <w:pPr>
        <w:sectPr w:rsidR="0012099B" w:rsidSect="00DE1FA9">
          <w:headerReference w:type="even" r:id="rId11"/>
          <w:headerReference w:type="default" r:id="rId12"/>
          <w:footerReference w:type="even" r:id="rId13"/>
          <w:footerReference w:type="default" r:id="rId14"/>
          <w:headerReference w:type="first" r:id="rId15"/>
          <w:footerReference w:type="first" r:id="rId16"/>
          <w:pgSz w:w="11906" w:h="16838"/>
          <w:pgMar w:top="1134" w:right="1417" w:bottom="1134" w:left="1417" w:header="709" w:footer="709" w:gutter="0"/>
          <w:pgNumType w:start="0"/>
          <w:cols w:space="720"/>
          <w:docGrid w:linePitch="360"/>
        </w:sectPr>
      </w:pPr>
    </w:p>
    <w:p w:rsidR="00F50689" w:rsidRDefault="00F50689" w:rsidP="00F50689">
      <w:pPr>
        <w:pStyle w:val="CoverPage"/>
      </w:pPr>
    </w:p>
    <w:p w:rsidR="00F50689" w:rsidRDefault="00F50689" w:rsidP="00F50689">
      <w:pPr>
        <w:pStyle w:val="CoverPage"/>
      </w:pPr>
    </w:p>
    <w:p w:rsidR="00F50689" w:rsidRDefault="005A36C4" w:rsidP="00F50689">
      <w:pPr>
        <w:pStyle w:val="CoverPage"/>
      </w:pPr>
      <w:r>
        <w:t>C</w:t>
      </w:r>
      <w:r w:rsidRPr="00522083">
        <w:t xml:space="preserve">onsolidated annual accounts of the </w:t>
      </w:r>
      <w:r>
        <w:br/>
      </w:r>
      <w:r w:rsidRPr="00522083">
        <w:t>European Union</w:t>
      </w:r>
      <w:r>
        <w:t xml:space="preserve"> </w:t>
      </w:r>
    </w:p>
    <w:p w:rsidR="00F50689" w:rsidRDefault="005A36C4" w:rsidP="00F50689">
      <w:pPr>
        <w:pStyle w:val="CoverPage"/>
      </w:pPr>
      <w:r>
        <w:t>Financial year 2014</w:t>
      </w:r>
    </w:p>
    <w:p w:rsidR="00F50689" w:rsidRDefault="00F50689" w:rsidP="00F50689">
      <w:pPr>
        <w:pStyle w:val="CoverPage"/>
      </w:pPr>
    </w:p>
    <w:p w:rsidR="00F50689" w:rsidRDefault="00F50689" w:rsidP="00F50689">
      <w:pPr>
        <w:pStyle w:val="CoverPage"/>
      </w:pPr>
    </w:p>
    <w:p w:rsidR="00F50689" w:rsidRPr="00522083" w:rsidRDefault="005A36C4" w:rsidP="00F50689">
      <w:pPr>
        <w:pStyle w:val="CoverPage"/>
        <w:sectPr w:rsidR="00F50689" w:rsidRPr="00522083" w:rsidSect="0012099B">
          <w:headerReference w:type="even" r:id="rId17"/>
          <w:headerReference w:type="default" r:id="rId18"/>
          <w:footerReference w:type="even" r:id="rId19"/>
          <w:footerReference w:type="default" r:id="rId20"/>
          <w:headerReference w:type="first" r:id="rId21"/>
          <w:footerReference w:type="first" r:id="rId22"/>
          <w:pgSz w:w="11906" w:h="16838"/>
          <w:pgMar w:top="1134" w:right="1134" w:bottom="1134" w:left="1134" w:header="708" w:footer="708" w:gutter="0"/>
          <w:cols w:space="720"/>
          <w:docGrid w:linePitch="360"/>
        </w:sectPr>
      </w:pPr>
      <w:r>
        <w:t xml:space="preserve"> </w:t>
      </w:r>
      <w:bookmarkEnd w:id="0"/>
    </w:p>
    <w:p w:rsidR="00F50689" w:rsidRDefault="005A36C4" w:rsidP="00F50689">
      <w:pPr>
        <w:pStyle w:val="HEADERTABLE"/>
      </w:pPr>
      <w:bookmarkStart w:id="4" w:name="_DMBM_2598"/>
      <w:r w:rsidRPr="00E33112">
        <w:lastRenderedPageBreak/>
        <w:t>CONTENTS</w:t>
      </w:r>
    </w:p>
    <w:p w:rsidR="00F50689" w:rsidRDefault="00F50689" w:rsidP="00F50689">
      <w:pPr>
        <w:pStyle w:val="HEADERTABLE"/>
      </w:pPr>
    </w:p>
    <w:p w:rsidR="00F50689" w:rsidRPr="00E33112" w:rsidRDefault="00F50689" w:rsidP="00F50689">
      <w:pPr>
        <w:pStyle w:val="HEADERTABLE"/>
      </w:pPr>
    </w:p>
    <w:p w:rsidR="005F66D3" w:rsidRDefault="005A36C4" w:rsidP="00F818AC">
      <w:pPr>
        <w:pStyle w:val="TOC1"/>
        <w:rPr>
          <w:rStyle w:val="Hyperlink"/>
          <w:color w:val="016794"/>
          <w:szCs w:val="22"/>
        </w:rPr>
      </w:pPr>
      <w:r>
        <w:rPr>
          <w:szCs w:val="24"/>
        </w:rPr>
        <w:fldChar w:fldCharType="begin"/>
      </w:r>
      <w:r w:rsidRPr="00D01CA2">
        <w:instrText xml:space="preserve"> TOC \h \z \t "FIRST CHAPTER_PAGE_1;1;FIRST_CHAPTER_PAGE;1;HEADER_TITLE_1;1" </w:instrText>
      </w:r>
      <w:r>
        <w:rPr>
          <w:szCs w:val="24"/>
        </w:rPr>
        <w:fldChar w:fldCharType="separate"/>
      </w:r>
      <w:hyperlink w:anchor="_Toc424745960" w:history="1">
        <w:r w:rsidR="005F66D3" w:rsidRPr="005F66D3">
          <w:rPr>
            <w:rStyle w:val="Hyperlink"/>
            <w:color w:val="016794"/>
            <w:szCs w:val="22"/>
          </w:rPr>
          <w:t>FINANCIAL STATEMENT DISCUSSION AND ANALYSIS</w:t>
        </w:r>
        <w:r w:rsidR="005F66D3" w:rsidRPr="005F66D3">
          <w:rPr>
            <w:rStyle w:val="Hyperlink"/>
            <w:webHidden/>
            <w:color w:val="016794"/>
            <w:szCs w:val="22"/>
          </w:rPr>
          <w:tab/>
        </w:r>
        <w:r w:rsidR="005F66D3" w:rsidRPr="005F66D3">
          <w:rPr>
            <w:rStyle w:val="Hyperlink"/>
            <w:webHidden/>
            <w:color w:val="016794"/>
            <w:szCs w:val="22"/>
          </w:rPr>
          <w:fldChar w:fldCharType="begin"/>
        </w:r>
        <w:r w:rsidR="005F66D3" w:rsidRPr="005F66D3">
          <w:rPr>
            <w:rStyle w:val="Hyperlink"/>
            <w:webHidden/>
            <w:color w:val="016794"/>
            <w:szCs w:val="22"/>
          </w:rPr>
          <w:instrText xml:space="preserve"> PAGEREF _Toc424745960 \h </w:instrText>
        </w:r>
        <w:r w:rsidR="005F66D3" w:rsidRPr="005F66D3">
          <w:rPr>
            <w:rStyle w:val="Hyperlink"/>
            <w:webHidden/>
            <w:color w:val="016794"/>
            <w:szCs w:val="22"/>
          </w:rPr>
        </w:r>
        <w:r w:rsidR="005F66D3" w:rsidRPr="005F66D3">
          <w:rPr>
            <w:rStyle w:val="Hyperlink"/>
            <w:webHidden/>
            <w:color w:val="016794"/>
            <w:szCs w:val="22"/>
          </w:rPr>
          <w:fldChar w:fldCharType="separate"/>
        </w:r>
        <w:r w:rsidR="00DE1FA9">
          <w:rPr>
            <w:rStyle w:val="Hyperlink"/>
            <w:webHidden/>
            <w:color w:val="016794"/>
            <w:szCs w:val="22"/>
          </w:rPr>
          <w:t>3</w:t>
        </w:r>
        <w:r w:rsidR="005F66D3" w:rsidRPr="005F66D3">
          <w:rPr>
            <w:rStyle w:val="Hyperlink"/>
            <w:webHidden/>
            <w:color w:val="016794"/>
            <w:szCs w:val="22"/>
          </w:rPr>
          <w:fldChar w:fldCharType="end"/>
        </w:r>
      </w:hyperlink>
    </w:p>
    <w:p w:rsidR="001A159C" w:rsidRPr="001A159C" w:rsidRDefault="001A159C" w:rsidP="001A159C">
      <w:pPr>
        <w:rPr>
          <w:noProof/>
        </w:rPr>
      </w:pPr>
    </w:p>
    <w:p w:rsidR="005F66D3" w:rsidRPr="005F66D3" w:rsidRDefault="00DE1FA9" w:rsidP="00F818AC">
      <w:pPr>
        <w:pStyle w:val="TOC1"/>
        <w:rPr>
          <w:rStyle w:val="Hyperlink"/>
          <w:color w:val="016794"/>
        </w:rPr>
      </w:pPr>
      <w:hyperlink w:anchor="_Toc424745961" w:history="1">
        <w:r w:rsidR="005F66D3" w:rsidRPr="005F66D3">
          <w:rPr>
            <w:rStyle w:val="Hyperlink"/>
            <w:color w:val="016794"/>
            <w:szCs w:val="22"/>
          </w:rPr>
          <w:t>NOTE ACCOMPANYING THE CONSOLIDATED ACCOUNTS</w:t>
        </w:r>
        <w:r w:rsidR="005F66D3" w:rsidRPr="005F66D3">
          <w:rPr>
            <w:rStyle w:val="Hyperlink"/>
            <w:webHidden/>
            <w:color w:val="016794"/>
            <w:szCs w:val="22"/>
          </w:rPr>
          <w:tab/>
        </w:r>
        <w:r w:rsidR="005F66D3" w:rsidRPr="005F66D3">
          <w:rPr>
            <w:rStyle w:val="Hyperlink"/>
            <w:webHidden/>
            <w:color w:val="016794"/>
            <w:szCs w:val="22"/>
          </w:rPr>
          <w:fldChar w:fldCharType="begin"/>
        </w:r>
        <w:r w:rsidR="005F66D3" w:rsidRPr="005F66D3">
          <w:rPr>
            <w:rStyle w:val="Hyperlink"/>
            <w:webHidden/>
            <w:color w:val="016794"/>
            <w:szCs w:val="22"/>
          </w:rPr>
          <w:instrText xml:space="preserve"> PAGEREF _Toc424745961 \h </w:instrText>
        </w:r>
        <w:r w:rsidR="005F66D3" w:rsidRPr="005F66D3">
          <w:rPr>
            <w:rStyle w:val="Hyperlink"/>
            <w:webHidden/>
            <w:color w:val="016794"/>
            <w:szCs w:val="22"/>
          </w:rPr>
        </w:r>
        <w:r w:rsidR="005F66D3" w:rsidRPr="005F66D3">
          <w:rPr>
            <w:rStyle w:val="Hyperlink"/>
            <w:webHidden/>
            <w:color w:val="016794"/>
            <w:szCs w:val="22"/>
          </w:rPr>
          <w:fldChar w:fldCharType="separate"/>
        </w:r>
        <w:r>
          <w:rPr>
            <w:rStyle w:val="Hyperlink"/>
            <w:webHidden/>
            <w:color w:val="016794"/>
            <w:szCs w:val="22"/>
          </w:rPr>
          <w:t>24</w:t>
        </w:r>
        <w:r w:rsidR="005F66D3" w:rsidRPr="005F66D3">
          <w:rPr>
            <w:rStyle w:val="Hyperlink"/>
            <w:webHidden/>
            <w:color w:val="016794"/>
            <w:szCs w:val="22"/>
          </w:rPr>
          <w:fldChar w:fldCharType="end"/>
        </w:r>
      </w:hyperlink>
    </w:p>
    <w:p w:rsidR="005F66D3" w:rsidRDefault="00DE1FA9" w:rsidP="00F818AC">
      <w:pPr>
        <w:pStyle w:val="TOC1"/>
        <w:rPr>
          <w:rStyle w:val="Hyperlink"/>
          <w:color w:val="016794"/>
          <w:szCs w:val="22"/>
        </w:rPr>
      </w:pPr>
      <w:hyperlink w:anchor="_Toc424745962" w:history="1">
        <w:r w:rsidR="005F66D3" w:rsidRPr="005F66D3">
          <w:rPr>
            <w:rStyle w:val="Hyperlink"/>
            <w:color w:val="016794"/>
            <w:szCs w:val="22"/>
          </w:rPr>
          <w:t>CONSOLIDATED FINANCIAL STATEMENTS AND EXPLANATORY NOTES</w:t>
        </w:r>
        <w:r w:rsidR="005F66D3" w:rsidRPr="005F66D3">
          <w:rPr>
            <w:rStyle w:val="Hyperlink"/>
            <w:webHidden/>
            <w:color w:val="016794"/>
            <w:szCs w:val="22"/>
          </w:rPr>
          <w:tab/>
        </w:r>
        <w:r w:rsidR="005F66D3" w:rsidRPr="005F66D3">
          <w:rPr>
            <w:rStyle w:val="Hyperlink"/>
            <w:webHidden/>
            <w:color w:val="016794"/>
            <w:szCs w:val="22"/>
          </w:rPr>
          <w:fldChar w:fldCharType="begin"/>
        </w:r>
        <w:r w:rsidR="005F66D3" w:rsidRPr="005F66D3">
          <w:rPr>
            <w:rStyle w:val="Hyperlink"/>
            <w:webHidden/>
            <w:color w:val="016794"/>
            <w:szCs w:val="22"/>
          </w:rPr>
          <w:instrText xml:space="preserve"> PAGEREF _Toc424745962 \h </w:instrText>
        </w:r>
        <w:r w:rsidR="005F66D3" w:rsidRPr="005F66D3">
          <w:rPr>
            <w:rStyle w:val="Hyperlink"/>
            <w:webHidden/>
            <w:color w:val="016794"/>
            <w:szCs w:val="22"/>
          </w:rPr>
        </w:r>
        <w:r w:rsidR="005F66D3" w:rsidRPr="005F66D3">
          <w:rPr>
            <w:rStyle w:val="Hyperlink"/>
            <w:webHidden/>
            <w:color w:val="016794"/>
            <w:szCs w:val="22"/>
          </w:rPr>
          <w:fldChar w:fldCharType="separate"/>
        </w:r>
        <w:r>
          <w:rPr>
            <w:rStyle w:val="Hyperlink"/>
            <w:webHidden/>
            <w:color w:val="016794"/>
            <w:szCs w:val="22"/>
          </w:rPr>
          <w:t>25</w:t>
        </w:r>
        <w:r w:rsidR="005F66D3" w:rsidRPr="005F66D3">
          <w:rPr>
            <w:rStyle w:val="Hyperlink"/>
            <w:webHidden/>
            <w:color w:val="016794"/>
            <w:szCs w:val="22"/>
          </w:rPr>
          <w:fldChar w:fldCharType="end"/>
        </w:r>
      </w:hyperlink>
    </w:p>
    <w:p w:rsidR="00F738EA" w:rsidRPr="00F738EA" w:rsidRDefault="00F738EA" w:rsidP="00F738EA">
      <w:pPr>
        <w:rPr>
          <w:noProof/>
        </w:rPr>
      </w:pPr>
    </w:p>
    <w:p w:rsidR="005F66D3" w:rsidRPr="005F66D3" w:rsidRDefault="00DE1FA9" w:rsidP="005F66D3">
      <w:pPr>
        <w:pStyle w:val="TOC2"/>
        <w:rPr>
          <w:rStyle w:val="Hyperlink"/>
          <w:color w:val="404040" w:themeColor="text1" w:themeTint="BF"/>
        </w:rPr>
      </w:pPr>
      <w:hyperlink w:anchor="_Toc424745963" w:history="1">
        <w:r w:rsidR="005F66D3" w:rsidRPr="005F66D3">
          <w:rPr>
            <w:rStyle w:val="Hyperlink"/>
            <w:color w:val="404040" w:themeColor="text1" w:themeTint="BF"/>
          </w:rPr>
          <w:t>BALANCE SHEET</w:t>
        </w:r>
        <w:r w:rsidR="005F66D3" w:rsidRPr="005F66D3">
          <w:rPr>
            <w:rStyle w:val="Hyperlink"/>
            <w:webHidden/>
            <w:color w:val="404040" w:themeColor="text1" w:themeTint="BF"/>
          </w:rPr>
          <w:tab/>
        </w:r>
        <w:r w:rsidR="005F66D3" w:rsidRPr="005F66D3">
          <w:rPr>
            <w:rStyle w:val="Hyperlink"/>
            <w:webHidden/>
            <w:color w:val="404040" w:themeColor="text1" w:themeTint="BF"/>
          </w:rPr>
          <w:fldChar w:fldCharType="begin"/>
        </w:r>
        <w:r w:rsidR="005F66D3" w:rsidRPr="005F66D3">
          <w:rPr>
            <w:rStyle w:val="Hyperlink"/>
            <w:webHidden/>
            <w:color w:val="404040" w:themeColor="text1" w:themeTint="BF"/>
          </w:rPr>
          <w:instrText xml:space="preserve"> PAGEREF _Toc424745963 \h </w:instrText>
        </w:r>
        <w:r w:rsidR="005F66D3" w:rsidRPr="005F66D3">
          <w:rPr>
            <w:rStyle w:val="Hyperlink"/>
            <w:webHidden/>
            <w:color w:val="404040" w:themeColor="text1" w:themeTint="BF"/>
          </w:rPr>
        </w:r>
        <w:r w:rsidR="005F66D3" w:rsidRPr="005F66D3">
          <w:rPr>
            <w:rStyle w:val="Hyperlink"/>
            <w:webHidden/>
            <w:color w:val="404040" w:themeColor="text1" w:themeTint="BF"/>
          </w:rPr>
          <w:fldChar w:fldCharType="separate"/>
        </w:r>
        <w:r>
          <w:rPr>
            <w:rStyle w:val="Hyperlink"/>
            <w:webHidden/>
            <w:color w:val="404040" w:themeColor="text1" w:themeTint="BF"/>
          </w:rPr>
          <w:t>27</w:t>
        </w:r>
        <w:r w:rsidR="005F66D3" w:rsidRPr="005F66D3">
          <w:rPr>
            <w:rStyle w:val="Hyperlink"/>
            <w:webHidden/>
            <w:color w:val="404040" w:themeColor="text1" w:themeTint="BF"/>
          </w:rPr>
          <w:fldChar w:fldCharType="end"/>
        </w:r>
      </w:hyperlink>
    </w:p>
    <w:p w:rsidR="005F66D3" w:rsidRPr="005F66D3" w:rsidRDefault="00DE1FA9" w:rsidP="005F66D3">
      <w:pPr>
        <w:pStyle w:val="TOC2"/>
        <w:rPr>
          <w:rStyle w:val="Hyperlink"/>
          <w:color w:val="404040" w:themeColor="text1" w:themeTint="BF"/>
        </w:rPr>
      </w:pPr>
      <w:hyperlink w:anchor="_Toc424745964" w:history="1">
        <w:r w:rsidR="005F66D3" w:rsidRPr="005F66D3">
          <w:rPr>
            <w:rStyle w:val="Hyperlink"/>
            <w:color w:val="404040" w:themeColor="text1" w:themeTint="BF"/>
          </w:rPr>
          <w:t>STATEMENT OF FINANCIAL PERFORMANCE</w:t>
        </w:r>
        <w:r w:rsidR="005F66D3" w:rsidRPr="005F66D3">
          <w:rPr>
            <w:rStyle w:val="Hyperlink"/>
            <w:webHidden/>
            <w:color w:val="404040" w:themeColor="text1" w:themeTint="BF"/>
          </w:rPr>
          <w:tab/>
        </w:r>
        <w:r w:rsidR="005F66D3" w:rsidRPr="005F66D3">
          <w:rPr>
            <w:rStyle w:val="Hyperlink"/>
            <w:webHidden/>
            <w:color w:val="404040" w:themeColor="text1" w:themeTint="BF"/>
          </w:rPr>
          <w:fldChar w:fldCharType="begin"/>
        </w:r>
        <w:r w:rsidR="005F66D3" w:rsidRPr="005F66D3">
          <w:rPr>
            <w:rStyle w:val="Hyperlink"/>
            <w:webHidden/>
            <w:color w:val="404040" w:themeColor="text1" w:themeTint="BF"/>
          </w:rPr>
          <w:instrText xml:space="preserve"> PAGEREF _Toc424745964 \h </w:instrText>
        </w:r>
        <w:r w:rsidR="005F66D3" w:rsidRPr="005F66D3">
          <w:rPr>
            <w:rStyle w:val="Hyperlink"/>
            <w:webHidden/>
            <w:color w:val="404040" w:themeColor="text1" w:themeTint="BF"/>
          </w:rPr>
        </w:r>
        <w:r w:rsidR="005F66D3" w:rsidRPr="005F66D3">
          <w:rPr>
            <w:rStyle w:val="Hyperlink"/>
            <w:webHidden/>
            <w:color w:val="404040" w:themeColor="text1" w:themeTint="BF"/>
          </w:rPr>
          <w:fldChar w:fldCharType="separate"/>
        </w:r>
        <w:r>
          <w:rPr>
            <w:rStyle w:val="Hyperlink"/>
            <w:webHidden/>
            <w:color w:val="404040" w:themeColor="text1" w:themeTint="BF"/>
          </w:rPr>
          <w:t>28</w:t>
        </w:r>
        <w:r w:rsidR="005F66D3" w:rsidRPr="005F66D3">
          <w:rPr>
            <w:rStyle w:val="Hyperlink"/>
            <w:webHidden/>
            <w:color w:val="404040" w:themeColor="text1" w:themeTint="BF"/>
          </w:rPr>
          <w:fldChar w:fldCharType="end"/>
        </w:r>
      </w:hyperlink>
    </w:p>
    <w:p w:rsidR="005F66D3" w:rsidRPr="005F66D3" w:rsidRDefault="00DE1FA9" w:rsidP="005F66D3">
      <w:pPr>
        <w:pStyle w:val="TOC2"/>
        <w:rPr>
          <w:rStyle w:val="Hyperlink"/>
          <w:color w:val="404040" w:themeColor="text1" w:themeTint="BF"/>
        </w:rPr>
      </w:pPr>
      <w:hyperlink w:anchor="_Toc424745965" w:history="1">
        <w:r w:rsidR="005F66D3" w:rsidRPr="005F66D3">
          <w:rPr>
            <w:rStyle w:val="Hyperlink"/>
            <w:color w:val="404040" w:themeColor="text1" w:themeTint="BF"/>
          </w:rPr>
          <w:t>CASHFLOW STATEMENT</w:t>
        </w:r>
        <w:r w:rsidR="005F66D3" w:rsidRPr="005F66D3">
          <w:rPr>
            <w:rStyle w:val="Hyperlink"/>
            <w:webHidden/>
            <w:color w:val="404040" w:themeColor="text1" w:themeTint="BF"/>
          </w:rPr>
          <w:tab/>
        </w:r>
        <w:r w:rsidR="005F66D3" w:rsidRPr="005F66D3">
          <w:rPr>
            <w:rStyle w:val="Hyperlink"/>
            <w:webHidden/>
            <w:color w:val="404040" w:themeColor="text1" w:themeTint="BF"/>
          </w:rPr>
          <w:fldChar w:fldCharType="begin"/>
        </w:r>
        <w:r w:rsidR="005F66D3" w:rsidRPr="005F66D3">
          <w:rPr>
            <w:rStyle w:val="Hyperlink"/>
            <w:webHidden/>
            <w:color w:val="404040" w:themeColor="text1" w:themeTint="BF"/>
          </w:rPr>
          <w:instrText xml:space="preserve"> PAGEREF _Toc424745965 \h </w:instrText>
        </w:r>
        <w:r w:rsidR="005F66D3" w:rsidRPr="005F66D3">
          <w:rPr>
            <w:rStyle w:val="Hyperlink"/>
            <w:webHidden/>
            <w:color w:val="404040" w:themeColor="text1" w:themeTint="BF"/>
          </w:rPr>
        </w:r>
        <w:r w:rsidR="005F66D3" w:rsidRPr="005F66D3">
          <w:rPr>
            <w:rStyle w:val="Hyperlink"/>
            <w:webHidden/>
            <w:color w:val="404040" w:themeColor="text1" w:themeTint="BF"/>
          </w:rPr>
          <w:fldChar w:fldCharType="separate"/>
        </w:r>
        <w:r>
          <w:rPr>
            <w:rStyle w:val="Hyperlink"/>
            <w:webHidden/>
            <w:color w:val="404040" w:themeColor="text1" w:themeTint="BF"/>
          </w:rPr>
          <w:t>29</w:t>
        </w:r>
        <w:r w:rsidR="005F66D3" w:rsidRPr="005F66D3">
          <w:rPr>
            <w:rStyle w:val="Hyperlink"/>
            <w:webHidden/>
            <w:color w:val="404040" w:themeColor="text1" w:themeTint="BF"/>
          </w:rPr>
          <w:fldChar w:fldCharType="end"/>
        </w:r>
      </w:hyperlink>
    </w:p>
    <w:p w:rsidR="005F66D3" w:rsidRPr="005F66D3" w:rsidRDefault="00DE1FA9" w:rsidP="005F66D3">
      <w:pPr>
        <w:pStyle w:val="TOC2"/>
        <w:rPr>
          <w:rStyle w:val="Hyperlink"/>
          <w:color w:val="404040" w:themeColor="text1" w:themeTint="BF"/>
        </w:rPr>
      </w:pPr>
      <w:hyperlink w:anchor="_Toc424745966" w:history="1">
        <w:r w:rsidR="005F66D3" w:rsidRPr="005F66D3">
          <w:rPr>
            <w:rStyle w:val="Hyperlink"/>
            <w:color w:val="404040" w:themeColor="text1" w:themeTint="BF"/>
          </w:rPr>
          <w:t>STATEMENT OF CHANGES IN NET ASSETS</w:t>
        </w:r>
        <w:r w:rsidR="005F66D3" w:rsidRPr="005F66D3">
          <w:rPr>
            <w:rStyle w:val="Hyperlink"/>
            <w:webHidden/>
            <w:color w:val="404040" w:themeColor="text1" w:themeTint="BF"/>
          </w:rPr>
          <w:tab/>
        </w:r>
        <w:r w:rsidR="005F66D3" w:rsidRPr="005F66D3">
          <w:rPr>
            <w:rStyle w:val="Hyperlink"/>
            <w:webHidden/>
            <w:color w:val="404040" w:themeColor="text1" w:themeTint="BF"/>
          </w:rPr>
          <w:fldChar w:fldCharType="begin"/>
        </w:r>
        <w:r w:rsidR="005F66D3" w:rsidRPr="005F66D3">
          <w:rPr>
            <w:rStyle w:val="Hyperlink"/>
            <w:webHidden/>
            <w:color w:val="404040" w:themeColor="text1" w:themeTint="BF"/>
          </w:rPr>
          <w:instrText xml:space="preserve"> PAGEREF _Toc424745966 \h </w:instrText>
        </w:r>
        <w:r w:rsidR="005F66D3" w:rsidRPr="005F66D3">
          <w:rPr>
            <w:rStyle w:val="Hyperlink"/>
            <w:webHidden/>
            <w:color w:val="404040" w:themeColor="text1" w:themeTint="BF"/>
          </w:rPr>
        </w:r>
        <w:r w:rsidR="005F66D3" w:rsidRPr="005F66D3">
          <w:rPr>
            <w:rStyle w:val="Hyperlink"/>
            <w:webHidden/>
            <w:color w:val="404040" w:themeColor="text1" w:themeTint="BF"/>
          </w:rPr>
          <w:fldChar w:fldCharType="separate"/>
        </w:r>
        <w:r>
          <w:rPr>
            <w:rStyle w:val="Hyperlink"/>
            <w:webHidden/>
            <w:color w:val="404040" w:themeColor="text1" w:themeTint="BF"/>
          </w:rPr>
          <w:t>30</w:t>
        </w:r>
        <w:r w:rsidR="005F66D3" w:rsidRPr="005F66D3">
          <w:rPr>
            <w:rStyle w:val="Hyperlink"/>
            <w:webHidden/>
            <w:color w:val="404040" w:themeColor="text1" w:themeTint="BF"/>
          </w:rPr>
          <w:fldChar w:fldCharType="end"/>
        </w:r>
      </w:hyperlink>
    </w:p>
    <w:p w:rsidR="005F66D3" w:rsidRDefault="00DE1FA9" w:rsidP="005F66D3">
      <w:pPr>
        <w:pStyle w:val="TOC2"/>
        <w:rPr>
          <w:rStyle w:val="Hyperlink"/>
          <w:color w:val="404040" w:themeColor="text1" w:themeTint="BF"/>
        </w:rPr>
      </w:pPr>
      <w:hyperlink w:anchor="_Toc424745967" w:history="1">
        <w:r w:rsidR="005F66D3" w:rsidRPr="005F66D3">
          <w:rPr>
            <w:rStyle w:val="Hyperlink"/>
            <w:color w:val="404040" w:themeColor="text1" w:themeTint="BF"/>
          </w:rPr>
          <w:t>NOTES TO THE FINANCIAL STATEMENTS</w:t>
        </w:r>
        <w:r w:rsidR="005F66D3" w:rsidRPr="005F66D3">
          <w:rPr>
            <w:rStyle w:val="Hyperlink"/>
            <w:webHidden/>
            <w:color w:val="404040" w:themeColor="text1" w:themeTint="BF"/>
          </w:rPr>
          <w:tab/>
        </w:r>
        <w:r w:rsidR="005F66D3" w:rsidRPr="005F66D3">
          <w:rPr>
            <w:rStyle w:val="Hyperlink"/>
            <w:webHidden/>
            <w:color w:val="404040" w:themeColor="text1" w:themeTint="BF"/>
          </w:rPr>
          <w:fldChar w:fldCharType="begin"/>
        </w:r>
        <w:r w:rsidR="005F66D3" w:rsidRPr="005F66D3">
          <w:rPr>
            <w:rStyle w:val="Hyperlink"/>
            <w:webHidden/>
            <w:color w:val="404040" w:themeColor="text1" w:themeTint="BF"/>
          </w:rPr>
          <w:instrText xml:space="preserve"> PAGEREF _Toc424745967 \h </w:instrText>
        </w:r>
        <w:r w:rsidR="005F66D3" w:rsidRPr="005F66D3">
          <w:rPr>
            <w:rStyle w:val="Hyperlink"/>
            <w:webHidden/>
            <w:color w:val="404040" w:themeColor="text1" w:themeTint="BF"/>
          </w:rPr>
        </w:r>
        <w:r w:rsidR="005F66D3" w:rsidRPr="005F66D3">
          <w:rPr>
            <w:rStyle w:val="Hyperlink"/>
            <w:webHidden/>
            <w:color w:val="404040" w:themeColor="text1" w:themeTint="BF"/>
          </w:rPr>
          <w:fldChar w:fldCharType="separate"/>
        </w:r>
        <w:r>
          <w:rPr>
            <w:rStyle w:val="Hyperlink"/>
            <w:webHidden/>
            <w:color w:val="404040" w:themeColor="text1" w:themeTint="BF"/>
          </w:rPr>
          <w:t>31</w:t>
        </w:r>
        <w:r w:rsidR="005F66D3" w:rsidRPr="005F66D3">
          <w:rPr>
            <w:rStyle w:val="Hyperlink"/>
            <w:webHidden/>
            <w:color w:val="404040" w:themeColor="text1" w:themeTint="BF"/>
          </w:rPr>
          <w:fldChar w:fldCharType="end"/>
        </w:r>
      </w:hyperlink>
    </w:p>
    <w:p w:rsidR="00F738EA" w:rsidRPr="00F738EA" w:rsidRDefault="00F738EA" w:rsidP="00F738EA">
      <w:pPr>
        <w:rPr>
          <w:noProof/>
        </w:rPr>
      </w:pPr>
    </w:p>
    <w:p w:rsidR="005F66D3" w:rsidRPr="005F66D3" w:rsidRDefault="00DE1FA9" w:rsidP="00F818AC">
      <w:pPr>
        <w:pStyle w:val="TOC1"/>
        <w:rPr>
          <w:rStyle w:val="Hyperlink"/>
          <w:color w:val="016794"/>
        </w:rPr>
      </w:pPr>
      <w:hyperlink w:anchor="_Toc424745968" w:history="1">
        <w:r w:rsidR="005F66D3" w:rsidRPr="005F66D3">
          <w:rPr>
            <w:rStyle w:val="Hyperlink"/>
            <w:color w:val="016794"/>
            <w:szCs w:val="22"/>
          </w:rPr>
          <w:t>AGGREGATED REPORTS ON THE IMPLEMENTATION OF THE BUDGET AND EXPLANATORY NOTES</w:t>
        </w:r>
        <w:r w:rsidR="005F66D3" w:rsidRPr="005F66D3">
          <w:rPr>
            <w:rStyle w:val="Hyperlink"/>
            <w:webHidden/>
            <w:color w:val="016794"/>
            <w:szCs w:val="22"/>
          </w:rPr>
          <w:tab/>
        </w:r>
        <w:r w:rsidR="005F66D3" w:rsidRPr="005F66D3">
          <w:rPr>
            <w:rStyle w:val="Hyperlink"/>
            <w:webHidden/>
            <w:color w:val="016794"/>
            <w:szCs w:val="22"/>
          </w:rPr>
          <w:fldChar w:fldCharType="begin"/>
        </w:r>
        <w:r w:rsidR="005F66D3" w:rsidRPr="005F66D3">
          <w:rPr>
            <w:rStyle w:val="Hyperlink"/>
            <w:webHidden/>
            <w:color w:val="016794"/>
            <w:szCs w:val="22"/>
          </w:rPr>
          <w:instrText xml:space="preserve"> PAGEREF _Toc424745968 \h </w:instrText>
        </w:r>
        <w:r w:rsidR="005F66D3" w:rsidRPr="005F66D3">
          <w:rPr>
            <w:rStyle w:val="Hyperlink"/>
            <w:webHidden/>
            <w:color w:val="016794"/>
            <w:szCs w:val="22"/>
          </w:rPr>
        </w:r>
        <w:r w:rsidR="005F66D3" w:rsidRPr="005F66D3">
          <w:rPr>
            <w:rStyle w:val="Hyperlink"/>
            <w:webHidden/>
            <w:color w:val="016794"/>
            <w:szCs w:val="22"/>
          </w:rPr>
          <w:fldChar w:fldCharType="separate"/>
        </w:r>
        <w:r>
          <w:rPr>
            <w:rStyle w:val="Hyperlink"/>
            <w:webHidden/>
            <w:color w:val="016794"/>
            <w:szCs w:val="22"/>
          </w:rPr>
          <w:t>98</w:t>
        </w:r>
        <w:r w:rsidR="005F66D3" w:rsidRPr="005F66D3">
          <w:rPr>
            <w:rStyle w:val="Hyperlink"/>
            <w:webHidden/>
            <w:color w:val="016794"/>
            <w:szCs w:val="22"/>
          </w:rPr>
          <w:fldChar w:fldCharType="end"/>
        </w:r>
      </w:hyperlink>
    </w:p>
    <w:p w:rsidR="00F50689" w:rsidRDefault="005A36C4" w:rsidP="00F50689">
      <w:pPr>
        <w:pStyle w:val="Textstand-alone"/>
      </w:pPr>
      <w:r>
        <w:rPr>
          <w:lang w:val="fr-BE"/>
        </w:rPr>
        <w:fldChar w:fldCharType="end"/>
      </w:r>
      <w:r w:rsidRPr="00D01CA2">
        <w:t xml:space="preserve"> </w:t>
      </w:r>
    </w:p>
    <w:p w:rsidR="00F50689" w:rsidRPr="00D01CA2" w:rsidRDefault="005A36C4" w:rsidP="00F50689">
      <w:pPr>
        <w:pStyle w:val="Textstand-alone"/>
        <w:sectPr w:rsidR="00F50689" w:rsidRPr="00D01CA2" w:rsidSect="00F50689">
          <w:headerReference w:type="even" r:id="rId23"/>
          <w:headerReference w:type="default" r:id="rId24"/>
          <w:footerReference w:type="even" r:id="rId25"/>
          <w:footerReference w:type="default" r:id="rId26"/>
          <w:headerReference w:type="first" r:id="rId27"/>
          <w:footerReference w:type="first" r:id="rId28"/>
          <w:pgSz w:w="11906" w:h="16838"/>
          <w:pgMar w:top="1134" w:right="1134" w:bottom="1134" w:left="1134" w:header="708" w:footer="708" w:gutter="0"/>
          <w:cols w:space="708"/>
          <w:docGrid w:linePitch="360"/>
        </w:sectPr>
      </w:pPr>
      <w:r>
        <w:t xml:space="preserve"> </w:t>
      </w:r>
      <w:bookmarkEnd w:id="4"/>
    </w:p>
    <w:p w:rsidR="00C21E0C" w:rsidRDefault="00C21E0C">
      <w:pPr>
        <w:rPr>
          <w:rFonts w:ascii="Verdana" w:hAnsi="Verdana"/>
          <w:noProof/>
          <w:sz w:val="18"/>
          <w:szCs w:val="18"/>
          <w:lang w:eastAsia="en-US"/>
        </w:rPr>
      </w:pPr>
      <w:bookmarkStart w:id="5" w:name="_DMBM_2612"/>
    </w:p>
    <w:p w:rsidR="00F50689" w:rsidRDefault="00F50689" w:rsidP="00F50689">
      <w:pPr>
        <w:pStyle w:val="Textstand-alone"/>
      </w:pPr>
    </w:p>
    <w:p w:rsidR="00F50689" w:rsidRDefault="00F50689" w:rsidP="00F50689">
      <w:pPr>
        <w:pStyle w:val="Textstand-alone"/>
      </w:pPr>
    </w:p>
    <w:p w:rsidR="00F50689" w:rsidRDefault="00F50689" w:rsidP="00F50689">
      <w:pPr>
        <w:pStyle w:val="Textstand-alone"/>
      </w:pPr>
    </w:p>
    <w:p w:rsidR="00F50689" w:rsidRDefault="00F50689" w:rsidP="00F50689">
      <w:pPr>
        <w:pStyle w:val="Textstand-alone"/>
      </w:pPr>
    </w:p>
    <w:p w:rsidR="00F50689" w:rsidRDefault="00F50689" w:rsidP="00F50689">
      <w:pPr>
        <w:pStyle w:val="FIRSTCHAPTERPAGE"/>
      </w:pPr>
    </w:p>
    <w:p w:rsidR="00F50689" w:rsidRDefault="00F50689" w:rsidP="00F50689">
      <w:pPr>
        <w:pStyle w:val="FIRSTCHAPTERPAGE"/>
      </w:pPr>
    </w:p>
    <w:p w:rsidR="00F50689" w:rsidRDefault="00F50689" w:rsidP="00F50689">
      <w:pPr>
        <w:pStyle w:val="FIRSTCHAPTERPAGE"/>
      </w:pPr>
    </w:p>
    <w:p w:rsidR="00F50689" w:rsidRDefault="00F50689" w:rsidP="00F50689">
      <w:pPr>
        <w:pStyle w:val="FIRSTCHAPTERPAGE"/>
      </w:pPr>
    </w:p>
    <w:p w:rsidR="00F50689" w:rsidRDefault="005A36C4" w:rsidP="00F50689">
      <w:pPr>
        <w:pStyle w:val="FIRSTCHAPTERPAGE"/>
      </w:pPr>
      <w:bookmarkStart w:id="6" w:name="_Toc424745960"/>
      <w:r>
        <w:t>FINANCIAL STATEMENT DISCUSSION AND ANALYSIS</w:t>
      </w:r>
      <w:bookmarkEnd w:id="6"/>
    </w:p>
    <w:p w:rsidR="00F50689" w:rsidRDefault="005A36C4">
      <w:pPr>
        <w:rPr>
          <w:rFonts w:ascii="Verdana" w:hAnsi="Verdana"/>
          <w:noProof/>
          <w:sz w:val="18"/>
          <w:szCs w:val="18"/>
        </w:rPr>
      </w:pPr>
      <w:r>
        <w:br w:type="page"/>
      </w:r>
    </w:p>
    <w:p w:rsidR="00F50689" w:rsidRDefault="005A36C4" w:rsidP="00F50689">
      <w:pPr>
        <w:pStyle w:val="HEADER1Part4"/>
      </w:pPr>
      <w:r>
        <w:t>EU: Institutional governance and operations</w:t>
      </w:r>
    </w:p>
    <w:p w:rsidR="00F50689" w:rsidRDefault="005A36C4" w:rsidP="00F50689">
      <w:pPr>
        <w:pStyle w:val="DGTextstand-alone"/>
      </w:pPr>
      <w:r w:rsidRPr="005A3C98">
        <w:t xml:space="preserve">The </w:t>
      </w:r>
      <w:r w:rsidR="00C21E0C">
        <w:t>European Union (</w:t>
      </w:r>
      <w:r w:rsidRPr="005A3C98">
        <w:t>EU</w:t>
      </w:r>
      <w:r w:rsidR="00C21E0C">
        <w:t>)</w:t>
      </w:r>
      <w:r w:rsidRPr="005A3C98">
        <w:t xml:space="preserve"> is a</w:t>
      </w:r>
      <w:r>
        <w:t>n</w:t>
      </w:r>
      <w:r w:rsidRPr="005A3C98">
        <w:t xml:space="preserve"> economic </w:t>
      </w:r>
      <w:r>
        <w:t>and political partnership</w:t>
      </w:r>
      <w:r w:rsidRPr="005A3C98">
        <w:t xml:space="preserve"> of 28 European </w:t>
      </w:r>
      <w:r>
        <w:t>countries. It was established in 1993 by t</w:t>
      </w:r>
      <w:r w:rsidRPr="0045379E">
        <w:t>he Maastricht Treaty</w:t>
      </w:r>
      <w:r>
        <w:t xml:space="preserve"> and succeeded the </w:t>
      </w:r>
      <w:r w:rsidRPr="0045379E">
        <w:t>European Community, the European Coal and Ste</w:t>
      </w:r>
      <w:r>
        <w:t>el Community (ECSC) and Euratom</w:t>
      </w:r>
      <w:r w:rsidRPr="0045379E">
        <w:t>. The latest major amendment to the constitutional basis of the EU, the Treaty of Lisbon, entered into force on 1 December 2009.</w:t>
      </w:r>
      <w:r>
        <w:t xml:space="preserve"> </w:t>
      </w:r>
    </w:p>
    <w:p w:rsidR="00F50689" w:rsidRPr="00C46C10" w:rsidRDefault="005A36C4" w:rsidP="00F50689">
      <w:pPr>
        <w:pStyle w:val="DGTextstand-alone"/>
      </w:pPr>
      <w:r>
        <w:t>The EU</w:t>
      </w:r>
      <w:r w:rsidRPr="005A3C98">
        <w:t xml:space="preserve"> </w:t>
      </w:r>
      <w:r w:rsidRPr="00C46C10">
        <w:t xml:space="preserve">is based on the rule of law. This means that every action taken by the EU is founded on treaties that have been approved voluntarily and democratically by all EU </w:t>
      </w:r>
      <w:r>
        <w:t>M</w:t>
      </w:r>
      <w:r w:rsidRPr="00C46C10">
        <w:t xml:space="preserve">ember </w:t>
      </w:r>
      <w:r>
        <w:t>States</w:t>
      </w:r>
      <w:r w:rsidRPr="00C46C10">
        <w:t xml:space="preserve">. </w:t>
      </w:r>
      <w:r>
        <w:t xml:space="preserve">It has a </w:t>
      </w:r>
      <w:r w:rsidRPr="00C46C10">
        <w:t>unique institutional set-up:</w:t>
      </w:r>
    </w:p>
    <w:p w:rsidR="00F50689" w:rsidRDefault="00C21E0C" w:rsidP="00F50689">
      <w:pPr>
        <w:pStyle w:val="DGTextstand-alone"/>
        <w:numPr>
          <w:ilvl w:val="0"/>
          <w:numId w:val="4"/>
        </w:numPr>
      </w:pPr>
      <w:r>
        <w:t xml:space="preserve">European citizens </w:t>
      </w:r>
      <w:r w:rsidR="005A36C4" w:rsidRPr="00274FEF">
        <w:t xml:space="preserve">elect </w:t>
      </w:r>
      <w:r>
        <w:t xml:space="preserve">directly the </w:t>
      </w:r>
      <w:r w:rsidR="005A36C4" w:rsidRPr="00274FEF">
        <w:t>M</w:t>
      </w:r>
      <w:r>
        <w:t xml:space="preserve">embers of the </w:t>
      </w:r>
      <w:r w:rsidR="005A36C4" w:rsidRPr="00274FEF">
        <w:t>European Parliament</w:t>
      </w:r>
      <w:r w:rsidR="005A36C4">
        <w:t xml:space="preserve"> (EP);</w:t>
      </w:r>
    </w:p>
    <w:p w:rsidR="00D64639" w:rsidRDefault="00D64639" w:rsidP="00D64639">
      <w:pPr>
        <w:pStyle w:val="DGTextstand-alone"/>
        <w:numPr>
          <w:ilvl w:val="0"/>
          <w:numId w:val="4"/>
        </w:numPr>
      </w:pPr>
      <w:r>
        <w:t>T</w:t>
      </w:r>
      <w:r w:rsidRPr="00274FEF">
        <w:t>he EU's broad priorities are set by the European Council, which brings together national and EU-level leaders</w:t>
      </w:r>
      <w:r>
        <w:t>;</w:t>
      </w:r>
    </w:p>
    <w:p w:rsidR="00D64639" w:rsidRPr="00274FEF" w:rsidRDefault="00D64639" w:rsidP="00D64639">
      <w:pPr>
        <w:pStyle w:val="DGTextstand-alone"/>
        <w:numPr>
          <w:ilvl w:val="0"/>
          <w:numId w:val="4"/>
        </w:numPr>
      </w:pPr>
      <w:r>
        <w:t>G</w:t>
      </w:r>
      <w:r w:rsidRPr="00274FEF">
        <w:t>overnments defend their country's national interests in the Council of the European Union</w:t>
      </w:r>
      <w:r>
        <w:t xml:space="preserve"> (the 'Council');</w:t>
      </w:r>
    </w:p>
    <w:p w:rsidR="00F50689" w:rsidRPr="00274FEF" w:rsidRDefault="00C21E0C" w:rsidP="00F50689">
      <w:pPr>
        <w:pStyle w:val="DGTextstand-alone"/>
        <w:numPr>
          <w:ilvl w:val="0"/>
          <w:numId w:val="4"/>
        </w:numPr>
      </w:pPr>
      <w:r>
        <w:t>T</w:t>
      </w:r>
      <w:r w:rsidR="005A36C4" w:rsidRPr="00274FEF">
        <w:t xml:space="preserve">he interests of the EU as a whole are promoted by the </w:t>
      </w:r>
      <w:r>
        <w:t xml:space="preserve">European </w:t>
      </w:r>
      <w:r w:rsidR="005A36C4" w:rsidRPr="00274FEF">
        <w:t>Commission</w:t>
      </w:r>
      <w:r>
        <w:t xml:space="preserve"> (the 'Commission')</w:t>
      </w:r>
      <w:r w:rsidR="005A36C4" w:rsidRPr="00274FEF">
        <w:t xml:space="preserve">, whose </w:t>
      </w:r>
      <w:r w:rsidR="005A36C4">
        <w:t xml:space="preserve">President is elected by the EP and whose </w:t>
      </w:r>
      <w:r w:rsidR="005A36C4" w:rsidRPr="00274FEF">
        <w:t xml:space="preserve">members are </w:t>
      </w:r>
      <w:r w:rsidR="00D64639">
        <w:t>suggested</w:t>
      </w:r>
      <w:r w:rsidR="005A36C4">
        <w:t xml:space="preserve"> for appointment</w:t>
      </w:r>
      <w:r w:rsidR="005A36C4" w:rsidRPr="00274FEF">
        <w:t xml:space="preserve"> by national governments</w:t>
      </w:r>
      <w:r w:rsidR="00D64639">
        <w:t xml:space="preserve"> by common accord with the President-elect and are subject, as a body, to a vote of consent by the EP.</w:t>
      </w:r>
    </w:p>
    <w:p w:rsidR="00F50689" w:rsidRDefault="005A36C4" w:rsidP="00F50689">
      <w:pPr>
        <w:pStyle w:val="DGTextstand-alone"/>
      </w:pPr>
      <w:r w:rsidRPr="0053319E">
        <w:t xml:space="preserve">The EU has its own legal order which is separate from international law and forms an integral part of the legal systems of the Member States. The legal order of the </w:t>
      </w:r>
      <w:r>
        <w:t>EU</w:t>
      </w:r>
      <w:r w:rsidRPr="0053319E">
        <w:t xml:space="preserve"> is based on its own sources of law. Given the varied nature of these sources, a hierarchy had to be established among them. Primary legislation is at the top of the hierarchy and is represented by the Treaties. This is followed by international agreements concluded by the </w:t>
      </w:r>
      <w:r>
        <w:t>EU</w:t>
      </w:r>
      <w:r w:rsidRPr="0053319E">
        <w:t xml:space="preserve">, </w:t>
      </w:r>
      <w:r w:rsidR="00D64639">
        <w:t xml:space="preserve">general legal principles </w:t>
      </w:r>
      <w:r w:rsidRPr="0053319E">
        <w:t>and secondary legislation, which is based on the Treaties.</w:t>
      </w:r>
    </w:p>
    <w:p w:rsidR="00F50689" w:rsidRPr="0053319E" w:rsidRDefault="005A36C4" w:rsidP="00F50689">
      <w:pPr>
        <w:pStyle w:val="DGTextstand-alone"/>
      </w:pPr>
      <w:r w:rsidRPr="0053319E">
        <w:t xml:space="preserve">Sources and hierarchy of </w:t>
      </w:r>
      <w:r>
        <w:t>E</w:t>
      </w:r>
      <w:r w:rsidRPr="0053319E">
        <w:t>U law</w:t>
      </w:r>
      <w:r>
        <w:t>:</w:t>
      </w:r>
    </w:p>
    <w:p w:rsidR="00F50689" w:rsidRPr="0053319E" w:rsidRDefault="005A36C4" w:rsidP="00F50689">
      <w:pPr>
        <w:pStyle w:val="DGTextstand-alone"/>
        <w:numPr>
          <w:ilvl w:val="0"/>
          <w:numId w:val="5"/>
        </w:numPr>
        <w:spacing w:before="0" w:after="0"/>
      </w:pPr>
      <w:r w:rsidRPr="0053319E">
        <w:t>Treaty on European Union (TEU); Treaty on the Functioning of the European Union (TFEU); Charter of Fundamental Rights of the European Union;</w:t>
      </w:r>
      <w:r>
        <w:t xml:space="preserve"> other Treaties and Protocols</w:t>
      </w:r>
    </w:p>
    <w:p w:rsidR="00F50689" w:rsidRPr="0053319E" w:rsidRDefault="005A36C4" w:rsidP="00F50689">
      <w:pPr>
        <w:pStyle w:val="DGTextstand-alone"/>
        <w:numPr>
          <w:ilvl w:val="0"/>
          <w:numId w:val="5"/>
        </w:numPr>
        <w:spacing w:before="0" w:after="0"/>
      </w:pPr>
      <w:r w:rsidRPr="0053319E">
        <w:t>international agreements;</w:t>
      </w:r>
    </w:p>
    <w:p w:rsidR="00F50689" w:rsidRPr="0053319E" w:rsidRDefault="005A36C4" w:rsidP="00F50689">
      <w:pPr>
        <w:pStyle w:val="DGTextstand-alone"/>
        <w:numPr>
          <w:ilvl w:val="0"/>
          <w:numId w:val="5"/>
        </w:numPr>
        <w:spacing w:before="0" w:after="0"/>
      </w:pPr>
      <w:r w:rsidRPr="0053319E">
        <w:t>general principles of Union law;</w:t>
      </w:r>
    </w:p>
    <w:p w:rsidR="00F50689" w:rsidRPr="0053319E" w:rsidRDefault="005A36C4" w:rsidP="00F50689">
      <w:pPr>
        <w:pStyle w:val="DGTextstand-alone"/>
        <w:numPr>
          <w:ilvl w:val="0"/>
          <w:numId w:val="5"/>
        </w:numPr>
        <w:spacing w:before="0" w:after="0"/>
      </w:pPr>
      <w:r w:rsidRPr="0053319E">
        <w:t>secondary legislation.</w:t>
      </w:r>
    </w:p>
    <w:p w:rsidR="00F50689" w:rsidRPr="00DE3924" w:rsidRDefault="005A36C4" w:rsidP="00F50689">
      <w:pPr>
        <w:pStyle w:val="DGTextstand-alone"/>
        <w:rPr>
          <w:color w:val="000000" w:themeColor="text1"/>
        </w:rPr>
      </w:pPr>
      <w:r w:rsidRPr="00DE3924">
        <w:rPr>
          <w:color w:val="000000" w:themeColor="text1"/>
        </w:rPr>
        <w:t xml:space="preserve">The institutional governance of the EU consists of institutions, agencies and other EU bodies which are listed in note </w:t>
      </w:r>
      <w:r w:rsidRPr="00DE3924">
        <w:rPr>
          <w:b/>
          <w:color w:val="000000" w:themeColor="text1"/>
        </w:rPr>
        <w:t>10</w:t>
      </w:r>
      <w:r w:rsidRPr="00DE3924">
        <w:rPr>
          <w:color w:val="000000" w:themeColor="text1"/>
        </w:rPr>
        <w:t xml:space="preserve"> of the notes to the financial statements. The main institutions in the sense of being responsible for drafting policies and taking decisions are the EP, the European Council, the Council and the Commission.</w:t>
      </w:r>
      <w:r w:rsidR="00D64639">
        <w:rPr>
          <w:color w:val="000000" w:themeColor="text1"/>
        </w:rPr>
        <w:t xml:space="preserve"> </w:t>
      </w:r>
    </w:p>
    <w:p w:rsidR="00F50689" w:rsidRPr="00FB6969" w:rsidRDefault="005A36C4">
      <w:pPr>
        <w:pStyle w:val="HEADER5"/>
      </w:pPr>
      <w:r w:rsidRPr="00FB6969">
        <w:t>European Parliament</w:t>
      </w:r>
    </w:p>
    <w:p w:rsidR="00F50689" w:rsidRPr="00A24EEC" w:rsidRDefault="005A36C4" w:rsidP="00F50689">
      <w:pPr>
        <w:pStyle w:val="DGTextstand-alone"/>
      </w:pPr>
      <w:r w:rsidRPr="00A24EEC">
        <w:t xml:space="preserve">The EP is an important forum for political debate and decision-making at the EU level. The Members of the EP are directly elected by voters in all Member States to represent </w:t>
      </w:r>
      <w:r>
        <w:t>citizen's</w:t>
      </w:r>
      <w:r w:rsidRPr="00A24EEC">
        <w:t xml:space="preserve"> interests with regard to EU law-making and to make sure other EU institutions are working democratically.</w:t>
      </w:r>
    </w:p>
    <w:p w:rsidR="00F50689" w:rsidRDefault="005A36C4" w:rsidP="00F50689">
      <w:pPr>
        <w:pStyle w:val="DGTextstand-alone"/>
      </w:pPr>
      <w:r w:rsidRPr="00A24EEC">
        <w:t xml:space="preserve">Over the years and with subsequent changes in European treaties, the </w:t>
      </w:r>
      <w:r w:rsidR="00C21E0C">
        <w:t>EP</w:t>
      </w:r>
      <w:r w:rsidRPr="00A24EEC">
        <w:t xml:space="preserve"> has acquired substantial legislative and budgetary powers that allow it to set, together with the representatives of the governments of the Member States in the Council, the direction in which the European project is heading. In doing so, the </w:t>
      </w:r>
      <w:r w:rsidR="00C21E0C">
        <w:t>EP</w:t>
      </w:r>
      <w:r w:rsidRPr="00A24EEC">
        <w:t xml:space="preserve"> has sought to promote democracy and human rights – not only in Europe, but also throughout the world.</w:t>
      </w:r>
      <w:r>
        <w:t xml:space="preserve"> </w:t>
      </w:r>
    </w:p>
    <w:p w:rsidR="00F50689" w:rsidRPr="00EA1E2B" w:rsidRDefault="005A36C4" w:rsidP="00F50689">
      <w:pPr>
        <w:pStyle w:val="DGTextstand-alone"/>
      </w:pPr>
      <w:r w:rsidRPr="004D1EEE">
        <w:t xml:space="preserve">The </w:t>
      </w:r>
      <w:r>
        <w:t xml:space="preserve">EP is </w:t>
      </w:r>
      <w:r w:rsidRPr="004D1EEE">
        <w:t>on an equal footing with the Council in the annual budgetary</w:t>
      </w:r>
      <w:r>
        <w:t xml:space="preserve"> </w:t>
      </w:r>
      <w:r w:rsidRPr="004D1EEE">
        <w:t>procedure. It is involved in the budgetary process from the preparation stage, notably in laying down the general guidelines and the type of spending</w:t>
      </w:r>
      <w:r>
        <w:t>, right up to the adoption</w:t>
      </w:r>
      <w:r w:rsidRPr="004D1EEE">
        <w:t>. It</w:t>
      </w:r>
      <w:r>
        <w:t xml:space="preserve"> establishes</w:t>
      </w:r>
      <w:r w:rsidRPr="004D1EEE">
        <w:t xml:space="preserve"> the budget</w:t>
      </w:r>
      <w:r>
        <w:t xml:space="preserve"> with the Council</w:t>
      </w:r>
      <w:r w:rsidRPr="004D1EEE">
        <w:t xml:space="preserve"> and monitors its implementation. </w:t>
      </w:r>
      <w:r>
        <w:t>The EP</w:t>
      </w:r>
      <w:r w:rsidRPr="004D1EEE">
        <w:t xml:space="preserve"> gives a discharge on the implementation of the </w:t>
      </w:r>
      <w:r>
        <w:t xml:space="preserve">EU </w:t>
      </w:r>
      <w:r w:rsidRPr="004D1EEE">
        <w:t>budget</w:t>
      </w:r>
      <w:r>
        <w:t xml:space="preserve"> on a recommendation from the Council</w:t>
      </w:r>
      <w:r w:rsidRPr="004D1EEE">
        <w:t>.</w:t>
      </w:r>
      <w:r>
        <w:t xml:space="preserve"> </w:t>
      </w:r>
      <w:r w:rsidRPr="004D1EEE">
        <w:t xml:space="preserve">Finally, </w:t>
      </w:r>
      <w:r>
        <w:t>the EP</w:t>
      </w:r>
      <w:r w:rsidRPr="004D1EEE">
        <w:t xml:space="preserve"> has to provide its consent to the </w:t>
      </w:r>
      <w:r>
        <w:t xml:space="preserve">Multi-annual </w:t>
      </w:r>
      <w:r w:rsidRPr="00EA1E2B">
        <w:t>Financial Framework (MFF) which ensures that EU expenditure develops in an orderly manner and within the limit of its own resources.</w:t>
      </w:r>
      <w:r w:rsidR="009E7428">
        <w:t xml:space="preserve"> </w:t>
      </w:r>
      <w:r w:rsidR="009E7428">
        <w:rPr>
          <w:color w:val="000000" w:themeColor="text1"/>
        </w:rPr>
        <w:t>The current President of the EP is Martin Schulz.</w:t>
      </w:r>
    </w:p>
    <w:p w:rsidR="00F50689" w:rsidRPr="00FB6969" w:rsidRDefault="005A36C4">
      <w:pPr>
        <w:pStyle w:val="HEADER5"/>
      </w:pPr>
      <w:r w:rsidRPr="00FB6969">
        <w:t>The European Council and the Council of the European Union</w:t>
      </w:r>
    </w:p>
    <w:p w:rsidR="00F50689" w:rsidRDefault="005A36C4">
      <w:pPr>
        <w:pStyle w:val="DGTextstand-alone"/>
      </w:pPr>
      <w:r w:rsidRPr="008818FF">
        <w:t>The European Council, formed by the Heads of State or Government of the Member States</w:t>
      </w:r>
      <w:r>
        <w:t xml:space="preserve"> together with its President and the President of the Commission</w:t>
      </w:r>
      <w:r w:rsidRPr="008818FF">
        <w:t xml:space="preserve">, provides the necessary impetus for the development of the EU and </w:t>
      </w:r>
      <w:r>
        <w:t>defines</w:t>
      </w:r>
      <w:r w:rsidRPr="008818FF">
        <w:t xml:space="preserve"> the general political </w:t>
      </w:r>
      <w:r>
        <w:t>directions and priorities.</w:t>
      </w:r>
      <w:r w:rsidRPr="008818FF">
        <w:t xml:space="preserve"> </w:t>
      </w:r>
      <w:r>
        <w:t>The current President of the European Council is Donald Tusk.</w:t>
      </w:r>
    </w:p>
    <w:p w:rsidR="00F50689" w:rsidRDefault="005A36C4">
      <w:pPr>
        <w:pStyle w:val="DGTextstand-alone"/>
      </w:pPr>
      <w:r>
        <w:t>Jointly</w:t>
      </w:r>
      <w:r w:rsidRPr="002A5D9D">
        <w:t xml:space="preserve"> with the EP, the Council </w:t>
      </w:r>
      <w:r>
        <w:t xml:space="preserve">adopts </w:t>
      </w:r>
      <w:r w:rsidRPr="002A5D9D">
        <w:t xml:space="preserve">EU legislation through regulations and directives and </w:t>
      </w:r>
      <w:r>
        <w:t xml:space="preserve">also makes </w:t>
      </w:r>
      <w:r w:rsidRPr="002A5D9D">
        <w:t xml:space="preserve">decisions and non-binding recommendations. </w:t>
      </w:r>
      <w:r w:rsidRPr="00F13443">
        <w:t>The Council consists of a representative of each Member State, at ministerial level, authorised to commit the government of that Member State</w:t>
      </w:r>
      <w:r>
        <w:t xml:space="preserve"> by casting its vote</w:t>
      </w:r>
      <w:r w:rsidRPr="00F13443">
        <w:t xml:space="preserve">. With the exception of the Foreign Affairs </w:t>
      </w:r>
      <w:r>
        <w:t>configuration</w:t>
      </w:r>
      <w:r w:rsidRPr="00F13443">
        <w:t xml:space="preserve">, the Council is chaired by the representative of the Member State that holds the Union’s presidency </w:t>
      </w:r>
      <w:r>
        <w:t>on the basis of equal rotation</w:t>
      </w:r>
      <w:r w:rsidRPr="00F13443">
        <w:t xml:space="preserve"> every six months</w:t>
      </w:r>
      <w:r>
        <w:t xml:space="preserve">. </w:t>
      </w:r>
      <w:r w:rsidRPr="00F13443">
        <w:t xml:space="preserve">A committee consisting of the permanent representatives of the </w:t>
      </w:r>
      <w:r>
        <w:t xml:space="preserve">Governments of the </w:t>
      </w:r>
      <w:r w:rsidRPr="00F13443">
        <w:t xml:space="preserve">Member States </w:t>
      </w:r>
      <w:r>
        <w:t xml:space="preserve">(Coreper) </w:t>
      </w:r>
      <w:r w:rsidRPr="00F13443">
        <w:t>prepares the Council’s work</w:t>
      </w:r>
      <w:r>
        <w:t>.</w:t>
      </w:r>
    </w:p>
    <w:p w:rsidR="00F50689" w:rsidRDefault="005A36C4" w:rsidP="00F50689">
      <w:pPr>
        <w:pStyle w:val="DGTextstand-alone"/>
      </w:pPr>
      <w:r w:rsidRPr="002A5D9D">
        <w:t xml:space="preserve">In its areas of competence, </w:t>
      </w:r>
      <w:r>
        <w:t>the Council</w:t>
      </w:r>
      <w:r w:rsidRPr="002A5D9D">
        <w:t xml:space="preserve"> takes its decisions by a qualified majority</w:t>
      </w:r>
      <w:r>
        <w:t>, except where the Treaties provide otherwise (e.g. unanimity</w:t>
      </w:r>
      <w:r w:rsidRPr="002A5D9D">
        <w:t xml:space="preserve"> or</w:t>
      </w:r>
      <w:r>
        <w:t xml:space="preserve"> simple majority)</w:t>
      </w:r>
      <w:r w:rsidR="00D64639">
        <w:t>.</w:t>
      </w:r>
      <w:r w:rsidRPr="002A5D9D">
        <w:t xml:space="preserve"> </w:t>
      </w:r>
      <w:r w:rsidRPr="00702030">
        <w:t xml:space="preserve">The Council is </w:t>
      </w:r>
      <w:r w:rsidR="00D64639">
        <w:t xml:space="preserve">one of the two </w:t>
      </w:r>
      <w:r w:rsidRPr="00702030">
        <w:t>branch</w:t>
      </w:r>
      <w:r w:rsidR="00D64639">
        <w:t>es</w:t>
      </w:r>
      <w:r w:rsidRPr="00702030">
        <w:t xml:space="preserve"> (the other being </w:t>
      </w:r>
      <w:r>
        <w:t>the EP</w:t>
      </w:r>
      <w:r w:rsidRPr="00702030">
        <w:t xml:space="preserve">) of the budgetary authority which adopts the </w:t>
      </w:r>
      <w:r>
        <w:t>EU</w:t>
      </w:r>
      <w:r w:rsidRPr="00702030">
        <w:t xml:space="preserve">’s budget. The Council also adopts </w:t>
      </w:r>
      <w:r>
        <w:t xml:space="preserve">the </w:t>
      </w:r>
      <w:r w:rsidRPr="00702030">
        <w:t xml:space="preserve">decisions, pursuant to a special legislative procedure and acting unanimously, laying down the provisions applying to the own resources system and the </w:t>
      </w:r>
      <w:r>
        <w:t>MFF</w:t>
      </w:r>
      <w:r w:rsidRPr="00702030">
        <w:t xml:space="preserve">. In the latter case, </w:t>
      </w:r>
      <w:r>
        <w:t>the EP</w:t>
      </w:r>
      <w:r w:rsidRPr="00702030">
        <w:t xml:space="preserve"> must give its consent by a majority of its Members. The latest </w:t>
      </w:r>
      <w:r>
        <w:t>MFF</w:t>
      </w:r>
      <w:r w:rsidRPr="00702030">
        <w:t xml:space="preserve"> (2014-2020) was adopted by </w:t>
      </w:r>
      <w:r>
        <w:t>the Council</w:t>
      </w:r>
      <w:r w:rsidRPr="00702030">
        <w:t xml:space="preserve"> in November 2013.</w:t>
      </w:r>
    </w:p>
    <w:p w:rsidR="00F50689" w:rsidRPr="00FB6969" w:rsidRDefault="005A36C4">
      <w:pPr>
        <w:pStyle w:val="HEADER5"/>
      </w:pPr>
      <w:r w:rsidRPr="00FB6969">
        <w:t>European Commission</w:t>
      </w:r>
    </w:p>
    <w:p w:rsidR="00F50689" w:rsidRDefault="005A36C4" w:rsidP="00F50689">
      <w:pPr>
        <w:pStyle w:val="DGTextstand-alone"/>
      </w:pPr>
      <w:r w:rsidRPr="00B46107">
        <w:t>The Commission is the EU's executive body. It represents the interests of the EU as a whole (not the interests of individual countries).</w:t>
      </w:r>
    </w:p>
    <w:p w:rsidR="00F50689" w:rsidRDefault="005A36C4" w:rsidP="00F50689">
      <w:pPr>
        <w:pStyle w:val="DGTextstand-alone"/>
        <w:spacing w:after="120"/>
      </w:pPr>
      <w:r>
        <w:t>The Commission's main roles are to:</w:t>
      </w:r>
    </w:p>
    <w:p w:rsidR="00F50689" w:rsidRPr="00FB6969" w:rsidRDefault="005A36C4" w:rsidP="00F50689">
      <w:pPr>
        <w:pStyle w:val="DGTextstand-alone"/>
        <w:numPr>
          <w:ilvl w:val="0"/>
          <w:numId w:val="6"/>
        </w:numPr>
        <w:spacing w:before="0" w:after="0"/>
      </w:pPr>
      <w:r w:rsidRPr="00FB6969">
        <w:t xml:space="preserve">propose legislation which is then adopted by the co-legislators, the </w:t>
      </w:r>
      <w:r>
        <w:t>EP</w:t>
      </w:r>
      <w:r w:rsidRPr="00FB6969">
        <w:t xml:space="preserve"> and the Council;</w:t>
      </w:r>
    </w:p>
    <w:p w:rsidR="00F50689" w:rsidRPr="00FB6969" w:rsidRDefault="005A36C4" w:rsidP="00F50689">
      <w:pPr>
        <w:pStyle w:val="DGTextstand-alone"/>
        <w:numPr>
          <w:ilvl w:val="0"/>
          <w:numId w:val="6"/>
        </w:numPr>
        <w:spacing w:before="0" w:after="0"/>
      </w:pPr>
      <w:r w:rsidRPr="00FB6969">
        <w:t>enforce European law (where necessary with the help of the Court of Justice of the EU);</w:t>
      </w:r>
    </w:p>
    <w:p w:rsidR="00F50689" w:rsidRPr="00FB6969" w:rsidRDefault="005A36C4" w:rsidP="00F50689">
      <w:pPr>
        <w:pStyle w:val="DGTextstand-alone"/>
        <w:numPr>
          <w:ilvl w:val="0"/>
          <w:numId w:val="6"/>
        </w:numPr>
        <w:spacing w:before="0" w:after="0"/>
      </w:pPr>
      <w:r w:rsidRPr="00FB6969">
        <w:t>set objectives and priorities for action, outlined yearly in the Commission Work Programme and work towards delivering them;</w:t>
      </w:r>
    </w:p>
    <w:p w:rsidR="00F50689" w:rsidRPr="00FB6969" w:rsidRDefault="005A36C4" w:rsidP="00F50689">
      <w:pPr>
        <w:pStyle w:val="DGTextstand-alone"/>
        <w:numPr>
          <w:ilvl w:val="0"/>
          <w:numId w:val="6"/>
        </w:numPr>
        <w:spacing w:before="0" w:after="0"/>
      </w:pPr>
      <w:r w:rsidRPr="00FB6969">
        <w:t>manage and implement EU policies and the budget;</w:t>
      </w:r>
    </w:p>
    <w:p w:rsidR="00F50689" w:rsidRPr="00FB6969" w:rsidRDefault="005A36C4" w:rsidP="00F50689">
      <w:pPr>
        <w:pStyle w:val="DGTextstand-alone"/>
        <w:numPr>
          <w:ilvl w:val="0"/>
          <w:numId w:val="6"/>
        </w:numPr>
        <w:spacing w:before="0" w:after="0"/>
      </w:pPr>
      <w:r w:rsidRPr="00FB6969">
        <w:t>represent the Union outside Europe (negotiating trade agreements between the EU and other countries, for example).</w:t>
      </w:r>
    </w:p>
    <w:p w:rsidR="00F50689" w:rsidRDefault="005A36C4">
      <w:pPr>
        <w:pStyle w:val="DGTextstand-alone"/>
      </w:pPr>
      <w:r>
        <w:t>A new team of 28 Commissioners (one from each EU Member State) is appointed every five years. The candidate for President of the Commission is proposed to the EP by the European Council that decides by qualified majority and taking into account the elections to the EP. The Commission President is then elected by the EP by a majority of its component members (which corresponds to at least 376 out of 751 votes). Following this election, the President-elect selects the 27 other members of the Commission, on the basis of the suggestions made by Member States. The final list of Commissioners-designate has then to be agreed between the President-elect and the Council. The Commission as a whole needs the Parliament's consent. Prior to this, Commissioners-designate are assessed by the various EP committees. The current Commission's term of office runs until 31 October 2019. Its President is Jean-Claude Juncker.</w:t>
      </w:r>
    </w:p>
    <w:p w:rsidR="00F50689" w:rsidRDefault="005A36C4">
      <w:pPr>
        <w:pStyle w:val="DGTextstand-alone"/>
      </w:pPr>
      <w:r>
        <w:t xml:space="preserve">The current Commission priorities are (1) </w:t>
      </w:r>
      <w:r w:rsidRPr="00460C02">
        <w:t>Jobs, Growth and Investment</w:t>
      </w:r>
      <w:r>
        <w:t xml:space="preserve">, (2) </w:t>
      </w:r>
      <w:r w:rsidRPr="00460C02">
        <w:t>Digital Single Market</w:t>
      </w:r>
      <w:r>
        <w:t xml:space="preserve">, (3) </w:t>
      </w:r>
      <w:r w:rsidRPr="00460C02">
        <w:t>Energy Union and Climate</w:t>
      </w:r>
      <w:r>
        <w:t xml:space="preserve">, (4) </w:t>
      </w:r>
      <w:r w:rsidRPr="00460C02">
        <w:t>Internal Market</w:t>
      </w:r>
      <w:r>
        <w:t xml:space="preserve">, (5) </w:t>
      </w:r>
      <w:r w:rsidRPr="00460C02">
        <w:t>Economic and Monetary Union</w:t>
      </w:r>
      <w:r>
        <w:t xml:space="preserve">, (6) </w:t>
      </w:r>
      <w:r w:rsidRPr="00460C02">
        <w:t>EU-US Free Trade</w:t>
      </w:r>
      <w:r>
        <w:t xml:space="preserve">, (7) </w:t>
      </w:r>
      <w:r w:rsidRPr="00460C02">
        <w:t>Justice and Fundamental Rights</w:t>
      </w:r>
      <w:r>
        <w:t xml:space="preserve">, (8) Migration, (9) </w:t>
      </w:r>
      <w:r w:rsidRPr="00460C02">
        <w:t>EU as a Global Actor</w:t>
      </w:r>
      <w:r>
        <w:t>, and (10) Democratic Change.</w:t>
      </w:r>
    </w:p>
    <w:p w:rsidR="00F50689" w:rsidRPr="008251AA" w:rsidRDefault="005A36C4">
      <w:pPr>
        <w:pStyle w:val="DGTextstand-alone"/>
      </w:pPr>
      <w:r w:rsidRPr="008251AA">
        <w:t>The staff of the Commission work</w:t>
      </w:r>
      <w:r w:rsidR="00C21E0C">
        <w:t>s</w:t>
      </w:r>
      <w:r w:rsidRPr="008251AA">
        <w:t xml:space="preserve"> in departments, known as Directorates-General (DGs) or services, each responsible for a particular policy area and headed by a Director-General. The DGs draft laws, but their proposals become official only once the College of Commissioners </w:t>
      </w:r>
      <w:r w:rsidR="00C21E0C">
        <w:t xml:space="preserve">(28 Commissioners' meeting) </w:t>
      </w:r>
      <w:r w:rsidRPr="008251AA">
        <w:t>adopts them. The DGs also manage funding initiatives at EU level, carry out public consultations and communication activities.</w:t>
      </w:r>
    </w:p>
    <w:p w:rsidR="00F50689" w:rsidRDefault="005A36C4" w:rsidP="00F50689">
      <w:pPr>
        <w:pStyle w:val="DGTextstand-alone"/>
      </w:pPr>
      <w:r w:rsidRPr="008251AA">
        <w:t xml:space="preserve">The Commission also administers a number of executive agencies, which help </w:t>
      </w:r>
      <w:r w:rsidR="00C21E0C">
        <w:t xml:space="preserve">with </w:t>
      </w:r>
      <w:r w:rsidRPr="008251AA">
        <w:t xml:space="preserve">the </w:t>
      </w:r>
      <w:r w:rsidR="00C21E0C">
        <w:t xml:space="preserve">management of </w:t>
      </w:r>
      <w:r w:rsidRPr="008251AA">
        <w:t>EU programmes.</w:t>
      </w:r>
    </w:p>
    <w:p w:rsidR="00F50689" w:rsidRDefault="00F50689" w:rsidP="00F50689">
      <w:pPr>
        <w:pStyle w:val="Textstand-alone"/>
        <w:spacing w:before="0" w:after="0"/>
      </w:pPr>
    </w:p>
    <w:p w:rsidR="00F50689" w:rsidRDefault="005A36C4">
      <w:pPr>
        <w:rPr>
          <w:rFonts w:ascii="Verdana" w:hAnsi="Verdana"/>
          <w:b/>
          <w:color w:val="016794"/>
          <w:sz w:val="32"/>
          <w:szCs w:val="32"/>
        </w:rPr>
      </w:pPr>
      <w:r>
        <w:br w:type="page"/>
      </w:r>
    </w:p>
    <w:p w:rsidR="00F50689" w:rsidRDefault="005A36C4" w:rsidP="00F50689">
      <w:pPr>
        <w:pStyle w:val="HEADER1Part4"/>
      </w:pPr>
      <w:r>
        <w:t>Initiatives and strategies of the Commission</w:t>
      </w:r>
    </w:p>
    <w:p w:rsidR="00F50689" w:rsidRDefault="005A36C4" w:rsidP="00F50689">
      <w:pPr>
        <w:pStyle w:val="DGTextstand-alone"/>
      </w:pPr>
      <w:r>
        <w:t>The new Commission that came into office in November 2014 has defined its work programme for 2015 and the new initiatives for the Commission until 2019. The work programme sets out the Commission's plans and identifies actions which will make a positive difference for jobs, growth and investment in 2015. This programme focuses on a limited set of concrete new initiatives such as:</w:t>
      </w:r>
    </w:p>
    <w:p w:rsidR="00F50689" w:rsidRPr="00EA1E2B" w:rsidRDefault="005A36C4" w:rsidP="00F50689">
      <w:pPr>
        <w:pStyle w:val="DGTextstand-alone"/>
        <w:rPr>
          <w:b/>
        </w:rPr>
      </w:pPr>
      <w:r w:rsidRPr="00EA1E2B">
        <w:rPr>
          <w:b/>
        </w:rPr>
        <w:t>A new boost for jobs, growth and investment</w:t>
      </w:r>
    </w:p>
    <w:p w:rsidR="00F50689" w:rsidRDefault="005A36C4" w:rsidP="00F50689">
      <w:pPr>
        <w:pStyle w:val="DGTextstand-alone"/>
        <w:numPr>
          <w:ilvl w:val="0"/>
          <w:numId w:val="7"/>
        </w:numPr>
      </w:pPr>
      <w:r>
        <w:t>EUR 315 billion investment offensive: The legislative follow-up to the Plan announced at the end of 2014, unlocking public and private investments in the real economy over the next three years;</w:t>
      </w:r>
    </w:p>
    <w:p w:rsidR="00F50689" w:rsidRDefault="005A36C4" w:rsidP="00F50689">
      <w:pPr>
        <w:pStyle w:val="DGTextstand-alone"/>
        <w:numPr>
          <w:ilvl w:val="0"/>
          <w:numId w:val="7"/>
        </w:numPr>
      </w:pPr>
      <w:r>
        <w:t>Promoting labour integration and employability; and</w:t>
      </w:r>
    </w:p>
    <w:p w:rsidR="00F50689" w:rsidRDefault="005A36C4" w:rsidP="00F50689">
      <w:pPr>
        <w:pStyle w:val="DGTextstand-alone"/>
        <w:numPr>
          <w:ilvl w:val="0"/>
          <w:numId w:val="7"/>
        </w:numPr>
      </w:pPr>
      <w:r>
        <w:t>Reviewing the Europe 2020 strategy.</w:t>
      </w:r>
    </w:p>
    <w:p w:rsidR="00D64639" w:rsidRDefault="005A36C4" w:rsidP="00F50689">
      <w:pPr>
        <w:pStyle w:val="DGTextstand-alone"/>
      </w:pPr>
      <w:r w:rsidRPr="0039477C">
        <w:rPr>
          <w:b/>
        </w:rPr>
        <w:t>Digital Single Market package:</w:t>
      </w:r>
      <w:r>
        <w:t xml:space="preserve"> </w:t>
      </w:r>
    </w:p>
    <w:p w:rsidR="00D64639" w:rsidRDefault="005A36C4" w:rsidP="00D64639">
      <w:pPr>
        <w:pStyle w:val="DGTextstand-alone"/>
        <w:numPr>
          <w:ilvl w:val="0"/>
          <w:numId w:val="8"/>
        </w:numPr>
      </w:pPr>
      <w:r>
        <w:t>Creating the conditions for a vibrant digital economy and society by complementing the telecommun</w:t>
      </w:r>
      <w:r w:rsidR="00D64639">
        <w:t>ications regulatory environment;</w:t>
      </w:r>
    </w:p>
    <w:p w:rsidR="00D64639" w:rsidRDefault="00D64639" w:rsidP="00D64639">
      <w:pPr>
        <w:pStyle w:val="DGTextstand-alone"/>
        <w:numPr>
          <w:ilvl w:val="0"/>
          <w:numId w:val="8"/>
        </w:numPr>
      </w:pPr>
      <w:r>
        <w:t>M</w:t>
      </w:r>
      <w:r w:rsidR="005A36C4">
        <w:t>odernising copyright rules</w:t>
      </w:r>
      <w:r>
        <w:t>;</w:t>
      </w:r>
    </w:p>
    <w:p w:rsidR="00D64639" w:rsidRDefault="00D64639" w:rsidP="00D64639">
      <w:pPr>
        <w:pStyle w:val="DGTextstand-alone"/>
        <w:numPr>
          <w:ilvl w:val="0"/>
          <w:numId w:val="8"/>
        </w:numPr>
      </w:pPr>
      <w:r>
        <w:t>S</w:t>
      </w:r>
      <w:r w:rsidR="005A36C4">
        <w:t>implifying rules for consumers making online and digital purchases</w:t>
      </w:r>
      <w:r>
        <w:t>;</w:t>
      </w:r>
    </w:p>
    <w:p w:rsidR="00D64639" w:rsidRDefault="00D64639" w:rsidP="00D64639">
      <w:pPr>
        <w:pStyle w:val="DGTextstand-alone"/>
        <w:numPr>
          <w:ilvl w:val="0"/>
          <w:numId w:val="8"/>
        </w:numPr>
      </w:pPr>
      <w:r>
        <w:t>E</w:t>
      </w:r>
      <w:r w:rsidR="005A36C4">
        <w:t>nhancing cyber-security</w:t>
      </w:r>
      <w:r>
        <w:t>;</w:t>
      </w:r>
      <w:r w:rsidR="005A36C4">
        <w:t xml:space="preserve"> and </w:t>
      </w:r>
    </w:p>
    <w:p w:rsidR="00F50689" w:rsidRDefault="00D64639" w:rsidP="00D64639">
      <w:pPr>
        <w:pStyle w:val="DGTextstand-alone"/>
        <w:numPr>
          <w:ilvl w:val="0"/>
          <w:numId w:val="8"/>
        </w:numPr>
      </w:pPr>
      <w:r>
        <w:t>M</w:t>
      </w:r>
      <w:r w:rsidR="005A36C4">
        <w:t>ainstreaming digitalisation.</w:t>
      </w:r>
    </w:p>
    <w:p w:rsidR="00F50689" w:rsidRPr="00EA1E2B" w:rsidRDefault="005A36C4" w:rsidP="00F50689">
      <w:pPr>
        <w:pStyle w:val="DGTextstand-alone"/>
        <w:rPr>
          <w:b/>
        </w:rPr>
      </w:pPr>
      <w:r w:rsidRPr="00EA1E2B">
        <w:rPr>
          <w:b/>
        </w:rPr>
        <w:t>A resilient energy union with a forward looking climate change policy</w:t>
      </w:r>
    </w:p>
    <w:p w:rsidR="00F50689" w:rsidRDefault="005A36C4" w:rsidP="00F50689">
      <w:pPr>
        <w:pStyle w:val="DGTextstand-alone"/>
        <w:numPr>
          <w:ilvl w:val="0"/>
          <w:numId w:val="8"/>
        </w:numPr>
      </w:pPr>
      <w:r>
        <w:t>Creation of the European Energy Union: To ensure energy supply security, further integrate national energy markets, reduce European energy demand and decarbonise the energy mix; and</w:t>
      </w:r>
    </w:p>
    <w:p w:rsidR="00F50689" w:rsidRDefault="005A36C4" w:rsidP="00F50689">
      <w:pPr>
        <w:pStyle w:val="DGTextstand-alone"/>
        <w:numPr>
          <w:ilvl w:val="0"/>
          <w:numId w:val="8"/>
        </w:numPr>
      </w:pPr>
      <w:r>
        <w:t>Multilateral response to climate change.</w:t>
      </w:r>
    </w:p>
    <w:p w:rsidR="00F50689" w:rsidRPr="00EA1E2B" w:rsidRDefault="005A36C4" w:rsidP="00F50689">
      <w:pPr>
        <w:pStyle w:val="DGTextstand-alone"/>
        <w:rPr>
          <w:b/>
        </w:rPr>
      </w:pPr>
      <w:r w:rsidRPr="00EA1E2B">
        <w:rPr>
          <w:b/>
        </w:rPr>
        <w:t>A deeper and fairer internal market</w:t>
      </w:r>
    </w:p>
    <w:p w:rsidR="00F50689" w:rsidRDefault="005A36C4" w:rsidP="00F50689">
      <w:pPr>
        <w:pStyle w:val="DGTextstand-alone"/>
        <w:numPr>
          <w:ilvl w:val="0"/>
          <w:numId w:val="9"/>
        </w:numPr>
      </w:pPr>
      <w:r>
        <w:t>An internal market strategy;</w:t>
      </w:r>
    </w:p>
    <w:p w:rsidR="00F50689" w:rsidRDefault="005A36C4" w:rsidP="00F50689">
      <w:pPr>
        <w:pStyle w:val="DGTextstand-alone"/>
        <w:numPr>
          <w:ilvl w:val="0"/>
          <w:numId w:val="9"/>
        </w:numPr>
      </w:pPr>
      <w:r>
        <w:t>A labour mobility package;</w:t>
      </w:r>
    </w:p>
    <w:p w:rsidR="00F50689" w:rsidRDefault="005A36C4" w:rsidP="00F50689">
      <w:pPr>
        <w:pStyle w:val="DGTextstand-alone"/>
        <w:numPr>
          <w:ilvl w:val="0"/>
          <w:numId w:val="9"/>
        </w:numPr>
      </w:pPr>
      <w:r>
        <w:t>Capital markets union action plan;</w:t>
      </w:r>
    </w:p>
    <w:p w:rsidR="00F50689" w:rsidRDefault="005A36C4" w:rsidP="00F50689">
      <w:pPr>
        <w:pStyle w:val="DGTextstand-alone"/>
        <w:numPr>
          <w:ilvl w:val="0"/>
          <w:numId w:val="9"/>
        </w:numPr>
      </w:pPr>
      <w:r>
        <w:t>A framework for financial institution resolution; and</w:t>
      </w:r>
    </w:p>
    <w:p w:rsidR="00F50689" w:rsidRDefault="005A36C4" w:rsidP="00F50689">
      <w:pPr>
        <w:pStyle w:val="DGTextstand-alone"/>
        <w:numPr>
          <w:ilvl w:val="0"/>
          <w:numId w:val="9"/>
        </w:numPr>
      </w:pPr>
      <w:r>
        <w:t>An aviation package.</w:t>
      </w:r>
    </w:p>
    <w:p w:rsidR="00F50689" w:rsidRPr="00EA1E2B" w:rsidRDefault="005A36C4" w:rsidP="00F50689">
      <w:pPr>
        <w:pStyle w:val="DGTextstand-alone"/>
        <w:rPr>
          <w:b/>
        </w:rPr>
      </w:pPr>
      <w:r w:rsidRPr="00EA1E2B">
        <w:rPr>
          <w:b/>
        </w:rPr>
        <w:t>A trade and investment strategy to boost jobs and growth</w:t>
      </w:r>
    </w:p>
    <w:p w:rsidR="00F50689" w:rsidRPr="00EA1E2B" w:rsidRDefault="005A36C4" w:rsidP="00F50689">
      <w:pPr>
        <w:pStyle w:val="DGTextstand-alone"/>
        <w:rPr>
          <w:b/>
        </w:rPr>
      </w:pPr>
      <w:r w:rsidRPr="00EA1E2B">
        <w:rPr>
          <w:b/>
        </w:rPr>
        <w:t>An area of justice and fundamental rights</w:t>
      </w:r>
    </w:p>
    <w:p w:rsidR="00F50689" w:rsidRDefault="005A36C4" w:rsidP="00F50689">
      <w:pPr>
        <w:pStyle w:val="DGTextstand-alone"/>
        <w:numPr>
          <w:ilvl w:val="0"/>
          <w:numId w:val="10"/>
        </w:numPr>
      </w:pPr>
      <w:r>
        <w:t>EU accession to the European Convention on Human Rights; and</w:t>
      </w:r>
    </w:p>
    <w:p w:rsidR="00F50689" w:rsidRDefault="005A36C4" w:rsidP="00F50689">
      <w:pPr>
        <w:pStyle w:val="DGTextstand-alone"/>
        <w:numPr>
          <w:ilvl w:val="0"/>
          <w:numId w:val="10"/>
        </w:numPr>
      </w:pPr>
      <w:r>
        <w:t>European agenda on security.</w:t>
      </w:r>
    </w:p>
    <w:p w:rsidR="00D64639" w:rsidRDefault="005A36C4" w:rsidP="00F50689">
      <w:pPr>
        <w:pStyle w:val="DGTextstand-alone"/>
      </w:pPr>
      <w:r w:rsidRPr="00814D6B">
        <w:rPr>
          <w:b/>
        </w:rPr>
        <w:t>A new policy on migration</w:t>
      </w:r>
      <w:r>
        <w:t xml:space="preserve">: </w:t>
      </w:r>
    </w:p>
    <w:p w:rsidR="00D64639" w:rsidRDefault="005A36C4" w:rsidP="00D64639">
      <w:pPr>
        <w:pStyle w:val="DGTextstand-alone"/>
        <w:numPr>
          <w:ilvl w:val="0"/>
          <w:numId w:val="11"/>
        </w:numPr>
      </w:pPr>
      <w:r>
        <w:t>Developing a new approach on legal migration to make the EU an attractive destination for talent and skills</w:t>
      </w:r>
      <w:r w:rsidR="00D64639">
        <w:t>;</w:t>
      </w:r>
      <w:r>
        <w:t xml:space="preserve"> and </w:t>
      </w:r>
    </w:p>
    <w:p w:rsidR="00F50689" w:rsidRDefault="00D64639" w:rsidP="00D64639">
      <w:pPr>
        <w:pStyle w:val="DGTextstand-alone"/>
        <w:numPr>
          <w:ilvl w:val="0"/>
          <w:numId w:val="11"/>
        </w:numPr>
      </w:pPr>
      <w:r>
        <w:t>I</w:t>
      </w:r>
      <w:r w:rsidR="005A36C4">
        <w:t>mproving the management of migration into the EU through greater cooperation with third countries, solidarity among our Member States and fighting human trafficking.</w:t>
      </w:r>
    </w:p>
    <w:p w:rsidR="00F50689" w:rsidRPr="00EA1E2B" w:rsidRDefault="005A36C4" w:rsidP="00F50689">
      <w:pPr>
        <w:pStyle w:val="DGTextstand-alone"/>
        <w:rPr>
          <w:b/>
        </w:rPr>
      </w:pPr>
      <w:r w:rsidRPr="00EA1E2B">
        <w:rPr>
          <w:b/>
        </w:rPr>
        <w:t>A stronger global actor</w:t>
      </w:r>
    </w:p>
    <w:p w:rsidR="00F50689" w:rsidRPr="00BA030C" w:rsidRDefault="005A36C4" w:rsidP="00F50689">
      <w:pPr>
        <w:pStyle w:val="DGTextstand-alone"/>
        <w:numPr>
          <w:ilvl w:val="0"/>
          <w:numId w:val="11"/>
        </w:numPr>
      </w:pPr>
      <w:r w:rsidRPr="00BA030C">
        <w:t>European Neighbourhood policy; and</w:t>
      </w:r>
    </w:p>
    <w:p w:rsidR="00F50689" w:rsidRPr="00BA030C" w:rsidRDefault="005A36C4" w:rsidP="00F50689">
      <w:pPr>
        <w:pStyle w:val="DGTextstand-alone"/>
        <w:numPr>
          <w:ilvl w:val="0"/>
          <w:numId w:val="11"/>
        </w:numPr>
      </w:pPr>
      <w:r w:rsidRPr="00BA030C">
        <w:t>Post 2015 sustainable development goals.</w:t>
      </w:r>
    </w:p>
    <w:p w:rsidR="00F50689" w:rsidRPr="00EA1E2B" w:rsidRDefault="005A36C4" w:rsidP="00F50689">
      <w:pPr>
        <w:pStyle w:val="DGTextstand-alone"/>
        <w:rPr>
          <w:b/>
        </w:rPr>
      </w:pPr>
      <w:r w:rsidRPr="00EA1E2B">
        <w:rPr>
          <w:b/>
        </w:rPr>
        <w:t>A fair taxation environment</w:t>
      </w:r>
    </w:p>
    <w:p w:rsidR="00F50689" w:rsidRDefault="005A36C4" w:rsidP="00F50689">
      <w:pPr>
        <w:pStyle w:val="DGTextstand-alone"/>
        <w:numPr>
          <w:ilvl w:val="0"/>
          <w:numId w:val="11"/>
        </w:numPr>
      </w:pPr>
      <w:r>
        <w:t>An Action Plan on efforts to combat tax evasion and tax fraud, including measures at EU level in order to move to a system on the basis of which the country where profits are generated is also the country of taxation; including automatic exchange of information on tax rulings and stabilising corporate tax bases; and</w:t>
      </w:r>
    </w:p>
    <w:p w:rsidR="00F50689" w:rsidRDefault="005A36C4" w:rsidP="00F50689">
      <w:pPr>
        <w:pStyle w:val="DGTextstand-alone"/>
        <w:numPr>
          <w:ilvl w:val="0"/>
          <w:numId w:val="11"/>
        </w:numPr>
      </w:pPr>
      <w:r>
        <w:t>Compulsory exchange of information on tax rulings.</w:t>
      </w:r>
    </w:p>
    <w:p w:rsidR="00F50689" w:rsidRPr="00EA1E2B" w:rsidRDefault="005A36C4" w:rsidP="00F50689">
      <w:pPr>
        <w:pStyle w:val="DGTextstand-alone"/>
        <w:rPr>
          <w:b/>
        </w:rPr>
      </w:pPr>
      <w:r w:rsidRPr="00EA1E2B">
        <w:rPr>
          <w:b/>
        </w:rPr>
        <w:t>A Union of democratic change</w:t>
      </w:r>
    </w:p>
    <w:p w:rsidR="00F50689" w:rsidRDefault="005A36C4" w:rsidP="00F50689">
      <w:pPr>
        <w:pStyle w:val="DGTextstand-alone"/>
        <w:numPr>
          <w:ilvl w:val="0"/>
          <w:numId w:val="11"/>
        </w:numPr>
      </w:pPr>
      <w:r>
        <w:t>An EU agreement on better law making;</w:t>
      </w:r>
    </w:p>
    <w:p w:rsidR="00F50689" w:rsidRDefault="005A36C4" w:rsidP="00F50689">
      <w:pPr>
        <w:pStyle w:val="DGTextstand-alone"/>
        <w:numPr>
          <w:ilvl w:val="0"/>
          <w:numId w:val="11"/>
        </w:numPr>
      </w:pPr>
      <w:r>
        <w:t>A mandatory transparency register; and</w:t>
      </w:r>
    </w:p>
    <w:p w:rsidR="00F50689" w:rsidRDefault="005A36C4" w:rsidP="00F50689">
      <w:pPr>
        <w:pStyle w:val="DGTextstand-alone"/>
        <w:numPr>
          <w:ilvl w:val="0"/>
          <w:numId w:val="11"/>
        </w:numPr>
      </w:pPr>
      <w:r>
        <w:t>Review of the genetically modified organism decision making process.</w:t>
      </w:r>
    </w:p>
    <w:p w:rsidR="00F50689" w:rsidRDefault="005A36C4" w:rsidP="00F50689">
      <w:pPr>
        <w:pStyle w:val="DGTextstand-alone"/>
      </w:pPr>
      <w:r w:rsidRPr="00814D6B">
        <w:rPr>
          <w:b/>
        </w:rPr>
        <w:t>Deeper Economic and Monetary Union</w:t>
      </w:r>
      <w:r>
        <w:t>: Continued efforts to promote economic stability and attract investors to Europe.</w:t>
      </w:r>
    </w:p>
    <w:p w:rsidR="00F50689" w:rsidRDefault="005A36C4" w:rsidP="00F50689">
      <w:pPr>
        <w:pStyle w:val="DGTextstand-alone"/>
        <w:spacing w:after="480"/>
      </w:pPr>
      <w:r>
        <w:t xml:space="preserve">In preparing the work programme, the Commission examined around 450 proposals that were put forward to the EP and the Council, and is proposing to withdraw or amend 80 of them. Some are proposed for withdrawal because they do not match the new Commission's priorities. </w:t>
      </w:r>
      <w:r w:rsidR="00D64639">
        <w:t>I</w:t>
      </w:r>
      <w:r>
        <w:t>n many cases, the Commission remains strongly committed to the objectives sought – but proposals are of no use if they are simply sitting dormant on a negotiating table or if they will be so watered down in negotiations that they can no longer achieve their original purpose. When that is the case, the Commission will propose new, better ways of achieving these objectives.</w:t>
      </w:r>
    </w:p>
    <w:p w:rsidR="00F50689" w:rsidRDefault="005A36C4" w:rsidP="00F50689">
      <w:pPr>
        <w:pStyle w:val="HEADER1Part4"/>
      </w:pPr>
      <w:r>
        <w:t>EU Budget: From preparation to discharge</w:t>
      </w:r>
    </w:p>
    <w:p w:rsidR="00F50689" w:rsidRDefault="005A36C4" w:rsidP="00F50689">
      <w:pPr>
        <w:pStyle w:val="HEADER2Part4"/>
      </w:pPr>
      <w:r>
        <w:t>Budget and Funding</w:t>
      </w:r>
    </w:p>
    <w:p w:rsidR="00F50689" w:rsidRPr="00EA1E2B" w:rsidRDefault="005A36C4" w:rsidP="00F50689">
      <w:pPr>
        <w:pStyle w:val="DGTextstand-alone"/>
      </w:pPr>
      <w:r w:rsidRPr="00D40A00">
        <w:t>The MFF consists of headings with annual limits for commitment appropriations set for each. The sum of the ceilings of all headings gives the total ceiling of commitment appropriations. The EU Budget</w:t>
      </w:r>
      <w:r w:rsidRPr="00EA1E2B">
        <w:t xml:space="preserve"> finances a wide range of policies and programmes throughout the EU. In accordance with the priorities set by the EP and the Council in the MFF, the Commission carries out specific programmes, activities and projects in the field. The direct link between the annual budget and the EU policies is ensured through activity-based budgeting (ABB). The activity-based budget nomenclature allows for clear identification of the policy areas of the EU and the total amount of resources allocated to each of these areas. The budget is prepared by the Commission and </w:t>
      </w:r>
      <w:r>
        <w:t xml:space="preserve">usually </w:t>
      </w:r>
      <w:r w:rsidRPr="00EA1E2B">
        <w:t xml:space="preserve">agreed in mid-December by the </w:t>
      </w:r>
      <w:r w:rsidR="001075AF">
        <w:t>EP</w:t>
      </w:r>
      <w:r w:rsidRPr="00EA1E2B">
        <w:t xml:space="preserve"> and the Council in accordance with the procedure of Art</w:t>
      </w:r>
      <w:r w:rsidR="001075AF">
        <w:t>.</w:t>
      </w:r>
      <w:r w:rsidRPr="00EA1E2B">
        <w:t xml:space="preserve"> 314 TFEU. According to the principle of budget equlibrium, the total revenue must equal total expenditure for a given financial year.</w:t>
      </w:r>
    </w:p>
    <w:p w:rsidR="00F50689" w:rsidRPr="00EA1E2B" w:rsidRDefault="005A36C4" w:rsidP="00F50689">
      <w:pPr>
        <w:pStyle w:val="DGTextstand-alone"/>
      </w:pPr>
      <w:r w:rsidRPr="00EA1E2B">
        <w:t>The EU has two main categories of funding: Own resources revenues and sundry revenues. Own resource</w:t>
      </w:r>
      <w:r w:rsidR="00D64639">
        <w:t>s</w:t>
      </w:r>
      <w:r w:rsidRPr="00EA1E2B">
        <w:t xml:space="preserve"> revenue</w:t>
      </w:r>
      <w:r w:rsidR="00D64639">
        <w:t>s</w:t>
      </w:r>
      <w:r w:rsidRPr="00EA1E2B">
        <w:t xml:space="preserve"> make up the vast majority of EU funding and accrue automatically to the EU to enable it to finance its budget without the need for a subsequent decision by national authorities. The overall amount of own resources needed to finance the budget is determined by total expenditure less sundry revenue. The total amount of own resources cannot exceed 1.23</w:t>
      </w:r>
      <w:r w:rsidR="001075AF">
        <w:t> </w:t>
      </w:r>
      <w:r w:rsidRPr="00EA1E2B">
        <w:t>% of the gross national income (GNI) of the EU. Own resources can be divided into traditional own resources</w:t>
      </w:r>
      <w:r w:rsidR="00D64639">
        <w:t xml:space="preserve"> (such as custom levies)</w:t>
      </w:r>
      <w:r w:rsidRPr="00EA1E2B">
        <w:t xml:space="preserve">, the own resource based on value added tax (VAT) and the resource based on gross national income (GNI). Sundry revenues arising from the activities of the EU (e.g. competition fines) normally represent less than 10 % of total revenue. </w:t>
      </w:r>
    </w:p>
    <w:p w:rsidR="00F50689" w:rsidRPr="00EA1E2B" w:rsidRDefault="005A36C4" w:rsidP="00F50689">
      <w:pPr>
        <w:pStyle w:val="DGTextstand-alone"/>
      </w:pPr>
      <w:r w:rsidRPr="00EA1E2B">
        <w:t>As a general principle the EU is not allowed to borrow money on capital markets or from financial institutions to finance its budget.</w:t>
      </w:r>
    </w:p>
    <w:p w:rsidR="00F50689" w:rsidRDefault="005A36C4" w:rsidP="00F50689">
      <w:pPr>
        <w:pStyle w:val="HEADER2Part4"/>
      </w:pPr>
      <w:r>
        <w:t>How the EU budget is managed and spent</w:t>
      </w:r>
    </w:p>
    <w:p w:rsidR="00F50689" w:rsidRDefault="005A36C4" w:rsidP="00F50689">
      <w:pPr>
        <w:pStyle w:val="HEADER5"/>
      </w:pPr>
      <w:r>
        <w:t>Primary operational expenditure</w:t>
      </w:r>
    </w:p>
    <w:p w:rsidR="00F50689" w:rsidRDefault="005A36C4" w:rsidP="00F50689">
      <w:pPr>
        <w:pStyle w:val="DGTextstand-alone"/>
      </w:pPr>
      <w:r>
        <w:t>The EU's operational expenditure covers the various headings of the MFF and takes different forms, depending on how the money is paid out and managed. From 2014 onwards, the Commission classifies its expenditure as follows:</w:t>
      </w:r>
    </w:p>
    <w:p w:rsidR="00F50689" w:rsidRDefault="005A36C4" w:rsidP="00F50689">
      <w:pPr>
        <w:pStyle w:val="DGTextstand-alone"/>
        <w:ind w:left="720"/>
      </w:pPr>
      <w:r w:rsidRPr="0039477C">
        <w:rPr>
          <w:b/>
        </w:rPr>
        <w:t>Direct management:</w:t>
      </w:r>
      <w:r>
        <w:t xml:space="preserve"> this is where the budget is implemented directly by the Commission services.</w:t>
      </w:r>
    </w:p>
    <w:p w:rsidR="00F50689" w:rsidRDefault="005A36C4" w:rsidP="00F50689">
      <w:pPr>
        <w:pStyle w:val="DGTextstand-alone"/>
        <w:ind w:left="720"/>
      </w:pPr>
      <w:r w:rsidRPr="0039477C">
        <w:rPr>
          <w:b/>
        </w:rPr>
        <w:t>Indirect management:</w:t>
      </w:r>
      <w:r>
        <w:t xml:space="preserve"> this refers to cases where the Commission confers tasks of implementation of the budget to bodies of EU law or national law, such as the EU agencies.</w:t>
      </w:r>
    </w:p>
    <w:p w:rsidR="00F50689" w:rsidRDefault="005A36C4" w:rsidP="00F50689">
      <w:pPr>
        <w:pStyle w:val="DGTextstand-alone"/>
        <w:ind w:left="720"/>
      </w:pPr>
      <w:r w:rsidRPr="0039477C">
        <w:rPr>
          <w:b/>
        </w:rPr>
        <w:t>Shared management</w:t>
      </w:r>
      <w:r>
        <w:t>: under this method budget implementation tasks are delegated to Member States. About 80</w:t>
      </w:r>
      <w:r w:rsidR="00D64639">
        <w:t> </w:t>
      </w:r>
      <w:r>
        <w:t>% of the expenditure fall under this mode covering such areas as agricultural spending and structural actions.</w:t>
      </w:r>
    </w:p>
    <w:p w:rsidR="00F50689" w:rsidRDefault="005A36C4" w:rsidP="00F50689">
      <w:pPr>
        <w:pStyle w:val="HEADER5"/>
      </w:pPr>
      <w:r>
        <w:t>The different financial actors within the Commission</w:t>
      </w:r>
    </w:p>
    <w:p w:rsidR="00F50689" w:rsidRDefault="005A36C4" w:rsidP="00F50689">
      <w:pPr>
        <w:pStyle w:val="DGTextstand-alone"/>
      </w:pPr>
      <w:r>
        <w:t xml:space="preserve">The </w:t>
      </w:r>
      <w:r w:rsidRPr="0039477C">
        <w:rPr>
          <w:b/>
        </w:rPr>
        <w:t>College of Commissioners</w:t>
      </w:r>
      <w:r>
        <w:t xml:space="preserve"> assumes collective political responsibility but in practice does not exercise itself the budget implementation powers vested in it. It delegates these tasks each year to individual civil servants accountable to the College</w:t>
      </w:r>
      <w:r w:rsidR="00D64639">
        <w:t>,</w:t>
      </w:r>
      <w:r>
        <w:t xml:space="preserve"> subject to the Financial Regulation (FR) and the Staff Regulations (SR). The staff concerned – generally Directors-General and Heads of Service - are known as “Authorising Officers by delegation” or "AODs". They in turn may further delegate budget implementation tasks to “Authorising Officers by sub-delegation”.</w:t>
      </w:r>
    </w:p>
    <w:p w:rsidR="00F50689" w:rsidRDefault="005A36C4" w:rsidP="00F50689">
      <w:pPr>
        <w:pStyle w:val="DGTextstand-alone"/>
      </w:pPr>
      <w:r>
        <w:t xml:space="preserve">The responsibility of the </w:t>
      </w:r>
      <w:r w:rsidRPr="0039477C">
        <w:rPr>
          <w:b/>
        </w:rPr>
        <w:t>Authorising Officers</w:t>
      </w:r>
      <w:r>
        <w:t xml:space="preserve"> covers the entire management process, from determining what needs to be done to achieve the policy objectives set by the institution to managing the activities launched from both an operational and budgetary standpoint. Each Authorising Officer is required to prepare an Annual Activity Report (AAR) on the activities under </w:t>
      </w:r>
      <w:r w:rsidR="00F1765A">
        <w:t>her/</w:t>
      </w:r>
      <w:r>
        <w:t xml:space="preserve">his responsibility where </w:t>
      </w:r>
      <w:r w:rsidR="00F1765A">
        <w:t>she/</w:t>
      </w:r>
      <w:r>
        <w:t xml:space="preserve">he reports on policy results and on the reasonable assurance </w:t>
      </w:r>
      <w:r w:rsidR="00F1765A">
        <w:t>she/</w:t>
      </w:r>
      <w:r>
        <w:t xml:space="preserve">he may have that the resources assigned to the activities described in </w:t>
      </w:r>
      <w:r w:rsidR="00F1765A">
        <w:t>her/</w:t>
      </w:r>
      <w:r>
        <w:t>his report have been used for their intended purpose and in accordance with the principles of sound financial management, and that the control procedures put in place give the necessary guarantees concerning the legality and regularity of the underlying transactions. On the basis of Art</w:t>
      </w:r>
      <w:r w:rsidR="001075AF">
        <w:t>.</w:t>
      </w:r>
      <w:r>
        <w:t xml:space="preserve"> 66 FR, the Commission transmits a summary report (synthesis report) on the individual AARs to the EP and the Council, by which the Commission takes overall political responsibility for the management of the EU budget in line with Art</w:t>
      </w:r>
      <w:r w:rsidR="001075AF">
        <w:t>.</w:t>
      </w:r>
      <w:r>
        <w:t xml:space="preserve"> 317 TFEU. This report and the AAR are available at: http://ec.europa.eu/atwork/planning-and-preparing/synthesis-report/index_en.htm.</w:t>
      </w:r>
    </w:p>
    <w:p w:rsidR="00F50689" w:rsidRDefault="005A36C4" w:rsidP="00F50689">
      <w:pPr>
        <w:pStyle w:val="DGTextstand-alone"/>
      </w:pPr>
      <w:r>
        <w:t xml:space="preserve">The </w:t>
      </w:r>
      <w:r w:rsidRPr="0039477C">
        <w:rPr>
          <w:b/>
        </w:rPr>
        <w:t>Accounting Officer</w:t>
      </w:r>
      <w:r>
        <w:t xml:space="preserve"> executes payment and recovery orders drawn up by Authorising Officers and is responsible for managing the treasury, laying down accounting rules and methods, validating accounting systems, keeping the accounts and drawing up the institution's annual accounts. Furthermore, the Accounting Officer is required to sign the annual accounts declaring that they present fairly, in all material aspects, the financial position, the results of the operations and the cashflows. </w:t>
      </w:r>
    </w:p>
    <w:p w:rsidR="00F50689" w:rsidRDefault="005A36C4" w:rsidP="00F50689">
      <w:pPr>
        <w:pStyle w:val="HEADER5"/>
      </w:pPr>
      <w:r>
        <w:t>Committing to spend the EU budget</w:t>
      </w:r>
    </w:p>
    <w:p w:rsidR="00F50689" w:rsidRDefault="005A36C4" w:rsidP="00F50689">
      <w:pPr>
        <w:pStyle w:val="DGTextstand-alone"/>
      </w:pPr>
      <w:r>
        <w:t>Before a legal commitment (for example a contract or grant agreement) can be entered into with a third party, there must be a budget line authorising the activity in question in the annual budget. There must also be sufficient funds on the budget line to cover the expenditure. If these conditions are met, the funds required must be reserved in the budget by means of a budgetary commitment made in the accounting system and only then a legal commitment can be made. No money can be spent from the EU budget unless and until the Authorising Officer has adopted a budget</w:t>
      </w:r>
      <w:r w:rsidR="001075AF">
        <w:t>ary</w:t>
      </w:r>
      <w:r>
        <w:t xml:space="preserve"> commitment. </w:t>
      </w:r>
    </w:p>
    <w:p w:rsidR="00F50689" w:rsidRDefault="005A36C4" w:rsidP="00F50689">
      <w:pPr>
        <w:pStyle w:val="DGTextstand-alone"/>
      </w:pPr>
      <w:r>
        <w:t xml:space="preserve">Once approved, the budgetary commitment is recorded in the budgetary accounting system and the appropriations are consumed accordingly. This, however, has no effect on the financial statements (or general ledger) since no expense has yet been incurred. </w:t>
      </w:r>
    </w:p>
    <w:p w:rsidR="00F50689" w:rsidRDefault="005A36C4">
      <w:pPr>
        <w:rPr>
          <w:rFonts w:ascii="Verdana" w:hAnsi="Verdana"/>
          <w:b/>
          <w:color w:val="016794"/>
          <w:sz w:val="18"/>
          <w:szCs w:val="18"/>
        </w:rPr>
      </w:pPr>
      <w:r>
        <w:br w:type="page"/>
      </w:r>
    </w:p>
    <w:p w:rsidR="00F50689" w:rsidRDefault="005A36C4" w:rsidP="00F50689">
      <w:pPr>
        <w:pStyle w:val="HEADER5"/>
      </w:pPr>
      <w:r>
        <w:t>Making a payment</w:t>
      </w:r>
    </w:p>
    <w:p w:rsidR="00F50689" w:rsidRDefault="005A36C4" w:rsidP="00F50689">
      <w:pPr>
        <w:pStyle w:val="DGTextstand-alone"/>
      </w:pPr>
      <w:r>
        <w:t xml:space="preserve">The Commission is a participant in SWIFT (Society for Worldwide Interbank Financial Telecommunication) and makes more than 2 million payments a year. </w:t>
      </w:r>
      <w:r w:rsidR="00F1765A">
        <w:t>No payment can be made unless a budgetary commitment has already been approved by the Authorising Officer dealing with the operation in question.</w:t>
      </w:r>
    </w:p>
    <w:p w:rsidR="00F50689" w:rsidRDefault="005A36C4" w:rsidP="00F50689">
      <w:pPr>
        <w:pStyle w:val="DGTextstand-alone"/>
      </w:pPr>
      <w:r>
        <w:t>Pre-financing is a payment intended to provide the beneficiary with a cash advance, i.e. a float. It may be split into a number of payments over a period defined in the particular legal commitment. If the beneficiary does not incur eligible expenditure he has the obligation to return the pre-financing advance to the EU. Thus pre-financing paid is not a definitive expense until the relevant conditions are met and so is recorded as an asset on the EU balance sheet when the initial payment is made.</w:t>
      </w:r>
    </w:p>
    <w:p w:rsidR="00F50689" w:rsidRDefault="005A36C4" w:rsidP="00F50689">
      <w:pPr>
        <w:pStyle w:val="DGTextstand-alone"/>
      </w:pPr>
      <w:r>
        <w:t>Cost claims will be received by the relevant EU body so as to justify how the pre-financing amount was spent by the beneficiary in accordance with the legal commitment. The rhythm of receipt of these cost claims is variable depending on the type of action being funded and the conditions.</w:t>
      </w:r>
    </w:p>
    <w:p w:rsidR="00F50689" w:rsidRDefault="005A36C4" w:rsidP="00F50689">
      <w:pPr>
        <w:pStyle w:val="DGTextstand-alone"/>
      </w:pPr>
      <w:r>
        <w:t xml:space="preserve">Eligibility criteria are defined in the basic act, in the calls for proposal, in other documents for grant beneficiaries and/or in the contractual clauses of the grant agreements or in the grant decision. After analysis, the eligible amounts are taken into expenses and the beneficiary is informed about any non-eligible amounts. </w:t>
      </w:r>
    </w:p>
    <w:p w:rsidR="00F50689" w:rsidRDefault="005A36C4" w:rsidP="00F50689">
      <w:pPr>
        <w:pStyle w:val="DGTextstand-alone"/>
        <w:spacing w:after="480"/>
      </w:pPr>
      <w:r>
        <w:t xml:space="preserve">The FR and other applicable legislation, particularly concerning agriculture and cohesion policies, give the right to make checks on expenditure up to many years after it was incurred. Where errors, irregularities or fraud are detected, financial corrections </w:t>
      </w:r>
      <w:r w:rsidR="00F1765A">
        <w:t xml:space="preserve">or recoveries </w:t>
      </w:r>
      <w:r>
        <w:t xml:space="preserve">are applied (see </w:t>
      </w:r>
      <w:r w:rsidRPr="001075AF">
        <w:t>note</w:t>
      </w:r>
      <w:r w:rsidRPr="00116387">
        <w:rPr>
          <w:b/>
        </w:rPr>
        <w:t xml:space="preserve"> 6</w:t>
      </w:r>
      <w:r>
        <w:t xml:space="preserve"> of the notes to the financial statements). </w:t>
      </w:r>
    </w:p>
    <w:p w:rsidR="00F50689" w:rsidRDefault="005A36C4" w:rsidP="00F50689">
      <w:pPr>
        <w:pStyle w:val="HEADER2Part4"/>
      </w:pPr>
      <w:r>
        <w:t>Financial reporting and accountability</w:t>
      </w:r>
    </w:p>
    <w:p w:rsidR="00F50689" w:rsidRDefault="005A36C4" w:rsidP="00F50689">
      <w:pPr>
        <w:pStyle w:val="DGTextstand-alone"/>
      </w:pPr>
      <w:r w:rsidRPr="0051241F">
        <w:t>The consolidated annual accounts of the EU provide financial information on the activities of the institutions, agencies and other bodies of the EU from a budgetary and accrual accounting perspective. These accounts do not comprise the annual accounts of Member States.</w:t>
      </w:r>
    </w:p>
    <w:p w:rsidR="00F50689" w:rsidRDefault="005A36C4" w:rsidP="00F50689">
      <w:pPr>
        <w:pStyle w:val="DGTextstand-alone"/>
      </w:pPr>
      <w:r>
        <w:t>The annual accounts of the EU consist of two separate but linked parts:</w:t>
      </w:r>
    </w:p>
    <w:p w:rsidR="00F50689" w:rsidRDefault="005A36C4" w:rsidP="00F50689">
      <w:pPr>
        <w:pStyle w:val="DGTextstand-alone"/>
        <w:ind w:left="720"/>
      </w:pPr>
      <w:r>
        <w:t>a)</w:t>
      </w:r>
      <w:r>
        <w:tab/>
        <w:t>the financial statements; and</w:t>
      </w:r>
    </w:p>
    <w:p w:rsidR="00F50689" w:rsidRDefault="005A36C4" w:rsidP="00F50689">
      <w:pPr>
        <w:pStyle w:val="DGTextstand-alone"/>
        <w:ind w:left="1440" w:hanging="720"/>
      </w:pPr>
      <w:r>
        <w:t>b)</w:t>
      </w:r>
      <w:r>
        <w:tab/>
        <w:t>the reports on implementation of the budget, which provide a detailed record of budget implementation.</w:t>
      </w:r>
    </w:p>
    <w:p w:rsidR="00F50689" w:rsidRDefault="005A36C4" w:rsidP="00F50689">
      <w:pPr>
        <w:pStyle w:val="DGTextstand-alone"/>
      </w:pPr>
      <w:r>
        <w:t xml:space="preserve">It is the responsibility of the Commission's Accounting Officer to prepare the EU's financial statements and ensure that they present fairly, in all material aspects, the financial position, the result of the operations and the cashflows of the EU. </w:t>
      </w:r>
    </w:p>
    <w:p w:rsidR="00F50689" w:rsidRDefault="005A36C4" w:rsidP="00F50689">
      <w:pPr>
        <w:pStyle w:val="DGTextstand-alone"/>
      </w:pPr>
      <w:r>
        <w:t>In addition to the above annual accounts, ad-hoc reports on specific areas such as the report on budgetary and financial management, on financial instruments, on guarantees given and on financial corrections are also prepared.</w:t>
      </w:r>
    </w:p>
    <w:p w:rsidR="00F50689" w:rsidRDefault="005A36C4">
      <w:pPr>
        <w:rPr>
          <w:rFonts w:ascii="Verdana" w:hAnsi="Verdana"/>
          <w:noProof/>
          <w:sz w:val="18"/>
          <w:szCs w:val="18"/>
          <w:lang w:eastAsia="en-US"/>
        </w:rPr>
      </w:pPr>
      <w:r>
        <w:br w:type="page"/>
      </w:r>
    </w:p>
    <w:p w:rsidR="00F50689" w:rsidRDefault="005A36C4" w:rsidP="00F50689">
      <w:pPr>
        <w:pStyle w:val="DGTextstand-alone"/>
      </w:pPr>
      <w:r>
        <w:t>Reporting and Accountability in the Commission:</w:t>
      </w:r>
    </w:p>
    <w:p w:rsidR="00F50689" w:rsidRDefault="00762493" w:rsidP="00F50689">
      <w:pPr>
        <w:pStyle w:val="Textstand-alone"/>
        <w:jc w:val="center"/>
      </w:pPr>
      <w:r>
        <w:rPr>
          <w:lang w:eastAsia="en-GB"/>
        </w:rPr>
        <w:drawing>
          <wp:inline distT="0" distB="0" distL="0" distR="0" wp14:anchorId="34271B11" wp14:editId="5B461C10">
            <wp:extent cx="2250219" cy="49723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249490" cy="4970781"/>
                    </a:xfrm>
                    <a:prstGeom prst="rect">
                      <a:avLst/>
                    </a:prstGeom>
                  </pic:spPr>
                </pic:pic>
              </a:graphicData>
            </a:graphic>
          </wp:inline>
        </w:drawing>
      </w:r>
    </w:p>
    <w:p w:rsidR="00F50689" w:rsidRDefault="005A36C4" w:rsidP="00F50689">
      <w:pPr>
        <w:pStyle w:val="HEADER2Part4"/>
      </w:pPr>
      <w:r>
        <w:t>Audit and discharge</w:t>
      </w:r>
    </w:p>
    <w:p w:rsidR="00F50689" w:rsidRDefault="005A36C4" w:rsidP="00F50689">
      <w:pPr>
        <w:pStyle w:val="HEADER5"/>
      </w:pPr>
      <w:r>
        <w:t>Audit</w:t>
      </w:r>
    </w:p>
    <w:p w:rsidR="00F50689" w:rsidRDefault="005A36C4" w:rsidP="00F50689">
      <w:pPr>
        <w:pStyle w:val="DGTextstand-alone"/>
      </w:pPr>
      <w:r>
        <w:t xml:space="preserve">The EU’s annual accounts and resource management are audited by </w:t>
      </w:r>
      <w:r w:rsidR="00F1765A">
        <w:t>the European Court of Auditors (</w:t>
      </w:r>
      <w:r>
        <w:t>the Court</w:t>
      </w:r>
      <w:r w:rsidR="00F1765A">
        <w:t>)</w:t>
      </w:r>
      <w:r>
        <w:t>, its external auditor, which as part of its activities draws up for the EP and the Council:</w:t>
      </w:r>
    </w:p>
    <w:p w:rsidR="00F50689" w:rsidRDefault="005A36C4" w:rsidP="00F50689">
      <w:pPr>
        <w:pStyle w:val="DGTextstand-alone"/>
        <w:ind w:left="720" w:hanging="720"/>
      </w:pPr>
      <w:r>
        <w:t>(1)</w:t>
      </w:r>
      <w:r>
        <w:tab/>
        <w:t>an annual report on the activities financed from the general budget;</w:t>
      </w:r>
    </w:p>
    <w:p w:rsidR="00F50689" w:rsidRDefault="005A36C4" w:rsidP="00F50689">
      <w:pPr>
        <w:pStyle w:val="DGTextstand-alone"/>
        <w:ind w:left="720" w:hanging="720"/>
      </w:pPr>
      <w:r>
        <w:t>(2)</w:t>
      </w:r>
      <w:r>
        <w:tab/>
        <w:t>an opinion, based on its audits and given in the annual report in the form of a statement of assurance, on (i) the reliability of the accounts and (ii) the legality and regularity of the underlying transactions involving both revenue collected from taxable persons and payments to final beneficiaries; and</w:t>
      </w:r>
    </w:p>
    <w:p w:rsidR="00F50689" w:rsidRDefault="005A36C4" w:rsidP="00F50689">
      <w:pPr>
        <w:pStyle w:val="DGTextstand-alone"/>
      </w:pPr>
      <w:r>
        <w:t>(3)</w:t>
      </w:r>
      <w:r>
        <w:tab/>
        <w:t>special reports giving the findings of audits covering specific areas.</w:t>
      </w:r>
    </w:p>
    <w:p w:rsidR="00F50689" w:rsidRDefault="005A36C4" w:rsidP="00F50689">
      <w:pPr>
        <w:pStyle w:val="HEADER5"/>
      </w:pPr>
      <w:r>
        <w:t>Discharge</w:t>
      </w:r>
    </w:p>
    <w:p w:rsidR="00F50689" w:rsidRDefault="005A36C4" w:rsidP="00F50689">
      <w:pPr>
        <w:pStyle w:val="DGTextstand-alone"/>
      </w:pPr>
      <w:r>
        <w:t>The final step of a budget lifecycle is the discharge of the budget for a given financial year. The EP is the discharge authority within the EU. This means that following the audit and finalisation of the annual accounts it falls to the Council to recommend and then to the EP to give a discharge to the Commission and other EU bodies for implementing the EU budget for a given financial year. This decision is based on an examination of the annual accounts, the Commission's synthesis report and annual evaluation report</w:t>
      </w:r>
      <w:r w:rsidR="001075AF">
        <w:t>,</w:t>
      </w:r>
      <w:r>
        <w:t xml:space="preserve"> the annual report</w:t>
      </w:r>
      <w:r w:rsidR="00F1765A">
        <w:t>, the audit opinion and special reports</w:t>
      </w:r>
      <w:r>
        <w:t xml:space="preserve"> of the Court</w:t>
      </w:r>
      <w:r w:rsidR="001075AF">
        <w:t>,</w:t>
      </w:r>
      <w:r>
        <w:t xml:space="preserve"> and replies of the Commission to questions and further information requests.</w:t>
      </w:r>
    </w:p>
    <w:p w:rsidR="00F50689" w:rsidRDefault="005A36C4" w:rsidP="00F50689">
      <w:pPr>
        <w:pStyle w:val="DGTextstand-alone"/>
      </w:pPr>
      <w:r>
        <w:t>The discharge represents the political aspect of the external control of budget implementation and is the decision by which the EP, acting on a Council recommendation, "releases" the Commission (and other EU bodies) from its responsibility for management of a given budget by marking the end of that budget's existence. This discharge procedure may produce three outcomes: the granting, postponement or the refusal of the discharge. Integral to the annual budgetary discharge procedure in the EP are the hearings with Commissioners who are questioned by the Members of the EP's Budgetary Control Committee regarding the policy areas under their responsibility. The final discharge report including specific recommendations to the Commission for action is adopted in Plenary. The Council discharge recommendations are adopted by ECOFIN. Both, the EP's discharge report as well as the Council discharge recommendations are subject to an annual follow up report in which the Commission outlines the concrete actions it has taken to implement the recommendations made.</w:t>
      </w:r>
    </w:p>
    <w:p w:rsidR="00F50689" w:rsidRDefault="00F50689" w:rsidP="00F50689">
      <w:pPr>
        <w:pStyle w:val="DGTextstand-alone"/>
        <w:spacing w:before="0" w:after="0"/>
      </w:pPr>
    </w:p>
    <w:p w:rsidR="00F50689" w:rsidRPr="00FE6EB7" w:rsidRDefault="005A36C4" w:rsidP="00F50689">
      <w:pPr>
        <w:pStyle w:val="HEADER1Part4"/>
      </w:pPr>
      <w:r w:rsidRPr="00FE6EB7">
        <w:t>Consolidated financial statements of the EU: Financial situation 2014</w:t>
      </w:r>
    </w:p>
    <w:p w:rsidR="00F50689" w:rsidRDefault="005A36C4" w:rsidP="00F50689">
      <w:pPr>
        <w:pStyle w:val="HEADER2Part4"/>
      </w:pPr>
      <w:r>
        <w:t>General trends</w:t>
      </w:r>
    </w:p>
    <w:p w:rsidR="00F50689" w:rsidRDefault="005A36C4" w:rsidP="00F50689">
      <w:pPr>
        <w:pStyle w:val="HEADER5"/>
      </w:pPr>
      <w:r>
        <w:t>Revenue</w:t>
      </w:r>
    </w:p>
    <w:p w:rsidR="00F50689" w:rsidRDefault="005A36C4" w:rsidP="00F50689">
      <w:pPr>
        <w:pStyle w:val="DGTextstand-alone"/>
      </w:pPr>
      <w:r>
        <w:t>Five year trend of revenue in EUR millions:</w:t>
      </w:r>
    </w:p>
    <w:p w:rsidR="00F50689" w:rsidRDefault="005A36C4" w:rsidP="00F50689">
      <w:pPr>
        <w:pStyle w:val="Textstand-alone"/>
        <w:jc w:val="center"/>
      </w:pPr>
      <w:r>
        <w:rPr>
          <w:lang w:eastAsia="en-GB"/>
        </w:rPr>
        <w:drawing>
          <wp:inline distT="0" distB="0" distL="0" distR="0" wp14:anchorId="2BAF7731" wp14:editId="057C636D">
            <wp:extent cx="4829175" cy="3024188"/>
            <wp:effectExtent l="0" t="0" r="9525" b="2413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50689" w:rsidRPr="00D40A00" w:rsidRDefault="005A36C4" w:rsidP="00F50689">
      <w:pPr>
        <w:pStyle w:val="DGTextstand-alone"/>
      </w:pPr>
      <w:r w:rsidRPr="00D40A00">
        <w:t>In 2014, GNI resource revenue decreased while other own resource revenue remained at a similar level and recovery of expenses (financial corrections and recoveries</w:t>
      </w:r>
      <w:r w:rsidR="00F1765A">
        <w:t xml:space="preserve"> – see note </w:t>
      </w:r>
      <w:r w:rsidR="00F1765A" w:rsidRPr="00F1765A">
        <w:rPr>
          <w:b/>
        </w:rPr>
        <w:t>3.5</w:t>
      </w:r>
      <w:r w:rsidR="00F1765A">
        <w:t xml:space="preserve"> of the notes to the financial statements</w:t>
      </w:r>
      <w:r w:rsidRPr="00D40A00">
        <w:t xml:space="preserve">) </w:t>
      </w:r>
      <w:r w:rsidR="00F1765A">
        <w:t xml:space="preserve">nearly </w:t>
      </w:r>
      <w:r w:rsidRPr="00D40A00">
        <w:t xml:space="preserve">doubled from EUR 1.8 billion to EUR 3.4 billion – this was due to the advanced stage of closure of the 2000-2006 cohesion programming period and the related withdrawals </w:t>
      </w:r>
      <w:r w:rsidR="00F1765A">
        <w:t xml:space="preserve">of non-eligible expenditure </w:t>
      </w:r>
      <w:r w:rsidRPr="00D40A00">
        <w:t>made, as well as significant corrections imposed by the Commissio</w:t>
      </w:r>
      <w:r w:rsidR="00386B0F">
        <w:t>n in agricultural policy.</w:t>
      </w:r>
    </w:p>
    <w:p w:rsidR="00F50689" w:rsidRPr="00D40A00" w:rsidRDefault="005A36C4">
      <w:pPr>
        <w:pStyle w:val="HEADER5"/>
      </w:pPr>
      <w:r w:rsidRPr="00D40A00">
        <w:t>Expenses</w:t>
      </w:r>
    </w:p>
    <w:p w:rsidR="00F50689" w:rsidRDefault="005A36C4" w:rsidP="00F50689">
      <w:pPr>
        <w:pStyle w:val="DGTextstand-alone"/>
      </w:pPr>
      <w:r w:rsidRPr="00D40A00">
        <w:t>The main ex</w:t>
      </w:r>
      <w:r w:rsidR="001075AF">
        <w:t>p</w:t>
      </w:r>
      <w:r w:rsidRPr="00D40A00">
        <w:t>ense items are transfer payments in the context of the European Agricultural Guarantee Fund (EAGF), the European Agricultural Fund for Rural Development (EAFRD) and other rural development instruments, European Regional Development Fund (ERDF) and Cohesion Fund (CF) and the European Social Fund (ESF). In the financial year 2014 these made up almost 70 % of total exepnses (EUR 113 468 million).</w:t>
      </w:r>
    </w:p>
    <w:p w:rsidR="00F50689" w:rsidRDefault="005A36C4" w:rsidP="00F50689">
      <w:pPr>
        <w:pStyle w:val="DGTextstand-alone"/>
      </w:pPr>
      <w:r>
        <w:t xml:space="preserve">Expenses were generally at a similar level to last year. Decreases were, however, noted </w:t>
      </w:r>
      <w:r w:rsidR="00F1765A">
        <w:t>for</w:t>
      </w:r>
      <w:r>
        <w:t xml:space="preserve"> ERDF/Cohesion, which was due to the fact that expenses recognised in 2014 relate only to programming period 2007-2013 </w:t>
      </w:r>
      <w:r w:rsidR="00F1765A">
        <w:t>where</w:t>
      </w:r>
      <w:r>
        <w:t xml:space="preserve">as no expenses have been booked yet for the current period </w:t>
      </w:r>
      <w:r w:rsidR="00F1765A">
        <w:t xml:space="preserve">2014-2020 </w:t>
      </w:r>
      <w:r>
        <w:t>due to the slow start up of programmes (implementation by Member States has only started in 2015).</w:t>
      </w:r>
    </w:p>
    <w:p w:rsidR="00F50689" w:rsidRDefault="005A36C4" w:rsidP="00F50689">
      <w:pPr>
        <w:pStyle w:val="DGTextstand-alone"/>
      </w:pPr>
      <w:r>
        <w:t xml:space="preserve">The EU also recognises future payment obligations as expenses that are not yet shown in the cash-based budgetary accounts. </w:t>
      </w:r>
      <w:r w:rsidR="00F1765A">
        <w:t>T</w:t>
      </w:r>
      <w:r>
        <w:t xml:space="preserve">he increased future payment obligations shown under payables for agriculture and rural development and future payment obligations for pension rights acquired by Commissioners, MEPs and staff generally lead </w:t>
      </w:r>
      <w:r w:rsidR="00F1765A">
        <w:t xml:space="preserve">to </w:t>
      </w:r>
      <w:r>
        <w:t xml:space="preserve">higher expenses and a negative economic result (these payments will be financed by future budgets </w:t>
      </w:r>
      <w:r w:rsidR="00F1765A">
        <w:t xml:space="preserve">and are </w:t>
      </w:r>
      <w:r>
        <w:t>not included yet in revenue).</w:t>
      </w:r>
    </w:p>
    <w:p w:rsidR="00F50689" w:rsidRDefault="005A36C4" w:rsidP="00F50689">
      <w:pPr>
        <w:pStyle w:val="HEADER5"/>
      </w:pPr>
      <w:r>
        <w:t>Economic result</w:t>
      </w:r>
    </w:p>
    <w:p w:rsidR="00F50689" w:rsidRDefault="005A36C4" w:rsidP="00F50689">
      <w:pPr>
        <w:pStyle w:val="DGTextstand-alone"/>
      </w:pPr>
      <w:r>
        <w:t xml:space="preserve">The economic result (deficit) of the period increased from EUR 4 365 million in 2013 to EUR 11 280 million in 2014. The main reason for this increase is the significant actuarial loss (net amount of EUR 9.2 billion) related to the </w:t>
      </w:r>
      <w:r w:rsidR="00F1765A">
        <w:t xml:space="preserve">pension and other </w:t>
      </w:r>
      <w:r>
        <w:t>employee benefits liability which occurred due to the decrease in interest rates. Such fluctuations must be expected due to the, internationally applied, accounting rules in place and the current economic environment. Should interest rates increase, a reverse impact would be expected.</w:t>
      </w:r>
    </w:p>
    <w:p w:rsidR="00F50689" w:rsidRDefault="005A36C4" w:rsidP="00F50689">
      <w:pPr>
        <w:pStyle w:val="DGTextstand-alone"/>
      </w:pPr>
      <w:r>
        <w:t>Furthermore, as this is an actuarial estimate of the value of the total liability at one point in time, 31 December 2014, and is based on various assumptions valid at this time, this loss does not indicate actual charges to the EU budget</w:t>
      </w:r>
      <w:r w:rsidR="00F1765A">
        <w:t>,</w:t>
      </w:r>
      <w:r>
        <w:t xml:space="preserve"> </w:t>
      </w:r>
      <w:r w:rsidR="00F1765A">
        <w:t>n</w:t>
      </w:r>
      <w:r>
        <w:t>or does it impact the amounts to be paid to pensioners from the EU budget in the immediate coming years</w:t>
      </w:r>
      <w:r w:rsidR="00F1765A">
        <w:t>.</w:t>
      </w:r>
      <w:r>
        <w:t xml:space="preserve"> </w:t>
      </w:r>
      <w:r w:rsidR="00F1765A">
        <w:t>T</w:t>
      </w:r>
      <w:r>
        <w:t>hese payments are already estimated in the MFF 2014-2020 and will be implemented via the annual budgetary process.</w:t>
      </w:r>
    </w:p>
    <w:p w:rsidR="00F50689" w:rsidRDefault="005A36C4">
      <w:pPr>
        <w:pStyle w:val="HEADER5"/>
      </w:pPr>
      <w:r>
        <w:t>Assets</w:t>
      </w:r>
    </w:p>
    <w:p w:rsidR="00386B0F" w:rsidRDefault="005A36C4" w:rsidP="00386B0F">
      <w:pPr>
        <w:pStyle w:val="DGTextstand-alone"/>
      </w:pPr>
      <w:r w:rsidRPr="00D40A00">
        <w:t xml:space="preserve">The most significant items on the asset side of the balance sheet are financial assets (investments, loans, cash) and pre-financing amounts, which make up almost 85 % of the assets of the EU. The amount of loans remains stable at around EUR 60 billion (see note </w:t>
      </w:r>
      <w:r w:rsidRPr="00D40A00">
        <w:rPr>
          <w:b/>
        </w:rPr>
        <w:t>4.3.2</w:t>
      </w:r>
      <w:r w:rsidRPr="00D40A00">
        <w:t xml:space="preserve"> below) whereas the amount of financial instruments financed from the EU budget increased by almost EUR 2 billion (see note</w:t>
      </w:r>
      <w:r>
        <w:t xml:space="preserve"> </w:t>
      </w:r>
      <w:r>
        <w:rPr>
          <w:b/>
        </w:rPr>
        <w:t>4</w:t>
      </w:r>
      <w:r w:rsidRPr="008A2E4A">
        <w:rPr>
          <w:b/>
        </w:rPr>
        <w:t>.3.1</w:t>
      </w:r>
      <w:r>
        <w:t xml:space="preserve"> below). </w:t>
      </w:r>
      <w:r w:rsidR="00386B0F">
        <w:t>Included on the asset side under Property, Plant and Equipment are assets concerning the Copernicus programme (EUR 1.5 billion) and Galileo assets under construction (EUR 1.5 billion).</w:t>
      </w:r>
    </w:p>
    <w:p w:rsidR="00F50689" w:rsidRPr="00EA1E2B" w:rsidRDefault="005A36C4" w:rsidP="00F50689">
      <w:pPr>
        <w:pStyle w:val="DGTextstand-alone"/>
      </w:pPr>
      <w:r>
        <w:t xml:space="preserve">In recent years, the EU institutions </w:t>
      </w:r>
      <w:r w:rsidRPr="00EA1E2B">
        <w:t xml:space="preserve">managed to keep the amounts held as cash and cash equivalents at year end at a low level. The high cash balance of EUR 17.5 million at 31 December 2014 is related to the budgetary procedure and due to own resources contributions related to VAT and GNI balances, received from Member States in December 2014 (see note </w:t>
      </w:r>
      <w:r w:rsidRPr="00EA1E2B">
        <w:rPr>
          <w:b/>
        </w:rPr>
        <w:t>2.8.1</w:t>
      </w:r>
      <w:r w:rsidRPr="00EA1E2B">
        <w:t xml:space="preserve"> of the notes to the financial statements).</w:t>
      </w:r>
    </w:p>
    <w:p w:rsidR="00F50689" w:rsidRDefault="005A36C4">
      <w:pPr>
        <w:pStyle w:val="HEADER5"/>
      </w:pPr>
      <w:r>
        <w:t>Cash and cash equivalents at year-end</w:t>
      </w:r>
    </w:p>
    <w:p w:rsidR="00F50689" w:rsidRDefault="005A36C4" w:rsidP="00F50689">
      <w:pPr>
        <w:pStyle w:val="Textstand-alone"/>
        <w:jc w:val="center"/>
      </w:pPr>
      <w:r>
        <w:rPr>
          <w:lang w:eastAsia="en-GB"/>
        </w:rPr>
        <w:drawing>
          <wp:inline distT="0" distB="0" distL="0" distR="0" wp14:anchorId="0FFF1129" wp14:editId="47420D16">
            <wp:extent cx="4067175" cy="2809875"/>
            <wp:effectExtent l="0" t="0" r="952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50689" w:rsidRDefault="00F50689" w:rsidP="00F50689">
      <w:pPr>
        <w:pStyle w:val="Textstand-alone"/>
        <w:jc w:val="center"/>
      </w:pPr>
    </w:p>
    <w:p w:rsidR="00F50689" w:rsidRDefault="005A36C4">
      <w:pPr>
        <w:rPr>
          <w:rFonts w:ascii="Verdana" w:hAnsi="Verdana"/>
          <w:b/>
          <w:color w:val="016794"/>
          <w:sz w:val="18"/>
          <w:szCs w:val="18"/>
        </w:rPr>
      </w:pPr>
      <w:r>
        <w:br w:type="page"/>
      </w:r>
    </w:p>
    <w:p w:rsidR="00F50689" w:rsidRDefault="005A36C4">
      <w:pPr>
        <w:pStyle w:val="HEADER5"/>
      </w:pPr>
      <w:r>
        <w:t>EUR 163 billion assets and EUR 221 billion liabilities on the 2014 EU balance sheet</w:t>
      </w:r>
    </w:p>
    <w:p w:rsidR="00F1765A" w:rsidRDefault="00F1765A">
      <w:pPr>
        <w:pStyle w:val="HEADER5"/>
      </w:pPr>
      <w:r>
        <w:tab/>
      </w:r>
    </w:p>
    <w:p w:rsidR="00F1765A" w:rsidRDefault="00F1765A">
      <w:pPr>
        <w:pStyle w:val="HEADER5"/>
      </w:pPr>
      <w:r>
        <w:tab/>
      </w:r>
      <w:r>
        <w:tab/>
        <w:t>Assets</w:t>
      </w:r>
      <w:r>
        <w:tab/>
      </w:r>
      <w:r>
        <w:tab/>
      </w:r>
      <w:r>
        <w:tab/>
      </w:r>
      <w:r>
        <w:tab/>
      </w:r>
      <w:r>
        <w:tab/>
      </w:r>
      <w:r>
        <w:tab/>
        <w:t>Liabilities</w:t>
      </w:r>
    </w:p>
    <w:p w:rsidR="00F50689" w:rsidRDefault="005A36C4" w:rsidP="00F50689">
      <w:pPr>
        <w:pStyle w:val="Textstand-alone"/>
        <w:jc w:val="center"/>
      </w:pPr>
      <w:r>
        <w:t xml:space="preserve"> </w:t>
      </w:r>
      <w:r>
        <w:rPr>
          <w:lang w:eastAsia="en-GB"/>
        </w:rPr>
        <w:drawing>
          <wp:inline distT="0" distB="0" distL="0" distR="0" wp14:anchorId="4BFCF1DD" wp14:editId="41D78234">
            <wp:extent cx="2905125" cy="301942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0D01A0">
        <w:t xml:space="preserve"> </w:t>
      </w:r>
      <w:r>
        <w:rPr>
          <w:lang w:eastAsia="en-GB"/>
        </w:rPr>
        <w:drawing>
          <wp:inline distT="0" distB="0" distL="0" distR="0" wp14:anchorId="03AAD358" wp14:editId="4B7A9143">
            <wp:extent cx="2857500" cy="3019425"/>
            <wp:effectExtent l="0" t="0" r="1905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50689" w:rsidRDefault="00F50689">
      <w:pPr>
        <w:rPr>
          <w:rFonts w:ascii="Verdana" w:hAnsi="Verdana"/>
          <w:b/>
          <w:color w:val="016794"/>
          <w:sz w:val="18"/>
          <w:szCs w:val="18"/>
        </w:rPr>
      </w:pPr>
    </w:p>
    <w:p w:rsidR="00F50689" w:rsidRDefault="005A36C4">
      <w:pPr>
        <w:pStyle w:val="HEADER5"/>
      </w:pPr>
      <w:r>
        <w:t>Liabilities</w:t>
      </w:r>
    </w:p>
    <w:p w:rsidR="00F50689" w:rsidRDefault="005A36C4" w:rsidP="00F50689">
      <w:pPr>
        <w:pStyle w:val="DGTextstand-alone"/>
      </w:pPr>
      <w:r w:rsidRPr="00D40A00">
        <w:t xml:space="preserve">The liability side </w:t>
      </w:r>
      <w:r w:rsidR="00F1765A">
        <w:t>consists</w:t>
      </w:r>
      <w:r w:rsidRPr="00D40A00">
        <w:t xml:space="preserve"> primarily of four key items: The pension </w:t>
      </w:r>
      <w:r w:rsidR="00F1765A">
        <w:t xml:space="preserve">and other employee benefits </w:t>
      </w:r>
      <w:r w:rsidRPr="00D40A00">
        <w:t xml:space="preserve">liabilities, financial liabilities, payables and accrued charges. The biggest change as compared to 2013 is the increase of the </w:t>
      </w:r>
      <w:r w:rsidR="00F1765A">
        <w:t xml:space="preserve">pension and other </w:t>
      </w:r>
      <w:r w:rsidRPr="00D40A00">
        <w:t>employee benefits liability from EUR 46.</w:t>
      </w:r>
      <w:r>
        <w:t>8 billion in 2013 to EUR 58.6 billion in 2014 due primarily to the significant decrease in interest rates</w:t>
      </w:r>
      <w:r w:rsidR="007C0B3B">
        <w:t xml:space="preserve"> (see above)</w:t>
      </w:r>
      <w:r>
        <w:t>.</w:t>
      </w:r>
    </w:p>
    <w:p w:rsidR="00F50689" w:rsidRDefault="005A36C4" w:rsidP="00F50689">
      <w:pPr>
        <w:pStyle w:val="DGTextstand-alone"/>
      </w:pPr>
      <w:r>
        <w:t>The excess of liabilities over assets does not mean that the EU institutions are in financial difficulties, rather it means that certain liabilities will be funded by future annual budgets. Many expenses are recognised under accrual accounting rules in 2014 although they may be actually paid in 2015 or later and funded using future budgets. The most significant amounts to be highlighted are the European Agricultural Guarantee Fund (EAGF) activities (paid in 2015) and the employee benefits (to be paid over the next 30 plus years).</w:t>
      </w:r>
    </w:p>
    <w:p w:rsidR="00F50689" w:rsidRDefault="005A36C4" w:rsidP="00F50689">
      <w:pPr>
        <w:pStyle w:val="HEADER2Part4"/>
      </w:pPr>
      <w:r>
        <w:t>Pre-financing</w:t>
      </w:r>
    </w:p>
    <w:p w:rsidR="00F50689" w:rsidRDefault="005A36C4" w:rsidP="00F50689">
      <w:pPr>
        <w:pStyle w:val="DGTextstand-alone"/>
      </w:pPr>
      <w:r>
        <w:t>The Commission makes every effort to ensure that the levels of pre-financing are maintained at an appropriate level. A balance has to be struck between making sufficient controls and the timely recognition of expenditure. It should be noted that the level of pre-financing is significantly influenced by the MFF cycle – for example at the beginning of an MFF period one can expect large advances to be paid to Member States under cohesion policy.</w:t>
      </w:r>
    </w:p>
    <w:p w:rsidR="00F50689" w:rsidRDefault="005A36C4" w:rsidP="00F50689">
      <w:pPr>
        <w:pStyle w:val="DGTextstand-alone"/>
      </w:pPr>
      <w:r>
        <w:t>The total pre-financing (excl. other advances to Member States) on the EU balance sheet amounts to EUR 45.2 billion, of which 99.8 % relates to Commission activities. Some 76 % of the Commission's pre-financing is implemented via the shared management mode which means that the implementation of the budget is delegated to Member States (the Commission retains a supervisory role).</w:t>
      </w:r>
    </w:p>
    <w:p w:rsidR="00F50689" w:rsidRDefault="005A36C4">
      <w:pPr>
        <w:rPr>
          <w:rFonts w:ascii="Verdana" w:hAnsi="Verdana"/>
          <w:b/>
          <w:color w:val="016794"/>
          <w:sz w:val="18"/>
          <w:szCs w:val="18"/>
        </w:rPr>
      </w:pPr>
      <w:r>
        <w:br w:type="page"/>
      </w:r>
    </w:p>
    <w:p w:rsidR="00F50689" w:rsidRDefault="005A36C4">
      <w:pPr>
        <w:pStyle w:val="HEADER5"/>
      </w:pPr>
      <w:r>
        <w:t>Commission pre-financing by management mode</w:t>
      </w:r>
    </w:p>
    <w:p w:rsidR="00F50689" w:rsidRDefault="005A36C4" w:rsidP="00F50689">
      <w:pPr>
        <w:pStyle w:val="Textstand-alone"/>
        <w:jc w:val="center"/>
      </w:pPr>
      <w:r>
        <w:rPr>
          <w:lang w:eastAsia="en-GB"/>
        </w:rPr>
        <w:drawing>
          <wp:inline distT="0" distB="0" distL="0" distR="0" wp14:anchorId="38239D51" wp14:editId="49570E6F">
            <wp:extent cx="4610100" cy="3133725"/>
            <wp:effectExtent l="0" t="0" r="1905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50689" w:rsidRDefault="005A36C4" w:rsidP="00F50689">
      <w:pPr>
        <w:pStyle w:val="DGTextstand-alone"/>
        <w:spacing w:after="360"/>
      </w:pPr>
      <w:r>
        <w:t>The majority of expenditure under shared management mode covers agricultural spending and structural actions. The most significant pre-financing amounts relate to the European Regional Development Fund &amp; Cohesion Fund (ERDF &amp; CF), the European Agricultural Fund for Rural Development (EAFRD) and the European Social Fund (ESF).</w:t>
      </w:r>
    </w:p>
    <w:p w:rsidR="00F50689" w:rsidRDefault="005A36C4">
      <w:pPr>
        <w:pStyle w:val="HEADER5"/>
      </w:pPr>
      <w:r>
        <w:t>Shared management spending by fund</w:t>
      </w:r>
    </w:p>
    <w:p w:rsidR="00F50689" w:rsidRDefault="005A36C4" w:rsidP="00F50689">
      <w:pPr>
        <w:pStyle w:val="Textstand-alone"/>
        <w:jc w:val="center"/>
      </w:pPr>
      <w:r>
        <w:rPr>
          <w:lang w:eastAsia="en-GB"/>
        </w:rPr>
        <w:drawing>
          <wp:inline distT="0" distB="0" distL="0" distR="0" wp14:anchorId="2BD18248" wp14:editId="1F7FC259">
            <wp:extent cx="4587902" cy="2679589"/>
            <wp:effectExtent l="0" t="0" r="22225" b="2603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50689" w:rsidRDefault="005A36C4">
      <w:pPr>
        <w:rPr>
          <w:rFonts w:ascii="Verdana" w:hAnsi="Verdana"/>
          <w:b/>
          <w:noProof/>
          <w:color w:val="016794"/>
          <w:sz w:val="28"/>
          <w:szCs w:val="30"/>
        </w:rPr>
      </w:pPr>
      <w:r>
        <w:br w:type="page"/>
      </w:r>
    </w:p>
    <w:p w:rsidR="00F50689" w:rsidRDefault="005A36C4" w:rsidP="00F50689">
      <w:pPr>
        <w:pStyle w:val="HEADER2Part4"/>
      </w:pPr>
      <w:r>
        <w:t>Financial Instruments</w:t>
      </w:r>
    </w:p>
    <w:p w:rsidR="00F50689" w:rsidRDefault="005A36C4" w:rsidP="00F50689">
      <w:pPr>
        <w:pStyle w:val="HEADER3Part4"/>
      </w:pPr>
      <w:r>
        <w:t>Financial instruments financed by the EU budget under direct and indirect management</w:t>
      </w:r>
    </w:p>
    <w:p w:rsidR="00F50689" w:rsidRDefault="005A36C4" w:rsidP="00F50689">
      <w:pPr>
        <w:pStyle w:val="DGTextstand-alone"/>
      </w:pPr>
      <w:r>
        <w:t>The importance and volume of financial instruments for budget implementation increases from year to year. The basic concept behind this approach, in contrast to the traditional method of budget implementation by giving grants and subsidies, is that for each euro spent from the budget via financial instruments, the final beneficiary receives more than EUR 1 as financial support due to the leverage effect. This intelligent use of the EU budget aims at maximising the impact of the funds available.</w:t>
      </w:r>
    </w:p>
    <w:p w:rsidR="00F50689" w:rsidRDefault="005A36C4">
      <w:pPr>
        <w:pStyle w:val="HEADER5"/>
      </w:pPr>
      <w:r>
        <w:t>Available for sale financial assets of financial instruments financed by the EU budget</w:t>
      </w:r>
    </w:p>
    <w:p w:rsidR="00F50689" w:rsidRDefault="005A36C4" w:rsidP="00F50689">
      <w:pPr>
        <w:pStyle w:val="Textstand-alone"/>
        <w:jc w:val="center"/>
      </w:pPr>
      <w:r>
        <w:rPr>
          <w:lang w:eastAsia="en-GB"/>
        </w:rPr>
        <w:drawing>
          <wp:inline distT="0" distB="0" distL="0" distR="0" wp14:anchorId="034FA109" wp14:editId="20E17B70">
            <wp:extent cx="4572000" cy="27432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50689" w:rsidRDefault="00F50689" w:rsidP="00F50689">
      <w:pPr>
        <w:pStyle w:val="Textstand-alone"/>
        <w:jc w:val="center"/>
      </w:pPr>
    </w:p>
    <w:p w:rsidR="00F50689" w:rsidRDefault="005A36C4" w:rsidP="00F50689">
      <w:pPr>
        <w:pStyle w:val="DGTextstand-alone"/>
      </w:pPr>
      <w:r>
        <w:t>In general, there are three main types of financial instruments used:</w:t>
      </w:r>
    </w:p>
    <w:p w:rsidR="00F50689" w:rsidRDefault="005A36C4" w:rsidP="00F50689">
      <w:pPr>
        <w:pStyle w:val="DGTextstand-alone"/>
        <w:numPr>
          <w:ilvl w:val="1"/>
          <w:numId w:val="12"/>
        </w:numPr>
      </w:pPr>
      <w:r>
        <w:t>Equity instruments;</w:t>
      </w:r>
    </w:p>
    <w:p w:rsidR="00F50689" w:rsidRDefault="005A36C4" w:rsidP="00F50689">
      <w:pPr>
        <w:pStyle w:val="DGTextstand-alone"/>
        <w:numPr>
          <w:ilvl w:val="1"/>
          <w:numId w:val="12"/>
        </w:numPr>
      </w:pPr>
      <w:r>
        <w:t>Loan instruments; and</w:t>
      </w:r>
    </w:p>
    <w:p w:rsidR="00F50689" w:rsidRDefault="005A36C4" w:rsidP="00F50689">
      <w:pPr>
        <w:pStyle w:val="DGTextstand-alone"/>
        <w:numPr>
          <w:ilvl w:val="1"/>
          <w:numId w:val="12"/>
        </w:numPr>
      </w:pPr>
      <w:r>
        <w:t>Guarantee instruments.</w:t>
      </w:r>
    </w:p>
    <w:p w:rsidR="00F50689" w:rsidRDefault="005A36C4" w:rsidP="00F50689">
      <w:pPr>
        <w:pStyle w:val="DGTextstand-alone"/>
      </w:pPr>
      <w:r>
        <w:t>Details of the major instruments are given below:</w:t>
      </w:r>
    </w:p>
    <w:p w:rsidR="00F50689" w:rsidRDefault="005A36C4">
      <w:pPr>
        <w:pStyle w:val="HEADER5"/>
      </w:pPr>
      <w:r>
        <w:t>Guarantee Fund for external actions (EUR 1 996 million of assets)</w:t>
      </w:r>
    </w:p>
    <w:p w:rsidR="00F50689" w:rsidRDefault="005A36C4" w:rsidP="00F50689">
      <w:pPr>
        <w:pStyle w:val="DGTextstand-alone"/>
      </w:pPr>
      <w:r>
        <w:t xml:space="preserve">The Guarantee Fund for external actions covers loans guaranteed by the EU as a result of a Council decision, in particular European Investment Bank (EIB) lending operations outside the EU and loans under macro-financial assistance (MFA) and Euratom loans outside the EU. It is a long-term instrument (non-current part: EUR 1 489 million) managed by the EIB and intended to cover any defaulting loans guaranteed by the EU. The Fund is endowed by payments from the general budget of the EU (so as to reach 9 % of the capital value of the operations), the proceeds from interest on investments made from the Fund's assets, and sums recovered from defaulting debtors for whom the Fund has had to activate its guarantee. Any yearly surplus arising shall be paid back as revenue for the EU budget. </w:t>
      </w:r>
    </w:p>
    <w:p w:rsidR="00F50689" w:rsidRDefault="005A36C4" w:rsidP="00F50689">
      <w:pPr>
        <w:pStyle w:val="DGTextstand-alone"/>
      </w:pPr>
      <w:r>
        <w:t>The EU is required to include a guarantee reserve to cover loans to third countries. This reserve is intended to cover the requirements of the Guarantee Fund and, where necessary, activated guarantees exceeding the amount available in the Fund, so that these amounts may be charged to the budget. This reserve corresponds to the target amount of 9 % of the loans outstanding at year-end.</w:t>
      </w:r>
    </w:p>
    <w:p w:rsidR="00A675FE" w:rsidRDefault="00A675FE">
      <w:pPr>
        <w:rPr>
          <w:rFonts w:ascii="Verdana" w:hAnsi="Verdana"/>
          <w:b/>
          <w:color w:val="016794"/>
          <w:sz w:val="18"/>
          <w:szCs w:val="18"/>
        </w:rPr>
      </w:pPr>
      <w:r>
        <w:br w:type="page"/>
      </w:r>
    </w:p>
    <w:p w:rsidR="00F50689" w:rsidRDefault="005A36C4">
      <w:pPr>
        <w:pStyle w:val="HEADER5"/>
      </w:pPr>
      <w:r>
        <w:t>Risk-Sharing Finance Facility (EUR 961 million of assets)</w:t>
      </w:r>
    </w:p>
    <w:p w:rsidR="00F50689" w:rsidRDefault="005A36C4" w:rsidP="00F50689">
      <w:pPr>
        <w:pStyle w:val="DGTextstand-alone"/>
      </w:pPr>
      <w:r>
        <w:t xml:space="preserve">The Risk-Sharing Finance Facility (RSFF) is managed by the EIB and the Commission's investment portfolio is used to provision financial risk for loans and guarantees given by the EIB to eligible research projects. In total, a Commission budget of up to EUR 1 billion is foreseen for RSFF, of which up to EUR 800 million are from the “Cooperation” programme and up to EUR 200 million from the “Capacities” programme. The EIB has committed itself to provide the same amount. There will be no new budget contributions to RSFF under the 2014-2020 MFF. At 31 December 2014 the Commission had contributed, including also EFTA and third country contributions, EUR 856 million to the RSFF. </w:t>
      </w:r>
      <w:r w:rsidRPr="00EA3525">
        <w:rPr>
          <w:color w:val="000000" w:themeColor="text1"/>
        </w:rPr>
        <w:t>In 2014, EUR</w:t>
      </w:r>
      <w:r w:rsidR="00116387">
        <w:rPr>
          <w:color w:val="000000" w:themeColor="text1"/>
        </w:rPr>
        <w:t> </w:t>
      </w:r>
      <w:r w:rsidRPr="00EA3525">
        <w:rPr>
          <w:color w:val="000000" w:themeColor="text1"/>
        </w:rPr>
        <w:t>375</w:t>
      </w:r>
      <w:r w:rsidR="00116387">
        <w:rPr>
          <w:color w:val="000000" w:themeColor="text1"/>
        </w:rPr>
        <w:t> </w:t>
      </w:r>
      <w:r w:rsidRPr="00EA3525">
        <w:rPr>
          <w:color w:val="000000" w:themeColor="text1"/>
        </w:rPr>
        <w:t xml:space="preserve">million of the EU contribution to the RSFF was transferred to its </w:t>
      </w:r>
      <w:r>
        <w:rPr>
          <w:color w:val="000000" w:themeColor="text1"/>
        </w:rPr>
        <w:t>s</w:t>
      </w:r>
      <w:r w:rsidRPr="00EA3525">
        <w:rPr>
          <w:color w:val="000000" w:themeColor="text1"/>
        </w:rPr>
        <w:t xml:space="preserve">uccessor debt instrument under Horizon 2020. The </w:t>
      </w:r>
      <w:r w:rsidRPr="00EA3525">
        <w:t xml:space="preserve">amount disclosed as a contingent liability (note </w:t>
      </w:r>
      <w:r w:rsidRPr="00EA3525">
        <w:rPr>
          <w:b/>
        </w:rPr>
        <w:t>5.2.1</w:t>
      </w:r>
      <w:r w:rsidRPr="00EA3525">
        <w:t xml:space="preserve"> of the notes to the financial statements)</w:t>
      </w:r>
      <w:r>
        <w:t xml:space="preserve"> represents the estimated maximum loss at 31 December 2014 that the Commission would suffer in case of defaults on loans or guarantees given by the EIB within the framework of the RSFF. It should be noted that the Commission's overall risk is limited to the amount it contributes to the Facility.</w:t>
      </w:r>
    </w:p>
    <w:p w:rsidR="00F50689" w:rsidRDefault="005A36C4">
      <w:pPr>
        <w:pStyle w:val="HEADER5"/>
      </w:pPr>
      <w:r>
        <w:t>Horizon 2020 (EUR 643 million of assets)</w:t>
      </w:r>
    </w:p>
    <w:p w:rsidR="00F50689" w:rsidRDefault="005A36C4" w:rsidP="00F50689">
      <w:pPr>
        <w:pStyle w:val="DGTextstand-alone"/>
      </w:pPr>
      <w:r>
        <w:t xml:space="preserve">Horizon 2020 is a new equity instrument under the 2014-2020 MFF. Seen as a means to drive economic growth and create jobs, Horizon 2020 has the political backing of Europe’s leaders and the Members of the EP. They agreed that research is an investment in </w:t>
      </w:r>
      <w:r w:rsidR="007C0B3B">
        <w:t>the</w:t>
      </w:r>
      <w:r>
        <w:t xml:space="preserve"> future and so put it at the heart of the EU’s blueprint for smart, sustainable and inclusive growth and jobs. By coupling research and innovation, Horizon 2020 is helping to achieve this with its emphasis on excellent science, industrial leadership and tackling societal challenges. The goal is to ensure Europe produces world-class science, removes barriers to innovation and makes it easier for the public and private sectors to work together in delivering innovation. Horizon 2020 is managed by the EIF.</w:t>
      </w:r>
    </w:p>
    <w:p w:rsidR="00F50689" w:rsidRDefault="005A36C4">
      <w:pPr>
        <w:pStyle w:val="HEADER5"/>
      </w:pPr>
      <w:r>
        <w:t>ETF start up (EUR 524 million of assets)</w:t>
      </w:r>
    </w:p>
    <w:p w:rsidR="00F50689" w:rsidRDefault="005A36C4" w:rsidP="00F50689">
      <w:pPr>
        <w:pStyle w:val="DGTextstand-alone"/>
      </w:pPr>
      <w:r>
        <w:t>The European Technology start-up Facility (ETF) covers the Growth &amp; Employment Programme, the Multi-annual Programme for Enterprise and Entrepreneurship (MAP) Programme and the Competitiveness and Innovation Framework Programme (CIP), under the trusteeship of the EIF, supporting the creation and financing of start-up SMEs by investing in suitable specialised venture capital funds.</w:t>
      </w:r>
    </w:p>
    <w:p w:rsidR="00F50689" w:rsidRDefault="005A36C4" w:rsidP="00F50689">
      <w:pPr>
        <w:pStyle w:val="HEADER5"/>
      </w:pPr>
      <w:r>
        <w:t>Loan Guarantee instrument for TEN-T projects (EUR 235 million of assets)</w:t>
      </w:r>
    </w:p>
    <w:p w:rsidR="00F50689" w:rsidRDefault="005A36C4" w:rsidP="00F50689">
      <w:pPr>
        <w:pStyle w:val="DGTextstand-alone"/>
      </w:pPr>
      <w:r>
        <w:t>The Loan Guarantee Instrument for TEN-T Projects (LGTT) issues guarantees so as to mitigate revenue risk in the early years of TEN-Transport projects. Specifically the guarantee would fully cover stand-by credit lines, which would only be drawn upon in cases where project cash flows are insufficient to service senior debt. The instrument is a joint financial product of the Commission and the EIB. The capital contribution to the LGTT instrument for the 2007-2013 financing period was initially set at EUR 1 billion, split evenly between the Commission and the EIB. The amending Regulation 670/2012 reallocated EUR 200 million to the Project Bond Initiative and another EUR 50 million to grant funding, so the total EU contribution still available to the instrument stands at EUR 250 million.</w:t>
      </w:r>
    </w:p>
    <w:p w:rsidR="00F50689" w:rsidRDefault="005A36C4" w:rsidP="00F50689">
      <w:pPr>
        <w:pStyle w:val="DGTextstand-alone"/>
      </w:pPr>
      <w:r>
        <w:t xml:space="preserve">At 31 December 2014 the Commission had contributed EUR 212 million to the LGTT. The amount recognised as a contingent liability (note </w:t>
      </w:r>
      <w:r w:rsidRPr="00C00292">
        <w:rPr>
          <w:b/>
        </w:rPr>
        <w:t>5.2.1</w:t>
      </w:r>
      <w:r>
        <w:t xml:space="preserve"> of the notes to the financial statements), represents the estimated maximum loss at 31 December 2014 that the Commission would suffer in case of defaults on loans given by the EIB within the framework of the LGTT operations. It should be noted that the Commission's overall risk is limited to the amount it contributes to the Instrument.</w:t>
      </w:r>
    </w:p>
    <w:p w:rsidR="00F50689" w:rsidRDefault="00F50689" w:rsidP="00F50689">
      <w:pPr>
        <w:pStyle w:val="DGTextstand-alone"/>
      </w:pPr>
    </w:p>
    <w:p w:rsidR="00F50689" w:rsidRDefault="005A36C4">
      <w:pPr>
        <w:rPr>
          <w:rFonts w:ascii="Verdana" w:hAnsi="Verdana"/>
          <w:noProof/>
          <w:sz w:val="18"/>
          <w:szCs w:val="18"/>
        </w:rPr>
      </w:pPr>
      <w:r>
        <w:br w:type="page"/>
      </w:r>
    </w:p>
    <w:p w:rsidR="00F50689" w:rsidRDefault="005A36C4">
      <w:pPr>
        <w:pStyle w:val="HEADER5"/>
      </w:pPr>
      <w:r>
        <w:t>Financial instruments (FI) by type</w:t>
      </w:r>
    </w:p>
    <w:tbl>
      <w:tblPr>
        <w:tblW w:w="9756" w:type="dxa"/>
        <w:tblInd w:w="93" w:type="dxa"/>
        <w:tblLook w:val="04A0" w:firstRow="1" w:lastRow="0" w:firstColumn="1" w:lastColumn="0" w:noHBand="0" w:noVBand="1"/>
      </w:tblPr>
      <w:tblGrid>
        <w:gridCol w:w="6240"/>
        <w:gridCol w:w="863"/>
        <w:gridCol w:w="1276"/>
        <w:gridCol w:w="1377"/>
      </w:tblGrid>
      <w:tr w:rsidR="00E7728E" w:rsidTr="00F50689">
        <w:trPr>
          <w:trHeight w:val="300"/>
        </w:trPr>
        <w:tc>
          <w:tcPr>
            <w:tcW w:w="6240" w:type="dxa"/>
            <w:tcBorders>
              <w:top w:val="nil"/>
              <w:left w:val="nil"/>
              <w:bottom w:val="nil"/>
              <w:right w:val="nil"/>
            </w:tcBorders>
            <w:shd w:val="clear" w:color="auto" w:fill="auto"/>
            <w:noWrap/>
            <w:vAlign w:val="bottom"/>
            <w:hideMark/>
          </w:tcPr>
          <w:p w:rsidR="00F50689" w:rsidRPr="00AF0804" w:rsidRDefault="00F50689" w:rsidP="00F50689">
            <w:pPr>
              <w:rPr>
                <w:rFonts w:ascii="Calibri" w:hAnsi="Calibri"/>
                <w:color w:val="000000"/>
                <w:sz w:val="22"/>
                <w:szCs w:val="22"/>
              </w:rPr>
            </w:pPr>
          </w:p>
        </w:tc>
        <w:tc>
          <w:tcPr>
            <w:tcW w:w="863" w:type="dxa"/>
            <w:tcBorders>
              <w:top w:val="nil"/>
              <w:left w:val="nil"/>
              <w:bottom w:val="nil"/>
              <w:right w:val="nil"/>
            </w:tcBorders>
            <w:shd w:val="clear" w:color="auto" w:fill="auto"/>
            <w:noWrap/>
            <w:vAlign w:val="bottom"/>
            <w:hideMark/>
          </w:tcPr>
          <w:p w:rsidR="00F50689" w:rsidRPr="00AF0804" w:rsidRDefault="00F50689" w:rsidP="00F50689">
            <w:pPr>
              <w:rPr>
                <w:rFonts w:ascii="Calibri" w:hAnsi="Calibri"/>
                <w:color w:val="000000"/>
                <w:sz w:val="22"/>
                <w:szCs w:val="22"/>
              </w:rPr>
            </w:pPr>
          </w:p>
        </w:tc>
        <w:tc>
          <w:tcPr>
            <w:tcW w:w="1276" w:type="dxa"/>
            <w:tcBorders>
              <w:top w:val="nil"/>
              <w:left w:val="nil"/>
              <w:bottom w:val="nil"/>
              <w:right w:val="nil"/>
            </w:tcBorders>
            <w:shd w:val="clear" w:color="auto" w:fill="auto"/>
            <w:noWrap/>
            <w:vAlign w:val="bottom"/>
            <w:hideMark/>
          </w:tcPr>
          <w:p w:rsidR="00F50689" w:rsidRPr="00AF0804" w:rsidRDefault="00F50689" w:rsidP="00F50689">
            <w:pPr>
              <w:rPr>
                <w:rFonts w:ascii="Calibri" w:hAnsi="Calibri"/>
                <w:color w:val="000000"/>
                <w:sz w:val="22"/>
                <w:szCs w:val="22"/>
              </w:rPr>
            </w:pPr>
          </w:p>
        </w:tc>
        <w:tc>
          <w:tcPr>
            <w:tcW w:w="1377" w:type="dxa"/>
            <w:tcBorders>
              <w:top w:val="nil"/>
              <w:left w:val="nil"/>
              <w:bottom w:val="nil"/>
              <w:right w:val="nil"/>
            </w:tcBorders>
            <w:shd w:val="clear" w:color="auto" w:fill="auto"/>
            <w:noWrap/>
            <w:vAlign w:val="bottom"/>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EUR millions</w:t>
            </w:r>
          </w:p>
        </w:tc>
      </w:tr>
      <w:tr w:rsidR="00E7728E" w:rsidTr="00F50689">
        <w:trPr>
          <w:trHeight w:val="300"/>
        </w:trPr>
        <w:tc>
          <w:tcPr>
            <w:tcW w:w="6240" w:type="dxa"/>
            <w:tcBorders>
              <w:top w:val="nil"/>
              <w:left w:val="nil"/>
              <w:bottom w:val="nil"/>
              <w:right w:val="nil"/>
            </w:tcBorders>
            <w:shd w:val="clear" w:color="000000" w:fill="366092"/>
            <w:vAlign w:val="center"/>
            <w:hideMark/>
          </w:tcPr>
          <w:p w:rsidR="00F50689" w:rsidRPr="00AF0804" w:rsidRDefault="00F50689" w:rsidP="00F50689">
            <w:pPr>
              <w:rPr>
                <w:rFonts w:ascii="Verdana" w:hAnsi="Verdana"/>
                <w:b/>
                <w:bCs/>
                <w:color w:val="FFFFFF"/>
                <w:sz w:val="18"/>
                <w:szCs w:val="18"/>
              </w:rPr>
            </w:pPr>
          </w:p>
        </w:tc>
        <w:tc>
          <w:tcPr>
            <w:tcW w:w="863" w:type="dxa"/>
            <w:tcBorders>
              <w:top w:val="nil"/>
              <w:left w:val="nil"/>
              <w:bottom w:val="nil"/>
              <w:right w:val="nil"/>
            </w:tcBorders>
            <w:shd w:val="clear" w:color="000000" w:fill="366092"/>
            <w:noWrap/>
            <w:vAlign w:val="center"/>
            <w:hideMark/>
          </w:tcPr>
          <w:p w:rsidR="00F50689" w:rsidRPr="00AF0804" w:rsidRDefault="005A36C4" w:rsidP="00F50689">
            <w:pPr>
              <w:jc w:val="center"/>
              <w:rPr>
                <w:rFonts w:ascii="Verdana" w:hAnsi="Verdana"/>
                <w:b/>
                <w:bCs/>
                <w:color w:val="FFFFFF"/>
                <w:sz w:val="18"/>
                <w:szCs w:val="18"/>
              </w:rPr>
            </w:pPr>
            <w:r w:rsidRPr="00AF0804">
              <w:rPr>
                <w:rFonts w:ascii="Verdana" w:hAnsi="Verdana"/>
                <w:b/>
                <w:bCs/>
                <w:color w:val="FFFFFF"/>
                <w:sz w:val="18"/>
                <w:szCs w:val="18"/>
              </w:rPr>
              <w:t>Total assets</w:t>
            </w:r>
          </w:p>
        </w:tc>
        <w:tc>
          <w:tcPr>
            <w:tcW w:w="1276" w:type="dxa"/>
            <w:tcBorders>
              <w:top w:val="nil"/>
              <w:left w:val="nil"/>
              <w:bottom w:val="nil"/>
              <w:right w:val="nil"/>
            </w:tcBorders>
            <w:shd w:val="clear" w:color="000000" w:fill="366092"/>
            <w:noWrap/>
            <w:vAlign w:val="center"/>
            <w:hideMark/>
          </w:tcPr>
          <w:p w:rsidR="00F50689" w:rsidRPr="00AF0804" w:rsidRDefault="005A36C4" w:rsidP="00F50689">
            <w:pPr>
              <w:jc w:val="center"/>
              <w:rPr>
                <w:rFonts w:ascii="Verdana" w:hAnsi="Verdana"/>
                <w:b/>
                <w:bCs/>
                <w:color w:val="FFFFFF"/>
                <w:sz w:val="18"/>
                <w:szCs w:val="18"/>
              </w:rPr>
            </w:pPr>
            <w:r w:rsidRPr="00AF0804">
              <w:rPr>
                <w:rFonts w:ascii="Verdana" w:hAnsi="Verdana"/>
                <w:b/>
                <w:bCs/>
                <w:color w:val="FFFFFF"/>
                <w:sz w:val="18"/>
                <w:szCs w:val="18"/>
              </w:rPr>
              <w:t>Total liabilities</w:t>
            </w:r>
          </w:p>
        </w:tc>
        <w:tc>
          <w:tcPr>
            <w:tcW w:w="1377" w:type="dxa"/>
            <w:tcBorders>
              <w:top w:val="nil"/>
              <w:left w:val="nil"/>
              <w:bottom w:val="nil"/>
              <w:right w:val="nil"/>
            </w:tcBorders>
            <w:shd w:val="clear" w:color="000000" w:fill="366092"/>
            <w:noWrap/>
            <w:vAlign w:val="center"/>
            <w:hideMark/>
          </w:tcPr>
          <w:p w:rsidR="00F50689" w:rsidRPr="00AF0804" w:rsidRDefault="005A36C4" w:rsidP="00F50689">
            <w:pPr>
              <w:jc w:val="center"/>
              <w:rPr>
                <w:rFonts w:ascii="Verdana" w:hAnsi="Verdana"/>
                <w:b/>
                <w:bCs/>
                <w:color w:val="FFFFFF"/>
                <w:sz w:val="18"/>
                <w:szCs w:val="18"/>
              </w:rPr>
            </w:pPr>
            <w:r w:rsidRPr="00AF0804">
              <w:rPr>
                <w:rFonts w:ascii="Verdana" w:hAnsi="Verdana"/>
                <w:b/>
                <w:bCs/>
                <w:color w:val="FFFFFF"/>
                <w:sz w:val="18"/>
                <w:szCs w:val="18"/>
              </w:rPr>
              <w:t>Guarantees given</w:t>
            </w:r>
          </w:p>
        </w:tc>
      </w:tr>
      <w:tr w:rsidR="00E7728E" w:rsidTr="00F50689">
        <w:trPr>
          <w:trHeight w:val="300"/>
        </w:trPr>
        <w:tc>
          <w:tcPr>
            <w:tcW w:w="6240" w:type="dxa"/>
            <w:tcBorders>
              <w:top w:val="nil"/>
              <w:left w:val="nil"/>
              <w:bottom w:val="nil"/>
              <w:right w:val="nil"/>
            </w:tcBorders>
            <w:shd w:val="clear" w:color="auto" w:fill="auto"/>
            <w:vAlign w:val="center"/>
            <w:hideMark/>
          </w:tcPr>
          <w:p w:rsidR="00F50689" w:rsidRPr="00AF0804" w:rsidRDefault="005A36C4" w:rsidP="00F50689">
            <w:pPr>
              <w:rPr>
                <w:rFonts w:ascii="Verdana" w:hAnsi="Verdana"/>
                <w:b/>
                <w:bCs/>
                <w:sz w:val="18"/>
                <w:szCs w:val="18"/>
              </w:rPr>
            </w:pPr>
            <w:r w:rsidRPr="00AF0804">
              <w:rPr>
                <w:rFonts w:ascii="Verdana" w:hAnsi="Verdana"/>
                <w:b/>
                <w:bCs/>
                <w:sz w:val="18"/>
                <w:szCs w:val="18"/>
              </w:rPr>
              <w:t>Loan/Equity/Technical assistance instruments:</w:t>
            </w:r>
          </w:p>
        </w:tc>
        <w:tc>
          <w:tcPr>
            <w:tcW w:w="863" w:type="dxa"/>
            <w:tcBorders>
              <w:top w:val="nil"/>
              <w:left w:val="nil"/>
              <w:bottom w:val="nil"/>
              <w:right w:val="nil"/>
            </w:tcBorders>
            <w:shd w:val="clear" w:color="auto" w:fill="auto"/>
            <w:vAlign w:val="center"/>
            <w:hideMark/>
          </w:tcPr>
          <w:p w:rsidR="00F50689" w:rsidRPr="00AF0804" w:rsidRDefault="00F50689" w:rsidP="00F50689">
            <w:pPr>
              <w:jc w:val="center"/>
              <w:rPr>
                <w:rFonts w:ascii="Verdana" w:hAnsi="Verdana"/>
                <w:b/>
                <w:bCs/>
                <w:color w:val="FFFFFF"/>
                <w:sz w:val="18"/>
                <w:szCs w:val="18"/>
              </w:rPr>
            </w:pPr>
          </w:p>
        </w:tc>
        <w:tc>
          <w:tcPr>
            <w:tcW w:w="1276" w:type="dxa"/>
            <w:tcBorders>
              <w:top w:val="nil"/>
              <w:left w:val="nil"/>
              <w:bottom w:val="nil"/>
              <w:right w:val="nil"/>
            </w:tcBorders>
            <w:shd w:val="clear" w:color="auto" w:fill="auto"/>
            <w:noWrap/>
            <w:vAlign w:val="center"/>
            <w:hideMark/>
          </w:tcPr>
          <w:p w:rsidR="00F50689" w:rsidRPr="00AF0804" w:rsidRDefault="00F50689" w:rsidP="00F50689">
            <w:pPr>
              <w:jc w:val="center"/>
              <w:rPr>
                <w:rFonts w:ascii="Verdana" w:hAnsi="Verdana"/>
                <w:b/>
                <w:bCs/>
                <w:color w:val="FFFFFF"/>
                <w:sz w:val="18"/>
                <w:szCs w:val="18"/>
              </w:rPr>
            </w:pPr>
          </w:p>
        </w:tc>
        <w:tc>
          <w:tcPr>
            <w:tcW w:w="1377" w:type="dxa"/>
            <w:tcBorders>
              <w:top w:val="nil"/>
              <w:left w:val="nil"/>
              <w:bottom w:val="nil"/>
              <w:right w:val="nil"/>
            </w:tcBorders>
            <w:shd w:val="clear" w:color="auto" w:fill="auto"/>
            <w:noWrap/>
            <w:vAlign w:val="center"/>
            <w:hideMark/>
          </w:tcPr>
          <w:p w:rsidR="00F50689" w:rsidRPr="00AF0804" w:rsidRDefault="00F50689" w:rsidP="00F50689">
            <w:pPr>
              <w:jc w:val="center"/>
              <w:rPr>
                <w:rFonts w:ascii="Verdana" w:hAnsi="Verdana"/>
                <w:b/>
                <w:bCs/>
                <w:color w:val="FFFFFF"/>
                <w:sz w:val="18"/>
                <w:szCs w:val="18"/>
              </w:rPr>
            </w:pPr>
          </w:p>
        </w:tc>
      </w:tr>
      <w:tr w:rsidR="00E7728E" w:rsidTr="00F50689">
        <w:trPr>
          <w:trHeight w:val="450"/>
        </w:trPr>
        <w:tc>
          <w:tcPr>
            <w:tcW w:w="6240" w:type="dxa"/>
            <w:tcBorders>
              <w:top w:val="nil"/>
              <w:left w:val="nil"/>
              <w:bottom w:val="nil"/>
              <w:right w:val="nil"/>
            </w:tcBorders>
            <w:shd w:val="clear" w:color="auto" w:fill="auto"/>
            <w:vAlign w:val="center"/>
            <w:hideMark/>
          </w:tcPr>
          <w:p w:rsidR="00F50689" w:rsidRPr="00AF0804" w:rsidRDefault="005A36C4" w:rsidP="00F50689">
            <w:pPr>
              <w:rPr>
                <w:rFonts w:ascii="Verdana" w:hAnsi="Verdana"/>
                <w:i/>
                <w:iCs/>
                <w:color w:val="000000"/>
                <w:sz w:val="18"/>
                <w:szCs w:val="18"/>
              </w:rPr>
            </w:pPr>
            <w:r w:rsidRPr="00AF0804">
              <w:rPr>
                <w:rFonts w:ascii="Verdana" w:hAnsi="Verdana"/>
                <w:i/>
                <w:iCs/>
                <w:color w:val="000000"/>
                <w:sz w:val="18"/>
                <w:szCs w:val="18"/>
              </w:rPr>
              <w:t>MEDA Instrument of economic and financial cooperation under the Euro-Mediterranean partnership</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 xml:space="preserve"> 290</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iCs/>
                <w:color w:val="000000"/>
                <w:sz w:val="18"/>
                <w:szCs w:val="18"/>
              </w:rPr>
              <w:t>(</w:t>
            </w:r>
            <w:r w:rsidRPr="00AF0804">
              <w:rPr>
                <w:rFonts w:ascii="Verdana" w:hAnsi="Verdana"/>
                <w:i/>
                <w:iCs/>
                <w:color w:val="000000"/>
                <w:sz w:val="18"/>
                <w:szCs w:val="18"/>
              </w:rPr>
              <w:t>3)</w:t>
            </w:r>
          </w:p>
        </w:tc>
        <w:tc>
          <w:tcPr>
            <w:tcW w:w="1377" w:type="dxa"/>
            <w:tcBorders>
              <w:top w:val="nil"/>
              <w:left w:val="nil"/>
              <w:bottom w:val="nil"/>
              <w:right w:val="nil"/>
            </w:tcBorders>
            <w:shd w:val="clear" w:color="auto" w:fill="auto"/>
            <w:noWrap/>
            <w:vAlign w:val="center"/>
            <w:hideMark/>
          </w:tcPr>
          <w:p w:rsidR="00F50689" w:rsidRPr="00AF0804" w:rsidRDefault="00F50689" w:rsidP="00F50689">
            <w:pPr>
              <w:jc w:val="right"/>
              <w:rPr>
                <w:rFonts w:ascii="Verdana" w:hAnsi="Verdana"/>
                <w:color w:val="000000"/>
                <w:sz w:val="18"/>
                <w:szCs w:val="18"/>
              </w:rPr>
            </w:pPr>
          </w:p>
        </w:tc>
      </w:tr>
      <w:tr w:rsidR="00E7728E" w:rsidTr="00F50689">
        <w:trPr>
          <w:trHeight w:val="300"/>
        </w:trPr>
        <w:tc>
          <w:tcPr>
            <w:tcW w:w="6240"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sidRPr="00AF0804">
              <w:rPr>
                <w:rFonts w:ascii="Verdana" w:hAnsi="Verdana"/>
                <w:i/>
                <w:iCs/>
                <w:color w:val="000000"/>
                <w:sz w:val="18"/>
                <w:szCs w:val="18"/>
              </w:rPr>
              <w:t>European Neighbourhood and Partnership Instrument (ENPI)</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 xml:space="preserve"> 167</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iCs/>
                <w:color w:val="000000"/>
                <w:sz w:val="18"/>
                <w:szCs w:val="18"/>
              </w:rPr>
              <w:t>(</w:t>
            </w:r>
            <w:r w:rsidRPr="00AF0804">
              <w:rPr>
                <w:rFonts w:ascii="Verdana" w:hAnsi="Verdana"/>
                <w:i/>
                <w:iCs/>
                <w:color w:val="000000"/>
                <w:sz w:val="18"/>
                <w:szCs w:val="18"/>
              </w:rPr>
              <w:t>7)</w:t>
            </w:r>
          </w:p>
        </w:tc>
        <w:tc>
          <w:tcPr>
            <w:tcW w:w="1377" w:type="dxa"/>
            <w:tcBorders>
              <w:top w:val="nil"/>
              <w:left w:val="nil"/>
              <w:bottom w:val="nil"/>
              <w:right w:val="nil"/>
            </w:tcBorders>
            <w:shd w:val="clear" w:color="auto" w:fill="auto"/>
            <w:noWrap/>
            <w:vAlign w:val="center"/>
            <w:hideMark/>
          </w:tcPr>
          <w:p w:rsidR="00F50689" w:rsidRPr="00AF0804" w:rsidRDefault="00F50689" w:rsidP="00F50689">
            <w:pPr>
              <w:jc w:val="right"/>
              <w:rPr>
                <w:rFonts w:ascii="Verdana" w:hAnsi="Verdana"/>
                <w:color w:val="000000"/>
                <w:sz w:val="18"/>
                <w:szCs w:val="18"/>
              </w:rPr>
            </w:pPr>
          </w:p>
        </w:tc>
      </w:tr>
      <w:tr w:rsidR="00E7728E" w:rsidTr="00F50689">
        <w:trPr>
          <w:trHeight w:val="300"/>
        </w:trPr>
        <w:tc>
          <w:tcPr>
            <w:tcW w:w="6240" w:type="dxa"/>
            <w:tcBorders>
              <w:top w:val="single" w:sz="4" w:space="0" w:color="auto"/>
              <w:left w:val="nil"/>
              <w:bottom w:val="single" w:sz="4" w:space="0" w:color="auto"/>
              <w:right w:val="nil"/>
            </w:tcBorders>
            <w:shd w:val="clear" w:color="auto" w:fill="auto"/>
            <w:noWrap/>
            <w:vAlign w:val="center"/>
            <w:hideMark/>
          </w:tcPr>
          <w:p w:rsidR="00F50689" w:rsidRPr="00AF0804" w:rsidRDefault="005A36C4" w:rsidP="00F50689">
            <w:pPr>
              <w:rPr>
                <w:rFonts w:ascii="Verdana" w:hAnsi="Verdana"/>
                <w:b/>
                <w:bCs/>
                <w:color w:val="000000"/>
                <w:sz w:val="18"/>
                <w:szCs w:val="18"/>
              </w:rPr>
            </w:pPr>
            <w:r w:rsidRPr="00AF0804">
              <w:rPr>
                <w:rFonts w:ascii="Verdana" w:hAnsi="Verdana"/>
                <w:b/>
                <w:bCs/>
                <w:color w:val="000000"/>
                <w:sz w:val="18"/>
                <w:szCs w:val="18"/>
              </w:rPr>
              <w:t> </w:t>
            </w:r>
          </w:p>
        </w:tc>
        <w:tc>
          <w:tcPr>
            <w:tcW w:w="863" w:type="dxa"/>
            <w:tcBorders>
              <w:top w:val="single" w:sz="4" w:space="0" w:color="auto"/>
              <w:left w:val="nil"/>
              <w:bottom w:val="single" w:sz="4" w:space="0" w:color="auto"/>
              <w:right w:val="nil"/>
            </w:tcBorders>
            <w:shd w:val="clear" w:color="auto" w:fill="auto"/>
            <w:noWrap/>
            <w:vAlign w:val="center"/>
            <w:hideMark/>
          </w:tcPr>
          <w:p w:rsidR="00F50689" w:rsidRPr="00AF0804" w:rsidRDefault="005A36C4" w:rsidP="00F50689">
            <w:pPr>
              <w:jc w:val="right"/>
              <w:rPr>
                <w:rFonts w:ascii="Verdana" w:hAnsi="Verdana"/>
                <w:b/>
                <w:bCs/>
                <w:color w:val="000000"/>
                <w:sz w:val="18"/>
                <w:szCs w:val="18"/>
              </w:rPr>
            </w:pPr>
            <w:r w:rsidRPr="00AF0804">
              <w:rPr>
                <w:rFonts w:ascii="Verdana" w:hAnsi="Verdana"/>
                <w:b/>
                <w:bCs/>
                <w:color w:val="000000"/>
                <w:sz w:val="18"/>
                <w:szCs w:val="18"/>
              </w:rPr>
              <w:t xml:space="preserve"> 457</w:t>
            </w:r>
          </w:p>
        </w:tc>
        <w:tc>
          <w:tcPr>
            <w:tcW w:w="1276" w:type="dxa"/>
            <w:tcBorders>
              <w:top w:val="single" w:sz="4" w:space="0" w:color="auto"/>
              <w:left w:val="nil"/>
              <w:bottom w:val="single" w:sz="4" w:space="0" w:color="auto"/>
              <w:right w:val="nil"/>
            </w:tcBorders>
            <w:shd w:val="clear" w:color="auto" w:fill="auto"/>
            <w:noWrap/>
            <w:vAlign w:val="center"/>
            <w:hideMark/>
          </w:tcPr>
          <w:p w:rsidR="00F50689" w:rsidRPr="00AF0804" w:rsidRDefault="005A36C4" w:rsidP="00F50689">
            <w:pPr>
              <w:jc w:val="right"/>
              <w:rPr>
                <w:rFonts w:ascii="Verdana" w:hAnsi="Verdana"/>
                <w:b/>
                <w:bCs/>
                <w:color w:val="000000"/>
                <w:sz w:val="18"/>
                <w:szCs w:val="18"/>
              </w:rPr>
            </w:pPr>
            <w:r>
              <w:rPr>
                <w:rFonts w:ascii="Verdana" w:hAnsi="Verdana"/>
                <w:b/>
                <w:bCs/>
                <w:color w:val="000000"/>
                <w:sz w:val="18"/>
                <w:szCs w:val="18"/>
              </w:rPr>
              <w:t>(</w:t>
            </w:r>
            <w:r w:rsidRPr="00AF0804">
              <w:rPr>
                <w:rFonts w:ascii="Verdana" w:hAnsi="Verdana"/>
                <w:b/>
                <w:bCs/>
                <w:color w:val="000000"/>
                <w:sz w:val="18"/>
                <w:szCs w:val="18"/>
              </w:rPr>
              <w:t>9)</w:t>
            </w:r>
          </w:p>
        </w:tc>
        <w:tc>
          <w:tcPr>
            <w:tcW w:w="1377" w:type="dxa"/>
            <w:tcBorders>
              <w:top w:val="single" w:sz="4" w:space="0" w:color="auto"/>
              <w:left w:val="nil"/>
              <w:bottom w:val="single" w:sz="4" w:space="0" w:color="auto"/>
              <w:right w:val="nil"/>
            </w:tcBorders>
            <w:shd w:val="clear" w:color="auto" w:fill="auto"/>
            <w:noWrap/>
            <w:vAlign w:val="bottom"/>
            <w:hideMark/>
          </w:tcPr>
          <w:p w:rsidR="00F50689" w:rsidRPr="00AF0804" w:rsidRDefault="005A36C4" w:rsidP="00F50689">
            <w:pPr>
              <w:rPr>
                <w:rFonts w:ascii="Verdana" w:hAnsi="Verdana"/>
                <w:b/>
                <w:bCs/>
                <w:sz w:val="18"/>
                <w:szCs w:val="18"/>
              </w:rPr>
            </w:pPr>
            <w:r w:rsidRPr="00AF0804">
              <w:rPr>
                <w:rFonts w:ascii="Verdana" w:hAnsi="Verdana"/>
                <w:b/>
                <w:bCs/>
                <w:sz w:val="18"/>
                <w:szCs w:val="18"/>
              </w:rPr>
              <w:t> </w:t>
            </w:r>
          </w:p>
        </w:tc>
      </w:tr>
      <w:tr w:rsidR="00E7728E" w:rsidTr="00F50689">
        <w:trPr>
          <w:trHeight w:val="300"/>
        </w:trPr>
        <w:tc>
          <w:tcPr>
            <w:tcW w:w="6240" w:type="dxa"/>
            <w:tcBorders>
              <w:top w:val="nil"/>
              <w:left w:val="nil"/>
              <w:bottom w:val="single" w:sz="4" w:space="0" w:color="auto"/>
              <w:right w:val="nil"/>
            </w:tcBorders>
            <w:shd w:val="clear" w:color="auto" w:fill="auto"/>
            <w:noWrap/>
            <w:vAlign w:val="center"/>
            <w:hideMark/>
          </w:tcPr>
          <w:p w:rsidR="00F50689" w:rsidRPr="00AF0804" w:rsidRDefault="005A36C4" w:rsidP="00F50689">
            <w:pPr>
              <w:rPr>
                <w:rFonts w:ascii="Verdana" w:hAnsi="Verdana"/>
                <w:b/>
                <w:bCs/>
                <w:color w:val="000000"/>
                <w:sz w:val="18"/>
                <w:szCs w:val="18"/>
              </w:rPr>
            </w:pPr>
            <w:r w:rsidRPr="00AF0804">
              <w:rPr>
                <w:rFonts w:ascii="Verdana" w:hAnsi="Verdana"/>
                <w:b/>
                <w:bCs/>
                <w:color w:val="000000"/>
                <w:sz w:val="18"/>
                <w:szCs w:val="18"/>
              </w:rPr>
              <w:t>Loan instruments: SME Support Loans</w:t>
            </w:r>
          </w:p>
        </w:tc>
        <w:tc>
          <w:tcPr>
            <w:tcW w:w="863" w:type="dxa"/>
            <w:tcBorders>
              <w:top w:val="nil"/>
              <w:left w:val="nil"/>
              <w:bottom w:val="single" w:sz="4" w:space="0" w:color="auto"/>
              <w:right w:val="nil"/>
            </w:tcBorders>
            <w:shd w:val="clear" w:color="auto" w:fill="auto"/>
            <w:noWrap/>
            <w:vAlign w:val="center"/>
            <w:hideMark/>
          </w:tcPr>
          <w:p w:rsidR="00F50689" w:rsidRPr="00AF0804" w:rsidRDefault="005A36C4" w:rsidP="00F50689">
            <w:pPr>
              <w:jc w:val="right"/>
              <w:rPr>
                <w:rFonts w:ascii="Verdana" w:hAnsi="Verdana"/>
                <w:b/>
                <w:bCs/>
                <w:color w:val="000000"/>
                <w:sz w:val="18"/>
                <w:szCs w:val="18"/>
              </w:rPr>
            </w:pPr>
            <w:r w:rsidRPr="00AF0804">
              <w:rPr>
                <w:rFonts w:ascii="Verdana" w:hAnsi="Verdana"/>
                <w:b/>
                <w:bCs/>
                <w:color w:val="000000"/>
                <w:sz w:val="18"/>
                <w:szCs w:val="18"/>
              </w:rPr>
              <w:t xml:space="preserve"> 19</w:t>
            </w:r>
          </w:p>
        </w:tc>
        <w:tc>
          <w:tcPr>
            <w:tcW w:w="1276" w:type="dxa"/>
            <w:tcBorders>
              <w:top w:val="nil"/>
              <w:left w:val="nil"/>
              <w:bottom w:val="single" w:sz="4" w:space="0" w:color="auto"/>
              <w:right w:val="nil"/>
            </w:tcBorders>
            <w:shd w:val="clear" w:color="auto" w:fill="auto"/>
            <w:noWrap/>
            <w:vAlign w:val="center"/>
            <w:hideMark/>
          </w:tcPr>
          <w:p w:rsidR="00F50689" w:rsidRPr="00AF0804" w:rsidRDefault="005A36C4" w:rsidP="00F50689">
            <w:pPr>
              <w:jc w:val="right"/>
              <w:rPr>
                <w:rFonts w:ascii="Verdana" w:hAnsi="Verdana"/>
                <w:b/>
                <w:bCs/>
                <w:color w:val="000000"/>
                <w:sz w:val="18"/>
                <w:szCs w:val="18"/>
              </w:rPr>
            </w:pPr>
            <w:r w:rsidRPr="00AF0804">
              <w:rPr>
                <w:rFonts w:ascii="Verdana" w:hAnsi="Verdana"/>
                <w:b/>
                <w:bCs/>
                <w:color w:val="000000"/>
                <w:sz w:val="18"/>
                <w:szCs w:val="18"/>
              </w:rPr>
              <w:t>-</w:t>
            </w:r>
          </w:p>
        </w:tc>
        <w:tc>
          <w:tcPr>
            <w:tcW w:w="1377" w:type="dxa"/>
            <w:tcBorders>
              <w:top w:val="nil"/>
              <w:left w:val="nil"/>
              <w:bottom w:val="single" w:sz="4" w:space="0" w:color="auto"/>
              <w:right w:val="nil"/>
            </w:tcBorders>
            <w:shd w:val="clear" w:color="auto" w:fill="auto"/>
            <w:noWrap/>
            <w:vAlign w:val="center"/>
            <w:hideMark/>
          </w:tcPr>
          <w:p w:rsidR="00F50689" w:rsidRPr="00AF0804" w:rsidRDefault="005A36C4" w:rsidP="00F50689">
            <w:pPr>
              <w:jc w:val="right"/>
              <w:rPr>
                <w:rFonts w:ascii="Verdana" w:hAnsi="Verdana"/>
                <w:b/>
                <w:bCs/>
                <w:color w:val="000000"/>
                <w:sz w:val="18"/>
                <w:szCs w:val="18"/>
              </w:rPr>
            </w:pPr>
            <w:r w:rsidRPr="00AF0804">
              <w:rPr>
                <w:rFonts w:ascii="Verdana" w:hAnsi="Verdana"/>
                <w:b/>
                <w:bCs/>
                <w:color w:val="000000"/>
                <w:sz w:val="18"/>
                <w:szCs w:val="18"/>
              </w:rPr>
              <w:t> </w:t>
            </w:r>
          </w:p>
        </w:tc>
      </w:tr>
      <w:tr w:rsidR="00E7728E" w:rsidTr="00F50689">
        <w:trPr>
          <w:trHeight w:val="300"/>
        </w:trPr>
        <w:tc>
          <w:tcPr>
            <w:tcW w:w="6240"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b/>
                <w:bCs/>
                <w:color w:val="000000"/>
                <w:sz w:val="18"/>
                <w:szCs w:val="18"/>
              </w:rPr>
            </w:pPr>
            <w:r w:rsidRPr="00AF0804">
              <w:rPr>
                <w:rFonts w:ascii="Verdana" w:hAnsi="Verdana"/>
                <w:b/>
                <w:bCs/>
                <w:color w:val="000000"/>
                <w:sz w:val="18"/>
                <w:szCs w:val="18"/>
              </w:rPr>
              <w:t>Equity instruments:</w:t>
            </w:r>
          </w:p>
        </w:tc>
        <w:tc>
          <w:tcPr>
            <w:tcW w:w="863" w:type="dxa"/>
            <w:tcBorders>
              <w:top w:val="nil"/>
              <w:left w:val="nil"/>
              <w:bottom w:val="nil"/>
              <w:right w:val="nil"/>
            </w:tcBorders>
            <w:shd w:val="clear" w:color="auto" w:fill="auto"/>
            <w:noWrap/>
            <w:vAlign w:val="center"/>
            <w:hideMark/>
          </w:tcPr>
          <w:p w:rsidR="00F50689" w:rsidRPr="00AF0804" w:rsidRDefault="00F50689" w:rsidP="00F50689">
            <w:pPr>
              <w:jc w:val="right"/>
              <w:rPr>
                <w:rFonts w:ascii="Verdana" w:hAnsi="Verdana"/>
                <w:color w:val="000000"/>
                <w:sz w:val="18"/>
                <w:szCs w:val="18"/>
              </w:rPr>
            </w:pPr>
          </w:p>
        </w:tc>
        <w:tc>
          <w:tcPr>
            <w:tcW w:w="1276" w:type="dxa"/>
            <w:tcBorders>
              <w:top w:val="nil"/>
              <w:left w:val="nil"/>
              <w:bottom w:val="nil"/>
              <w:right w:val="nil"/>
            </w:tcBorders>
            <w:shd w:val="clear" w:color="auto" w:fill="auto"/>
            <w:noWrap/>
            <w:vAlign w:val="center"/>
            <w:hideMark/>
          </w:tcPr>
          <w:p w:rsidR="00F50689" w:rsidRPr="00AF0804" w:rsidRDefault="00F50689" w:rsidP="00F50689">
            <w:pPr>
              <w:jc w:val="right"/>
              <w:rPr>
                <w:rFonts w:ascii="Verdana" w:hAnsi="Verdana"/>
                <w:color w:val="000000"/>
                <w:sz w:val="18"/>
                <w:szCs w:val="18"/>
              </w:rPr>
            </w:pPr>
          </w:p>
        </w:tc>
        <w:tc>
          <w:tcPr>
            <w:tcW w:w="1377" w:type="dxa"/>
            <w:tcBorders>
              <w:top w:val="nil"/>
              <w:left w:val="nil"/>
              <w:bottom w:val="nil"/>
              <w:right w:val="nil"/>
            </w:tcBorders>
            <w:shd w:val="clear" w:color="auto" w:fill="auto"/>
            <w:noWrap/>
            <w:vAlign w:val="center"/>
            <w:hideMark/>
          </w:tcPr>
          <w:p w:rsidR="00F50689" w:rsidRPr="00AF0804" w:rsidRDefault="00F50689" w:rsidP="00F50689">
            <w:pPr>
              <w:jc w:val="right"/>
              <w:rPr>
                <w:rFonts w:ascii="Verdana" w:hAnsi="Verdana"/>
                <w:b/>
                <w:bCs/>
                <w:color w:val="000000"/>
                <w:sz w:val="18"/>
                <w:szCs w:val="18"/>
              </w:rPr>
            </w:pPr>
          </w:p>
        </w:tc>
      </w:tr>
      <w:tr w:rsidR="00E7728E" w:rsidTr="00F50689">
        <w:trPr>
          <w:trHeight w:val="450"/>
        </w:trPr>
        <w:tc>
          <w:tcPr>
            <w:tcW w:w="6240" w:type="dxa"/>
            <w:tcBorders>
              <w:top w:val="nil"/>
              <w:left w:val="nil"/>
              <w:bottom w:val="nil"/>
              <w:right w:val="nil"/>
            </w:tcBorders>
            <w:shd w:val="clear" w:color="auto" w:fill="auto"/>
            <w:vAlign w:val="center"/>
            <w:hideMark/>
          </w:tcPr>
          <w:p w:rsidR="00F50689" w:rsidRPr="00AF0804" w:rsidRDefault="005A36C4" w:rsidP="00F50689">
            <w:pPr>
              <w:rPr>
                <w:rFonts w:ascii="Verdana" w:hAnsi="Verdana"/>
                <w:i/>
                <w:iCs/>
                <w:color w:val="000000"/>
                <w:sz w:val="18"/>
                <w:szCs w:val="18"/>
              </w:rPr>
            </w:pPr>
            <w:r w:rsidRPr="00AF0804">
              <w:rPr>
                <w:rFonts w:ascii="Verdana" w:hAnsi="Verdana"/>
                <w:i/>
                <w:iCs/>
                <w:color w:val="000000"/>
                <w:sz w:val="18"/>
                <w:szCs w:val="18"/>
              </w:rPr>
              <w:t xml:space="preserve">The High Growth and Innovative SME Facility under </w:t>
            </w:r>
            <w:proofErr w:type="spellStart"/>
            <w:r w:rsidRPr="00AF0804">
              <w:rPr>
                <w:rFonts w:ascii="Verdana" w:hAnsi="Verdana"/>
                <w:i/>
                <w:iCs/>
                <w:color w:val="000000"/>
                <w:sz w:val="18"/>
                <w:szCs w:val="18"/>
              </w:rPr>
              <w:t>Competitiviness</w:t>
            </w:r>
            <w:proofErr w:type="spellEnd"/>
            <w:r w:rsidRPr="00AF0804">
              <w:rPr>
                <w:rFonts w:ascii="Verdana" w:hAnsi="Verdana"/>
                <w:i/>
                <w:iCs/>
                <w:color w:val="000000"/>
                <w:sz w:val="18"/>
                <w:szCs w:val="18"/>
              </w:rPr>
              <w:t xml:space="preserve"> &amp; Innovation Framework Programme</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 xml:space="preserve"> 323</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iCs/>
                <w:color w:val="000000"/>
                <w:sz w:val="18"/>
                <w:szCs w:val="18"/>
              </w:rPr>
              <w:t>(</w:t>
            </w:r>
            <w:r w:rsidRPr="00AF0804">
              <w:rPr>
                <w:rFonts w:ascii="Verdana" w:hAnsi="Verdana"/>
                <w:i/>
                <w:iCs/>
                <w:color w:val="000000"/>
                <w:sz w:val="18"/>
                <w:szCs w:val="18"/>
              </w:rPr>
              <w:t>0)</w:t>
            </w:r>
          </w:p>
        </w:tc>
        <w:tc>
          <w:tcPr>
            <w:tcW w:w="1377" w:type="dxa"/>
            <w:tcBorders>
              <w:top w:val="nil"/>
              <w:left w:val="nil"/>
              <w:bottom w:val="nil"/>
              <w:right w:val="nil"/>
            </w:tcBorders>
            <w:shd w:val="clear" w:color="auto" w:fill="auto"/>
            <w:noWrap/>
            <w:vAlign w:val="bottom"/>
            <w:hideMark/>
          </w:tcPr>
          <w:p w:rsidR="00F50689" w:rsidRPr="00AF0804" w:rsidRDefault="00F50689" w:rsidP="00F50689">
            <w:pPr>
              <w:rPr>
                <w:rFonts w:ascii="Verdana" w:hAnsi="Verdana"/>
                <w:color w:val="000000"/>
                <w:sz w:val="18"/>
                <w:szCs w:val="18"/>
              </w:rPr>
            </w:pPr>
          </w:p>
        </w:tc>
      </w:tr>
      <w:tr w:rsidR="00E7728E" w:rsidTr="00F50689">
        <w:trPr>
          <w:trHeight w:val="300"/>
        </w:trPr>
        <w:tc>
          <w:tcPr>
            <w:tcW w:w="6240"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sidRPr="00AF0804">
              <w:rPr>
                <w:rFonts w:ascii="Verdana" w:hAnsi="Verdana"/>
                <w:i/>
                <w:iCs/>
                <w:color w:val="000000"/>
                <w:sz w:val="18"/>
                <w:szCs w:val="18"/>
              </w:rPr>
              <w:t>COSME - Competitiveness of Enterprises and SME</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 xml:space="preserve"> 31</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w:t>
            </w:r>
          </w:p>
        </w:tc>
        <w:tc>
          <w:tcPr>
            <w:tcW w:w="1377" w:type="dxa"/>
            <w:tcBorders>
              <w:top w:val="nil"/>
              <w:left w:val="nil"/>
              <w:bottom w:val="nil"/>
              <w:right w:val="nil"/>
            </w:tcBorders>
            <w:shd w:val="clear" w:color="auto" w:fill="auto"/>
            <w:noWrap/>
            <w:vAlign w:val="bottom"/>
            <w:hideMark/>
          </w:tcPr>
          <w:p w:rsidR="00F50689" w:rsidRPr="00AF0804" w:rsidRDefault="00F50689" w:rsidP="00F50689">
            <w:pPr>
              <w:rPr>
                <w:rFonts w:ascii="Verdana" w:hAnsi="Verdana"/>
                <w:color w:val="000000"/>
                <w:sz w:val="18"/>
                <w:szCs w:val="18"/>
              </w:rPr>
            </w:pPr>
          </w:p>
        </w:tc>
      </w:tr>
      <w:tr w:rsidR="00E7728E" w:rsidTr="00F50689">
        <w:trPr>
          <w:trHeight w:val="300"/>
        </w:trPr>
        <w:tc>
          <w:tcPr>
            <w:tcW w:w="6240"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sidRPr="00AF0804">
              <w:rPr>
                <w:rFonts w:ascii="Verdana" w:hAnsi="Verdana"/>
                <w:i/>
                <w:iCs/>
                <w:color w:val="000000"/>
                <w:sz w:val="18"/>
                <w:szCs w:val="18"/>
              </w:rPr>
              <w:t>European Fund for Southeast Europe (EFSE)</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 xml:space="preserve"> 118</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w:t>
            </w:r>
          </w:p>
        </w:tc>
        <w:tc>
          <w:tcPr>
            <w:tcW w:w="1377" w:type="dxa"/>
            <w:tcBorders>
              <w:top w:val="nil"/>
              <w:left w:val="nil"/>
              <w:bottom w:val="nil"/>
              <w:right w:val="nil"/>
            </w:tcBorders>
            <w:shd w:val="clear" w:color="auto" w:fill="auto"/>
            <w:noWrap/>
            <w:vAlign w:val="bottom"/>
            <w:hideMark/>
          </w:tcPr>
          <w:p w:rsidR="00F50689" w:rsidRPr="00AF0804" w:rsidRDefault="00F50689" w:rsidP="00F50689">
            <w:pPr>
              <w:rPr>
                <w:rFonts w:ascii="Verdana" w:hAnsi="Verdana"/>
                <w:color w:val="000000"/>
                <w:sz w:val="18"/>
                <w:szCs w:val="18"/>
              </w:rPr>
            </w:pPr>
          </w:p>
        </w:tc>
      </w:tr>
      <w:tr w:rsidR="00E7728E" w:rsidTr="00F50689">
        <w:trPr>
          <w:trHeight w:val="450"/>
        </w:trPr>
        <w:tc>
          <w:tcPr>
            <w:tcW w:w="6240" w:type="dxa"/>
            <w:tcBorders>
              <w:top w:val="nil"/>
              <w:left w:val="nil"/>
              <w:bottom w:val="nil"/>
              <w:right w:val="nil"/>
            </w:tcBorders>
            <w:shd w:val="clear" w:color="auto" w:fill="auto"/>
            <w:vAlign w:val="center"/>
            <w:hideMark/>
          </w:tcPr>
          <w:p w:rsidR="00F50689" w:rsidRPr="00AF0804" w:rsidRDefault="005A36C4" w:rsidP="00F50689">
            <w:pPr>
              <w:rPr>
                <w:rFonts w:ascii="Verdana" w:hAnsi="Verdana"/>
                <w:i/>
                <w:iCs/>
                <w:color w:val="000000"/>
                <w:sz w:val="18"/>
                <w:szCs w:val="18"/>
              </w:rPr>
            </w:pPr>
            <w:r w:rsidRPr="00AF0804">
              <w:rPr>
                <w:rFonts w:ascii="Verdana" w:hAnsi="Verdana"/>
                <w:i/>
                <w:iCs/>
                <w:color w:val="000000"/>
                <w:sz w:val="18"/>
                <w:szCs w:val="18"/>
              </w:rPr>
              <w:t xml:space="preserve">Enterprise Expansion Fund under the Western Balkan Enterprise Development and Innovation Facility </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 xml:space="preserve"> 10</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 xml:space="preserve"> 0</w:t>
            </w:r>
          </w:p>
        </w:tc>
        <w:tc>
          <w:tcPr>
            <w:tcW w:w="1377" w:type="dxa"/>
            <w:tcBorders>
              <w:top w:val="nil"/>
              <w:left w:val="nil"/>
              <w:bottom w:val="nil"/>
              <w:right w:val="nil"/>
            </w:tcBorders>
            <w:shd w:val="clear" w:color="auto" w:fill="auto"/>
            <w:noWrap/>
            <w:vAlign w:val="bottom"/>
            <w:hideMark/>
          </w:tcPr>
          <w:p w:rsidR="00F50689" w:rsidRPr="00AF0804" w:rsidRDefault="00F50689" w:rsidP="00F50689">
            <w:pPr>
              <w:rPr>
                <w:rFonts w:ascii="Verdana" w:hAnsi="Verdana"/>
                <w:color w:val="000000"/>
                <w:sz w:val="18"/>
                <w:szCs w:val="18"/>
              </w:rPr>
            </w:pPr>
          </w:p>
        </w:tc>
      </w:tr>
      <w:tr w:rsidR="00E7728E" w:rsidTr="00F50689">
        <w:trPr>
          <w:trHeight w:val="450"/>
        </w:trPr>
        <w:tc>
          <w:tcPr>
            <w:tcW w:w="6240" w:type="dxa"/>
            <w:tcBorders>
              <w:top w:val="nil"/>
              <w:left w:val="nil"/>
              <w:bottom w:val="nil"/>
              <w:right w:val="nil"/>
            </w:tcBorders>
            <w:shd w:val="clear" w:color="auto" w:fill="auto"/>
            <w:vAlign w:val="center"/>
            <w:hideMark/>
          </w:tcPr>
          <w:p w:rsidR="00F50689" w:rsidRPr="00AF0804" w:rsidRDefault="005A36C4" w:rsidP="00F50689">
            <w:pPr>
              <w:rPr>
                <w:rFonts w:ascii="Verdana" w:hAnsi="Verdana"/>
                <w:i/>
                <w:iCs/>
                <w:color w:val="000000"/>
                <w:sz w:val="18"/>
                <w:szCs w:val="18"/>
              </w:rPr>
            </w:pPr>
            <w:r w:rsidRPr="00AF0804">
              <w:rPr>
                <w:rFonts w:ascii="Verdana" w:hAnsi="Verdana"/>
                <w:i/>
                <w:iCs/>
                <w:color w:val="000000"/>
                <w:sz w:val="18"/>
                <w:szCs w:val="18"/>
              </w:rPr>
              <w:t>Enterprise Innovation Fund (EIF) under the Western Balkan Enterprise Development and Innovation Facility</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 xml:space="preserve"> 21</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 xml:space="preserve"> 0</w:t>
            </w:r>
          </w:p>
        </w:tc>
        <w:tc>
          <w:tcPr>
            <w:tcW w:w="1377" w:type="dxa"/>
            <w:tcBorders>
              <w:top w:val="nil"/>
              <w:left w:val="nil"/>
              <w:bottom w:val="nil"/>
              <w:right w:val="nil"/>
            </w:tcBorders>
            <w:shd w:val="clear" w:color="auto" w:fill="auto"/>
            <w:noWrap/>
            <w:vAlign w:val="bottom"/>
            <w:hideMark/>
          </w:tcPr>
          <w:p w:rsidR="00F50689" w:rsidRPr="00AF0804" w:rsidRDefault="00F50689" w:rsidP="00F50689">
            <w:pPr>
              <w:rPr>
                <w:rFonts w:ascii="Verdana" w:hAnsi="Verdana"/>
                <w:color w:val="000000"/>
                <w:sz w:val="18"/>
                <w:szCs w:val="18"/>
              </w:rPr>
            </w:pPr>
          </w:p>
        </w:tc>
      </w:tr>
      <w:tr w:rsidR="00E7728E" w:rsidTr="00F50689">
        <w:trPr>
          <w:trHeight w:val="300"/>
        </w:trPr>
        <w:tc>
          <w:tcPr>
            <w:tcW w:w="6240"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sidRPr="00AF0804">
              <w:rPr>
                <w:rFonts w:ascii="Verdana" w:hAnsi="Verdana"/>
                <w:i/>
                <w:iCs/>
                <w:color w:val="000000"/>
                <w:sz w:val="18"/>
                <w:szCs w:val="18"/>
              </w:rPr>
              <w:t>European Technology Start up Facility 1998 (ETF)</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 xml:space="preserve"> 19</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(0)</w:t>
            </w:r>
          </w:p>
        </w:tc>
        <w:tc>
          <w:tcPr>
            <w:tcW w:w="1377" w:type="dxa"/>
            <w:tcBorders>
              <w:top w:val="nil"/>
              <w:left w:val="nil"/>
              <w:bottom w:val="nil"/>
              <w:right w:val="nil"/>
            </w:tcBorders>
            <w:shd w:val="clear" w:color="auto" w:fill="auto"/>
            <w:noWrap/>
            <w:vAlign w:val="bottom"/>
            <w:hideMark/>
          </w:tcPr>
          <w:p w:rsidR="00F50689" w:rsidRPr="00AF0804" w:rsidRDefault="00F50689" w:rsidP="00F50689">
            <w:pPr>
              <w:rPr>
                <w:rFonts w:ascii="Verdana" w:hAnsi="Verdana"/>
                <w:color w:val="000000"/>
                <w:sz w:val="18"/>
                <w:szCs w:val="18"/>
              </w:rPr>
            </w:pPr>
          </w:p>
        </w:tc>
      </w:tr>
      <w:tr w:rsidR="00E7728E" w:rsidTr="00F50689">
        <w:trPr>
          <w:trHeight w:val="300"/>
        </w:trPr>
        <w:tc>
          <w:tcPr>
            <w:tcW w:w="6240"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sidRPr="00AF0804">
              <w:rPr>
                <w:rFonts w:ascii="Verdana" w:hAnsi="Verdana"/>
                <w:i/>
                <w:iCs/>
                <w:color w:val="000000"/>
                <w:sz w:val="18"/>
                <w:szCs w:val="18"/>
              </w:rPr>
              <w:t>Global Energy Efficiency and Renewable Energy Fund (GEEREF)</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 xml:space="preserve"> 72</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w:t>
            </w:r>
          </w:p>
        </w:tc>
        <w:tc>
          <w:tcPr>
            <w:tcW w:w="1377" w:type="dxa"/>
            <w:tcBorders>
              <w:top w:val="nil"/>
              <w:left w:val="nil"/>
              <w:bottom w:val="nil"/>
              <w:right w:val="nil"/>
            </w:tcBorders>
            <w:shd w:val="clear" w:color="auto" w:fill="auto"/>
            <w:noWrap/>
            <w:vAlign w:val="bottom"/>
            <w:hideMark/>
          </w:tcPr>
          <w:p w:rsidR="00F50689" w:rsidRPr="00AF0804" w:rsidRDefault="00F50689" w:rsidP="00F50689">
            <w:pPr>
              <w:rPr>
                <w:rFonts w:ascii="Verdana" w:hAnsi="Verdana"/>
                <w:color w:val="000000"/>
                <w:sz w:val="18"/>
                <w:szCs w:val="18"/>
              </w:rPr>
            </w:pPr>
          </w:p>
        </w:tc>
      </w:tr>
      <w:tr w:rsidR="00E7728E" w:rsidTr="00F50689">
        <w:trPr>
          <w:trHeight w:val="300"/>
        </w:trPr>
        <w:tc>
          <w:tcPr>
            <w:tcW w:w="6240"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sidRPr="00AF0804">
              <w:rPr>
                <w:rFonts w:ascii="Verdana" w:hAnsi="Verdana"/>
                <w:i/>
                <w:iCs/>
                <w:color w:val="000000"/>
                <w:sz w:val="18"/>
                <w:szCs w:val="18"/>
              </w:rPr>
              <w:t>Multi Annual Framework Programme (MAP) Equity Facility</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 xml:space="preserve"> 183</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(0)</w:t>
            </w:r>
          </w:p>
        </w:tc>
        <w:tc>
          <w:tcPr>
            <w:tcW w:w="1377" w:type="dxa"/>
            <w:tcBorders>
              <w:top w:val="nil"/>
              <w:left w:val="nil"/>
              <w:bottom w:val="nil"/>
              <w:right w:val="nil"/>
            </w:tcBorders>
            <w:shd w:val="clear" w:color="auto" w:fill="auto"/>
            <w:noWrap/>
            <w:vAlign w:val="bottom"/>
            <w:hideMark/>
          </w:tcPr>
          <w:p w:rsidR="00F50689" w:rsidRPr="00AF0804" w:rsidRDefault="00F50689" w:rsidP="00F50689">
            <w:pPr>
              <w:rPr>
                <w:rFonts w:ascii="Verdana" w:hAnsi="Verdana"/>
                <w:color w:val="000000"/>
                <w:sz w:val="18"/>
                <w:szCs w:val="18"/>
              </w:rPr>
            </w:pPr>
          </w:p>
        </w:tc>
      </w:tr>
      <w:tr w:rsidR="00E7728E" w:rsidTr="00F50689">
        <w:trPr>
          <w:trHeight w:val="300"/>
        </w:trPr>
        <w:tc>
          <w:tcPr>
            <w:tcW w:w="6240"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sidRPr="00AF0804">
              <w:rPr>
                <w:rFonts w:ascii="Verdana" w:hAnsi="Verdana"/>
                <w:i/>
                <w:iCs/>
                <w:color w:val="000000"/>
                <w:sz w:val="18"/>
                <w:szCs w:val="18"/>
              </w:rPr>
              <w:t>M</w:t>
            </w:r>
            <w:r>
              <w:rPr>
                <w:rFonts w:ascii="Verdana" w:hAnsi="Verdana"/>
                <w:i/>
                <w:iCs/>
                <w:color w:val="000000"/>
                <w:sz w:val="18"/>
                <w:szCs w:val="18"/>
              </w:rPr>
              <w:t>arguerite Fund</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 xml:space="preserve"> 37</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w:t>
            </w:r>
          </w:p>
        </w:tc>
        <w:tc>
          <w:tcPr>
            <w:tcW w:w="1377" w:type="dxa"/>
            <w:tcBorders>
              <w:top w:val="nil"/>
              <w:left w:val="nil"/>
              <w:bottom w:val="nil"/>
              <w:right w:val="nil"/>
            </w:tcBorders>
            <w:shd w:val="clear" w:color="auto" w:fill="auto"/>
            <w:noWrap/>
            <w:vAlign w:val="bottom"/>
            <w:hideMark/>
          </w:tcPr>
          <w:p w:rsidR="00F50689" w:rsidRPr="00AF0804" w:rsidRDefault="00F50689" w:rsidP="00F50689">
            <w:pPr>
              <w:rPr>
                <w:rFonts w:ascii="Verdana" w:hAnsi="Verdana"/>
                <w:color w:val="000000"/>
                <w:sz w:val="18"/>
                <w:szCs w:val="18"/>
              </w:rPr>
            </w:pPr>
          </w:p>
        </w:tc>
      </w:tr>
      <w:tr w:rsidR="00E7728E" w:rsidTr="00F50689">
        <w:trPr>
          <w:trHeight w:val="450"/>
        </w:trPr>
        <w:tc>
          <w:tcPr>
            <w:tcW w:w="6240" w:type="dxa"/>
            <w:tcBorders>
              <w:top w:val="nil"/>
              <w:left w:val="nil"/>
              <w:bottom w:val="nil"/>
              <w:right w:val="nil"/>
            </w:tcBorders>
            <w:shd w:val="clear" w:color="auto" w:fill="auto"/>
            <w:vAlign w:val="center"/>
            <w:hideMark/>
          </w:tcPr>
          <w:p w:rsidR="00F50689" w:rsidRPr="00AF0804" w:rsidRDefault="005A36C4" w:rsidP="00F50689">
            <w:pPr>
              <w:rPr>
                <w:rFonts w:ascii="Verdana" w:hAnsi="Verdana"/>
                <w:i/>
                <w:iCs/>
                <w:color w:val="000000"/>
                <w:sz w:val="18"/>
                <w:szCs w:val="18"/>
              </w:rPr>
            </w:pPr>
            <w:r w:rsidRPr="00AF0804">
              <w:rPr>
                <w:rFonts w:ascii="Verdana" w:hAnsi="Verdana"/>
                <w:i/>
                <w:iCs/>
                <w:color w:val="000000"/>
                <w:sz w:val="18"/>
                <w:szCs w:val="18"/>
              </w:rPr>
              <w:t xml:space="preserve">European Progress Microfinance Facility (PMF) for employment and social inclusion </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 xml:space="preserve"> 60</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w:t>
            </w:r>
          </w:p>
        </w:tc>
        <w:tc>
          <w:tcPr>
            <w:tcW w:w="1377" w:type="dxa"/>
            <w:tcBorders>
              <w:top w:val="nil"/>
              <w:left w:val="nil"/>
              <w:bottom w:val="nil"/>
              <w:right w:val="nil"/>
            </w:tcBorders>
            <w:shd w:val="clear" w:color="auto" w:fill="auto"/>
            <w:noWrap/>
            <w:vAlign w:val="bottom"/>
            <w:hideMark/>
          </w:tcPr>
          <w:p w:rsidR="00F50689" w:rsidRPr="00AF0804" w:rsidRDefault="00F50689" w:rsidP="00F50689">
            <w:pPr>
              <w:rPr>
                <w:rFonts w:ascii="Verdana" w:hAnsi="Verdana"/>
                <w:color w:val="000000"/>
                <w:sz w:val="18"/>
                <w:szCs w:val="18"/>
              </w:rPr>
            </w:pPr>
          </w:p>
        </w:tc>
      </w:tr>
      <w:tr w:rsidR="00E7728E" w:rsidTr="00F50689">
        <w:trPr>
          <w:trHeight w:val="450"/>
        </w:trPr>
        <w:tc>
          <w:tcPr>
            <w:tcW w:w="6240" w:type="dxa"/>
            <w:tcBorders>
              <w:top w:val="nil"/>
              <w:left w:val="nil"/>
              <w:bottom w:val="nil"/>
              <w:right w:val="nil"/>
            </w:tcBorders>
            <w:shd w:val="clear" w:color="auto" w:fill="auto"/>
            <w:vAlign w:val="center"/>
            <w:hideMark/>
          </w:tcPr>
          <w:p w:rsidR="00F50689" w:rsidRPr="00AF0804" w:rsidRDefault="005A36C4" w:rsidP="00F50689">
            <w:pPr>
              <w:rPr>
                <w:rFonts w:ascii="Verdana" w:hAnsi="Verdana"/>
                <w:i/>
                <w:iCs/>
                <w:color w:val="000000"/>
                <w:sz w:val="18"/>
                <w:szCs w:val="18"/>
              </w:rPr>
            </w:pPr>
            <w:r w:rsidRPr="00AF0804">
              <w:rPr>
                <w:rFonts w:ascii="Verdana" w:hAnsi="Verdana"/>
                <w:i/>
                <w:iCs/>
                <w:color w:val="000000"/>
                <w:sz w:val="18"/>
                <w:szCs w:val="18"/>
              </w:rPr>
              <w:t>SE4F - Green for Growth Fund to the Eastern Neighbourhood Region</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 xml:space="preserve"> 52</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w:t>
            </w:r>
          </w:p>
        </w:tc>
        <w:tc>
          <w:tcPr>
            <w:tcW w:w="1377" w:type="dxa"/>
            <w:tcBorders>
              <w:top w:val="nil"/>
              <w:left w:val="nil"/>
              <w:bottom w:val="nil"/>
              <w:right w:val="nil"/>
            </w:tcBorders>
            <w:shd w:val="clear" w:color="auto" w:fill="auto"/>
            <w:noWrap/>
            <w:vAlign w:val="bottom"/>
            <w:hideMark/>
          </w:tcPr>
          <w:p w:rsidR="00F50689" w:rsidRPr="00AF0804" w:rsidRDefault="00F50689" w:rsidP="00F50689">
            <w:pPr>
              <w:rPr>
                <w:rFonts w:ascii="Verdana" w:hAnsi="Verdana"/>
                <w:color w:val="000000"/>
                <w:sz w:val="18"/>
                <w:szCs w:val="18"/>
              </w:rPr>
            </w:pPr>
          </w:p>
        </w:tc>
      </w:tr>
      <w:tr w:rsidR="00E7728E" w:rsidTr="00F50689">
        <w:trPr>
          <w:trHeight w:val="300"/>
        </w:trPr>
        <w:tc>
          <w:tcPr>
            <w:tcW w:w="6240"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sidRPr="00AF0804">
              <w:rPr>
                <w:rFonts w:ascii="Verdana" w:hAnsi="Verdana"/>
                <w:i/>
                <w:iCs/>
                <w:color w:val="000000"/>
                <w:sz w:val="18"/>
                <w:szCs w:val="18"/>
              </w:rPr>
              <w:t xml:space="preserve">European Energy Efficiency Fund </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 xml:space="preserve"> 89</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w:t>
            </w:r>
          </w:p>
        </w:tc>
        <w:tc>
          <w:tcPr>
            <w:tcW w:w="1377" w:type="dxa"/>
            <w:tcBorders>
              <w:top w:val="nil"/>
              <w:left w:val="nil"/>
              <w:bottom w:val="nil"/>
              <w:right w:val="nil"/>
            </w:tcBorders>
            <w:shd w:val="clear" w:color="auto" w:fill="auto"/>
            <w:noWrap/>
            <w:vAlign w:val="bottom"/>
            <w:hideMark/>
          </w:tcPr>
          <w:p w:rsidR="00F50689" w:rsidRPr="00AF0804" w:rsidRDefault="00F50689" w:rsidP="00F50689">
            <w:pPr>
              <w:rPr>
                <w:rFonts w:ascii="Verdana" w:hAnsi="Verdana"/>
                <w:color w:val="000000"/>
                <w:sz w:val="18"/>
                <w:szCs w:val="18"/>
              </w:rPr>
            </w:pPr>
          </w:p>
        </w:tc>
      </w:tr>
      <w:tr w:rsidR="00E7728E" w:rsidTr="00F50689">
        <w:trPr>
          <w:trHeight w:val="300"/>
        </w:trPr>
        <w:tc>
          <w:tcPr>
            <w:tcW w:w="6240"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sidRPr="00AF0804">
              <w:rPr>
                <w:rFonts w:ascii="Verdana" w:hAnsi="Verdana"/>
                <w:i/>
                <w:iCs/>
                <w:color w:val="000000"/>
                <w:sz w:val="18"/>
                <w:szCs w:val="18"/>
              </w:rPr>
              <w:t xml:space="preserve">Technology Transfer Pilot </w:t>
            </w:r>
            <w:r>
              <w:rPr>
                <w:rFonts w:ascii="Verdana" w:hAnsi="Verdana"/>
                <w:i/>
                <w:iCs/>
                <w:color w:val="000000"/>
                <w:sz w:val="18"/>
                <w:szCs w:val="18"/>
              </w:rPr>
              <w:t>P</w:t>
            </w:r>
            <w:r w:rsidRPr="00AF0804">
              <w:rPr>
                <w:rFonts w:ascii="Verdana" w:hAnsi="Verdana"/>
                <w:i/>
                <w:iCs/>
                <w:color w:val="000000"/>
                <w:sz w:val="18"/>
                <w:szCs w:val="18"/>
              </w:rPr>
              <w:t>rojects</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 xml:space="preserve"> 2</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iCs/>
                <w:color w:val="000000"/>
                <w:sz w:val="18"/>
                <w:szCs w:val="18"/>
              </w:rPr>
              <w:t>(</w:t>
            </w:r>
            <w:r w:rsidRPr="00AF0804">
              <w:rPr>
                <w:rFonts w:ascii="Verdana" w:hAnsi="Verdana"/>
                <w:i/>
                <w:iCs/>
                <w:color w:val="000000"/>
                <w:sz w:val="18"/>
                <w:szCs w:val="18"/>
              </w:rPr>
              <w:t>0)</w:t>
            </w:r>
          </w:p>
        </w:tc>
        <w:tc>
          <w:tcPr>
            <w:tcW w:w="1377" w:type="dxa"/>
            <w:tcBorders>
              <w:top w:val="nil"/>
              <w:left w:val="nil"/>
              <w:bottom w:val="nil"/>
              <w:right w:val="nil"/>
            </w:tcBorders>
            <w:shd w:val="clear" w:color="auto" w:fill="auto"/>
            <w:noWrap/>
            <w:vAlign w:val="center"/>
            <w:hideMark/>
          </w:tcPr>
          <w:p w:rsidR="00F50689" w:rsidRPr="00AF0804" w:rsidRDefault="00F50689" w:rsidP="00F50689">
            <w:pPr>
              <w:jc w:val="right"/>
              <w:rPr>
                <w:rFonts w:ascii="Verdana" w:hAnsi="Verdana"/>
                <w:color w:val="000000"/>
                <w:sz w:val="18"/>
                <w:szCs w:val="18"/>
              </w:rPr>
            </w:pPr>
          </w:p>
        </w:tc>
      </w:tr>
      <w:tr w:rsidR="00E7728E" w:rsidTr="00F50689">
        <w:trPr>
          <w:trHeight w:val="300"/>
        </w:trPr>
        <w:tc>
          <w:tcPr>
            <w:tcW w:w="6240"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sidRPr="00AF0804">
              <w:rPr>
                <w:rFonts w:ascii="Verdana" w:hAnsi="Verdana"/>
                <w:i/>
                <w:iCs/>
                <w:color w:val="000000"/>
                <w:sz w:val="18"/>
                <w:szCs w:val="18"/>
              </w:rPr>
              <w:t>Microfinance Initiative for Asia Debt Fund</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 xml:space="preserve"> 10</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w:t>
            </w:r>
          </w:p>
        </w:tc>
        <w:tc>
          <w:tcPr>
            <w:tcW w:w="1377" w:type="dxa"/>
            <w:tcBorders>
              <w:top w:val="nil"/>
              <w:left w:val="nil"/>
              <w:bottom w:val="nil"/>
              <w:right w:val="nil"/>
            </w:tcBorders>
            <w:shd w:val="clear" w:color="auto" w:fill="auto"/>
            <w:noWrap/>
            <w:vAlign w:val="bottom"/>
            <w:hideMark/>
          </w:tcPr>
          <w:p w:rsidR="00F50689" w:rsidRPr="00AF0804" w:rsidRDefault="00F50689" w:rsidP="00F50689">
            <w:pPr>
              <w:rPr>
                <w:rFonts w:ascii="Verdana" w:hAnsi="Verdana"/>
                <w:color w:val="000000"/>
                <w:sz w:val="18"/>
                <w:szCs w:val="18"/>
              </w:rPr>
            </w:pPr>
          </w:p>
        </w:tc>
      </w:tr>
      <w:tr w:rsidR="00E7728E" w:rsidTr="00F50689">
        <w:trPr>
          <w:trHeight w:val="300"/>
        </w:trPr>
        <w:tc>
          <w:tcPr>
            <w:tcW w:w="6240"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sidRPr="00AF0804">
              <w:rPr>
                <w:rFonts w:ascii="Verdana" w:hAnsi="Verdana"/>
                <w:i/>
                <w:iCs/>
                <w:color w:val="000000"/>
                <w:sz w:val="18"/>
                <w:szCs w:val="18"/>
              </w:rPr>
              <w:t>SANAD - MENA Fund for Micro-, Small and Medium Enterprises</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 xml:space="preserve"> 9</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w:t>
            </w:r>
          </w:p>
        </w:tc>
        <w:tc>
          <w:tcPr>
            <w:tcW w:w="1377" w:type="dxa"/>
            <w:tcBorders>
              <w:top w:val="nil"/>
              <w:left w:val="nil"/>
              <w:bottom w:val="nil"/>
              <w:right w:val="nil"/>
            </w:tcBorders>
            <w:shd w:val="clear" w:color="auto" w:fill="auto"/>
            <w:noWrap/>
            <w:vAlign w:val="bottom"/>
            <w:hideMark/>
          </w:tcPr>
          <w:p w:rsidR="00F50689" w:rsidRPr="00AF0804" w:rsidRDefault="00F50689" w:rsidP="00F50689">
            <w:pPr>
              <w:rPr>
                <w:rFonts w:ascii="Verdana" w:hAnsi="Verdana"/>
                <w:color w:val="000000"/>
                <w:sz w:val="18"/>
                <w:szCs w:val="18"/>
              </w:rPr>
            </w:pPr>
          </w:p>
        </w:tc>
      </w:tr>
      <w:tr w:rsidR="00E7728E" w:rsidTr="00F50689">
        <w:trPr>
          <w:trHeight w:val="300"/>
        </w:trPr>
        <w:tc>
          <w:tcPr>
            <w:tcW w:w="6240" w:type="dxa"/>
            <w:tcBorders>
              <w:top w:val="single" w:sz="4" w:space="0" w:color="auto"/>
              <w:left w:val="nil"/>
              <w:bottom w:val="single" w:sz="4" w:space="0" w:color="auto"/>
              <w:right w:val="nil"/>
            </w:tcBorders>
            <w:shd w:val="clear" w:color="auto" w:fill="auto"/>
            <w:noWrap/>
            <w:vAlign w:val="center"/>
            <w:hideMark/>
          </w:tcPr>
          <w:p w:rsidR="00F50689" w:rsidRPr="00AF0804" w:rsidRDefault="005A36C4" w:rsidP="00F50689">
            <w:pPr>
              <w:rPr>
                <w:rFonts w:ascii="Verdana" w:hAnsi="Verdana"/>
                <w:b/>
                <w:bCs/>
                <w:color w:val="000000"/>
                <w:sz w:val="18"/>
                <w:szCs w:val="18"/>
              </w:rPr>
            </w:pPr>
            <w:r w:rsidRPr="00AF0804">
              <w:rPr>
                <w:rFonts w:ascii="Verdana" w:hAnsi="Verdana"/>
                <w:b/>
                <w:bCs/>
                <w:color w:val="000000"/>
                <w:sz w:val="18"/>
                <w:szCs w:val="18"/>
              </w:rPr>
              <w:t> </w:t>
            </w:r>
          </w:p>
        </w:tc>
        <w:tc>
          <w:tcPr>
            <w:tcW w:w="863" w:type="dxa"/>
            <w:tcBorders>
              <w:top w:val="single" w:sz="4" w:space="0" w:color="auto"/>
              <w:left w:val="nil"/>
              <w:bottom w:val="single" w:sz="4" w:space="0" w:color="auto"/>
              <w:right w:val="nil"/>
            </w:tcBorders>
            <w:shd w:val="clear" w:color="auto" w:fill="auto"/>
            <w:noWrap/>
            <w:vAlign w:val="center"/>
            <w:hideMark/>
          </w:tcPr>
          <w:p w:rsidR="00F50689" w:rsidRPr="00AF0804" w:rsidRDefault="005A36C4" w:rsidP="00F50689">
            <w:pPr>
              <w:jc w:val="right"/>
              <w:rPr>
                <w:rFonts w:ascii="Verdana" w:hAnsi="Verdana"/>
                <w:b/>
                <w:bCs/>
                <w:color w:val="000000"/>
                <w:sz w:val="18"/>
                <w:szCs w:val="18"/>
              </w:rPr>
            </w:pPr>
            <w:r w:rsidRPr="00AF0804">
              <w:rPr>
                <w:rFonts w:ascii="Verdana" w:hAnsi="Verdana"/>
                <w:b/>
                <w:bCs/>
                <w:color w:val="000000"/>
                <w:sz w:val="18"/>
                <w:szCs w:val="18"/>
              </w:rPr>
              <w:t>1 035</w:t>
            </w:r>
          </w:p>
        </w:tc>
        <w:tc>
          <w:tcPr>
            <w:tcW w:w="1276" w:type="dxa"/>
            <w:tcBorders>
              <w:top w:val="single" w:sz="4" w:space="0" w:color="auto"/>
              <w:left w:val="nil"/>
              <w:bottom w:val="single" w:sz="4" w:space="0" w:color="auto"/>
              <w:right w:val="nil"/>
            </w:tcBorders>
            <w:shd w:val="clear" w:color="auto" w:fill="auto"/>
            <w:noWrap/>
            <w:vAlign w:val="center"/>
            <w:hideMark/>
          </w:tcPr>
          <w:p w:rsidR="00F50689" w:rsidRPr="00AF0804" w:rsidRDefault="005A36C4" w:rsidP="00F50689">
            <w:pPr>
              <w:jc w:val="right"/>
              <w:rPr>
                <w:rFonts w:ascii="Verdana" w:hAnsi="Verdana"/>
                <w:b/>
                <w:bCs/>
                <w:color w:val="000000"/>
                <w:sz w:val="18"/>
                <w:szCs w:val="18"/>
              </w:rPr>
            </w:pPr>
            <w:r w:rsidRPr="00AF0804">
              <w:rPr>
                <w:rFonts w:ascii="Verdana" w:hAnsi="Verdana"/>
                <w:b/>
                <w:bCs/>
                <w:color w:val="000000"/>
                <w:sz w:val="18"/>
                <w:szCs w:val="18"/>
              </w:rPr>
              <w:t>(1)</w:t>
            </w:r>
          </w:p>
        </w:tc>
        <w:tc>
          <w:tcPr>
            <w:tcW w:w="1377" w:type="dxa"/>
            <w:tcBorders>
              <w:top w:val="single" w:sz="4" w:space="0" w:color="auto"/>
              <w:left w:val="nil"/>
              <w:bottom w:val="single" w:sz="4" w:space="0" w:color="auto"/>
              <w:right w:val="nil"/>
            </w:tcBorders>
            <w:shd w:val="clear" w:color="auto" w:fill="auto"/>
            <w:noWrap/>
            <w:vAlign w:val="center"/>
            <w:hideMark/>
          </w:tcPr>
          <w:p w:rsidR="00F50689" w:rsidRPr="00AF0804" w:rsidRDefault="005A36C4" w:rsidP="00F50689">
            <w:pPr>
              <w:jc w:val="right"/>
              <w:rPr>
                <w:rFonts w:ascii="Verdana" w:hAnsi="Verdana"/>
                <w:b/>
                <w:bCs/>
                <w:color w:val="000000"/>
                <w:sz w:val="18"/>
                <w:szCs w:val="18"/>
              </w:rPr>
            </w:pPr>
            <w:r w:rsidRPr="00AF0804">
              <w:rPr>
                <w:rFonts w:ascii="Verdana" w:hAnsi="Verdana"/>
                <w:b/>
                <w:bCs/>
                <w:color w:val="000000"/>
                <w:sz w:val="18"/>
                <w:szCs w:val="18"/>
              </w:rPr>
              <w:t> </w:t>
            </w:r>
          </w:p>
        </w:tc>
      </w:tr>
      <w:tr w:rsidR="00E7728E" w:rsidTr="00F50689">
        <w:trPr>
          <w:trHeight w:val="300"/>
        </w:trPr>
        <w:tc>
          <w:tcPr>
            <w:tcW w:w="6240"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b/>
                <w:bCs/>
                <w:color w:val="000000"/>
                <w:sz w:val="18"/>
                <w:szCs w:val="18"/>
              </w:rPr>
            </w:pPr>
            <w:r w:rsidRPr="00AF0804">
              <w:rPr>
                <w:rFonts w:ascii="Verdana" w:hAnsi="Verdana"/>
                <w:b/>
                <w:bCs/>
                <w:color w:val="000000"/>
                <w:sz w:val="18"/>
                <w:szCs w:val="18"/>
              </w:rPr>
              <w:t>Guarantee instruments:</w:t>
            </w:r>
          </w:p>
        </w:tc>
        <w:tc>
          <w:tcPr>
            <w:tcW w:w="863" w:type="dxa"/>
            <w:tcBorders>
              <w:top w:val="nil"/>
              <w:left w:val="nil"/>
              <w:bottom w:val="nil"/>
              <w:right w:val="nil"/>
            </w:tcBorders>
            <w:shd w:val="clear" w:color="auto" w:fill="auto"/>
            <w:noWrap/>
            <w:vAlign w:val="center"/>
            <w:hideMark/>
          </w:tcPr>
          <w:p w:rsidR="00F50689" w:rsidRPr="00AF0804" w:rsidRDefault="00F50689" w:rsidP="00F50689">
            <w:pPr>
              <w:jc w:val="right"/>
              <w:rPr>
                <w:rFonts w:ascii="Verdana" w:hAnsi="Verdana"/>
                <w:color w:val="000000"/>
                <w:sz w:val="18"/>
                <w:szCs w:val="18"/>
              </w:rPr>
            </w:pPr>
          </w:p>
        </w:tc>
        <w:tc>
          <w:tcPr>
            <w:tcW w:w="1276" w:type="dxa"/>
            <w:tcBorders>
              <w:top w:val="nil"/>
              <w:left w:val="nil"/>
              <w:bottom w:val="nil"/>
              <w:right w:val="nil"/>
            </w:tcBorders>
            <w:shd w:val="clear" w:color="auto" w:fill="auto"/>
            <w:noWrap/>
            <w:vAlign w:val="center"/>
            <w:hideMark/>
          </w:tcPr>
          <w:p w:rsidR="00F50689" w:rsidRPr="00AF0804" w:rsidRDefault="00F50689" w:rsidP="00F50689">
            <w:pPr>
              <w:jc w:val="right"/>
              <w:rPr>
                <w:rFonts w:ascii="Verdana" w:hAnsi="Verdana"/>
                <w:color w:val="000000"/>
                <w:sz w:val="18"/>
                <w:szCs w:val="18"/>
              </w:rPr>
            </w:pPr>
          </w:p>
        </w:tc>
        <w:tc>
          <w:tcPr>
            <w:tcW w:w="1377" w:type="dxa"/>
            <w:tcBorders>
              <w:top w:val="nil"/>
              <w:left w:val="nil"/>
              <w:bottom w:val="nil"/>
              <w:right w:val="nil"/>
            </w:tcBorders>
            <w:shd w:val="clear" w:color="auto" w:fill="auto"/>
            <w:noWrap/>
            <w:vAlign w:val="bottom"/>
            <w:hideMark/>
          </w:tcPr>
          <w:p w:rsidR="00F50689" w:rsidRPr="00AF0804" w:rsidRDefault="00F50689" w:rsidP="00F50689">
            <w:pPr>
              <w:rPr>
                <w:rFonts w:ascii="Verdana" w:hAnsi="Verdana"/>
                <w:color w:val="000000"/>
                <w:sz w:val="18"/>
                <w:szCs w:val="18"/>
              </w:rPr>
            </w:pPr>
          </w:p>
        </w:tc>
      </w:tr>
      <w:tr w:rsidR="00E7728E" w:rsidTr="00F50689">
        <w:trPr>
          <w:trHeight w:val="450"/>
        </w:trPr>
        <w:tc>
          <w:tcPr>
            <w:tcW w:w="6240" w:type="dxa"/>
            <w:tcBorders>
              <w:top w:val="nil"/>
              <w:left w:val="nil"/>
              <w:bottom w:val="nil"/>
              <w:right w:val="nil"/>
            </w:tcBorders>
            <w:shd w:val="clear" w:color="auto" w:fill="auto"/>
            <w:vAlign w:val="center"/>
            <w:hideMark/>
          </w:tcPr>
          <w:p w:rsidR="00F50689" w:rsidRPr="00AF0804" w:rsidRDefault="005A36C4" w:rsidP="00F50689">
            <w:pPr>
              <w:rPr>
                <w:rFonts w:ascii="Verdana" w:hAnsi="Verdana"/>
                <w:i/>
                <w:iCs/>
                <w:color w:val="000000"/>
                <w:sz w:val="18"/>
                <w:szCs w:val="18"/>
              </w:rPr>
            </w:pPr>
            <w:r w:rsidRPr="00AF0804">
              <w:rPr>
                <w:rFonts w:ascii="Verdana" w:hAnsi="Verdana"/>
                <w:i/>
                <w:iCs/>
                <w:color w:val="000000"/>
                <w:sz w:val="18"/>
                <w:szCs w:val="18"/>
              </w:rPr>
              <w:t>SME Guarantee Facility under Competitiv</w:t>
            </w:r>
            <w:r>
              <w:rPr>
                <w:rFonts w:ascii="Verdana" w:hAnsi="Verdana"/>
                <w:i/>
                <w:iCs/>
                <w:color w:val="000000"/>
                <w:sz w:val="18"/>
                <w:szCs w:val="18"/>
              </w:rPr>
              <w:t>e</w:t>
            </w:r>
            <w:r w:rsidRPr="00AF0804">
              <w:rPr>
                <w:rFonts w:ascii="Verdana" w:hAnsi="Verdana"/>
                <w:i/>
                <w:iCs/>
                <w:color w:val="000000"/>
                <w:sz w:val="18"/>
                <w:szCs w:val="18"/>
              </w:rPr>
              <w:t>ness &amp; Innovation Framework Programme (CIP SMEG)</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 xml:space="preserve"> 151</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(259)</w:t>
            </w:r>
          </w:p>
        </w:tc>
        <w:tc>
          <w:tcPr>
            <w:tcW w:w="1377"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w:t>
            </w:r>
          </w:p>
        </w:tc>
      </w:tr>
      <w:tr w:rsidR="00E7728E" w:rsidTr="00F50689">
        <w:trPr>
          <w:trHeight w:val="300"/>
        </w:trPr>
        <w:tc>
          <w:tcPr>
            <w:tcW w:w="6240"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sidRPr="00AF0804">
              <w:rPr>
                <w:rFonts w:ascii="Verdana" w:hAnsi="Verdana"/>
                <w:i/>
                <w:iCs/>
                <w:color w:val="000000"/>
                <w:sz w:val="18"/>
                <w:szCs w:val="18"/>
              </w:rPr>
              <w:t>COSME LGF - Competitiveness of Enterprises and SME</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 xml:space="preserve"> 39</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(1)</w:t>
            </w:r>
          </w:p>
        </w:tc>
        <w:tc>
          <w:tcPr>
            <w:tcW w:w="1377"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(42)</w:t>
            </w:r>
          </w:p>
        </w:tc>
      </w:tr>
      <w:tr w:rsidR="00E7728E" w:rsidTr="00F50689">
        <w:trPr>
          <w:trHeight w:val="300"/>
        </w:trPr>
        <w:tc>
          <w:tcPr>
            <w:tcW w:w="6240"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sidRPr="00AF0804">
              <w:rPr>
                <w:rFonts w:ascii="Verdana" w:hAnsi="Verdana"/>
                <w:i/>
                <w:iCs/>
                <w:color w:val="000000"/>
                <w:sz w:val="18"/>
                <w:szCs w:val="18"/>
              </w:rPr>
              <w:t>Horizon 2020 - EU Finance for Innovators</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 xml:space="preserve"> 478</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(11)</w:t>
            </w:r>
          </w:p>
        </w:tc>
        <w:tc>
          <w:tcPr>
            <w:tcW w:w="1377"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(98)</w:t>
            </w:r>
          </w:p>
        </w:tc>
      </w:tr>
      <w:tr w:rsidR="00E7728E" w:rsidTr="00F50689">
        <w:trPr>
          <w:trHeight w:val="300"/>
        </w:trPr>
        <w:tc>
          <w:tcPr>
            <w:tcW w:w="6240"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sidRPr="00AF0804">
              <w:rPr>
                <w:rFonts w:ascii="Verdana" w:hAnsi="Verdana"/>
                <w:i/>
                <w:iCs/>
                <w:color w:val="000000"/>
                <w:sz w:val="18"/>
                <w:szCs w:val="18"/>
              </w:rPr>
              <w:t>Horizon 2020 - SME Guarantee</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 xml:space="preserve"> 165</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(1)</w:t>
            </w:r>
          </w:p>
        </w:tc>
        <w:tc>
          <w:tcPr>
            <w:tcW w:w="1377"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(267)</w:t>
            </w:r>
          </w:p>
        </w:tc>
      </w:tr>
      <w:tr w:rsidR="00E7728E" w:rsidTr="00F50689">
        <w:trPr>
          <w:trHeight w:val="300"/>
        </w:trPr>
        <w:tc>
          <w:tcPr>
            <w:tcW w:w="6240"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Pr>
                <w:rFonts w:ascii="Verdana" w:hAnsi="Verdana"/>
                <w:i/>
                <w:iCs/>
                <w:color w:val="000000"/>
                <w:sz w:val="18"/>
                <w:szCs w:val="18"/>
              </w:rPr>
              <w:t>Loan Guarantee I</w:t>
            </w:r>
            <w:r w:rsidRPr="00AF0804">
              <w:rPr>
                <w:rFonts w:ascii="Verdana" w:hAnsi="Verdana"/>
                <w:i/>
                <w:iCs/>
                <w:color w:val="000000"/>
                <w:sz w:val="18"/>
                <w:szCs w:val="18"/>
              </w:rPr>
              <w:t>nstrument for Ten-T Projects (LGTT)</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 xml:space="preserve"> 235</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(3)</w:t>
            </w:r>
          </w:p>
        </w:tc>
        <w:tc>
          <w:tcPr>
            <w:tcW w:w="1377"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(209)</w:t>
            </w:r>
          </w:p>
        </w:tc>
      </w:tr>
      <w:tr w:rsidR="00E7728E" w:rsidTr="00F50689">
        <w:trPr>
          <w:trHeight w:val="450"/>
        </w:trPr>
        <w:tc>
          <w:tcPr>
            <w:tcW w:w="6240" w:type="dxa"/>
            <w:tcBorders>
              <w:top w:val="nil"/>
              <w:left w:val="nil"/>
              <w:bottom w:val="nil"/>
              <w:right w:val="nil"/>
            </w:tcBorders>
            <w:shd w:val="clear" w:color="auto" w:fill="auto"/>
            <w:vAlign w:val="center"/>
            <w:hideMark/>
          </w:tcPr>
          <w:p w:rsidR="00F50689" w:rsidRPr="00AF0804" w:rsidRDefault="005A36C4" w:rsidP="00F50689">
            <w:pPr>
              <w:rPr>
                <w:rFonts w:ascii="Verdana" w:hAnsi="Verdana"/>
                <w:i/>
                <w:iCs/>
                <w:color w:val="000000"/>
                <w:sz w:val="18"/>
                <w:szCs w:val="18"/>
              </w:rPr>
            </w:pPr>
            <w:r w:rsidRPr="00AF0804">
              <w:rPr>
                <w:rFonts w:ascii="Verdana" w:hAnsi="Verdana"/>
                <w:i/>
                <w:iCs/>
                <w:color w:val="000000"/>
                <w:sz w:val="18"/>
                <w:szCs w:val="18"/>
              </w:rPr>
              <w:t>Guarantee Facility under the Western Balkan Enterprise Development and Innovation Facility</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 xml:space="preserve"> 21</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(2)</w:t>
            </w:r>
          </w:p>
        </w:tc>
        <w:tc>
          <w:tcPr>
            <w:tcW w:w="1377"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(10)</w:t>
            </w:r>
          </w:p>
        </w:tc>
      </w:tr>
      <w:tr w:rsidR="00E7728E" w:rsidTr="00F50689">
        <w:trPr>
          <w:trHeight w:val="300"/>
        </w:trPr>
        <w:tc>
          <w:tcPr>
            <w:tcW w:w="6240"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sidRPr="00AF0804">
              <w:rPr>
                <w:rFonts w:ascii="Verdana" w:hAnsi="Verdana"/>
                <w:i/>
                <w:iCs/>
                <w:color w:val="000000"/>
                <w:sz w:val="18"/>
                <w:szCs w:val="18"/>
              </w:rPr>
              <w:t xml:space="preserve">Multi Annual Program (MAP) for </w:t>
            </w:r>
            <w:r>
              <w:rPr>
                <w:rFonts w:ascii="Verdana" w:hAnsi="Verdana"/>
                <w:i/>
                <w:iCs/>
                <w:color w:val="000000"/>
                <w:sz w:val="18"/>
                <w:szCs w:val="18"/>
              </w:rPr>
              <w:t>E</w:t>
            </w:r>
            <w:r w:rsidRPr="00AF0804">
              <w:rPr>
                <w:rFonts w:ascii="Verdana" w:hAnsi="Verdana"/>
                <w:i/>
                <w:iCs/>
                <w:color w:val="000000"/>
                <w:sz w:val="18"/>
                <w:szCs w:val="18"/>
              </w:rPr>
              <w:t>nt</w:t>
            </w:r>
            <w:r>
              <w:rPr>
                <w:rFonts w:ascii="Verdana" w:hAnsi="Verdana"/>
                <w:i/>
                <w:iCs/>
                <w:color w:val="000000"/>
                <w:sz w:val="18"/>
                <w:szCs w:val="18"/>
              </w:rPr>
              <w:t>e</w:t>
            </w:r>
            <w:r w:rsidRPr="00AF0804">
              <w:rPr>
                <w:rFonts w:ascii="Verdana" w:hAnsi="Verdana"/>
                <w:i/>
                <w:iCs/>
                <w:color w:val="000000"/>
                <w:sz w:val="18"/>
                <w:szCs w:val="18"/>
              </w:rPr>
              <w:t>rprises</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 xml:space="preserve"> 26</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(41)</w:t>
            </w:r>
          </w:p>
        </w:tc>
        <w:tc>
          <w:tcPr>
            <w:tcW w:w="1377"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w:t>
            </w:r>
          </w:p>
        </w:tc>
      </w:tr>
      <w:tr w:rsidR="00E7728E" w:rsidTr="00F50689">
        <w:trPr>
          <w:trHeight w:val="300"/>
        </w:trPr>
        <w:tc>
          <w:tcPr>
            <w:tcW w:w="6240"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sidRPr="00AF0804">
              <w:rPr>
                <w:rFonts w:ascii="Verdana" w:hAnsi="Verdana"/>
                <w:i/>
                <w:iCs/>
                <w:color w:val="000000"/>
                <w:sz w:val="18"/>
                <w:szCs w:val="18"/>
              </w:rPr>
              <w:t xml:space="preserve">Natural Capital Financing Facility </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 xml:space="preserve"> 3</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w:t>
            </w:r>
          </w:p>
        </w:tc>
        <w:tc>
          <w:tcPr>
            <w:tcW w:w="1377"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w:t>
            </w:r>
          </w:p>
        </w:tc>
      </w:tr>
      <w:tr w:rsidR="00E7728E" w:rsidTr="00F50689">
        <w:trPr>
          <w:trHeight w:val="300"/>
        </w:trPr>
        <w:tc>
          <w:tcPr>
            <w:tcW w:w="6240"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sidRPr="00AF0804">
              <w:rPr>
                <w:rFonts w:ascii="Verdana" w:hAnsi="Verdana"/>
                <w:i/>
                <w:iCs/>
                <w:color w:val="000000"/>
                <w:sz w:val="18"/>
                <w:szCs w:val="18"/>
              </w:rPr>
              <w:t>Project Bond Instrument (PBI)</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 xml:space="preserve"> 149</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(2)</w:t>
            </w:r>
          </w:p>
        </w:tc>
        <w:tc>
          <w:tcPr>
            <w:tcW w:w="1377"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(138)</w:t>
            </w:r>
          </w:p>
        </w:tc>
      </w:tr>
      <w:tr w:rsidR="00E7728E" w:rsidTr="00F50689">
        <w:trPr>
          <w:trHeight w:val="300"/>
        </w:trPr>
        <w:tc>
          <w:tcPr>
            <w:tcW w:w="6240"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sidRPr="00AF0804">
              <w:rPr>
                <w:rFonts w:ascii="Verdana" w:hAnsi="Verdana"/>
                <w:i/>
                <w:iCs/>
                <w:color w:val="000000"/>
                <w:sz w:val="18"/>
                <w:szCs w:val="18"/>
              </w:rPr>
              <w:t>Private Finance for Energy Efficiency Instrument (PF4EE)</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 xml:space="preserve"> 6</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(0)</w:t>
            </w:r>
          </w:p>
        </w:tc>
        <w:tc>
          <w:tcPr>
            <w:tcW w:w="1377"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w:t>
            </w:r>
          </w:p>
        </w:tc>
      </w:tr>
      <w:tr w:rsidR="00E7728E" w:rsidTr="00F50689">
        <w:trPr>
          <w:trHeight w:val="300"/>
        </w:trPr>
        <w:tc>
          <w:tcPr>
            <w:tcW w:w="6240"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sidRPr="00AF0804">
              <w:rPr>
                <w:rFonts w:ascii="Verdana" w:hAnsi="Verdana"/>
                <w:i/>
                <w:iCs/>
                <w:color w:val="000000"/>
                <w:sz w:val="18"/>
                <w:szCs w:val="18"/>
              </w:rPr>
              <w:t>European Progress Microfinance Mandate (PMF TA)</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 xml:space="preserve"> 13</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(9)</w:t>
            </w:r>
          </w:p>
        </w:tc>
        <w:tc>
          <w:tcPr>
            <w:tcW w:w="1377"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w:t>
            </w:r>
          </w:p>
        </w:tc>
      </w:tr>
      <w:tr w:rsidR="00E7728E" w:rsidTr="00F50689">
        <w:trPr>
          <w:trHeight w:val="300"/>
        </w:trPr>
        <w:tc>
          <w:tcPr>
            <w:tcW w:w="6240"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sidRPr="00AF0804">
              <w:rPr>
                <w:rFonts w:ascii="Verdana" w:hAnsi="Verdana"/>
                <w:i/>
                <w:iCs/>
                <w:color w:val="000000"/>
                <w:sz w:val="18"/>
                <w:szCs w:val="18"/>
              </w:rPr>
              <w:t>Risk Sharing Finance Facility (RSFF)</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 xml:space="preserve"> 961</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(32)</w:t>
            </w:r>
          </w:p>
        </w:tc>
        <w:tc>
          <w:tcPr>
            <w:tcW w:w="1377"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(883)</w:t>
            </w:r>
          </w:p>
        </w:tc>
      </w:tr>
      <w:tr w:rsidR="00E7728E" w:rsidTr="00F50689">
        <w:trPr>
          <w:trHeight w:val="300"/>
        </w:trPr>
        <w:tc>
          <w:tcPr>
            <w:tcW w:w="6240"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sidRPr="00AF0804">
              <w:rPr>
                <w:rFonts w:ascii="Verdana" w:hAnsi="Verdana"/>
                <w:i/>
                <w:iCs/>
                <w:color w:val="000000"/>
                <w:sz w:val="18"/>
                <w:szCs w:val="18"/>
              </w:rPr>
              <w:t>SME Guarantee Facility</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 xml:space="preserve"> 60</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(15)</w:t>
            </w:r>
          </w:p>
        </w:tc>
        <w:tc>
          <w:tcPr>
            <w:tcW w:w="1377"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sidRPr="00AF0804">
              <w:rPr>
                <w:rFonts w:ascii="Verdana" w:hAnsi="Verdana"/>
                <w:i/>
                <w:iCs/>
                <w:color w:val="000000"/>
                <w:sz w:val="18"/>
                <w:szCs w:val="18"/>
              </w:rPr>
              <w:t>-</w:t>
            </w:r>
          </w:p>
        </w:tc>
      </w:tr>
      <w:tr w:rsidR="00E7728E" w:rsidTr="00F50689">
        <w:trPr>
          <w:trHeight w:val="360"/>
        </w:trPr>
        <w:tc>
          <w:tcPr>
            <w:tcW w:w="6240" w:type="dxa"/>
            <w:tcBorders>
              <w:top w:val="single" w:sz="4" w:space="0" w:color="auto"/>
              <w:left w:val="nil"/>
              <w:bottom w:val="nil"/>
              <w:right w:val="nil"/>
            </w:tcBorders>
            <w:shd w:val="clear" w:color="auto" w:fill="auto"/>
            <w:noWrap/>
            <w:vAlign w:val="center"/>
            <w:hideMark/>
          </w:tcPr>
          <w:p w:rsidR="00F50689" w:rsidRPr="00AF0804" w:rsidRDefault="005A36C4" w:rsidP="00F50689">
            <w:pPr>
              <w:rPr>
                <w:rFonts w:ascii="Verdana" w:hAnsi="Verdana"/>
                <w:b/>
                <w:bCs/>
                <w:color w:val="000000"/>
                <w:sz w:val="18"/>
                <w:szCs w:val="18"/>
              </w:rPr>
            </w:pPr>
            <w:r w:rsidRPr="00AF0804">
              <w:rPr>
                <w:rFonts w:ascii="Verdana" w:hAnsi="Verdana"/>
                <w:b/>
                <w:bCs/>
                <w:color w:val="000000"/>
                <w:sz w:val="18"/>
                <w:szCs w:val="18"/>
              </w:rPr>
              <w:t> </w:t>
            </w:r>
          </w:p>
        </w:tc>
        <w:tc>
          <w:tcPr>
            <w:tcW w:w="863" w:type="dxa"/>
            <w:tcBorders>
              <w:top w:val="single" w:sz="4" w:space="0" w:color="auto"/>
              <w:left w:val="nil"/>
              <w:bottom w:val="nil"/>
              <w:right w:val="nil"/>
            </w:tcBorders>
            <w:shd w:val="clear" w:color="auto" w:fill="auto"/>
            <w:noWrap/>
            <w:vAlign w:val="center"/>
            <w:hideMark/>
          </w:tcPr>
          <w:p w:rsidR="00F50689" w:rsidRPr="00AF0804" w:rsidRDefault="005A36C4" w:rsidP="00F50689">
            <w:pPr>
              <w:jc w:val="right"/>
              <w:rPr>
                <w:rFonts w:ascii="Verdana" w:hAnsi="Verdana"/>
                <w:b/>
                <w:bCs/>
                <w:color w:val="000000"/>
                <w:sz w:val="18"/>
                <w:szCs w:val="18"/>
              </w:rPr>
            </w:pPr>
            <w:r w:rsidRPr="00AF0804">
              <w:rPr>
                <w:rFonts w:ascii="Verdana" w:hAnsi="Verdana"/>
                <w:b/>
                <w:bCs/>
                <w:color w:val="000000"/>
                <w:sz w:val="18"/>
                <w:szCs w:val="18"/>
              </w:rPr>
              <w:t>2 309</w:t>
            </w:r>
          </w:p>
        </w:tc>
        <w:tc>
          <w:tcPr>
            <w:tcW w:w="1276" w:type="dxa"/>
            <w:tcBorders>
              <w:top w:val="single" w:sz="4" w:space="0" w:color="auto"/>
              <w:left w:val="nil"/>
              <w:bottom w:val="nil"/>
              <w:right w:val="nil"/>
            </w:tcBorders>
            <w:shd w:val="clear" w:color="auto" w:fill="auto"/>
            <w:noWrap/>
            <w:vAlign w:val="center"/>
            <w:hideMark/>
          </w:tcPr>
          <w:p w:rsidR="00F50689" w:rsidRPr="00AF0804" w:rsidRDefault="005A36C4" w:rsidP="00F50689">
            <w:pPr>
              <w:jc w:val="right"/>
              <w:rPr>
                <w:rFonts w:ascii="Verdana" w:hAnsi="Verdana"/>
                <w:b/>
                <w:bCs/>
                <w:color w:val="000000"/>
                <w:sz w:val="18"/>
                <w:szCs w:val="18"/>
              </w:rPr>
            </w:pPr>
            <w:r w:rsidRPr="00AF0804">
              <w:rPr>
                <w:rFonts w:ascii="Verdana" w:hAnsi="Verdana"/>
                <w:b/>
                <w:bCs/>
                <w:color w:val="000000"/>
                <w:sz w:val="18"/>
                <w:szCs w:val="18"/>
              </w:rPr>
              <w:t>(376)</w:t>
            </w:r>
          </w:p>
        </w:tc>
        <w:tc>
          <w:tcPr>
            <w:tcW w:w="1377" w:type="dxa"/>
            <w:tcBorders>
              <w:top w:val="single" w:sz="4" w:space="0" w:color="auto"/>
              <w:left w:val="nil"/>
              <w:bottom w:val="nil"/>
              <w:right w:val="nil"/>
            </w:tcBorders>
            <w:shd w:val="clear" w:color="auto" w:fill="auto"/>
            <w:noWrap/>
            <w:vAlign w:val="center"/>
            <w:hideMark/>
          </w:tcPr>
          <w:p w:rsidR="00F50689" w:rsidRPr="00AF0804" w:rsidRDefault="005A36C4" w:rsidP="00F50689">
            <w:pPr>
              <w:jc w:val="right"/>
              <w:rPr>
                <w:rFonts w:ascii="Verdana" w:hAnsi="Verdana"/>
                <w:b/>
                <w:bCs/>
                <w:color w:val="000000"/>
                <w:sz w:val="18"/>
                <w:szCs w:val="18"/>
              </w:rPr>
            </w:pPr>
            <w:r w:rsidRPr="00AF0804">
              <w:rPr>
                <w:rFonts w:ascii="Verdana" w:hAnsi="Verdana"/>
                <w:b/>
                <w:bCs/>
                <w:color w:val="000000"/>
                <w:sz w:val="18"/>
                <w:szCs w:val="18"/>
              </w:rPr>
              <w:t>(1 647)</w:t>
            </w:r>
          </w:p>
        </w:tc>
      </w:tr>
      <w:tr w:rsidR="00E7728E" w:rsidTr="00F50689">
        <w:trPr>
          <w:trHeight w:val="300"/>
        </w:trPr>
        <w:tc>
          <w:tcPr>
            <w:tcW w:w="6240" w:type="dxa"/>
            <w:tcBorders>
              <w:top w:val="nil"/>
              <w:left w:val="nil"/>
              <w:bottom w:val="nil"/>
              <w:right w:val="nil"/>
            </w:tcBorders>
            <w:shd w:val="clear" w:color="000000" w:fill="B8CCE4"/>
            <w:noWrap/>
            <w:vAlign w:val="center"/>
            <w:hideMark/>
          </w:tcPr>
          <w:p w:rsidR="00F50689" w:rsidRPr="00AF0804" w:rsidRDefault="005A36C4" w:rsidP="00F50689">
            <w:pPr>
              <w:rPr>
                <w:rFonts w:ascii="Verdana" w:hAnsi="Verdana"/>
                <w:b/>
                <w:bCs/>
                <w:color w:val="000000"/>
                <w:sz w:val="18"/>
                <w:szCs w:val="18"/>
              </w:rPr>
            </w:pPr>
            <w:r w:rsidRPr="00AF0804">
              <w:rPr>
                <w:rFonts w:ascii="Verdana" w:hAnsi="Verdana"/>
                <w:b/>
                <w:bCs/>
                <w:color w:val="000000"/>
                <w:sz w:val="18"/>
                <w:szCs w:val="18"/>
              </w:rPr>
              <w:t>Total</w:t>
            </w:r>
          </w:p>
        </w:tc>
        <w:tc>
          <w:tcPr>
            <w:tcW w:w="863" w:type="dxa"/>
            <w:tcBorders>
              <w:top w:val="nil"/>
              <w:left w:val="nil"/>
              <w:bottom w:val="nil"/>
              <w:right w:val="nil"/>
            </w:tcBorders>
            <w:shd w:val="clear" w:color="000000" w:fill="B8CCE4"/>
            <w:noWrap/>
            <w:vAlign w:val="center"/>
            <w:hideMark/>
          </w:tcPr>
          <w:p w:rsidR="00F50689" w:rsidRPr="00AF0804" w:rsidRDefault="005A36C4" w:rsidP="00F50689">
            <w:pPr>
              <w:jc w:val="right"/>
              <w:rPr>
                <w:rFonts w:ascii="Verdana" w:hAnsi="Verdana"/>
                <w:b/>
                <w:bCs/>
                <w:color w:val="000000"/>
                <w:sz w:val="18"/>
                <w:szCs w:val="18"/>
              </w:rPr>
            </w:pPr>
            <w:r w:rsidRPr="00AF0804">
              <w:rPr>
                <w:rFonts w:ascii="Verdana" w:hAnsi="Verdana"/>
                <w:b/>
                <w:bCs/>
                <w:color w:val="000000"/>
                <w:sz w:val="18"/>
                <w:szCs w:val="18"/>
              </w:rPr>
              <w:t>3 820</w:t>
            </w:r>
          </w:p>
        </w:tc>
        <w:tc>
          <w:tcPr>
            <w:tcW w:w="1276" w:type="dxa"/>
            <w:tcBorders>
              <w:top w:val="nil"/>
              <w:left w:val="nil"/>
              <w:bottom w:val="nil"/>
              <w:right w:val="nil"/>
            </w:tcBorders>
            <w:shd w:val="clear" w:color="000000" w:fill="B8CCE4"/>
            <w:noWrap/>
            <w:vAlign w:val="center"/>
            <w:hideMark/>
          </w:tcPr>
          <w:p w:rsidR="00F50689" w:rsidRPr="00AF0804" w:rsidRDefault="005A36C4" w:rsidP="00F50689">
            <w:pPr>
              <w:jc w:val="right"/>
              <w:rPr>
                <w:rFonts w:ascii="Verdana" w:hAnsi="Verdana"/>
                <w:b/>
                <w:bCs/>
                <w:color w:val="000000"/>
                <w:sz w:val="18"/>
                <w:szCs w:val="18"/>
              </w:rPr>
            </w:pPr>
            <w:r w:rsidRPr="00AF0804">
              <w:rPr>
                <w:rFonts w:ascii="Verdana" w:hAnsi="Verdana"/>
                <w:b/>
                <w:bCs/>
                <w:color w:val="000000"/>
                <w:sz w:val="18"/>
                <w:szCs w:val="18"/>
              </w:rPr>
              <w:t>(386)</w:t>
            </w:r>
          </w:p>
        </w:tc>
        <w:tc>
          <w:tcPr>
            <w:tcW w:w="1377" w:type="dxa"/>
            <w:tcBorders>
              <w:top w:val="nil"/>
              <w:left w:val="nil"/>
              <w:bottom w:val="nil"/>
              <w:right w:val="nil"/>
            </w:tcBorders>
            <w:shd w:val="clear" w:color="000000" w:fill="B8CCE4"/>
            <w:noWrap/>
            <w:vAlign w:val="center"/>
            <w:hideMark/>
          </w:tcPr>
          <w:p w:rsidR="00F50689" w:rsidRPr="00AF0804" w:rsidRDefault="005A36C4" w:rsidP="00F50689">
            <w:pPr>
              <w:jc w:val="right"/>
              <w:rPr>
                <w:rFonts w:ascii="Verdana" w:hAnsi="Verdana"/>
                <w:b/>
                <w:bCs/>
                <w:color w:val="000000"/>
                <w:sz w:val="18"/>
                <w:szCs w:val="18"/>
              </w:rPr>
            </w:pPr>
            <w:r w:rsidRPr="00AF0804">
              <w:rPr>
                <w:rFonts w:ascii="Verdana" w:hAnsi="Verdana"/>
                <w:b/>
                <w:bCs/>
                <w:color w:val="000000"/>
                <w:sz w:val="18"/>
                <w:szCs w:val="18"/>
              </w:rPr>
              <w:t>(1 647)</w:t>
            </w:r>
          </w:p>
        </w:tc>
      </w:tr>
      <w:tr w:rsidR="00E7728E" w:rsidTr="00F50689">
        <w:trPr>
          <w:trHeight w:val="135"/>
        </w:trPr>
        <w:tc>
          <w:tcPr>
            <w:tcW w:w="6240" w:type="dxa"/>
            <w:tcBorders>
              <w:top w:val="nil"/>
              <w:left w:val="nil"/>
              <w:bottom w:val="nil"/>
              <w:right w:val="nil"/>
            </w:tcBorders>
            <w:shd w:val="clear" w:color="auto" w:fill="auto"/>
            <w:noWrap/>
            <w:vAlign w:val="bottom"/>
            <w:hideMark/>
          </w:tcPr>
          <w:p w:rsidR="00F50689" w:rsidRPr="00AF0804" w:rsidRDefault="00F50689" w:rsidP="00F50689">
            <w:pPr>
              <w:rPr>
                <w:rFonts w:ascii="Verdana" w:hAnsi="Verdana"/>
                <w:color w:val="000000"/>
                <w:sz w:val="18"/>
                <w:szCs w:val="18"/>
              </w:rPr>
            </w:pPr>
          </w:p>
        </w:tc>
        <w:tc>
          <w:tcPr>
            <w:tcW w:w="863" w:type="dxa"/>
            <w:tcBorders>
              <w:top w:val="nil"/>
              <w:left w:val="nil"/>
              <w:bottom w:val="nil"/>
              <w:right w:val="nil"/>
            </w:tcBorders>
            <w:shd w:val="clear" w:color="auto" w:fill="auto"/>
            <w:noWrap/>
            <w:vAlign w:val="center"/>
            <w:hideMark/>
          </w:tcPr>
          <w:p w:rsidR="00F50689" w:rsidRPr="00AF0804" w:rsidRDefault="00F50689" w:rsidP="00F50689">
            <w:pPr>
              <w:jc w:val="right"/>
              <w:rPr>
                <w:rFonts w:ascii="Verdana" w:hAnsi="Verdana"/>
                <w:color w:val="000000"/>
                <w:sz w:val="18"/>
                <w:szCs w:val="18"/>
              </w:rPr>
            </w:pPr>
          </w:p>
        </w:tc>
        <w:tc>
          <w:tcPr>
            <w:tcW w:w="1276" w:type="dxa"/>
            <w:tcBorders>
              <w:top w:val="nil"/>
              <w:left w:val="nil"/>
              <w:bottom w:val="nil"/>
              <w:right w:val="nil"/>
            </w:tcBorders>
            <w:shd w:val="clear" w:color="auto" w:fill="auto"/>
            <w:noWrap/>
            <w:vAlign w:val="center"/>
            <w:hideMark/>
          </w:tcPr>
          <w:p w:rsidR="00F50689" w:rsidRPr="00AF0804" w:rsidRDefault="00F50689" w:rsidP="00F50689">
            <w:pPr>
              <w:jc w:val="right"/>
              <w:rPr>
                <w:rFonts w:ascii="Verdana" w:hAnsi="Verdana"/>
                <w:color w:val="000000"/>
                <w:sz w:val="18"/>
                <w:szCs w:val="18"/>
              </w:rPr>
            </w:pPr>
          </w:p>
        </w:tc>
        <w:tc>
          <w:tcPr>
            <w:tcW w:w="1377" w:type="dxa"/>
            <w:tcBorders>
              <w:top w:val="nil"/>
              <w:left w:val="nil"/>
              <w:bottom w:val="nil"/>
              <w:right w:val="nil"/>
            </w:tcBorders>
            <w:shd w:val="clear" w:color="auto" w:fill="auto"/>
            <w:noWrap/>
            <w:vAlign w:val="center"/>
            <w:hideMark/>
          </w:tcPr>
          <w:p w:rsidR="00F50689" w:rsidRPr="00AF0804" w:rsidRDefault="00F50689" w:rsidP="00F50689">
            <w:pPr>
              <w:jc w:val="right"/>
              <w:rPr>
                <w:rFonts w:ascii="Verdana" w:hAnsi="Verdana"/>
                <w:color w:val="000000"/>
                <w:sz w:val="18"/>
                <w:szCs w:val="18"/>
              </w:rPr>
            </w:pPr>
          </w:p>
        </w:tc>
      </w:tr>
      <w:tr w:rsidR="00E7728E" w:rsidTr="00F50689">
        <w:trPr>
          <w:trHeight w:val="300"/>
        </w:trPr>
        <w:tc>
          <w:tcPr>
            <w:tcW w:w="6240" w:type="dxa"/>
            <w:tcBorders>
              <w:top w:val="nil"/>
              <w:left w:val="nil"/>
              <w:bottom w:val="nil"/>
              <w:right w:val="nil"/>
            </w:tcBorders>
            <w:shd w:val="clear" w:color="000000" w:fill="B8CCE4"/>
            <w:noWrap/>
            <w:vAlign w:val="center"/>
            <w:hideMark/>
          </w:tcPr>
          <w:p w:rsidR="00F50689" w:rsidRPr="00AF0804" w:rsidRDefault="005A36C4" w:rsidP="00F50689">
            <w:pPr>
              <w:rPr>
                <w:rFonts w:ascii="Verdana" w:hAnsi="Verdana"/>
                <w:b/>
                <w:bCs/>
                <w:color w:val="000000"/>
                <w:sz w:val="18"/>
                <w:szCs w:val="18"/>
              </w:rPr>
            </w:pPr>
            <w:r>
              <w:rPr>
                <w:rFonts w:ascii="Verdana" w:hAnsi="Verdana"/>
                <w:b/>
                <w:bCs/>
                <w:color w:val="000000"/>
                <w:sz w:val="18"/>
                <w:szCs w:val="18"/>
              </w:rPr>
              <w:t>Guarantee F</w:t>
            </w:r>
            <w:r w:rsidRPr="00AF0804">
              <w:rPr>
                <w:rFonts w:ascii="Verdana" w:hAnsi="Verdana"/>
                <w:b/>
                <w:bCs/>
                <w:color w:val="000000"/>
                <w:sz w:val="18"/>
                <w:szCs w:val="18"/>
              </w:rPr>
              <w:t>und for external actions</w:t>
            </w:r>
          </w:p>
        </w:tc>
        <w:tc>
          <w:tcPr>
            <w:tcW w:w="863" w:type="dxa"/>
            <w:tcBorders>
              <w:top w:val="nil"/>
              <w:left w:val="nil"/>
              <w:bottom w:val="nil"/>
              <w:right w:val="nil"/>
            </w:tcBorders>
            <w:shd w:val="clear" w:color="000000" w:fill="B8CCE4"/>
            <w:noWrap/>
            <w:vAlign w:val="center"/>
            <w:hideMark/>
          </w:tcPr>
          <w:p w:rsidR="00F50689" w:rsidRPr="00AF0804" w:rsidRDefault="005A36C4" w:rsidP="00F50689">
            <w:pPr>
              <w:jc w:val="right"/>
              <w:rPr>
                <w:rFonts w:ascii="Verdana" w:hAnsi="Verdana"/>
                <w:b/>
                <w:bCs/>
                <w:color w:val="000000"/>
                <w:sz w:val="18"/>
                <w:szCs w:val="18"/>
              </w:rPr>
            </w:pPr>
            <w:r w:rsidRPr="00AF0804">
              <w:rPr>
                <w:rFonts w:ascii="Verdana" w:hAnsi="Verdana"/>
                <w:b/>
                <w:bCs/>
                <w:color w:val="000000"/>
                <w:sz w:val="18"/>
                <w:szCs w:val="18"/>
              </w:rPr>
              <w:t>1 996</w:t>
            </w:r>
          </w:p>
        </w:tc>
        <w:tc>
          <w:tcPr>
            <w:tcW w:w="1276" w:type="dxa"/>
            <w:tcBorders>
              <w:top w:val="nil"/>
              <w:left w:val="nil"/>
              <w:bottom w:val="nil"/>
              <w:right w:val="nil"/>
            </w:tcBorders>
            <w:shd w:val="clear" w:color="000000" w:fill="B8CCE4"/>
            <w:noWrap/>
            <w:vAlign w:val="center"/>
            <w:hideMark/>
          </w:tcPr>
          <w:p w:rsidR="00F50689" w:rsidRPr="00AF0804" w:rsidRDefault="005A36C4" w:rsidP="00F50689">
            <w:pPr>
              <w:jc w:val="right"/>
              <w:rPr>
                <w:rFonts w:ascii="Verdana" w:hAnsi="Verdana"/>
                <w:b/>
                <w:bCs/>
                <w:color w:val="000000"/>
                <w:sz w:val="18"/>
                <w:szCs w:val="18"/>
              </w:rPr>
            </w:pPr>
            <w:r w:rsidRPr="00AF0804">
              <w:rPr>
                <w:rFonts w:ascii="Verdana" w:hAnsi="Verdana"/>
                <w:b/>
                <w:bCs/>
                <w:color w:val="000000"/>
                <w:sz w:val="18"/>
                <w:szCs w:val="18"/>
              </w:rPr>
              <w:t>(25)</w:t>
            </w:r>
          </w:p>
        </w:tc>
        <w:tc>
          <w:tcPr>
            <w:tcW w:w="1377" w:type="dxa"/>
            <w:tcBorders>
              <w:top w:val="nil"/>
              <w:left w:val="nil"/>
              <w:bottom w:val="nil"/>
              <w:right w:val="nil"/>
            </w:tcBorders>
            <w:shd w:val="clear" w:color="000000" w:fill="B8CCE4"/>
            <w:noWrap/>
            <w:vAlign w:val="center"/>
            <w:hideMark/>
          </w:tcPr>
          <w:p w:rsidR="00F50689" w:rsidRPr="00AF0804" w:rsidRDefault="005A36C4" w:rsidP="00F50689">
            <w:pPr>
              <w:jc w:val="right"/>
              <w:rPr>
                <w:rFonts w:ascii="Verdana" w:hAnsi="Verdana"/>
                <w:b/>
                <w:bCs/>
                <w:color w:val="000000"/>
                <w:sz w:val="18"/>
                <w:szCs w:val="18"/>
              </w:rPr>
            </w:pPr>
            <w:r w:rsidRPr="00AF0804">
              <w:rPr>
                <w:rFonts w:ascii="Verdana" w:hAnsi="Verdana"/>
                <w:b/>
                <w:bCs/>
                <w:color w:val="000000"/>
                <w:sz w:val="18"/>
                <w:szCs w:val="18"/>
              </w:rPr>
              <w:t>(19 198)</w:t>
            </w:r>
          </w:p>
        </w:tc>
      </w:tr>
    </w:tbl>
    <w:p w:rsidR="00F50689" w:rsidRDefault="00F50689" w:rsidP="00F50689">
      <w:pPr>
        <w:pStyle w:val="HEADER5"/>
      </w:pPr>
    </w:p>
    <w:p w:rsidR="00F50689" w:rsidRDefault="005A36C4" w:rsidP="00F50689">
      <w:pPr>
        <w:pStyle w:val="HEADER3Part4"/>
      </w:pPr>
      <w:r>
        <w:t>Borrowing and lending activities managed by the Commission</w:t>
      </w:r>
    </w:p>
    <w:p w:rsidR="00F50689" w:rsidRDefault="005A36C4" w:rsidP="00F50689">
      <w:pPr>
        <w:pStyle w:val="DGTextstand-alone"/>
      </w:pPr>
      <w:r>
        <w:t xml:space="preserve">The EU is empowered by the EU Treaty to adopt borrowing operations to mobilise the financial resources necessary to fulfill specific mandates. The Commission, acting on behalf of the EU, currently operates three main programmes, </w:t>
      </w:r>
      <w:r w:rsidR="007C0B3B">
        <w:t>Macro-financial assistance (</w:t>
      </w:r>
      <w:r>
        <w:t>MFA</w:t>
      </w:r>
      <w:r w:rsidR="007C0B3B">
        <w:t>)</w:t>
      </w:r>
      <w:r>
        <w:t xml:space="preserve">, </w:t>
      </w:r>
      <w:r w:rsidR="007C0B3B">
        <w:t>Balance of Payments (</w:t>
      </w:r>
      <w:r>
        <w:t>BOP</w:t>
      </w:r>
      <w:r w:rsidR="007C0B3B">
        <w:t>)</w:t>
      </w:r>
      <w:r>
        <w:t xml:space="preserve"> assistance and the </w:t>
      </w:r>
      <w:r w:rsidR="007C0B3B">
        <w:t>European Financial Stabilisation Mechanism (</w:t>
      </w:r>
      <w:r>
        <w:t>EFSM</w:t>
      </w:r>
      <w:r w:rsidR="007C0B3B">
        <w:t>)</w:t>
      </w:r>
      <w:r>
        <w:t>, under which it may grant loans and fund these by issuing debt instruments in the capital markets or with financial institutions.</w:t>
      </w:r>
    </w:p>
    <w:p w:rsidR="00F50689" w:rsidRDefault="00186ABB" w:rsidP="00F50689">
      <w:pPr>
        <w:pStyle w:val="Textstand-alone"/>
      </w:pPr>
      <w:r>
        <w:rPr>
          <w:lang w:eastAsia="en-GB"/>
        </w:rPr>
        <w:drawing>
          <wp:inline distT="0" distB="0" distL="0" distR="0" wp14:anchorId="05492EC4" wp14:editId="6393CCB9">
            <wp:extent cx="4572000" cy="274320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50689" w:rsidRDefault="005A36C4" w:rsidP="00F50689">
      <w:pPr>
        <w:pStyle w:val="DGTextstand-alone"/>
      </w:pPr>
      <w:r>
        <w:t xml:space="preserve">EU borrowing and lending activities are non-budget operations. The capital required to fund the EU lending operations under the above programmes is raised on the capital markets or with financial institutions. The EU is not permitted to borrow to finance its ordinary budgetary expenses or a budget deficit. The size of the borrowings varies from private placements for amounts of up to EUR 500 million to benchmark-size bond issues (at least EUR 1 billion). </w:t>
      </w:r>
      <w:r w:rsidR="007C0B3B">
        <w:t>In</w:t>
      </w:r>
      <w:r>
        <w:t xml:space="preserve"> general </w:t>
      </w:r>
      <w:r w:rsidR="007C0B3B">
        <w:t xml:space="preserve">funds are </w:t>
      </w:r>
      <w:r>
        <w:t>raised on-lent back-to-back to the beneficiary country, i.e. with the same coupon, maturity and amount. Notwithstanding the back-to-back methodology, the debt service of the funding instruments is a legal obligation of the EU, which will ensure that all payments are made fully and in a timely manner</w:t>
      </w:r>
      <w:r w:rsidRPr="00D40A00">
        <w:t xml:space="preserve">. The Commission has put procedures in place so as to ensure the repayment of borrowings even in case of a loan default. For each country programme, the </w:t>
      </w:r>
      <w:r w:rsidR="008C16AE">
        <w:t xml:space="preserve">EP, the </w:t>
      </w:r>
      <w:r w:rsidRPr="00D40A00">
        <w:t xml:space="preserve">Council and </w:t>
      </w:r>
      <w:r w:rsidR="008C16AE">
        <w:t xml:space="preserve">the </w:t>
      </w:r>
      <w:r w:rsidRPr="00D40A00">
        <w:t>Commission decisions determine the overall granted amount</w:t>
      </w:r>
      <w:r>
        <w:t xml:space="preserve">, the (maximum) number of instalments to be disbursed, and the maximum (average) maturity of the loan package. Subsequently, the Commission and the beneficiary country agree loan/funding parameters, including instalments and the payment of tranches. In addition, except for the first one, all instalments of the loan depend on compliance with strict conditions, with agreed terms and conditions similar to </w:t>
      </w:r>
      <w:r w:rsidR="008C16AE">
        <w:t>International Monetray Fund (</w:t>
      </w:r>
      <w:r>
        <w:t>IMF</w:t>
      </w:r>
      <w:r w:rsidR="008C16AE">
        <w:t>)</w:t>
      </w:r>
      <w:r>
        <w:t xml:space="preserve"> support, in the context of a joint EU/IMF financial assistance, which is another factor influencing the timing of funding. This implies that the timing and maturities of issuances are dependent on the related EU lending activity. Funding is exclusively denominated in euro and the maturity spectrum is 3 to 30 years. </w:t>
      </w:r>
    </w:p>
    <w:p w:rsidR="00F50689" w:rsidRDefault="005A36C4" w:rsidP="00F50689">
      <w:pPr>
        <w:pStyle w:val="DGTextstand-alone"/>
      </w:pPr>
      <w:r>
        <w:t>Borrowings of the EU constitute direct and unconditional obligations of the EU and are guaranteed by the 28 Member States. Borrowings undertaken to fund loans to countries outside the EU are covered by the Guarantee Fund for external actions. Should a beneficiary Member State default, the debt service will be drawn from the available treasury balance of the Commission, if possible. If that would not be possible, the Commission would draw the necessary funds from the Member States. EU Member States are legally obliged, according to the EU own resources legislation (Article 12 of Council Regulation 1150/2000), to make available sufficient funds to meet the EU’s obligations. Thus investors are only exposed to the credit risk of the EU, not to that of the beneficiary of loans funded. “Back-to-back” lending ensures that the EU budget does not assume any interest rate or foreign exchange risk.</w:t>
      </w:r>
    </w:p>
    <w:p w:rsidR="00F50689" w:rsidRDefault="005A36C4" w:rsidP="00F50689">
      <w:pPr>
        <w:pStyle w:val="HEADER5"/>
      </w:pPr>
      <w:r>
        <w:t>Balance of Payments</w:t>
      </w:r>
    </w:p>
    <w:p w:rsidR="00F50689" w:rsidRDefault="005A36C4" w:rsidP="00F50689">
      <w:pPr>
        <w:pStyle w:val="DGTextstand-alone"/>
        <w:spacing w:before="120" w:after="120"/>
      </w:pPr>
      <w:r w:rsidRPr="00EA1E2B">
        <w:t>The BOP facility, a policy-based financial instrument, provides medium-term financial assistance to Member States of the EU. It enables the granting of loans to Member States which are experiencing, or are seriously threatened with, difficulties in their balance of payments or capital movements. Only Member States which have not adopted the Euro may benefit from this facility. BOP assistance to Latvia was granted before the introduct</w:t>
      </w:r>
      <w:r>
        <w:t>i</w:t>
      </w:r>
      <w:r w:rsidRPr="00EA1E2B">
        <w:t>on of the Euro on 1 January 2014. The maximum outstanding</w:t>
      </w:r>
      <w:r>
        <w:t xml:space="preserve"> amount of loans granted under the instrument is limited to EUR 50 billion. Borrowings related to these BOP loans are guaranteed by the EU budget – thus at 31 December 2014, the budget is exposed to a maximum possible risk of EUR</w:t>
      </w:r>
      <w:r w:rsidR="00116387">
        <w:t> </w:t>
      </w:r>
      <w:r>
        <w:t>8.6</w:t>
      </w:r>
      <w:r w:rsidR="00116387">
        <w:t> </w:t>
      </w:r>
      <w:r>
        <w:t>billion regarding these loans (the EUR</w:t>
      </w:r>
      <w:r w:rsidR="00116387">
        <w:t> </w:t>
      </w:r>
      <w:r>
        <w:t>8.4</w:t>
      </w:r>
      <w:r w:rsidR="00116387">
        <w:t> </w:t>
      </w:r>
      <w:r>
        <w:t>billion below being the nominal value).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1488"/>
        <w:gridCol w:w="1488"/>
        <w:gridCol w:w="1418"/>
        <w:gridCol w:w="1559"/>
      </w:tblGrid>
      <w:tr w:rsidR="00E7728E" w:rsidTr="00F50689">
        <w:tc>
          <w:tcPr>
            <w:tcW w:w="3794"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1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rPr>
                <w:rFonts w:cs="Verdana"/>
              </w:rPr>
              <w:t>EUR millions</w:t>
            </w:r>
          </w:p>
        </w:tc>
      </w:tr>
      <w:tr w:rsidR="00E7728E" w:rsidTr="00F50689">
        <w:tc>
          <w:tcPr>
            <w:tcW w:w="3794"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148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Hungary</w:t>
            </w:r>
          </w:p>
        </w:tc>
        <w:tc>
          <w:tcPr>
            <w:tcW w:w="148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Latvia</w:t>
            </w:r>
          </w:p>
        </w:tc>
        <w:tc>
          <w:tcPr>
            <w:tcW w:w="141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Romania</w:t>
            </w:r>
          </w:p>
        </w:tc>
        <w:tc>
          <w:tcPr>
            <w:tcW w:w="155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Total</w:t>
            </w:r>
          </w:p>
        </w:tc>
      </w:tr>
      <w:tr w:rsidR="00E7728E" w:rsidTr="00F50689">
        <w:tc>
          <w:tcPr>
            <w:tcW w:w="3794"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BoldLeft"/>
              <w:rPr>
                <w:rFonts w:cs="Verdana"/>
              </w:rPr>
            </w:pPr>
            <w:r>
              <w:rPr>
                <w:rFonts w:cs="Verdana"/>
              </w:rPr>
              <w:t>Total loans granted</w:t>
            </w:r>
          </w:p>
        </w:tc>
        <w:tc>
          <w:tcPr>
            <w:tcW w:w="148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6 500</w:t>
            </w:r>
          </w:p>
        </w:tc>
        <w:tc>
          <w:tcPr>
            <w:tcW w:w="148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3 100</w:t>
            </w:r>
          </w:p>
        </w:tc>
        <w:tc>
          <w:tcPr>
            <w:tcW w:w="141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8 400</w:t>
            </w:r>
          </w:p>
        </w:tc>
        <w:tc>
          <w:tcPr>
            <w:tcW w:w="1559"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18 000</w:t>
            </w:r>
          </w:p>
        </w:tc>
      </w:tr>
      <w:tr w:rsidR="00E7728E" w:rsidTr="00F50689">
        <w:tc>
          <w:tcPr>
            <w:tcW w:w="3794"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Disbursed at 31.12.2013</w:t>
            </w:r>
          </w:p>
        </w:tc>
        <w:tc>
          <w:tcPr>
            <w:tcW w:w="1488"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5 500</w:t>
            </w:r>
          </w:p>
        </w:tc>
        <w:tc>
          <w:tcPr>
            <w:tcW w:w="1488"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2 900</w:t>
            </w:r>
          </w:p>
        </w:tc>
        <w:tc>
          <w:tcPr>
            <w:tcW w:w="1418"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5 000</w:t>
            </w:r>
          </w:p>
        </w:tc>
        <w:tc>
          <w:tcPr>
            <w:tcW w:w="1559"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13 400</w:t>
            </w:r>
          </w:p>
        </w:tc>
      </w:tr>
      <w:tr w:rsidR="00E7728E" w:rsidTr="00F50689">
        <w:tc>
          <w:tcPr>
            <w:tcW w:w="3794"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Disbursed in 2014</w:t>
            </w:r>
          </w:p>
        </w:tc>
        <w:tc>
          <w:tcPr>
            <w:tcW w:w="148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48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41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559"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r>
      <w:tr w:rsidR="00E7728E" w:rsidTr="00F50689">
        <w:tc>
          <w:tcPr>
            <w:tcW w:w="3794"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BoldLeft"/>
              <w:rPr>
                <w:rFonts w:cs="Verdana"/>
              </w:rPr>
            </w:pPr>
            <w:r>
              <w:rPr>
                <w:rFonts w:cs="Verdana"/>
              </w:rPr>
              <w:t>Loans disbursed 31.12.2014</w:t>
            </w:r>
          </w:p>
        </w:tc>
        <w:tc>
          <w:tcPr>
            <w:tcW w:w="1488"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5 500</w:t>
            </w:r>
          </w:p>
        </w:tc>
        <w:tc>
          <w:tcPr>
            <w:tcW w:w="1488"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2 900</w:t>
            </w:r>
          </w:p>
        </w:tc>
        <w:tc>
          <w:tcPr>
            <w:tcW w:w="1418"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5 000</w:t>
            </w:r>
          </w:p>
        </w:tc>
        <w:tc>
          <w:tcPr>
            <w:tcW w:w="1559"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13 400</w:t>
            </w:r>
          </w:p>
        </w:tc>
      </w:tr>
      <w:tr w:rsidR="00E7728E" w:rsidTr="00F50689">
        <w:tc>
          <w:tcPr>
            <w:tcW w:w="3794"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Loans repaid at 31.12.2014</w:t>
            </w:r>
          </w:p>
        </w:tc>
        <w:tc>
          <w:tcPr>
            <w:tcW w:w="1488"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(4 000)</w:t>
            </w:r>
          </w:p>
        </w:tc>
        <w:tc>
          <w:tcPr>
            <w:tcW w:w="1488"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(1 000)</w:t>
            </w:r>
          </w:p>
        </w:tc>
        <w:tc>
          <w:tcPr>
            <w:tcW w:w="1418"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559"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(5 000)</w:t>
            </w:r>
          </w:p>
        </w:tc>
      </w:tr>
      <w:tr w:rsidR="00E7728E" w:rsidTr="00F50689">
        <w:tc>
          <w:tcPr>
            <w:tcW w:w="379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Outstanding amount at 31.12.2014</w:t>
            </w: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1 500</w:t>
            </w: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1 900</w:t>
            </w:r>
          </w:p>
        </w:tc>
        <w:tc>
          <w:tcPr>
            <w:tcW w:w="141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5 000</w:t>
            </w:r>
          </w:p>
        </w:tc>
        <w:tc>
          <w:tcPr>
            <w:tcW w:w="155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8 400</w:t>
            </w:r>
          </w:p>
        </w:tc>
      </w:tr>
    </w:tbl>
    <w:p w:rsidR="00F50689" w:rsidRDefault="005A36C4" w:rsidP="00F50689">
      <w:pPr>
        <w:pStyle w:val="DGTextstand-alone"/>
        <w:spacing w:before="120" w:after="120"/>
      </w:pPr>
      <w:r>
        <w:t>A table showing the reimbursement schedule for these loans is given below.</w:t>
      </w:r>
    </w:p>
    <w:p w:rsidR="00F50689" w:rsidRDefault="005A36C4" w:rsidP="00F50689">
      <w:pPr>
        <w:pStyle w:val="DGTextstand-alone"/>
      </w:pPr>
      <w:r>
        <w:t>Between November 2008 and May 2009, financial assistance amounting to EUR</w:t>
      </w:r>
      <w:r w:rsidR="00116387">
        <w:t> </w:t>
      </w:r>
      <w:r>
        <w:t>14.6</w:t>
      </w:r>
      <w:r w:rsidR="00116387">
        <w:t> </w:t>
      </w:r>
      <w:r>
        <w:t>billion was granted to Hungary, Latvia and Romania, of which EUR</w:t>
      </w:r>
      <w:r w:rsidR="00116387">
        <w:t> </w:t>
      </w:r>
      <w:r>
        <w:t>13.4</w:t>
      </w:r>
      <w:r w:rsidR="00116387">
        <w:t> </w:t>
      </w:r>
      <w:r>
        <w:t>billion had been disbursed by mid 2011. It should be noted that the BOP assistance programme for Hungary expired in November 2010 (with EUR 1 billion undrawn) and the first two repayments of EUR</w:t>
      </w:r>
      <w:r w:rsidR="00116387">
        <w:t> </w:t>
      </w:r>
      <w:r>
        <w:t>2</w:t>
      </w:r>
      <w:r w:rsidR="00116387">
        <w:t> </w:t>
      </w:r>
      <w:r>
        <w:t>billion in December 2011 and of another EUR</w:t>
      </w:r>
      <w:r w:rsidR="00A675FE">
        <w:t> </w:t>
      </w:r>
      <w:r>
        <w:t>2</w:t>
      </w:r>
      <w:r w:rsidR="00A675FE">
        <w:t> </w:t>
      </w:r>
      <w:r>
        <w:t>billion in November 2014 were received as scheduled. The BOP assistance programme for Latvia expired in January 2012 (with EUR</w:t>
      </w:r>
      <w:r w:rsidR="00116387">
        <w:t> </w:t>
      </w:r>
      <w:r>
        <w:t>200</w:t>
      </w:r>
      <w:r w:rsidR="00116387">
        <w:t> </w:t>
      </w:r>
      <w:r>
        <w:t>million undrawn) and the first two repayments of EUR</w:t>
      </w:r>
      <w:r w:rsidR="00116387">
        <w:t> </w:t>
      </w:r>
      <w:r>
        <w:t>1</w:t>
      </w:r>
      <w:r w:rsidR="00116387">
        <w:t> b</w:t>
      </w:r>
      <w:r>
        <w:t>illion in April 2014 and EUR</w:t>
      </w:r>
      <w:r w:rsidR="00116387">
        <w:t> </w:t>
      </w:r>
      <w:r>
        <w:t>1.2</w:t>
      </w:r>
      <w:r w:rsidR="00116387">
        <w:t> </w:t>
      </w:r>
      <w:r>
        <w:t>billion in January 2015 were also received on time. The BOP first assistance programme for Romania expired in May 2012 with the full amount granted, EUR 5 billion, being disbursed. The first repayment of EUR</w:t>
      </w:r>
      <w:r w:rsidR="00116387">
        <w:t> </w:t>
      </w:r>
      <w:r>
        <w:t>1.5</w:t>
      </w:r>
      <w:r w:rsidR="00116387">
        <w:t> </w:t>
      </w:r>
      <w:r>
        <w:t>billion in January 2015 was received as scheduled.</w:t>
      </w:r>
    </w:p>
    <w:p w:rsidR="00F50689" w:rsidRDefault="005A36C4" w:rsidP="00F50689">
      <w:pPr>
        <w:pStyle w:val="DGTextstand-alone"/>
      </w:pPr>
      <w:r>
        <w:t>In February 2011, Romania requested a follow-up precautionary financial assistance (PFA) programme under the BOP facility to support the re-launch of economic growth. On 12</w:t>
      </w:r>
      <w:r w:rsidR="00116387">
        <w:t> </w:t>
      </w:r>
      <w:r>
        <w:t>May</w:t>
      </w:r>
      <w:r w:rsidR="00116387">
        <w:t> </w:t>
      </w:r>
      <w:r>
        <w:t>2011 the Council decided to make available precautionary EU BOP assistance (PFA) for Romania of up to EUR</w:t>
      </w:r>
      <w:r w:rsidR="00116387">
        <w:t> </w:t>
      </w:r>
      <w:r>
        <w:t>1.4</w:t>
      </w:r>
      <w:r w:rsidR="00116387">
        <w:t> </w:t>
      </w:r>
      <w:r>
        <w:t>billion (Council Decision 2011/288/EU), however this expired at end-March 2013 without being used. Following Romania's second request for PFA, the Council decided to provide new EU BOP PFA of up to EUR</w:t>
      </w:r>
      <w:r w:rsidR="00A675FE">
        <w:t> </w:t>
      </w:r>
      <w:r>
        <w:t>2</w:t>
      </w:r>
      <w:r w:rsidR="00A675FE">
        <w:t> </w:t>
      </w:r>
      <w:r>
        <w:t>billion, on 22</w:t>
      </w:r>
      <w:r w:rsidR="00A675FE">
        <w:t> </w:t>
      </w:r>
      <w:r>
        <w:t>October</w:t>
      </w:r>
      <w:r w:rsidR="00A675FE">
        <w:t> </w:t>
      </w:r>
      <w:r>
        <w:t>2013 (Council Decision 2013/531/EU), which will remain available for activation until 30</w:t>
      </w:r>
      <w:r w:rsidR="00A675FE">
        <w:t> </w:t>
      </w:r>
      <w:r>
        <w:t>September 2015. If its activation is requested, this financial assistance shall be provided in the form of a loan with a maximum average maturity of eight years. As this PFA of EUR</w:t>
      </w:r>
      <w:r w:rsidR="00A675FE">
        <w:t> </w:t>
      </w:r>
      <w:r>
        <w:t>2</w:t>
      </w:r>
      <w:r w:rsidR="00A675FE">
        <w:t> </w:t>
      </w:r>
      <w:r>
        <w:t>billion is currently the single active programme under the BOP facility, it is the sole amount still available.</w:t>
      </w:r>
    </w:p>
    <w:p w:rsidR="00F50689" w:rsidRDefault="005A36C4" w:rsidP="00F50689">
      <w:pPr>
        <w:pStyle w:val="HEADER5"/>
      </w:pPr>
      <w:r>
        <w:t>European Financial Stabilisation Mechanism</w:t>
      </w: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8"/>
        <w:gridCol w:w="1701"/>
        <w:gridCol w:w="1984"/>
        <w:gridCol w:w="1417"/>
      </w:tblGrid>
      <w:tr w:rsidR="00E7728E" w:rsidTr="00F50689">
        <w:tc>
          <w:tcPr>
            <w:tcW w:w="3828"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p>
        </w:tc>
        <w:tc>
          <w:tcPr>
            <w:tcW w:w="1701" w:type="dxa"/>
            <w:tcBorders>
              <w:top w:val="nil"/>
              <w:left w:val="nil"/>
              <w:bottom w:val="nil"/>
              <w:right w:val="nil"/>
            </w:tcBorders>
            <w:tcMar>
              <w:top w:w="0" w:type="dxa"/>
              <w:left w:w="0" w:type="dxa"/>
              <w:bottom w:w="0" w:type="dxa"/>
              <w:right w:w="0" w:type="dxa"/>
            </w:tcMar>
          </w:tcPr>
          <w:p w:rsidR="00F50689" w:rsidRDefault="00F50689" w:rsidP="00F50689">
            <w:pPr>
              <w:rPr>
                <w:rFonts w:cs="Calibri"/>
              </w:rPr>
            </w:pPr>
          </w:p>
        </w:tc>
        <w:tc>
          <w:tcPr>
            <w:tcW w:w="1984" w:type="dxa"/>
            <w:tcBorders>
              <w:top w:val="nil"/>
              <w:left w:val="nil"/>
              <w:bottom w:val="nil"/>
              <w:right w:val="nil"/>
            </w:tcBorders>
            <w:tcMar>
              <w:top w:w="0" w:type="dxa"/>
              <w:left w:w="0" w:type="dxa"/>
              <w:bottom w:w="0" w:type="dxa"/>
              <w:right w:w="0" w:type="dxa"/>
            </w:tcMar>
          </w:tcPr>
          <w:p w:rsidR="00F50689" w:rsidRDefault="00F50689" w:rsidP="00F50689">
            <w:pPr>
              <w:rPr>
                <w:rFonts w:cs="Calibri"/>
              </w:rPr>
            </w:pP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rPr>
                <w:rFonts w:cs="Verdana"/>
              </w:rPr>
              <w:t>EUR millions</w:t>
            </w:r>
          </w:p>
        </w:tc>
      </w:tr>
      <w:tr w:rsidR="00E7728E" w:rsidTr="00F50689">
        <w:tc>
          <w:tcPr>
            <w:tcW w:w="3828"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170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Ireland</w:t>
            </w:r>
          </w:p>
        </w:tc>
        <w:tc>
          <w:tcPr>
            <w:tcW w:w="1984"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Portugal</w:t>
            </w:r>
          </w:p>
        </w:tc>
        <w:tc>
          <w:tcPr>
            <w:tcW w:w="141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Total</w:t>
            </w:r>
          </w:p>
        </w:tc>
      </w:tr>
      <w:tr w:rsidR="00E7728E" w:rsidTr="00F50689">
        <w:tc>
          <w:tcPr>
            <w:tcW w:w="382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BoldLeft"/>
              <w:rPr>
                <w:rFonts w:cs="Verdana"/>
              </w:rPr>
            </w:pPr>
            <w:r>
              <w:rPr>
                <w:rFonts w:cs="Verdana"/>
              </w:rPr>
              <w:t>Total loans granted</w:t>
            </w:r>
          </w:p>
        </w:tc>
        <w:tc>
          <w:tcPr>
            <w:tcW w:w="170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22 500</w:t>
            </w:r>
          </w:p>
        </w:tc>
        <w:tc>
          <w:tcPr>
            <w:tcW w:w="1984"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26 000</w:t>
            </w:r>
          </w:p>
        </w:tc>
        <w:tc>
          <w:tcPr>
            <w:tcW w:w="1417"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48 500</w:t>
            </w:r>
          </w:p>
        </w:tc>
      </w:tr>
      <w:tr w:rsidR="00E7728E" w:rsidTr="00F50689">
        <w:tc>
          <w:tcPr>
            <w:tcW w:w="3828"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Disbursed at 31.12.2013</w:t>
            </w:r>
          </w:p>
        </w:tc>
        <w:tc>
          <w:tcPr>
            <w:tcW w:w="1701"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21 700</w:t>
            </w:r>
          </w:p>
        </w:tc>
        <w:tc>
          <w:tcPr>
            <w:tcW w:w="1984"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22 100</w:t>
            </w:r>
          </w:p>
        </w:tc>
        <w:tc>
          <w:tcPr>
            <w:tcW w:w="1417"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43 800</w:t>
            </w:r>
          </w:p>
        </w:tc>
      </w:tr>
      <w:tr w:rsidR="00E7728E" w:rsidTr="00F50689">
        <w:tc>
          <w:tcPr>
            <w:tcW w:w="382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Disbursed in 2014</w:t>
            </w:r>
          </w:p>
        </w:tc>
        <w:tc>
          <w:tcPr>
            <w:tcW w:w="170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800</w:t>
            </w:r>
          </w:p>
        </w:tc>
        <w:tc>
          <w:tcPr>
            <w:tcW w:w="1984"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2 200</w:t>
            </w:r>
          </w:p>
        </w:tc>
        <w:tc>
          <w:tcPr>
            <w:tcW w:w="1417"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3 000</w:t>
            </w:r>
          </w:p>
        </w:tc>
      </w:tr>
      <w:tr w:rsidR="00E7728E" w:rsidTr="00F50689">
        <w:tc>
          <w:tcPr>
            <w:tcW w:w="3828"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BoldLeft"/>
              <w:rPr>
                <w:rFonts w:cs="Verdana"/>
              </w:rPr>
            </w:pPr>
            <w:r>
              <w:rPr>
                <w:rFonts w:cs="Verdana"/>
              </w:rPr>
              <w:t>Loans disbursed at 31.12.2014</w:t>
            </w:r>
          </w:p>
        </w:tc>
        <w:tc>
          <w:tcPr>
            <w:tcW w:w="170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22 500</w:t>
            </w:r>
          </w:p>
        </w:tc>
        <w:tc>
          <w:tcPr>
            <w:tcW w:w="1984"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24 300</w:t>
            </w:r>
          </w:p>
        </w:tc>
        <w:tc>
          <w:tcPr>
            <w:tcW w:w="1417"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46 800</w:t>
            </w:r>
          </w:p>
        </w:tc>
      </w:tr>
      <w:tr w:rsidR="00E7728E" w:rsidTr="00F50689">
        <w:tc>
          <w:tcPr>
            <w:tcW w:w="3828"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Loans repaid at 31.12.2014</w:t>
            </w:r>
          </w:p>
        </w:tc>
        <w:tc>
          <w:tcPr>
            <w:tcW w:w="1701"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984"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417"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r>
      <w:tr w:rsidR="00E7728E" w:rsidTr="00F50689">
        <w:tc>
          <w:tcPr>
            <w:tcW w:w="382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Loans outstanding at 31.12.2014</w:t>
            </w:r>
          </w:p>
        </w:tc>
        <w:tc>
          <w:tcPr>
            <w:tcW w:w="170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22 500</w:t>
            </w:r>
          </w:p>
        </w:tc>
        <w:tc>
          <w:tcPr>
            <w:tcW w:w="198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24 300</w:t>
            </w:r>
          </w:p>
        </w:tc>
        <w:tc>
          <w:tcPr>
            <w:tcW w:w="141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46 800</w:t>
            </w:r>
          </w:p>
        </w:tc>
      </w:tr>
    </w:tbl>
    <w:p w:rsidR="00F50689" w:rsidRPr="00EA1E2B" w:rsidRDefault="005A36C4" w:rsidP="00F50689">
      <w:pPr>
        <w:pStyle w:val="DGTextstand-alone"/>
        <w:spacing w:before="120"/>
      </w:pPr>
      <w:r w:rsidRPr="00EA1E2B">
        <w:t xml:space="preserve">A table showing the reimbursement schedule for these loans is given </w:t>
      </w:r>
      <w:r w:rsidR="00386B0F">
        <w:t>below</w:t>
      </w:r>
      <w:r w:rsidRPr="00EA1E2B">
        <w:t>.</w:t>
      </w:r>
    </w:p>
    <w:p w:rsidR="00F50689" w:rsidRDefault="005A36C4" w:rsidP="00F50689">
      <w:pPr>
        <w:pStyle w:val="DGTextstand-alone"/>
      </w:pPr>
      <w:r>
        <w:t>On 11 May 2010 the Council adopted the EFSM to preserve financial stability in Europe (Council Regulation (EU) n° 407/2010). The mechanism based on Art. 122(2) TFEU and enables the granting of financial assistance to a Member State in difficulties or seriously threatened with severe difficulties caused by exceptional circumstances beyond its control. The assistance may take the form of a loan or credit line. The Commission borrows funds on the capital markets or with financial institutions on behalf of the EU and lends these funds to the beneficiary Member State. For each country receiving a loan under the EFSM, a quarterly assessment of the fulfilment of the policy conditions attached to the loan is carried out before another instalment is disbursed.</w:t>
      </w:r>
    </w:p>
    <w:p w:rsidR="00F50689" w:rsidRDefault="005A36C4" w:rsidP="00F50689">
      <w:pPr>
        <w:pStyle w:val="DGTextstand-alone"/>
      </w:pPr>
      <w:r>
        <w:t>The ECOFIN Council conclusions of 9 May 2010 restrict the facility to EUR</w:t>
      </w:r>
      <w:r w:rsidR="00116387">
        <w:t> </w:t>
      </w:r>
      <w:r>
        <w:t>60</w:t>
      </w:r>
      <w:r w:rsidR="00116387">
        <w:t> </w:t>
      </w:r>
      <w:r>
        <w:t>billion but the legal limit is provided in Article 2(2) of the Council Regulation no. 407/2010, which restricts the outstanding amount of loans or credit lines to the margin available under the own resources ceiling. Borrowings related to loans disbursed under the EFSM are guaranteed by the EU budget – thus at 31</w:t>
      </w:r>
      <w:r w:rsidR="00116387">
        <w:t> </w:t>
      </w:r>
      <w:r>
        <w:t>December</w:t>
      </w:r>
      <w:r w:rsidR="00116387">
        <w:t> </w:t>
      </w:r>
      <w:r>
        <w:t>2014, the budget is exposed to a maximum possible risk of EUR</w:t>
      </w:r>
      <w:r w:rsidR="00116387">
        <w:t> </w:t>
      </w:r>
      <w:r>
        <w:t>47.5</w:t>
      </w:r>
      <w:r w:rsidR="00116387">
        <w:t> </w:t>
      </w:r>
      <w:r>
        <w:t>billion regarding these loans (the EUR</w:t>
      </w:r>
      <w:r w:rsidR="00A675FE">
        <w:t> </w:t>
      </w:r>
      <w:r>
        <w:t>46.8</w:t>
      </w:r>
      <w:r w:rsidR="00A675FE">
        <w:t> </w:t>
      </w:r>
      <w:r>
        <w:t>billion above being the nominal value). As the borrowings under the EFSM are guaranteed by the EU budget, the EP scrutinises the Commission's EFSM actions and exercises control in the context of the budget and discharge procedure. As both EFSM programmes have expired, no available amounts are disclosed in the table above.</w:t>
      </w:r>
    </w:p>
    <w:p w:rsidR="00F50689" w:rsidRDefault="005A36C4" w:rsidP="00F50689">
      <w:pPr>
        <w:pStyle w:val="DGTextstand-alone"/>
      </w:pPr>
      <w:r>
        <w:t>The Council decided by Implementing Decision in December 2010 on a loan to Ireland of maximum EUR 22.5 billion, and in May 2011 on a loan to Portugal of maximum EUR</w:t>
      </w:r>
      <w:r w:rsidR="00116387">
        <w:t> </w:t>
      </w:r>
      <w:r>
        <w:t>26</w:t>
      </w:r>
      <w:r w:rsidR="00116387">
        <w:t> </w:t>
      </w:r>
      <w:r>
        <w:t>billion. The initial implementing decisions fixed interest with a margin to result in conditions similar to those of the IMF support. With the adoption of Council Implementing Decisions no. 682/2011 and 683/2011 of 11 October</w:t>
      </w:r>
      <w:r w:rsidR="00116387">
        <w:t> </w:t>
      </w:r>
      <w:r>
        <w:t>2011, the Council suppressed the interest margin retroactively and extended the maximum average maturity from 7.5 years to 12.5 years and the maturity of individual tranches up to 30 years. With the adoption of Council Implementing Decisions no. 313/2013 and 323/2013 of 21</w:t>
      </w:r>
      <w:r w:rsidR="00116387">
        <w:t> </w:t>
      </w:r>
      <w:r>
        <w:t>June</w:t>
      </w:r>
      <w:r w:rsidR="00116387">
        <w:t> </w:t>
      </w:r>
      <w:r>
        <w:t>2013, the Council has further lengthened the maximum average maturity of the EFSM loans to Ireland and Portugal by 7 years to 19.5 years. The extension smoothes the debt redemption profile of both countries and lowers their refinancing needs in the post-programme period.</w:t>
      </w:r>
    </w:p>
    <w:p w:rsidR="00F50689" w:rsidRDefault="005A36C4" w:rsidP="00F50689">
      <w:pPr>
        <w:pStyle w:val="DGTextstand-alone"/>
      </w:pPr>
      <w:r>
        <w:t>The last three instalments were disbursed in 2014: EUR 0.8 billion for Ireland and EUR</w:t>
      </w:r>
      <w:r w:rsidR="00A675FE">
        <w:t> </w:t>
      </w:r>
      <w:r>
        <w:t>1.8</w:t>
      </w:r>
      <w:r w:rsidR="00A675FE">
        <w:t> </w:t>
      </w:r>
      <w:r>
        <w:t>billion for Portugal in March 2014 and finally EUR</w:t>
      </w:r>
      <w:r w:rsidR="00A675FE">
        <w:t> </w:t>
      </w:r>
      <w:r>
        <w:t>0.4</w:t>
      </w:r>
      <w:r w:rsidR="00A675FE">
        <w:t> </w:t>
      </w:r>
      <w:r>
        <w:t>billion for Portugal in November 2014. EUR</w:t>
      </w:r>
      <w:r w:rsidR="00A675FE">
        <w:t> </w:t>
      </w:r>
      <w:r>
        <w:t>1.7</w:t>
      </w:r>
      <w:r w:rsidR="00A675FE">
        <w:t> </w:t>
      </w:r>
      <w:r>
        <w:t>billion of the financial assistance granted to Portugal has expired without being requested. There are currently no amounts available under EFSM.</w:t>
      </w:r>
    </w:p>
    <w:p w:rsidR="00F50689" w:rsidRDefault="005A36C4" w:rsidP="00F50689">
      <w:pPr>
        <w:pStyle w:val="DGTextstand-alone"/>
      </w:pPr>
      <w:r>
        <w:t>The following table provides an overview of the planned reimbursement schedule in nominal value for outstanding EFSM and BOP loan amounts (in EUR million) at the date of signature of these accounts: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109"/>
        <w:gridCol w:w="1110"/>
        <w:gridCol w:w="1110"/>
        <w:gridCol w:w="924"/>
        <w:gridCol w:w="992"/>
        <w:gridCol w:w="992"/>
        <w:gridCol w:w="993"/>
        <w:gridCol w:w="1275"/>
      </w:tblGrid>
      <w:tr w:rsidR="00E7728E" w:rsidTr="00F50689">
        <w:tc>
          <w:tcPr>
            <w:tcW w:w="1242"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p>
        </w:tc>
        <w:tc>
          <w:tcPr>
            <w:tcW w:w="1109"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24"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2268" w:type="dxa"/>
            <w:gridSpan w:val="2"/>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rPr>
            </w:pPr>
          </w:p>
        </w:tc>
      </w:tr>
      <w:tr w:rsidR="00E7728E" w:rsidTr="00F50689">
        <w:tc>
          <w:tcPr>
            <w:tcW w:w="124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rPr>
                <w:rFonts w:cs="Verdana"/>
              </w:rPr>
              <w:t>Year</w:t>
            </w:r>
          </w:p>
        </w:tc>
        <w:tc>
          <w:tcPr>
            <w:tcW w:w="4253" w:type="dxa"/>
            <w:gridSpan w:val="4"/>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rPr>
                <w:rFonts w:cs="Verdana"/>
              </w:rPr>
              <w:t>BOP</w:t>
            </w:r>
          </w:p>
        </w:tc>
        <w:tc>
          <w:tcPr>
            <w:tcW w:w="2977" w:type="dxa"/>
            <w:gridSpan w:val="3"/>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rPr>
                <w:rFonts w:cs="Verdana"/>
              </w:rPr>
              <w:t>EFSM</w:t>
            </w:r>
          </w:p>
        </w:tc>
        <w:tc>
          <w:tcPr>
            <w:tcW w:w="1275" w:type="dxa"/>
            <w:vMerge w:val="restart"/>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rPr>
                <w:rFonts w:cs="Verdana"/>
              </w:rPr>
              <w:t>Total</w:t>
            </w:r>
          </w:p>
        </w:tc>
      </w:tr>
      <w:tr w:rsidR="00E7728E" w:rsidTr="00F50689">
        <w:tc>
          <w:tcPr>
            <w:tcW w:w="1242"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9pNormalCentered"/>
              <w:rPr>
                <w:rFonts w:cs="Verdana"/>
              </w:rPr>
            </w:pPr>
          </w:p>
        </w:tc>
        <w:tc>
          <w:tcPr>
            <w:tcW w:w="11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1"/>
              <w:rPr>
                <w:rFonts w:cs="Verdana"/>
              </w:rPr>
            </w:pPr>
            <w:r>
              <w:rPr>
                <w:rFonts w:cs="Verdana"/>
              </w:rPr>
              <w:t>Hungary</w:t>
            </w:r>
          </w:p>
        </w:tc>
        <w:tc>
          <w:tcPr>
            <w:tcW w:w="111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1"/>
              <w:rPr>
                <w:rFonts w:cs="Verdana"/>
              </w:rPr>
            </w:pPr>
            <w:r>
              <w:rPr>
                <w:rFonts w:cs="Verdana"/>
              </w:rPr>
              <w:t>Latvia</w:t>
            </w:r>
          </w:p>
        </w:tc>
        <w:tc>
          <w:tcPr>
            <w:tcW w:w="111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1"/>
              <w:rPr>
                <w:rFonts w:cs="Verdana"/>
              </w:rPr>
            </w:pPr>
            <w:r>
              <w:rPr>
                <w:rFonts w:cs="Verdana"/>
              </w:rPr>
              <w:t>Romania</w:t>
            </w:r>
          </w:p>
        </w:tc>
        <w:tc>
          <w:tcPr>
            <w:tcW w:w="924"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1"/>
              <w:rPr>
                <w:rFonts w:cs="Verdana"/>
              </w:rPr>
            </w:pPr>
            <w:r>
              <w:rPr>
                <w:rFonts w:cs="Verdana"/>
              </w:rPr>
              <w:t>Total</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1"/>
              <w:rPr>
                <w:rFonts w:cs="Verdana"/>
              </w:rPr>
            </w:pPr>
            <w:r>
              <w:rPr>
                <w:rFonts w:cs="Verdana"/>
              </w:rPr>
              <w:t>Ireland</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1"/>
              <w:rPr>
                <w:rFonts w:cs="Verdana"/>
              </w:rPr>
            </w:pPr>
            <w:r>
              <w:rPr>
                <w:rFonts w:cs="Verdana"/>
              </w:rPr>
              <w:t>Portugal</w:t>
            </w:r>
          </w:p>
        </w:tc>
        <w:tc>
          <w:tcPr>
            <w:tcW w:w="993"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1"/>
              <w:rPr>
                <w:rFonts w:cs="Verdana"/>
              </w:rPr>
            </w:pPr>
            <w:r>
              <w:rPr>
                <w:rFonts w:cs="Verdana"/>
              </w:rPr>
              <w:t>Total</w:t>
            </w:r>
          </w:p>
        </w:tc>
        <w:tc>
          <w:tcPr>
            <w:tcW w:w="1275" w:type="dxa"/>
            <w:vMerge/>
            <w:tcBorders>
              <w:top w:val="nil"/>
              <w:left w:val="nil"/>
              <w:bottom w:val="nil"/>
              <w:right w:val="nil"/>
            </w:tcBorders>
            <w:shd w:val="clear" w:color="auto" w:fill="3486A9"/>
            <w:tcMar>
              <w:top w:w="0" w:type="dxa"/>
              <w:left w:w="0" w:type="dxa"/>
              <w:bottom w:w="0" w:type="dxa"/>
              <w:right w:w="0" w:type="dxa"/>
            </w:tcMar>
          </w:tcPr>
          <w:p w:rsidR="00F50689" w:rsidRDefault="00F50689" w:rsidP="00F50689">
            <w:pPr>
              <w:pStyle w:val="Heading9pNormalRight01"/>
              <w:jc w:val="left"/>
              <w:rPr>
                <w:rFonts w:cs="Verdana"/>
              </w:rPr>
            </w:pPr>
          </w:p>
        </w:tc>
      </w:tr>
      <w:tr w:rsidR="00E7728E" w:rsidTr="00F50689">
        <w:tc>
          <w:tcPr>
            <w:tcW w:w="1242"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2015</w:t>
            </w:r>
          </w:p>
        </w:tc>
        <w:tc>
          <w:tcPr>
            <w:tcW w:w="110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2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0</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5.0</w:t>
            </w: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5.0</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5.0</w:t>
            </w:r>
          </w:p>
        </w:tc>
      </w:tr>
      <w:tr w:rsidR="00E7728E" w:rsidTr="00F50689">
        <w:tc>
          <w:tcPr>
            <w:tcW w:w="1242"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2016</w:t>
            </w:r>
          </w:p>
        </w:tc>
        <w:tc>
          <w:tcPr>
            <w:tcW w:w="110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1.5</w:t>
            </w: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2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1.5</w:t>
            </w: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4.75</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4.75</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6.25</w:t>
            </w:r>
          </w:p>
        </w:tc>
      </w:tr>
      <w:tr w:rsidR="00E7728E" w:rsidTr="00F50689">
        <w:tc>
          <w:tcPr>
            <w:tcW w:w="1242"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2017</w:t>
            </w:r>
          </w:p>
        </w:tc>
        <w:tc>
          <w:tcPr>
            <w:tcW w:w="110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1.15</w:t>
            </w:r>
          </w:p>
        </w:tc>
        <w:tc>
          <w:tcPr>
            <w:tcW w:w="92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1.15</w:t>
            </w: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0</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1.15</w:t>
            </w:r>
          </w:p>
        </w:tc>
      </w:tr>
      <w:tr w:rsidR="00E7728E" w:rsidTr="00F50689">
        <w:tc>
          <w:tcPr>
            <w:tcW w:w="1242"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2018</w:t>
            </w:r>
          </w:p>
        </w:tc>
        <w:tc>
          <w:tcPr>
            <w:tcW w:w="110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1.35</w:t>
            </w:r>
          </w:p>
        </w:tc>
        <w:tc>
          <w:tcPr>
            <w:tcW w:w="92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1.35</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3.9</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0.6</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4.5</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5.85</w:t>
            </w:r>
          </w:p>
        </w:tc>
      </w:tr>
      <w:tr w:rsidR="00E7728E" w:rsidTr="00F50689">
        <w:tc>
          <w:tcPr>
            <w:tcW w:w="1242"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2019</w:t>
            </w:r>
          </w:p>
        </w:tc>
        <w:tc>
          <w:tcPr>
            <w:tcW w:w="110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0.5</w:t>
            </w:r>
          </w:p>
        </w:tc>
        <w:tc>
          <w:tcPr>
            <w:tcW w:w="1110"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1.0</w:t>
            </w:r>
          </w:p>
        </w:tc>
        <w:tc>
          <w:tcPr>
            <w:tcW w:w="92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1.5</w:t>
            </w: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0</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1.5</w:t>
            </w:r>
          </w:p>
        </w:tc>
      </w:tr>
      <w:tr w:rsidR="00E7728E" w:rsidTr="00F50689">
        <w:tc>
          <w:tcPr>
            <w:tcW w:w="1242"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2021</w:t>
            </w:r>
          </w:p>
        </w:tc>
        <w:tc>
          <w:tcPr>
            <w:tcW w:w="110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2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0</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3.0</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6.75</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9.75</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9.75</w:t>
            </w:r>
          </w:p>
        </w:tc>
      </w:tr>
      <w:tr w:rsidR="00E7728E" w:rsidTr="00F50689">
        <w:tc>
          <w:tcPr>
            <w:tcW w:w="1242"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2022</w:t>
            </w:r>
          </w:p>
        </w:tc>
        <w:tc>
          <w:tcPr>
            <w:tcW w:w="110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2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0</w:t>
            </w: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2.7</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2.7</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2.7</w:t>
            </w:r>
          </w:p>
        </w:tc>
      </w:tr>
      <w:tr w:rsidR="00E7728E" w:rsidTr="00F50689">
        <w:tc>
          <w:tcPr>
            <w:tcW w:w="1242"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2024</w:t>
            </w:r>
          </w:p>
        </w:tc>
        <w:tc>
          <w:tcPr>
            <w:tcW w:w="110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2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0</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0.8</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1.8</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2.6</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2.6</w:t>
            </w:r>
          </w:p>
        </w:tc>
      </w:tr>
      <w:tr w:rsidR="00E7728E" w:rsidTr="00F50689">
        <w:tc>
          <w:tcPr>
            <w:tcW w:w="1242"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2025</w:t>
            </w:r>
          </w:p>
        </w:tc>
        <w:tc>
          <w:tcPr>
            <w:tcW w:w="110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0.2</w:t>
            </w: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2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0.2</w:t>
            </w: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0</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0.2</w:t>
            </w:r>
          </w:p>
        </w:tc>
      </w:tr>
      <w:tr w:rsidR="00E7728E" w:rsidTr="00F50689">
        <w:tc>
          <w:tcPr>
            <w:tcW w:w="1242"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2026</w:t>
            </w:r>
          </w:p>
        </w:tc>
        <w:tc>
          <w:tcPr>
            <w:tcW w:w="110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2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0</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2.0</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2.0</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4.0</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4.0</w:t>
            </w:r>
          </w:p>
        </w:tc>
      </w:tr>
      <w:tr w:rsidR="00E7728E" w:rsidTr="00F50689">
        <w:tc>
          <w:tcPr>
            <w:tcW w:w="1242"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2027</w:t>
            </w:r>
          </w:p>
        </w:tc>
        <w:tc>
          <w:tcPr>
            <w:tcW w:w="110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2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0</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1.0</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2.0</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3.0</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3.0</w:t>
            </w:r>
          </w:p>
        </w:tc>
      </w:tr>
      <w:tr w:rsidR="00E7728E" w:rsidTr="00F50689">
        <w:tc>
          <w:tcPr>
            <w:tcW w:w="1242"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2028</w:t>
            </w:r>
          </w:p>
        </w:tc>
        <w:tc>
          <w:tcPr>
            <w:tcW w:w="110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2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0</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2.3</w:t>
            </w: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2.3</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2.3</w:t>
            </w:r>
          </w:p>
        </w:tc>
      </w:tr>
      <w:tr w:rsidR="00E7728E" w:rsidTr="00F50689">
        <w:tc>
          <w:tcPr>
            <w:tcW w:w="1242"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2029</w:t>
            </w:r>
          </w:p>
        </w:tc>
        <w:tc>
          <w:tcPr>
            <w:tcW w:w="110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2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0</w:t>
            </w: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0.4</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0.4</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0.4</w:t>
            </w:r>
          </w:p>
        </w:tc>
      </w:tr>
      <w:tr w:rsidR="00E7728E" w:rsidTr="00F50689">
        <w:tc>
          <w:tcPr>
            <w:tcW w:w="1242"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2032</w:t>
            </w:r>
          </w:p>
        </w:tc>
        <w:tc>
          <w:tcPr>
            <w:tcW w:w="110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2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0</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3.0</w:t>
            </w: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3.0</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3.0</w:t>
            </w:r>
          </w:p>
        </w:tc>
      </w:tr>
      <w:tr w:rsidR="00E7728E" w:rsidTr="00F50689">
        <w:tc>
          <w:tcPr>
            <w:tcW w:w="1242"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2038</w:t>
            </w:r>
          </w:p>
        </w:tc>
        <w:tc>
          <w:tcPr>
            <w:tcW w:w="110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2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0</w:t>
            </w: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1.8</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1.8</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1.8</w:t>
            </w:r>
          </w:p>
        </w:tc>
      </w:tr>
      <w:tr w:rsidR="00E7728E" w:rsidTr="00F50689">
        <w:tc>
          <w:tcPr>
            <w:tcW w:w="1242"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2042</w:t>
            </w:r>
          </w:p>
        </w:tc>
        <w:tc>
          <w:tcPr>
            <w:tcW w:w="110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2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0</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1.5</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1.5</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3.0</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3.0</w:t>
            </w:r>
          </w:p>
        </w:tc>
      </w:tr>
      <w:tr w:rsidR="00E7728E" w:rsidTr="00F50689">
        <w:tc>
          <w:tcPr>
            <w:tcW w:w="124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Total</w:t>
            </w:r>
          </w:p>
        </w:tc>
        <w:tc>
          <w:tcPr>
            <w:tcW w:w="110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ItalicBoldRight025"/>
              <w:rPr>
                <w:rFonts w:cs="Verdana"/>
              </w:rPr>
            </w:pPr>
            <w:r>
              <w:rPr>
                <w:rFonts w:cs="Verdana"/>
              </w:rPr>
              <w:t>1.5</w:t>
            </w:r>
          </w:p>
        </w:tc>
        <w:tc>
          <w:tcPr>
            <w:tcW w:w="111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ItalicBoldRight025"/>
              <w:rPr>
                <w:rFonts w:cs="Verdana"/>
              </w:rPr>
            </w:pPr>
            <w:r>
              <w:rPr>
                <w:rFonts w:cs="Verdana"/>
              </w:rPr>
              <w:t>0.7</w:t>
            </w:r>
          </w:p>
        </w:tc>
        <w:tc>
          <w:tcPr>
            <w:tcW w:w="111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ItalicBoldRight025"/>
              <w:rPr>
                <w:rFonts w:cs="Verdana"/>
              </w:rPr>
            </w:pPr>
            <w:r>
              <w:rPr>
                <w:rFonts w:cs="Verdana"/>
              </w:rPr>
              <w:t>3.5</w:t>
            </w:r>
          </w:p>
        </w:tc>
        <w:tc>
          <w:tcPr>
            <w:tcW w:w="92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ItalicBoldRight025"/>
              <w:rPr>
                <w:rFonts w:cs="Verdana"/>
              </w:rPr>
            </w:pPr>
            <w:r>
              <w:rPr>
                <w:rFonts w:cs="Verdana"/>
              </w:rPr>
              <w:t>5.7</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ItalicBoldRight025"/>
              <w:rPr>
                <w:rFonts w:cs="Verdana"/>
              </w:rPr>
            </w:pPr>
            <w:r>
              <w:rPr>
                <w:rFonts w:cs="Verdana"/>
              </w:rPr>
              <w:t>22.5</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ItalicBoldRight025"/>
              <w:rPr>
                <w:rFonts w:cs="Verdana"/>
              </w:rPr>
            </w:pPr>
            <w:r>
              <w:rPr>
                <w:rFonts w:cs="Verdana"/>
              </w:rPr>
              <w:t>24.3</w:t>
            </w:r>
          </w:p>
        </w:tc>
        <w:tc>
          <w:tcPr>
            <w:tcW w:w="99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ItalicBoldRight025"/>
              <w:rPr>
                <w:rFonts w:cs="Verdana"/>
              </w:rPr>
            </w:pPr>
            <w:r>
              <w:rPr>
                <w:rFonts w:cs="Verdana"/>
              </w:rPr>
              <w:t>46.8</w:t>
            </w:r>
          </w:p>
        </w:tc>
        <w:tc>
          <w:tcPr>
            <w:tcW w:w="127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ItalicBoldRight025"/>
              <w:rPr>
                <w:rFonts w:cs="Verdana"/>
              </w:rPr>
            </w:pPr>
            <w:r>
              <w:rPr>
                <w:rFonts w:cs="Verdana"/>
              </w:rPr>
              <w:t>52.5</w:t>
            </w:r>
          </w:p>
        </w:tc>
      </w:tr>
    </w:tbl>
    <w:p w:rsidR="00F50689" w:rsidRDefault="00F50689" w:rsidP="00F50689">
      <w:pPr>
        <w:pStyle w:val="HEADER5"/>
      </w:pPr>
    </w:p>
    <w:p w:rsidR="00F50689" w:rsidRPr="00BB1B2B" w:rsidRDefault="005A36C4" w:rsidP="00F50689">
      <w:pPr>
        <w:pStyle w:val="HEADER5"/>
        <w:rPr>
          <w:lang w:val="it-IT"/>
        </w:rPr>
      </w:pPr>
      <w:r>
        <w:rPr>
          <w:lang w:val="it-IT"/>
        </w:rPr>
        <w:t>M</w:t>
      </w:r>
      <w:r w:rsidR="007C0B3B">
        <w:rPr>
          <w:lang w:val="it-IT"/>
        </w:rPr>
        <w:t>acro-</w:t>
      </w:r>
      <w:proofErr w:type="spellStart"/>
      <w:r w:rsidR="007C0B3B">
        <w:rPr>
          <w:lang w:val="it-IT"/>
        </w:rPr>
        <w:t>f</w:t>
      </w:r>
      <w:r>
        <w:rPr>
          <w:lang w:val="it-IT"/>
        </w:rPr>
        <w:t>inancial</w:t>
      </w:r>
      <w:proofErr w:type="spellEnd"/>
      <w:r>
        <w:rPr>
          <w:lang w:val="it-IT"/>
        </w:rPr>
        <w:t xml:space="preserve"> Assistance (</w:t>
      </w:r>
      <w:r w:rsidRPr="00BB1B2B">
        <w:rPr>
          <w:lang w:val="it-IT"/>
        </w:rPr>
        <w:t>MFA</w:t>
      </w:r>
      <w:r>
        <w:rPr>
          <w:lang w:val="it-IT"/>
        </w:rPr>
        <w:t xml:space="preserve">) </w:t>
      </w:r>
    </w:p>
    <w:p w:rsidR="00F50689" w:rsidRDefault="005A36C4" w:rsidP="00F50689">
      <w:pPr>
        <w:pStyle w:val="DGTextstand-alone"/>
      </w:pPr>
      <w:r w:rsidRPr="00EA1E2B">
        <w:t>MFA</w:t>
      </w:r>
      <w:r w:rsidRPr="00FE6EB7">
        <w:rPr>
          <w:b/>
        </w:rPr>
        <w:t xml:space="preserve"> </w:t>
      </w:r>
      <w:r>
        <w:t xml:space="preserve">is a policy-based financial instrument of untied and undesignated balance of payment and/or budget support to partner third-countries geographically close to the EU territory. It takes the form of medium/long term loans or grants or an appropriate combination of both and generally complements financing provided in the context of an IMF-supported adjustment and reform program. These loans are guaranteed by the Guarantee Fund for external actions (see note </w:t>
      </w:r>
      <w:r w:rsidRPr="008A2E4A">
        <w:rPr>
          <w:b/>
        </w:rPr>
        <w:t>2.4</w:t>
      </w:r>
      <w:r>
        <w:t xml:space="preserve"> of the financial statements).</w:t>
      </w:r>
    </w:p>
    <w:p w:rsidR="00F50689" w:rsidRDefault="005A36C4" w:rsidP="00F50689">
      <w:pPr>
        <w:pStyle w:val="HEADER3Part4"/>
      </w:pPr>
      <w:r>
        <w:t>Inter-governmental financial stability mechanisms outside the EU Treaty framework: European Financial Stability Facility and European Stability Mechanism</w:t>
      </w:r>
    </w:p>
    <w:p w:rsidR="00F50689" w:rsidRDefault="005A36C4" w:rsidP="00F50689">
      <w:pPr>
        <w:pStyle w:val="DGTextstand-alone"/>
      </w:pPr>
      <w:r>
        <w:t xml:space="preserve">The European Financial Stability Facility (EFSF) was created by the Eurozone Member States with the mandate to safeguard financial stability in Europe by providing financial assistance to Eurozone Member States. The EFSF is not an EU body and is entirely separate from and not consolidated in the EU accounts. It is not guaranteed by the EU budget. Consequently it has no impact on the EU accounts, aside from the possible sanctions revenue described below. With the entry into force of the ESM (see below), the EFSF did not provide new financial assistance after 1 July 2013. </w:t>
      </w:r>
    </w:p>
    <w:p w:rsidR="00F50689" w:rsidRDefault="005A36C4" w:rsidP="00F50689">
      <w:pPr>
        <w:pStyle w:val="DGTextstand-alone"/>
      </w:pPr>
      <w:r>
        <w:t>The Commission is responsible for negotiating the policy conditionality attached to the financial assistance and the monitoring of compliance with that conditionality. Regulation 1173/2011 of the Parliament and Council allows for the imposition of sanctions in the form of fines on Member States whose currency is t</w:t>
      </w:r>
      <w:r w:rsidR="00116387">
        <w:t>he Euro. These fines, being 0.2 </w:t>
      </w:r>
      <w:r>
        <w:t>% of the Member State's GDP in the preceding year, can be applied in cases where a Member State has not taken appropriate actions to correct an excessive budget deficit, or where there has been manipulation of statistics. Similarly, Regulation 1174/2011 on macroeconomic imbalances makes provision for an annual fine on a Eurozone Member State of 0.1</w:t>
      </w:r>
      <w:r w:rsidR="00A675FE">
        <w:t> </w:t>
      </w:r>
      <w:r>
        <w:t>% of GDP in the cases where a Member State has not taken the requested corrective action or in case an insufficient corrective action plan has been submitted. Regulation 1177/2011 updated Regulation 1467/97 on speeding up and clarifying the implementation of the excessive deficit procedure. This updated Regulation also foresees the possibility of issuing fines to Eurozone Member States (equal to 0.2 % of GDP plus a variable component). Fines will transit through the EU Budget and then be transferred to the EFSF. This would mean that such amounts would appear as both a budget revenue and expense, thus having no impact on the overall budget result. Likewise they would have no impact on the economic result as presented in the EU financial statements.</w:t>
      </w:r>
    </w:p>
    <w:p w:rsidR="00F50689" w:rsidRDefault="005A36C4" w:rsidP="00F50689">
      <w:pPr>
        <w:pStyle w:val="DGTextstand-alone"/>
      </w:pPr>
      <w:r>
        <w:t xml:space="preserve">The European Stability Mechanism ("ESM") is an intergovernmental organisation under public international law outside the EU Treaty framework. The ESM Treaty was signed by the </w:t>
      </w:r>
      <w:r w:rsidR="007C0B3B">
        <w:t xml:space="preserve">then </w:t>
      </w:r>
      <w:r>
        <w:t xml:space="preserve">17 Eurozone Member States and became operational in October 2012. The ESM has assumed the tasks fulfilled by the EFSM and the EFSF becoming the sole and permanent mechanism for responding to new requests for financial assistance to Eurozone Member States. Consequently, the EFSF and the EFSM no longer engage in new financing programmes or enter into new loan facility agreements. It must also be noted that the EU budget will not guarantee ESM borrowings. As this mechanism has its own legal personality and is funded directly by the Eurozone Member States, it is not an EU body and it has no impact on either the EU accounts or the EU budget, aside from the possible sanctions revenue described below. </w:t>
      </w:r>
    </w:p>
    <w:p w:rsidR="00F50689" w:rsidRDefault="007C0B3B" w:rsidP="00F50689">
      <w:pPr>
        <w:pStyle w:val="DGTextstand-alone"/>
        <w:spacing w:after="600"/>
      </w:pPr>
      <w:r>
        <w:t>F</w:t>
      </w:r>
      <w:r w:rsidR="005A36C4">
        <w:t>ines collected will pass through the EU budget and be transferred to the ESM once the EFSF is no longer operational. Furthermore, the Treaty on Stability, Coordination and Governance foresees penalty payments on any of the "Contracting Parties" where that Member State has not taken necessary measures to address a breach of deficit criterion. Penalties imposed (which cannot exceed 0.1</w:t>
      </w:r>
      <w:r w:rsidR="00A675FE">
        <w:t> </w:t>
      </w:r>
      <w:r w:rsidR="005A36C4">
        <w:t>% of GDP) will be payable to the ESM if applied to Eurozone Member States (thus with no impact on the EU budget result, as with the EFSF above), or to the EU budget for non-Euro Member States. In the latter case, the sanction amount will be revenue for the EU budget and be reflected as such in its accounts.</w:t>
      </w:r>
    </w:p>
    <w:p w:rsidR="00F50689" w:rsidRDefault="005A36C4" w:rsidP="00F50689">
      <w:pPr>
        <w:pStyle w:val="HEADER1Part4"/>
      </w:pPr>
      <w:r>
        <w:rPr>
          <w:noProof/>
        </w:rPr>
        <mc:AlternateContent>
          <mc:Choice Requires="wps">
            <w:drawing>
              <wp:anchor distT="0" distB="0" distL="114300" distR="114300" simplePos="0" relativeHeight="251658240" behindDoc="0" locked="0" layoutInCell="1" allowOverlap="1" wp14:anchorId="3821C5E6" wp14:editId="02B1E997">
                <wp:simplePos x="0" y="0"/>
                <wp:positionH relativeFrom="column">
                  <wp:posOffset>3440430</wp:posOffset>
                </wp:positionH>
                <wp:positionV relativeFrom="paragraph">
                  <wp:posOffset>240030</wp:posOffset>
                </wp:positionV>
                <wp:extent cx="280035" cy="276860"/>
                <wp:effectExtent l="1905" t="1905" r="3810" b="0"/>
                <wp:wrapNone/>
                <wp:docPr id="115"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6ABB" w:rsidRPr="00856321" w:rsidRDefault="00186ABB" w:rsidP="00F50689">
                            <w:pPr>
                              <w:pStyle w:val="NormalWeb"/>
                              <w:spacing w:before="0" w:beforeAutospacing="0" w:after="0" w:afterAutospacing="0"/>
                              <w:rPr>
                                <w:rFonts w:ascii="Verdana" w:hAnsi="Verdana"/>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2" o:spid="_x0000_s1026" type="#_x0000_t202" style="position:absolute;left:0;text-align:left;margin-left:270.9pt;margin-top:18.9pt;width:22.05pt;height:21.8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" filled="f" stroked="f">
                <v:textbox style="mso-fit-shape-to-text:t">
                  <w:txbxContent>
                    <w:p w:rsidR="00186ABB" w:rsidRPr="00856321" w:rsidRDefault="00186ABB" w:rsidP="00F50689">
                      <w:pPr>
                        <w:pStyle w:val="NormalWeb"/>
                        <w:spacing w:before="0" w:beforeAutospacing="0" w:after="0" w:afterAutospacing="0"/>
                        <w:rPr>
                          <w:rFonts w:ascii="Verdana" w:hAnsi="Verdana"/>
                        </w:rPr>
                      </w:pPr>
                    </w:p>
                  </w:txbxContent>
                </v:textbox>
              </v:shape>
            </w:pict>
          </mc:Fallback>
        </mc:AlternateContent>
      </w:r>
      <w:r>
        <w:t>Economic and financial context of EU budget implementation</w:t>
      </w:r>
    </w:p>
    <w:p w:rsidR="00F50689" w:rsidRDefault="005A36C4">
      <w:pPr>
        <w:pStyle w:val="HEADER5"/>
      </w:pPr>
      <w:r>
        <w:t>Macro-economic environment</w:t>
      </w:r>
    </w:p>
    <w:p w:rsidR="00F50689" w:rsidRDefault="005A36C4" w:rsidP="00F50689">
      <w:pPr>
        <w:pStyle w:val="DGTextstand-alone"/>
      </w:pPr>
      <w:r w:rsidRPr="00D40A00">
        <w:t xml:space="preserve">In the context of the sovereign debt crisis the economic growth in the EU Member States has slowed down from 2012 to 2013 and increased from 2013 to 2014. </w:t>
      </w:r>
      <w:r w:rsidR="007C0B3B">
        <w:t>This</w:t>
      </w:r>
      <w:r w:rsidRPr="00D40A00">
        <w:t xml:space="preserve"> general economic situation of Member States is reflected in the own resource revenue of the EU, which led to a slight increase of traditional own resources and VAT revenue. Since the GNI resource revenue is </w:t>
      </w:r>
      <w:r w:rsidR="007C0B3B">
        <w:t xml:space="preserve">a residual component which is </w:t>
      </w:r>
      <w:r w:rsidRPr="00D40A00">
        <w:t xml:space="preserve">directly linked to the total level of payment appropriations adopted by the Budget Authority </w:t>
      </w:r>
      <w:r w:rsidR="007C0B3B">
        <w:t>(</w:t>
      </w:r>
      <w:r w:rsidRPr="00D40A00">
        <w:t>and these appropriations have been reduced by Member States in the 2014-2020 MFF</w:t>
      </w:r>
      <w:r w:rsidR="007C0B3B">
        <w:t>)</w:t>
      </w:r>
      <w:r w:rsidRPr="00D40A00">
        <w:t>, the amount of GNI resource revenue decreased in 2014.</w:t>
      </w:r>
    </w:p>
    <w:p w:rsidR="00F50689" w:rsidRDefault="005A36C4" w:rsidP="00F50689">
      <w:pPr>
        <w:pStyle w:val="DGTextstand-alone"/>
      </w:pPr>
      <w:r>
        <w:t>The reinforcement of the Stability and Growth Pact in the EU paves the way for sustainable public finances of the EU Member States concerned. The Fiscal pact aims at consolidating the public finances of the Member States and shall enable them to increase their GDP in the years to come.</w:t>
      </w:r>
    </w:p>
    <w:p w:rsidR="00F50689" w:rsidRDefault="005A36C4" w:rsidP="00F50689">
      <w:pPr>
        <w:pStyle w:val="DGTextstand-alone"/>
      </w:pPr>
      <w:r>
        <w:t>The policy of the European Central Bank (ECB) of keeping interest rates at a low level supports the stabilisation of the Euro-area economy. The ECB contributes within its mandate to the increase of growth of the Euro area.</w:t>
      </w:r>
    </w:p>
    <w:p w:rsidR="00F50689" w:rsidRDefault="005A36C4">
      <w:pPr>
        <w:rPr>
          <w:rFonts w:ascii="Verdana" w:hAnsi="Verdana"/>
          <w:b/>
          <w:color w:val="016794"/>
          <w:sz w:val="18"/>
          <w:szCs w:val="18"/>
        </w:rPr>
      </w:pPr>
      <w:r>
        <w:br w:type="page"/>
      </w:r>
    </w:p>
    <w:p w:rsidR="00F50689" w:rsidRDefault="005A36C4">
      <w:pPr>
        <w:pStyle w:val="HEADER5"/>
      </w:pPr>
      <w:r>
        <w:t>Gross Domestic Product of EU 28 at market prices</w:t>
      </w:r>
    </w:p>
    <w:p w:rsidR="00F50689" w:rsidRDefault="005A36C4" w:rsidP="00F50689">
      <w:pPr>
        <w:pStyle w:val="Textstand-alone"/>
        <w:jc w:val="center"/>
      </w:pPr>
      <w:r>
        <w:rPr>
          <w:lang w:eastAsia="en-GB"/>
        </w:rPr>
        <w:drawing>
          <wp:inline distT="0" distB="0" distL="0" distR="0" wp14:anchorId="7E5B01F2" wp14:editId="046694AF">
            <wp:extent cx="4333875" cy="2581275"/>
            <wp:effectExtent l="0" t="0" r="952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50689" w:rsidRDefault="005A36C4">
      <w:pPr>
        <w:pStyle w:val="HEADER5"/>
      </w:pPr>
      <w:r>
        <w:t xml:space="preserve">GNI resource revenue </w:t>
      </w:r>
    </w:p>
    <w:p w:rsidR="00F50689" w:rsidRDefault="005A36C4" w:rsidP="00F50689">
      <w:pPr>
        <w:pStyle w:val="Textstand-alone"/>
        <w:spacing w:after="480"/>
        <w:jc w:val="center"/>
      </w:pPr>
      <w:r>
        <w:rPr>
          <w:lang w:eastAsia="en-GB"/>
        </w:rPr>
        <w:drawing>
          <wp:inline distT="0" distB="0" distL="0" distR="0" wp14:anchorId="6E62BA0A" wp14:editId="5C8801E0">
            <wp:extent cx="4293704" cy="2401294"/>
            <wp:effectExtent l="0" t="0" r="12065" b="1841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50689" w:rsidRDefault="005A36C4">
      <w:pPr>
        <w:pStyle w:val="HEADER5"/>
      </w:pPr>
      <w:r>
        <w:t>Unpaid payment claims</w:t>
      </w:r>
    </w:p>
    <w:p w:rsidR="00F50689" w:rsidRDefault="005A36C4" w:rsidP="00F50689">
      <w:pPr>
        <w:pStyle w:val="DGTextstand-alone"/>
        <w:spacing w:before="120"/>
      </w:pPr>
      <w:r>
        <w:t>Due to the macro-economic environment in the EU</w:t>
      </w:r>
      <w:r w:rsidR="007C0B3B">
        <w:t>,</w:t>
      </w:r>
      <w:r>
        <w:t xml:space="preserve"> the pressure on the national budgets of Member States leads to pressure on the payment appropriations of the EU budget. This development has an immediate effect on the payment claims received from Member States and other benficiaries. The </w:t>
      </w:r>
      <w:r w:rsidR="00386B0F">
        <w:t>total</w:t>
      </w:r>
      <w:r>
        <w:t xml:space="preserve"> of unpaid payment claims at year-end has increased from EUR</w:t>
      </w:r>
      <w:r w:rsidR="00A675FE">
        <w:t> </w:t>
      </w:r>
      <w:r>
        <w:t>24.3</w:t>
      </w:r>
      <w:r w:rsidR="00A675FE">
        <w:t> </w:t>
      </w:r>
      <w:r>
        <w:t>billion in 2013 to EUR 25.8 billion in 2014. Although there will always be outstanding claims due to amounts submitted close to the year-end, the main reason for the excepetional amounts noted in recent years is the shortage of payment appropriations.</w:t>
      </w:r>
    </w:p>
    <w:p w:rsidR="00F50689" w:rsidRDefault="005A36C4" w:rsidP="00F50689">
      <w:pPr>
        <w:pStyle w:val="DGTextstand-alone"/>
      </w:pPr>
      <w:r>
        <w:t xml:space="preserve">Unpaid payment claims must be financed by future budgets. With this in mind, in May 2015 the </w:t>
      </w:r>
      <w:r w:rsidR="008C16AE">
        <w:t>EP</w:t>
      </w:r>
      <w:r>
        <w:t xml:space="preserve">, the Council and the Commission have agreed on a payment plan to bring the EU budget back on a sustainable track. For the EU it is crucial to consider the long-term </w:t>
      </w:r>
      <w:r w:rsidR="007C0B3B">
        <w:t xml:space="preserve">needs </w:t>
      </w:r>
      <w:r>
        <w:t>budgetary payment appropriation</w:t>
      </w:r>
      <w:r w:rsidR="007C0B3B">
        <w:t>s</w:t>
      </w:r>
      <w:r>
        <w:t xml:space="preserve"> since it is these which are decided on by the Budgetary Authority and without these, no payments can be made or cash transferred. Once agreed, appropriations are automatically transformed into available cash of the EU through the monthly own resource collection process. </w:t>
      </w:r>
    </w:p>
    <w:p w:rsidR="00F50689" w:rsidRDefault="005A36C4" w:rsidP="00F50689">
      <w:pPr>
        <w:pStyle w:val="DGTextstand-alone"/>
      </w:pPr>
      <w:r>
        <w:t xml:space="preserve">Within the Commission, short-term cashflow forecasting is done weekly (sometimes daily) to ensure that the immediate payment obligations of the EU can be met, </w:t>
      </w:r>
      <w:r w:rsidR="007C0B3B">
        <w:t>respecting</w:t>
      </w:r>
      <w:r>
        <w:t xml:space="preserve"> the limits of the payment appropriations available in the budget. This short term forecast is the basis used to estimate the amount of own resources to be called monthly from Member States. On the first working day of each month Member States must credit to the Commission’s own resource accounts one-twelfth of the total amount of the VAT and GNI-based resource entered in the Union's budget. Depending on the Commission's cash position, Member States may be asked in the first quarter of the year to bring forward, by one or two months, the VAT and GNI based resources. Those advances have to be deducted from calls for funds in later months, depending on the forecasted cash needs. </w:t>
      </w:r>
    </w:p>
    <w:p w:rsidR="00F50689" w:rsidRDefault="005A36C4" w:rsidP="00F50689">
      <w:pPr>
        <w:pStyle w:val="DGTextstand-alone"/>
      </w:pPr>
      <w:r>
        <w:t>For the medium and long-term, the Commission monitors in detail the payment requirements of the EU as part of its regular activities</w:t>
      </w:r>
      <w:r w:rsidR="007C0B3B">
        <w:t>.</w:t>
      </w:r>
      <w:r>
        <w:t xml:space="preserve"> </w:t>
      </w:r>
      <w:r w:rsidR="007C0B3B">
        <w:t>F</w:t>
      </w:r>
      <w:r>
        <w:t>or example, this is required for the preparation of Commission proposals on the MFF, as part of the annual budget preparation and when preparing amending budgets. In the negotiation phase of the MFF, the models used and the assumptions underlying are monitored regularly and updated when necessary. The results of the model simulation are channelled into the budgetary negotiations establishing the MFF payment ceiling.</w:t>
      </w:r>
    </w:p>
    <w:p w:rsidR="00F50689" w:rsidRDefault="005A36C4">
      <w:pPr>
        <w:pStyle w:val="HEADER5"/>
      </w:pPr>
      <w:r>
        <w:t>Development of payment &amp; commitment appropriations, RAL and unpaid payment claims backlog</w:t>
      </w:r>
      <w:r w:rsidR="007C0B3B">
        <w:t xml:space="preserve"> in EUR millions</w:t>
      </w:r>
    </w:p>
    <w:p w:rsidR="00F50689" w:rsidRDefault="00F50689">
      <w:pPr>
        <w:pStyle w:val="HEADER5"/>
      </w:pPr>
    </w:p>
    <w:p w:rsidR="00F50689" w:rsidRDefault="005A36C4" w:rsidP="00F50689">
      <w:pPr>
        <w:pStyle w:val="Textstand-alone"/>
      </w:pPr>
      <w:r>
        <w:rPr>
          <w:lang w:eastAsia="en-GB"/>
        </w:rPr>
        <w:drawing>
          <wp:inline distT="0" distB="0" distL="0" distR="0" wp14:anchorId="68BCCBF5" wp14:editId="2DE97130">
            <wp:extent cx="5934074" cy="4095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1108" cy="4100605"/>
                    </a:xfrm>
                    <a:prstGeom prst="rect">
                      <a:avLst/>
                    </a:prstGeom>
                  </pic:spPr>
                </pic:pic>
              </a:graphicData>
            </a:graphic>
          </wp:inline>
        </w:drawing>
      </w:r>
    </w:p>
    <w:p w:rsidR="00F50689" w:rsidRDefault="005A36C4" w:rsidP="00F50689">
      <w:pPr>
        <w:pStyle w:val="Textstand-alone"/>
        <w:sectPr w:rsidR="00F50689" w:rsidSect="00F50689">
          <w:headerReference w:type="even" r:id="rId41"/>
          <w:headerReference w:type="default" r:id="rId42"/>
          <w:footerReference w:type="even" r:id="rId43"/>
          <w:footerReference w:type="default" r:id="rId44"/>
          <w:headerReference w:type="first" r:id="rId45"/>
          <w:footerReference w:type="first" r:id="rId46"/>
          <w:pgSz w:w="11907" w:h="16840"/>
          <w:pgMar w:top="1134" w:right="1134" w:bottom="1134" w:left="1134" w:header="709" w:footer="709" w:gutter="0"/>
          <w:cols w:space="708"/>
          <w:docGrid w:linePitch="360"/>
        </w:sectPr>
      </w:pPr>
      <w:r>
        <w:t xml:space="preserve"> </w:t>
      </w:r>
      <w:bookmarkEnd w:id="5"/>
    </w:p>
    <w:p w:rsidR="00F50689" w:rsidRPr="00DA3B33" w:rsidRDefault="005A36C4" w:rsidP="005F66D3">
      <w:pPr>
        <w:pStyle w:val="FIRSTCHAPTERPAGE"/>
      </w:pPr>
      <w:bookmarkStart w:id="7" w:name="_Toc424745961"/>
      <w:bookmarkStart w:id="8" w:name="_DMBM_2686"/>
      <w:r w:rsidRPr="00DA3B33">
        <w:t>NOTE ACCOMPANYING THE CONSOLIDATED ACCOUNTS</w:t>
      </w:r>
      <w:bookmarkEnd w:id="7"/>
    </w:p>
    <w:p w:rsidR="00F50689" w:rsidRPr="00DA3B33" w:rsidRDefault="00F50689" w:rsidP="00F50689">
      <w:pPr>
        <w:pStyle w:val="HEADERTITLE"/>
        <w:spacing w:after="0"/>
      </w:pPr>
    </w:p>
    <w:p w:rsidR="00F50689" w:rsidRDefault="005A36C4" w:rsidP="00F50689">
      <w:pPr>
        <w:pStyle w:val="Textstand-alone"/>
      </w:pPr>
      <w:r w:rsidRPr="00C96E76">
        <w:t xml:space="preserve">The consolidated annual accounts of the European Union for the year 2014 have been prepared on the basis of the information presented by the institutions and bodies under Article 148(2) of the Financial Regulation applicable to the general budget of the European </w:t>
      </w:r>
      <w:r>
        <w:t>Union. I hereby declare that they were prepared in accordance with Title IX of this Financial Regulation and with the accounting principles, rules and methods set out in the notes to the financial statements.</w:t>
      </w:r>
    </w:p>
    <w:p w:rsidR="00F50689" w:rsidRDefault="005A36C4" w:rsidP="00F50689">
      <w:pPr>
        <w:pStyle w:val="Textstand-alone"/>
      </w:pPr>
      <w:r>
        <w:t>I have obtained from the accounting officers of these institutions and bodies, who certified its reliability, all the information necessary for the production of the accounts that show the European Union's assets and liabilities and the budgetary implementation.</w:t>
      </w:r>
    </w:p>
    <w:p w:rsidR="00F50689" w:rsidRDefault="005A36C4" w:rsidP="00F50689">
      <w:pPr>
        <w:pStyle w:val="Textstand-alone"/>
      </w:pPr>
      <w:r>
        <w:t>I hereby certify that based on this information, and on such checks as I deemed necessary to sign off the accounts of the European Commission, I have a reasonable assurance that the accounts present fairly, in all material aspects, the financial position, the results of the operations and the cashflows of the European Union.</w:t>
      </w:r>
    </w:p>
    <w:p w:rsidR="00F50689" w:rsidRDefault="00F50689" w:rsidP="00F50689">
      <w:pPr>
        <w:pStyle w:val="Textstand-alone"/>
      </w:pPr>
    </w:p>
    <w:p w:rsidR="00F50689" w:rsidRDefault="00F50689" w:rsidP="00F50689">
      <w:pPr>
        <w:pStyle w:val="Textstand-alone"/>
      </w:pPr>
    </w:p>
    <w:p w:rsidR="00F50689" w:rsidRDefault="001A62AA" w:rsidP="00F50689">
      <w:pPr>
        <w:pStyle w:val="SignatureRightItalic"/>
      </w:pPr>
      <w:r>
        <w:t>[signed]</w:t>
      </w:r>
    </w:p>
    <w:p w:rsidR="00F50689" w:rsidRDefault="005A36C4" w:rsidP="00F50689">
      <w:pPr>
        <w:pStyle w:val="SignatureRight"/>
      </w:pPr>
      <w:r>
        <w:t xml:space="preserve">Manfred </w:t>
      </w:r>
      <w:proofErr w:type="spellStart"/>
      <w:r>
        <w:t>Kraff</w:t>
      </w:r>
      <w:proofErr w:type="spellEnd"/>
    </w:p>
    <w:p w:rsidR="00F50689" w:rsidRDefault="005A36C4" w:rsidP="00F50689">
      <w:pPr>
        <w:pStyle w:val="SignatureRightBold"/>
      </w:pPr>
      <w:r>
        <w:t>Accounting Officer of the Commission</w:t>
      </w:r>
    </w:p>
    <w:p w:rsidR="00F50689" w:rsidRDefault="001A472B" w:rsidP="00F50689">
      <w:pPr>
        <w:pStyle w:val="SignatureRightItalic0"/>
      </w:pPr>
      <w:r>
        <w:t>17</w:t>
      </w:r>
      <w:r w:rsidR="005A36C4">
        <w:t xml:space="preserve"> July 2015</w:t>
      </w:r>
    </w:p>
    <w:p w:rsidR="00F50689" w:rsidRPr="00C96E76" w:rsidRDefault="005A36C4" w:rsidP="00F50689">
      <w:pPr>
        <w:pStyle w:val="SignatureRightItalic0"/>
        <w:sectPr w:rsidR="00F50689" w:rsidRPr="00C96E76" w:rsidSect="00F50689">
          <w:headerReference w:type="even" r:id="rId47"/>
          <w:headerReference w:type="default" r:id="rId48"/>
          <w:footerReference w:type="even" r:id="rId49"/>
          <w:footerReference w:type="default" r:id="rId50"/>
          <w:headerReference w:type="first" r:id="rId51"/>
          <w:footerReference w:type="first" r:id="rId52"/>
          <w:pgSz w:w="11906" w:h="16838"/>
          <w:pgMar w:top="1134" w:right="1134" w:bottom="1134" w:left="1134" w:header="709" w:footer="709" w:gutter="0"/>
          <w:cols w:space="708"/>
          <w:docGrid w:linePitch="360"/>
        </w:sectPr>
      </w:pPr>
      <w:r>
        <w:t xml:space="preserve"> </w:t>
      </w:r>
      <w:bookmarkEnd w:id="8"/>
    </w:p>
    <w:p w:rsidR="00F50689" w:rsidRPr="00012B40" w:rsidRDefault="005A36C4" w:rsidP="00F50689">
      <w:pPr>
        <w:pStyle w:val="FinancialYear"/>
      </w:pPr>
      <w:bookmarkStart w:id="9" w:name="_DMBM_2599"/>
      <w:r>
        <w:t>EUROPEAN UNION</w:t>
      </w:r>
    </w:p>
    <w:p w:rsidR="00F50689" w:rsidRDefault="005A36C4" w:rsidP="00F50689">
      <w:pPr>
        <w:pStyle w:val="FinancialYear"/>
      </w:pPr>
      <w:r>
        <w:t>FINANCIAL YEAR 2014</w:t>
      </w:r>
    </w:p>
    <w:p w:rsidR="00F50689" w:rsidRDefault="00F50689" w:rsidP="00F50689">
      <w:pPr>
        <w:pStyle w:val="FIRSTCHAPTERPAGE"/>
      </w:pPr>
    </w:p>
    <w:p w:rsidR="00F50689" w:rsidRDefault="00F50689" w:rsidP="00F50689">
      <w:pPr>
        <w:pStyle w:val="FIRSTCHAPTERPAGE"/>
      </w:pPr>
    </w:p>
    <w:p w:rsidR="00F50689" w:rsidRDefault="00F50689" w:rsidP="00F50689">
      <w:pPr>
        <w:pStyle w:val="FIRSTCHAPTERPAGE"/>
      </w:pPr>
    </w:p>
    <w:p w:rsidR="00F50689" w:rsidRDefault="00F50689" w:rsidP="00F50689">
      <w:pPr>
        <w:pStyle w:val="FIRSTCHAPTERPAGE"/>
      </w:pPr>
    </w:p>
    <w:p w:rsidR="00F50689" w:rsidRDefault="005A36C4" w:rsidP="00F50689">
      <w:pPr>
        <w:pStyle w:val="FIRSTCHAPTERPAGE"/>
      </w:pPr>
      <w:bookmarkStart w:id="10" w:name="_Toc424745962"/>
      <w:r>
        <w:t>CONSOLIDATED FINANCIAL STATEMENTS AND EXPLANATORY NOTES</w:t>
      </w:r>
      <w:bookmarkEnd w:id="10"/>
    </w:p>
    <w:p w:rsidR="00F50689" w:rsidRDefault="00F50689" w:rsidP="00F50689">
      <w:pPr>
        <w:pStyle w:val="FIRSTCHAPTERPAGE"/>
      </w:pPr>
    </w:p>
    <w:p w:rsidR="00F50689" w:rsidRDefault="00F50689" w:rsidP="00F50689">
      <w:pPr>
        <w:pStyle w:val="FIRSTCHAPTERPAGE"/>
      </w:pPr>
    </w:p>
    <w:p w:rsidR="00F50689" w:rsidRDefault="00F50689" w:rsidP="00F50689">
      <w:pPr>
        <w:pStyle w:val="FIRSTCHAPTERPAGE"/>
      </w:pPr>
    </w:p>
    <w:p w:rsidR="00F50689" w:rsidRDefault="00F50689" w:rsidP="00F50689">
      <w:pPr>
        <w:pStyle w:val="FIRSTCHAPTERPAGE"/>
      </w:pPr>
    </w:p>
    <w:p w:rsidR="00F50689" w:rsidRDefault="00F50689" w:rsidP="00F50689">
      <w:pPr>
        <w:pStyle w:val="FIRSTCHAPTERPAGE"/>
      </w:pPr>
    </w:p>
    <w:p w:rsidR="00F50689" w:rsidRDefault="005A36C4" w:rsidP="00F50689">
      <w:pPr>
        <w:pStyle w:val="TOPHEADERNOTE"/>
        <w:sectPr w:rsidR="00F50689" w:rsidSect="00F50689">
          <w:headerReference w:type="even" r:id="rId53"/>
          <w:headerReference w:type="default" r:id="rId54"/>
          <w:footerReference w:type="even" r:id="rId55"/>
          <w:footerReference w:type="default" r:id="rId56"/>
          <w:headerReference w:type="first" r:id="rId57"/>
          <w:footerReference w:type="first" r:id="rId58"/>
          <w:pgSz w:w="11906" w:h="16838"/>
          <w:pgMar w:top="1134" w:right="1134" w:bottom="1134" w:left="1134" w:header="709" w:footer="709" w:gutter="0"/>
          <w:cols w:space="708"/>
          <w:docGrid w:linePitch="360"/>
        </w:sectPr>
      </w:pPr>
      <w:r>
        <w:t>It should be noted that due to the rounding of figures into millions of euros, some financial data in the tables below may appear not to add-up.</w:t>
      </w:r>
      <w:bookmarkEnd w:id="9"/>
    </w:p>
    <w:p w:rsidR="00F50689" w:rsidRDefault="005A36C4" w:rsidP="00F50689">
      <w:pPr>
        <w:pStyle w:val="HEADERTABLE"/>
      </w:pPr>
      <w:bookmarkStart w:id="11" w:name="_DMBM_2613"/>
      <w:r>
        <w:t>CONTENTS</w:t>
      </w:r>
    </w:p>
    <w:p w:rsidR="00F50689" w:rsidRDefault="00F50689" w:rsidP="00F50689">
      <w:pPr>
        <w:pStyle w:val="HEADERTABLE"/>
      </w:pPr>
    </w:p>
    <w:p w:rsidR="00F50689" w:rsidRDefault="00F50689" w:rsidP="00F50689">
      <w:pPr>
        <w:pStyle w:val="HEADERTABLE"/>
      </w:pPr>
    </w:p>
    <w:p w:rsidR="00F50689" w:rsidRPr="00F738EA" w:rsidRDefault="005A36C4" w:rsidP="00F818AC">
      <w:pPr>
        <w:pStyle w:val="TOC1"/>
        <w:rPr>
          <w:rStyle w:val="Hyperlink"/>
          <w:color w:val="016794"/>
          <w:szCs w:val="22"/>
          <w:lang w:val="fr-BE"/>
        </w:rPr>
      </w:pPr>
      <w:r>
        <w:rPr>
          <w:szCs w:val="24"/>
          <w:lang w:val="fr-BE"/>
        </w:rPr>
        <w:fldChar w:fldCharType="begin"/>
      </w:r>
      <w:r>
        <w:instrText xml:space="preserve"> TOC \h \z \t "FIRST CHAPTER_PAGE_1;1;HEADER 1_Part 2;2;HEADER_TITLE_1;1" </w:instrText>
      </w:r>
      <w:r>
        <w:rPr>
          <w:szCs w:val="24"/>
          <w:lang w:val="fr-BE"/>
        </w:rPr>
        <w:fldChar w:fldCharType="separate"/>
      </w:r>
      <w:hyperlink w:anchor="_Toc424652034" w:history="1">
        <w:r w:rsidRPr="00F738EA">
          <w:rPr>
            <w:rStyle w:val="Hyperlink"/>
            <w:color w:val="016794"/>
            <w:szCs w:val="22"/>
            <w:lang w:val="fr-BE"/>
          </w:rPr>
          <w:t>BALANCE SHEET</w:t>
        </w:r>
        <w:r w:rsidRPr="00F738EA">
          <w:rPr>
            <w:rStyle w:val="Hyperlink"/>
            <w:webHidden/>
            <w:color w:val="016794"/>
            <w:szCs w:val="22"/>
            <w:lang w:val="fr-BE"/>
          </w:rPr>
          <w:tab/>
        </w:r>
        <w:r w:rsidRPr="00F738EA">
          <w:rPr>
            <w:rStyle w:val="Hyperlink"/>
            <w:webHidden/>
            <w:color w:val="016794"/>
            <w:szCs w:val="22"/>
            <w:lang w:val="fr-BE"/>
          </w:rPr>
          <w:fldChar w:fldCharType="begin"/>
        </w:r>
        <w:r w:rsidRPr="00F738EA">
          <w:rPr>
            <w:rStyle w:val="Hyperlink"/>
            <w:webHidden/>
            <w:color w:val="016794"/>
            <w:szCs w:val="22"/>
            <w:lang w:val="fr-BE"/>
          </w:rPr>
          <w:instrText xml:space="preserve"> PAGEREF _Toc424652034 \h </w:instrText>
        </w:r>
        <w:r w:rsidRPr="00F738EA">
          <w:rPr>
            <w:rStyle w:val="Hyperlink"/>
            <w:webHidden/>
            <w:color w:val="016794"/>
            <w:szCs w:val="22"/>
            <w:lang w:val="fr-BE"/>
          </w:rPr>
        </w:r>
        <w:r w:rsidRPr="00F738EA">
          <w:rPr>
            <w:rStyle w:val="Hyperlink"/>
            <w:webHidden/>
            <w:color w:val="016794"/>
            <w:szCs w:val="22"/>
            <w:lang w:val="fr-BE"/>
          </w:rPr>
          <w:fldChar w:fldCharType="separate"/>
        </w:r>
        <w:r w:rsidR="00DE1FA9">
          <w:rPr>
            <w:rStyle w:val="Hyperlink"/>
            <w:webHidden/>
            <w:color w:val="016794"/>
            <w:szCs w:val="22"/>
            <w:lang w:val="fr-BE"/>
          </w:rPr>
          <w:t>27</w:t>
        </w:r>
        <w:r w:rsidRPr="00F738EA">
          <w:rPr>
            <w:rStyle w:val="Hyperlink"/>
            <w:webHidden/>
            <w:color w:val="016794"/>
            <w:szCs w:val="22"/>
            <w:lang w:val="fr-BE"/>
          </w:rPr>
          <w:fldChar w:fldCharType="end"/>
        </w:r>
      </w:hyperlink>
    </w:p>
    <w:p w:rsidR="00F50689" w:rsidRPr="00F738EA" w:rsidRDefault="00DE1FA9" w:rsidP="00F818AC">
      <w:pPr>
        <w:pStyle w:val="TOC1"/>
        <w:rPr>
          <w:rStyle w:val="Hyperlink"/>
          <w:color w:val="016794"/>
          <w:szCs w:val="22"/>
          <w:lang w:val="fr-BE"/>
        </w:rPr>
      </w:pPr>
      <w:hyperlink w:anchor="_Toc424652035" w:history="1">
        <w:r w:rsidR="005A36C4" w:rsidRPr="00F738EA">
          <w:rPr>
            <w:rStyle w:val="Hyperlink"/>
            <w:color w:val="016794"/>
            <w:szCs w:val="22"/>
            <w:lang w:val="fr-BE"/>
          </w:rPr>
          <w:t>STATEMENT OF FINANCIAL PERFORMANCE</w:t>
        </w:r>
        <w:r w:rsidR="005A36C4" w:rsidRPr="00F738EA">
          <w:rPr>
            <w:rStyle w:val="Hyperlink"/>
            <w:webHidden/>
            <w:color w:val="016794"/>
            <w:szCs w:val="22"/>
            <w:lang w:val="fr-BE"/>
          </w:rPr>
          <w:tab/>
        </w:r>
        <w:r w:rsidR="005A36C4" w:rsidRPr="00F738EA">
          <w:rPr>
            <w:rStyle w:val="Hyperlink"/>
            <w:webHidden/>
            <w:color w:val="016794"/>
            <w:szCs w:val="22"/>
            <w:lang w:val="fr-BE"/>
          </w:rPr>
          <w:fldChar w:fldCharType="begin"/>
        </w:r>
        <w:r w:rsidR="005A36C4" w:rsidRPr="00F738EA">
          <w:rPr>
            <w:rStyle w:val="Hyperlink"/>
            <w:webHidden/>
            <w:color w:val="016794"/>
            <w:szCs w:val="22"/>
            <w:lang w:val="fr-BE"/>
          </w:rPr>
          <w:instrText xml:space="preserve"> PAGEREF _Toc424652035 \h </w:instrText>
        </w:r>
        <w:r w:rsidR="005A36C4" w:rsidRPr="00F738EA">
          <w:rPr>
            <w:rStyle w:val="Hyperlink"/>
            <w:webHidden/>
            <w:color w:val="016794"/>
            <w:szCs w:val="22"/>
            <w:lang w:val="fr-BE"/>
          </w:rPr>
        </w:r>
        <w:r w:rsidR="005A36C4" w:rsidRPr="00F738EA">
          <w:rPr>
            <w:rStyle w:val="Hyperlink"/>
            <w:webHidden/>
            <w:color w:val="016794"/>
            <w:szCs w:val="22"/>
            <w:lang w:val="fr-BE"/>
          </w:rPr>
          <w:fldChar w:fldCharType="separate"/>
        </w:r>
        <w:r>
          <w:rPr>
            <w:rStyle w:val="Hyperlink"/>
            <w:webHidden/>
            <w:color w:val="016794"/>
            <w:szCs w:val="22"/>
            <w:lang w:val="fr-BE"/>
          </w:rPr>
          <w:t>28</w:t>
        </w:r>
        <w:r w:rsidR="005A36C4" w:rsidRPr="00F738EA">
          <w:rPr>
            <w:rStyle w:val="Hyperlink"/>
            <w:webHidden/>
            <w:color w:val="016794"/>
            <w:szCs w:val="22"/>
            <w:lang w:val="fr-BE"/>
          </w:rPr>
          <w:fldChar w:fldCharType="end"/>
        </w:r>
      </w:hyperlink>
    </w:p>
    <w:p w:rsidR="00F50689" w:rsidRPr="00F738EA" w:rsidRDefault="00DE1FA9" w:rsidP="00F818AC">
      <w:pPr>
        <w:pStyle w:val="TOC1"/>
        <w:rPr>
          <w:rStyle w:val="Hyperlink"/>
          <w:color w:val="016794"/>
          <w:szCs w:val="22"/>
          <w:lang w:val="fr-BE"/>
        </w:rPr>
      </w:pPr>
      <w:hyperlink w:anchor="_Toc424652036" w:history="1">
        <w:r w:rsidR="005A36C4" w:rsidRPr="00F738EA">
          <w:rPr>
            <w:rStyle w:val="Hyperlink"/>
            <w:color w:val="016794"/>
            <w:szCs w:val="22"/>
            <w:lang w:val="fr-BE"/>
          </w:rPr>
          <w:t>CASHFLOW STATEMENT</w:t>
        </w:r>
        <w:r w:rsidR="005A36C4" w:rsidRPr="00F738EA">
          <w:rPr>
            <w:rStyle w:val="Hyperlink"/>
            <w:webHidden/>
            <w:color w:val="016794"/>
            <w:szCs w:val="22"/>
            <w:lang w:val="fr-BE"/>
          </w:rPr>
          <w:tab/>
        </w:r>
        <w:r w:rsidR="005A36C4" w:rsidRPr="00F738EA">
          <w:rPr>
            <w:rStyle w:val="Hyperlink"/>
            <w:webHidden/>
            <w:color w:val="016794"/>
            <w:szCs w:val="22"/>
            <w:lang w:val="fr-BE"/>
          </w:rPr>
          <w:fldChar w:fldCharType="begin"/>
        </w:r>
        <w:r w:rsidR="005A36C4" w:rsidRPr="00F738EA">
          <w:rPr>
            <w:rStyle w:val="Hyperlink"/>
            <w:webHidden/>
            <w:color w:val="016794"/>
            <w:szCs w:val="22"/>
            <w:lang w:val="fr-BE"/>
          </w:rPr>
          <w:instrText xml:space="preserve"> PAGEREF _Toc424652036 \h </w:instrText>
        </w:r>
        <w:r w:rsidR="005A36C4" w:rsidRPr="00F738EA">
          <w:rPr>
            <w:rStyle w:val="Hyperlink"/>
            <w:webHidden/>
            <w:color w:val="016794"/>
            <w:szCs w:val="22"/>
            <w:lang w:val="fr-BE"/>
          </w:rPr>
        </w:r>
        <w:r w:rsidR="005A36C4" w:rsidRPr="00F738EA">
          <w:rPr>
            <w:rStyle w:val="Hyperlink"/>
            <w:webHidden/>
            <w:color w:val="016794"/>
            <w:szCs w:val="22"/>
            <w:lang w:val="fr-BE"/>
          </w:rPr>
          <w:fldChar w:fldCharType="separate"/>
        </w:r>
        <w:r>
          <w:rPr>
            <w:rStyle w:val="Hyperlink"/>
            <w:webHidden/>
            <w:color w:val="016794"/>
            <w:szCs w:val="22"/>
            <w:lang w:val="fr-BE"/>
          </w:rPr>
          <w:t>29</w:t>
        </w:r>
        <w:r w:rsidR="005A36C4" w:rsidRPr="00F738EA">
          <w:rPr>
            <w:rStyle w:val="Hyperlink"/>
            <w:webHidden/>
            <w:color w:val="016794"/>
            <w:szCs w:val="22"/>
            <w:lang w:val="fr-BE"/>
          </w:rPr>
          <w:fldChar w:fldCharType="end"/>
        </w:r>
      </w:hyperlink>
    </w:p>
    <w:p w:rsidR="00F50689" w:rsidRPr="00F738EA" w:rsidRDefault="00DE1FA9" w:rsidP="00F818AC">
      <w:pPr>
        <w:pStyle w:val="TOC1"/>
        <w:rPr>
          <w:rStyle w:val="Hyperlink"/>
          <w:color w:val="016794"/>
          <w:szCs w:val="22"/>
          <w:lang w:val="fr-BE"/>
        </w:rPr>
      </w:pPr>
      <w:hyperlink w:anchor="_Toc424652037" w:history="1">
        <w:r w:rsidR="005A36C4" w:rsidRPr="00F738EA">
          <w:rPr>
            <w:rStyle w:val="Hyperlink"/>
            <w:color w:val="016794"/>
            <w:szCs w:val="22"/>
            <w:lang w:val="fr-BE"/>
          </w:rPr>
          <w:t>STATEMENT OF CHANGES IN NET ASSETS</w:t>
        </w:r>
        <w:r w:rsidR="005A36C4" w:rsidRPr="00F738EA">
          <w:rPr>
            <w:rStyle w:val="Hyperlink"/>
            <w:webHidden/>
            <w:color w:val="016794"/>
            <w:szCs w:val="22"/>
            <w:lang w:val="fr-BE"/>
          </w:rPr>
          <w:tab/>
        </w:r>
        <w:r w:rsidR="005A36C4" w:rsidRPr="00F738EA">
          <w:rPr>
            <w:rStyle w:val="Hyperlink"/>
            <w:webHidden/>
            <w:color w:val="016794"/>
            <w:szCs w:val="22"/>
            <w:lang w:val="fr-BE"/>
          </w:rPr>
          <w:fldChar w:fldCharType="begin"/>
        </w:r>
        <w:r w:rsidR="005A36C4" w:rsidRPr="00F738EA">
          <w:rPr>
            <w:rStyle w:val="Hyperlink"/>
            <w:webHidden/>
            <w:color w:val="016794"/>
            <w:szCs w:val="22"/>
            <w:lang w:val="fr-BE"/>
          </w:rPr>
          <w:instrText xml:space="preserve"> PAGEREF _Toc424652037 \h </w:instrText>
        </w:r>
        <w:r w:rsidR="005A36C4" w:rsidRPr="00F738EA">
          <w:rPr>
            <w:rStyle w:val="Hyperlink"/>
            <w:webHidden/>
            <w:color w:val="016794"/>
            <w:szCs w:val="22"/>
            <w:lang w:val="fr-BE"/>
          </w:rPr>
        </w:r>
        <w:r w:rsidR="005A36C4" w:rsidRPr="00F738EA">
          <w:rPr>
            <w:rStyle w:val="Hyperlink"/>
            <w:webHidden/>
            <w:color w:val="016794"/>
            <w:szCs w:val="22"/>
            <w:lang w:val="fr-BE"/>
          </w:rPr>
          <w:fldChar w:fldCharType="separate"/>
        </w:r>
        <w:r>
          <w:rPr>
            <w:rStyle w:val="Hyperlink"/>
            <w:webHidden/>
            <w:color w:val="016794"/>
            <w:szCs w:val="22"/>
            <w:lang w:val="fr-BE"/>
          </w:rPr>
          <w:t>30</w:t>
        </w:r>
        <w:r w:rsidR="005A36C4" w:rsidRPr="00F738EA">
          <w:rPr>
            <w:rStyle w:val="Hyperlink"/>
            <w:webHidden/>
            <w:color w:val="016794"/>
            <w:szCs w:val="22"/>
            <w:lang w:val="fr-BE"/>
          </w:rPr>
          <w:fldChar w:fldCharType="end"/>
        </w:r>
      </w:hyperlink>
    </w:p>
    <w:p w:rsidR="00F50689" w:rsidRPr="00F738EA" w:rsidRDefault="00DE1FA9" w:rsidP="00F818AC">
      <w:pPr>
        <w:pStyle w:val="TOC1"/>
        <w:rPr>
          <w:rStyle w:val="Hyperlink"/>
          <w:color w:val="016794"/>
          <w:szCs w:val="22"/>
          <w:lang w:val="fr-BE"/>
        </w:rPr>
      </w:pPr>
      <w:hyperlink w:anchor="_Toc424652038" w:history="1">
        <w:r w:rsidR="005A36C4" w:rsidRPr="00F738EA">
          <w:rPr>
            <w:rStyle w:val="Hyperlink"/>
            <w:color w:val="016794"/>
            <w:szCs w:val="22"/>
            <w:lang w:val="fr-BE"/>
          </w:rPr>
          <w:t>NOTES TO THE FINANCIAL STATEMENTS</w:t>
        </w:r>
        <w:r w:rsidR="005A36C4" w:rsidRPr="00F738EA">
          <w:rPr>
            <w:rStyle w:val="Hyperlink"/>
            <w:webHidden/>
            <w:color w:val="016794"/>
            <w:szCs w:val="22"/>
            <w:lang w:val="fr-BE"/>
          </w:rPr>
          <w:tab/>
        </w:r>
        <w:r w:rsidR="005A36C4" w:rsidRPr="00F738EA">
          <w:rPr>
            <w:rStyle w:val="Hyperlink"/>
            <w:webHidden/>
            <w:color w:val="016794"/>
            <w:szCs w:val="22"/>
            <w:lang w:val="fr-BE"/>
          </w:rPr>
          <w:fldChar w:fldCharType="begin"/>
        </w:r>
        <w:r w:rsidR="005A36C4" w:rsidRPr="00F738EA">
          <w:rPr>
            <w:rStyle w:val="Hyperlink"/>
            <w:webHidden/>
            <w:color w:val="016794"/>
            <w:szCs w:val="22"/>
            <w:lang w:val="fr-BE"/>
          </w:rPr>
          <w:instrText xml:space="preserve"> PAGEREF _Toc424652038 \h </w:instrText>
        </w:r>
        <w:r w:rsidR="005A36C4" w:rsidRPr="00F738EA">
          <w:rPr>
            <w:rStyle w:val="Hyperlink"/>
            <w:webHidden/>
            <w:color w:val="016794"/>
            <w:szCs w:val="22"/>
            <w:lang w:val="fr-BE"/>
          </w:rPr>
        </w:r>
        <w:r w:rsidR="005A36C4" w:rsidRPr="00F738EA">
          <w:rPr>
            <w:rStyle w:val="Hyperlink"/>
            <w:webHidden/>
            <w:color w:val="016794"/>
            <w:szCs w:val="22"/>
            <w:lang w:val="fr-BE"/>
          </w:rPr>
          <w:fldChar w:fldCharType="separate"/>
        </w:r>
        <w:r>
          <w:rPr>
            <w:rStyle w:val="Hyperlink"/>
            <w:webHidden/>
            <w:color w:val="016794"/>
            <w:szCs w:val="22"/>
            <w:lang w:val="fr-BE"/>
          </w:rPr>
          <w:t>31</w:t>
        </w:r>
        <w:r w:rsidR="005A36C4" w:rsidRPr="00F738EA">
          <w:rPr>
            <w:rStyle w:val="Hyperlink"/>
            <w:webHidden/>
            <w:color w:val="016794"/>
            <w:szCs w:val="22"/>
            <w:lang w:val="fr-BE"/>
          </w:rPr>
          <w:fldChar w:fldCharType="end"/>
        </w:r>
      </w:hyperlink>
    </w:p>
    <w:p w:rsidR="00F50689" w:rsidRPr="00827CE4" w:rsidRDefault="00F50689" w:rsidP="00F50689">
      <w:pPr>
        <w:rPr>
          <w:rFonts w:eastAsiaTheme="minorEastAsia"/>
          <w:lang w:val="fr-BE"/>
        </w:rPr>
      </w:pPr>
    </w:p>
    <w:p w:rsidR="00F50689" w:rsidRPr="00F738EA" w:rsidRDefault="00DE1FA9" w:rsidP="00F738EA">
      <w:pPr>
        <w:pStyle w:val="TOC2"/>
        <w:tabs>
          <w:tab w:val="clear" w:pos="1134"/>
          <w:tab w:val="left" w:pos="851"/>
        </w:tabs>
        <w:spacing w:after="100"/>
        <w:ind w:left="851" w:hanging="611"/>
        <w:rPr>
          <w:rStyle w:val="Hyperlink"/>
          <w:color w:val="595959" w:themeColor="text1" w:themeTint="A6"/>
          <w:szCs w:val="20"/>
          <w:lang w:val="fr-BE"/>
        </w:rPr>
      </w:pPr>
      <w:hyperlink w:anchor="_Toc424652039" w:history="1">
        <w:r w:rsidR="005A36C4" w:rsidRPr="00F738EA">
          <w:rPr>
            <w:rStyle w:val="Hyperlink"/>
            <w:color w:val="595959" w:themeColor="text1" w:themeTint="A6"/>
            <w:szCs w:val="20"/>
            <w:lang w:val="fr-BE"/>
          </w:rPr>
          <w:t>1.</w:t>
        </w:r>
        <w:r w:rsidR="005A36C4" w:rsidRPr="00F738EA">
          <w:rPr>
            <w:rStyle w:val="Hyperlink"/>
            <w:color w:val="595959" w:themeColor="text1" w:themeTint="A6"/>
            <w:szCs w:val="20"/>
            <w:lang w:val="fr-BE"/>
          </w:rPr>
          <w:tab/>
          <w:t>SIGNIFICANT ACCOUNTING POLICIES</w:t>
        </w:r>
        <w:r w:rsidR="005A36C4" w:rsidRPr="00F738EA">
          <w:rPr>
            <w:rStyle w:val="Hyperlink"/>
            <w:webHidden/>
            <w:color w:val="595959" w:themeColor="text1" w:themeTint="A6"/>
            <w:szCs w:val="20"/>
            <w:lang w:val="fr-BE"/>
          </w:rPr>
          <w:tab/>
        </w:r>
        <w:r w:rsidR="005A36C4" w:rsidRPr="00F738EA">
          <w:rPr>
            <w:rStyle w:val="Hyperlink"/>
            <w:webHidden/>
            <w:color w:val="595959" w:themeColor="text1" w:themeTint="A6"/>
            <w:szCs w:val="20"/>
            <w:lang w:val="fr-BE"/>
          </w:rPr>
          <w:fldChar w:fldCharType="begin"/>
        </w:r>
        <w:r w:rsidR="005A36C4" w:rsidRPr="00F738EA">
          <w:rPr>
            <w:rStyle w:val="Hyperlink"/>
            <w:webHidden/>
            <w:color w:val="595959" w:themeColor="text1" w:themeTint="A6"/>
            <w:szCs w:val="20"/>
            <w:lang w:val="fr-BE"/>
          </w:rPr>
          <w:instrText xml:space="preserve"> PAGEREF _Toc424652039 \h </w:instrText>
        </w:r>
        <w:r w:rsidR="005A36C4" w:rsidRPr="00F738EA">
          <w:rPr>
            <w:rStyle w:val="Hyperlink"/>
            <w:webHidden/>
            <w:color w:val="595959" w:themeColor="text1" w:themeTint="A6"/>
            <w:szCs w:val="20"/>
            <w:lang w:val="fr-BE"/>
          </w:rPr>
        </w:r>
        <w:r w:rsidR="005A36C4" w:rsidRPr="00F738EA">
          <w:rPr>
            <w:rStyle w:val="Hyperlink"/>
            <w:webHidden/>
            <w:color w:val="595959" w:themeColor="text1" w:themeTint="A6"/>
            <w:szCs w:val="20"/>
            <w:lang w:val="fr-BE"/>
          </w:rPr>
          <w:fldChar w:fldCharType="separate"/>
        </w:r>
        <w:r>
          <w:rPr>
            <w:rStyle w:val="Hyperlink"/>
            <w:webHidden/>
            <w:color w:val="595959" w:themeColor="text1" w:themeTint="A6"/>
            <w:szCs w:val="20"/>
            <w:lang w:val="fr-BE"/>
          </w:rPr>
          <w:t>32</w:t>
        </w:r>
        <w:r w:rsidR="005A36C4" w:rsidRPr="00F738EA">
          <w:rPr>
            <w:rStyle w:val="Hyperlink"/>
            <w:webHidden/>
            <w:color w:val="595959" w:themeColor="text1" w:themeTint="A6"/>
            <w:szCs w:val="20"/>
            <w:lang w:val="fr-BE"/>
          </w:rPr>
          <w:fldChar w:fldCharType="end"/>
        </w:r>
      </w:hyperlink>
    </w:p>
    <w:p w:rsidR="00F50689" w:rsidRPr="00F738EA" w:rsidRDefault="00DE1FA9" w:rsidP="00F738EA">
      <w:pPr>
        <w:pStyle w:val="TOC2"/>
        <w:tabs>
          <w:tab w:val="clear" w:pos="1134"/>
          <w:tab w:val="left" w:pos="851"/>
        </w:tabs>
        <w:spacing w:after="100"/>
        <w:ind w:left="851" w:hanging="611"/>
        <w:rPr>
          <w:rStyle w:val="Hyperlink"/>
          <w:color w:val="595959" w:themeColor="text1" w:themeTint="A6"/>
          <w:szCs w:val="20"/>
          <w:lang w:val="fr-BE"/>
        </w:rPr>
      </w:pPr>
      <w:hyperlink w:anchor="_Toc424652040" w:history="1">
        <w:r w:rsidR="005A36C4" w:rsidRPr="00F738EA">
          <w:rPr>
            <w:rStyle w:val="Hyperlink"/>
            <w:color w:val="595959" w:themeColor="text1" w:themeTint="A6"/>
            <w:szCs w:val="20"/>
            <w:lang w:val="fr-BE"/>
          </w:rPr>
          <w:t>2.</w:t>
        </w:r>
        <w:r w:rsidR="005A36C4" w:rsidRPr="00F738EA">
          <w:rPr>
            <w:rStyle w:val="Hyperlink"/>
            <w:color w:val="595959" w:themeColor="text1" w:themeTint="A6"/>
            <w:szCs w:val="20"/>
            <w:lang w:val="fr-BE"/>
          </w:rPr>
          <w:tab/>
          <w:t>NOTES TO THE BALANCE SHEET</w:t>
        </w:r>
        <w:r w:rsidR="005A36C4" w:rsidRPr="00F738EA">
          <w:rPr>
            <w:rStyle w:val="Hyperlink"/>
            <w:webHidden/>
            <w:color w:val="595959" w:themeColor="text1" w:themeTint="A6"/>
            <w:szCs w:val="20"/>
            <w:lang w:val="fr-BE"/>
          </w:rPr>
          <w:tab/>
        </w:r>
        <w:r w:rsidR="005A36C4" w:rsidRPr="00F738EA">
          <w:rPr>
            <w:rStyle w:val="Hyperlink"/>
            <w:webHidden/>
            <w:color w:val="595959" w:themeColor="text1" w:themeTint="A6"/>
            <w:szCs w:val="20"/>
            <w:lang w:val="fr-BE"/>
          </w:rPr>
          <w:fldChar w:fldCharType="begin"/>
        </w:r>
        <w:r w:rsidR="005A36C4" w:rsidRPr="00F738EA">
          <w:rPr>
            <w:rStyle w:val="Hyperlink"/>
            <w:webHidden/>
            <w:color w:val="595959" w:themeColor="text1" w:themeTint="A6"/>
            <w:szCs w:val="20"/>
            <w:lang w:val="fr-BE"/>
          </w:rPr>
          <w:instrText xml:space="preserve"> PAGEREF _Toc424652040 \h </w:instrText>
        </w:r>
        <w:r w:rsidR="005A36C4" w:rsidRPr="00F738EA">
          <w:rPr>
            <w:rStyle w:val="Hyperlink"/>
            <w:webHidden/>
            <w:color w:val="595959" w:themeColor="text1" w:themeTint="A6"/>
            <w:szCs w:val="20"/>
            <w:lang w:val="fr-BE"/>
          </w:rPr>
        </w:r>
        <w:r w:rsidR="005A36C4" w:rsidRPr="00F738EA">
          <w:rPr>
            <w:rStyle w:val="Hyperlink"/>
            <w:webHidden/>
            <w:color w:val="595959" w:themeColor="text1" w:themeTint="A6"/>
            <w:szCs w:val="20"/>
            <w:lang w:val="fr-BE"/>
          </w:rPr>
          <w:fldChar w:fldCharType="separate"/>
        </w:r>
        <w:r>
          <w:rPr>
            <w:rStyle w:val="Hyperlink"/>
            <w:webHidden/>
            <w:color w:val="595959" w:themeColor="text1" w:themeTint="A6"/>
            <w:szCs w:val="20"/>
            <w:lang w:val="fr-BE"/>
          </w:rPr>
          <w:t>44</w:t>
        </w:r>
        <w:r w:rsidR="005A36C4" w:rsidRPr="00F738EA">
          <w:rPr>
            <w:rStyle w:val="Hyperlink"/>
            <w:webHidden/>
            <w:color w:val="595959" w:themeColor="text1" w:themeTint="A6"/>
            <w:szCs w:val="20"/>
            <w:lang w:val="fr-BE"/>
          </w:rPr>
          <w:fldChar w:fldCharType="end"/>
        </w:r>
      </w:hyperlink>
    </w:p>
    <w:p w:rsidR="00F50689" w:rsidRPr="00F738EA" w:rsidRDefault="00DE1FA9" w:rsidP="00F738EA">
      <w:pPr>
        <w:pStyle w:val="TOC2"/>
        <w:tabs>
          <w:tab w:val="clear" w:pos="1134"/>
          <w:tab w:val="left" w:pos="851"/>
        </w:tabs>
        <w:spacing w:after="100"/>
        <w:ind w:left="851" w:hanging="611"/>
        <w:rPr>
          <w:rStyle w:val="Hyperlink"/>
          <w:color w:val="595959" w:themeColor="text1" w:themeTint="A6"/>
          <w:szCs w:val="20"/>
          <w:lang w:val="fr-BE"/>
        </w:rPr>
      </w:pPr>
      <w:hyperlink w:anchor="_Toc424652041" w:history="1">
        <w:r w:rsidR="005A36C4" w:rsidRPr="00F738EA">
          <w:rPr>
            <w:rStyle w:val="Hyperlink"/>
            <w:color w:val="595959" w:themeColor="text1" w:themeTint="A6"/>
            <w:szCs w:val="20"/>
            <w:lang w:val="fr-BE"/>
          </w:rPr>
          <w:t>3.</w:t>
        </w:r>
        <w:r w:rsidR="005A36C4" w:rsidRPr="00F738EA">
          <w:rPr>
            <w:rStyle w:val="Hyperlink"/>
            <w:color w:val="595959" w:themeColor="text1" w:themeTint="A6"/>
            <w:szCs w:val="20"/>
            <w:lang w:val="fr-BE"/>
          </w:rPr>
          <w:tab/>
          <w:t>NOTES TO THE STATEMENT OF FINANCIAL PERFORMANCE</w:t>
        </w:r>
        <w:r w:rsidR="005A36C4" w:rsidRPr="00F738EA">
          <w:rPr>
            <w:rStyle w:val="Hyperlink"/>
            <w:webHidden/>
            <w:color w:val="595959" w:themeColor="text1" w:themeTint="A6"/>
            <w:szCs w:val="20"/>
            <w:lang w:val="fr-BE"/>
          </w:rPr>
          <w:tab/>
        </w:r>
        <w:r w:rsidR="005A36C4" w:rsidRPr="00F738EA">
          <w:rPr>
            <w:rStyle w:val="Hyperlink"/>
            <w:webHidden/>
            <w:color w:val="595959" w:themeColor="text1" w:themeTint="A6"/>
            <w:szCs w:val="20"/>
            <w:lang w:val="fr-BE"/>
          </w:rPr>
          <w:fldChar w:fldCharType="begin"/>
        </w:r>
        <w:r w:rsidR="005A36C4" w:rsidRPr="00F738EA">
          <w:rPr>
            <w:rStyle w:val="Hyperlink"/>
            <w:webHidden/>
            <w:color w:val="595959" w:themeColor="text1" w:themeTint="A6"/>
            <w:szCs w:val="20"/>
            <w:lang w:val="fr-BE"/>
          </w:rPr>
          <w:instrText xml:space="preserve"> PAGEREF _Toc424652041 \h </w:instrText>
        </w:r>
        <w:r w:rsidR="005A36C4" w:rsidRPr="00F738EA">
          <w:rPr>
            <w:rStyle w:val="Hyperlink"/>
            <w:webHidden/>
            <w:color w:val="595959" w:themeColor="text1" w:themeTint="A6"/>
            <w:szCs w:val="20"/>
            <w:lang w:val="fr-BE"/>
          </w:rPr>
        </w:r>
        <w:r w:rsidR="005A36C4" w:rsidRPr="00F738EA">
          <w:rPr>
            <w:rStyle w:val="Hyperlink"/>
            <w:webHidden/>
            <w:color w:val="595959" w:themeColor="text1" w:themeTint="A6"/>
            <w:szCs w:val="20"/>
            <w:lang w:val="fr-BE"/>
          </w:rPr>
          <w:fldChar w:fldCharType="separate"/>
        </w:r>
        <w:r>
          <w:rPr>
            <w:rStyle w:val="Hyperlink"/>
            <w:webHidden/>
            <w:color w:val="595959" w:themeColor="text1" w:themeTint="A6"/>
            <w:szCs w:val="20"/>
            <w:lang w:val="fr-BE"/>
          </w:rPr>
          <w:t>63</w:t>
        </w:r>
        <w:r w:rsidR="005A36C4" w:rsidRPr="00F738EA">
          <w:rPr>
            <w:rStyle w:val="Hyperlink"/>
            <w:webHidden/>
            <w:color w:val="595959" w:themeColor="text1" w:themeTint="A6"/>
            <w:szCs w:val="20"/>
            <w:lang w:val="fr-BE"/>
          </w:rPr>
          <w:fldChar w:fldCharType="end"/>
        </w:r>
      </w:hyperlink>
    </w:p>
    <w:p w:rsidR="00F50689" w:rsidRPr="00F738EA" w:rsidRDefault="00DE1FA9" w:rsidP="00F738EA">
      <w:pPr>
        <w:pStyle w:val="TOC2"/>
        <w:tabs>
          <w:tab w:val="clear" w:pos="1134"/>
          <w:tab w:val="left" w:pos="851"/>
        </w:tabs>
        <w:spacing w:after="100"/>
        <w:ind w:left="851" w:hanging="611"/>
        <w:rPr>
          <w:rStyle w:val="Hyperlink"/>
          <w:color w:val="595959" w:themeColor="text1" w:themeTint="A6"/>
          <w:szCs w:val="20"/>
          <w:lang w:val="fr-BE"/>
        </w:rPr>
      </w:pPr>
      <w:hyperlink w:anchor="_Toc424652042" w:history="1">
        <w:r w:rsidR="005A36C4" w:rsidRPr="00F738EA">
          <w:rPr>
            <w:rStyle w:val="Hyperlink"/>
            <w:color w:val="595959" w:themeColor="text1" w:themeTint="A6"/>
            <w:szCs w:val="20"/>
            <w:lang w:val="fr-BE"/>
          </w:rPr>
          <w:t>4.</w:t>
        </w:r>
        <w:r w:rsidR="005A36C4" w:rsidRPr="00F738EA">
          <w:rPr>
            <w:rStyle w:val="Hyperlink"/>
            <w:color w:val="595959" w:themeColor="text1" w:themeTint="A6"/>
            <w:szCs w:val="20"/>
            <w:lang w:val="fr-BE"/>
          </w:rPr>
          <w:tab/>
          <w:t>NOTES TO THE CASHFLOW STATEMENT</w:t>
        </w:r>
        <w:r w:rsidR="005A36C4" w:rsidRPr="00F738EA">
          <w:rPr>
            <w:rStyle w:val="Hyperlink"/>
            <w:webHidden/>
            <w:color w:val="595959" w:themeColor="text1" w:themeTint="A6"/>
            <w:szCs w:val="20"/>
            <w:lang w:val="fr-BE"/>
          </w:rPr>
          <w:tab/>
        </w:r>
        <w:r w:rsidR="005A36C4" w:rsidRPr="00F738EA">
          <w:rPr>
            <w:rStyle w:val="Hyperlink"/>
            <w:webHidden/>
            <w:color w:val="595959" w:themeColor="text1" w:themeTint="A6"/>
            <w:szCs w:val="20"/>
            <w:lang w:val="fr-BE"/>
          </w:rPr>
          <w:fldChar w:fldCharType="begin"/>
        </w:r>
        <w:r w:rsidR="005A36C4" w:rsidRPr="00F738EA">
          <w:rPr>
            <w:rStyle w:val="Hyperlink"/>
            <w:webHidden/>
            <w:color w:val="595959" w:themeColor="text1" w:themeTint="A6"/>
            <w:szCs w:val="20"/>
            <w:lang w:val="fr-BE"/>
          </w:rPr>
          <w:instrText xml:space="preserve"> PAGEREF _Toc424652042 \h </w:instrText>
        </w:r>
        <w:r w:rsidR="005A36C4" w:rsidRPr="00F738EA">
          <w:rPr>
            <w:rStyle w:val="Hyperlink"/>
            <w:webHidden/>
            <w:color w:val="595959" w:themeColor="text1" w:themeTint="A6"/>
            <w:szCs w:val="20"/>
            <w:lang w:val="fr-BE"/>
          </w:rPr>
        </w:r>
        <w:r w:rsidR="005A36C4" w:rsidRPr="00F738EA">
          <w:rPr>
            <w:rStyle w:val="Hyperlink"/>
            <w:webHidden/>
            <w:color w:val="595959" w:themeColor="text1" w:themeTint="A6"/>
            <w:szCs w:val="20"/>
            <w:lang w:val="fr-BE"/>
          </w:rPr>
          <w:fldChar w:fldCharType="separate"/>
        </w:r>
        <w:r>
          <w:rPr>
            <w:rStyle w:val="Hyperlink"/>
            <w:webHidden/>
            <w:color w:val="595959" w:themeColor="text1" w:themeTint="A6"/>
            <w:szCs w:val="20"/>
            <w:lang w:val="fr-BE"/>
          </w:rPr>
          <w:t>73</w:t>
        </w:r>
        <w:r w:rsidR="005A36C4" w:rsidRPr="00F738EA">
          <w:rPr>
            <w:rStyle w:val="Hyperlink"/>
            <w:webHidden/>
            <w:color w:val="595959" w:themeColor="text1" w:themeTint="A6"/>
            <w:szCs w:val="20"/>
            <w:lang w:val="fr-BE"/>
          </w:rPr>
          <w:fldChar w:fldCharType="end"/>
        </w:r>
      </w:hyperlink>
    </w:p>
    <w:p w:rsidR="00F50689" w:rsidRPr="00F738EA" w:rsidRDefault="00DE1FA9" w:rsidP="00F738EA">
      <w:pPr>
        <w:pStyle w:val="TOC2"/>
        <w:tabs>
          <w:tab w:val="clear" w:pos="1134"/>
          <w:tab w:val="left" w:pos="851"/>
        </w:tabs>
        <w:spacing w:after="100"/>
        <w:ind w:left="851" w:hanging="611"/>
        <w:rPr>
          <w:rStyle w:val="Hyperlink"/>
          <w:color w:val="595959" w:themeColor="text1" w:themeTint="A6"/>
          <w:szCs w:val="20"/>
          <w:lang w:val="fr-BE"/>
        </w:rPr>
      </w:pPr>
      <w:hyperlink w:anchor="_Toc424652043" w:history="1">
        <w:r w:rsidR="005A36C4" w:rsidRPr="00F738EA">
          <w:rPr>
            <w:rStyle w:val="Hyperlink"/>
            <w:color w:val="595959" w:themeColor="text1" w:themeTint="A6"/>
            <w:szCs w:val="20"/>
            <w:lang w:val="fr-BE"/>
          </w:rPr>
          <w:t>5.</w:t>
        </w:r>
        <w:r w:rsidR="005A36C4" w:rsidRPr="00F738EA">
          <w:rPr>
            <w:rStyle w:val="Hyperlink"/>
            <w:color w:val="595959" w:themeColor="text1" w:themeTint="A6"/>
            <w:szCs w:val="20"/>
            <w:lang w:val="fr-BE"/>
          </w:rPr>
          <w:tab/>
          <w:t>CONTINGENT ASSETS &amp; LIABILITIES AND OTHER SIGNIFICANT DISCLOSURES</w:t>
        </w:r>
        <w:r w:rsidR="005A36C4" w:rsidRPr="00F738EA">
          <w:rPr>
            <w:rStyle w:val="Hyperlink"/>
            <w:webHidden/>
            <w:color w:val="595959" w:themeColor="text1" w:themeTint="A6"/>
            <w:szCs w:val="20"/>
            <w:lang w:val="fr-BE"/>
          </w:rPr>
          <w:tab/>
        </w:r>
        <w:r w:rsidR="005A36C4" w:rsidRPr="00F738EA">
          <w:rPr>
            <w:rStyle w:val="Hyperlink"/>
            <w:webHidden/>
            <w:color w:val="595959" w:themeColor="text1" w:themeTint="A6"/>
            <w:szCs w:val="20"/>
            <w:lang w:val="fr-BE"/>
          </w:rPr>
          <w:fldChar w:fldCharType="begin"/>
        </w:r>
        <w:r w:rsidR="005A36C4" w:rsidRPr="00F738EA">
          <w:rPr>
            <w:rStyle w:val="Hyperlink"/>
            <w:webHidden/>
            <w:color w:val="595959" w:themeColor="text1" w:themeTint="A6"/>
            <w:szCs w:val="20"/>
            <w:lang w:val="fr-BE"/>
          </w:rPr>
          <w:instrText xml:space="preserve"> PAGEREF _Toc424652043 \h </w:instrText>
        </w:r>
        <w:r w:rsidR="005A36C4" w:rsidRPr="00F738EA">
          <w:rPr>
            <w:rStyle w:val="Hyperlink"/>
            <w:webHidden/>
            <w:color w:val="595959" w:themeColor="text1" w:themeTint="A6"/>
            <w:szCs w:val="20"/>
            <w:lang w:val="fr-BE"/>
          </w:rPr>
        </w:r>
        <w:r w:rsidR="005A36C4" w:rsidRPr="00F738EA">
          <w:rPr>
            <w:rStyle w:val="Hyperlink"/>
            <w:webHidden/>
            <w:color w:val="595959" w:themeColor="text1" w:themeTint="A6"/>
            <w:szCs w:val="20"/>
            <w:lang w:val="fr-BE"/>
          </w:rPr>
          <w:fldChar w:fldCharType="separate"/>
        </w:r>
        <w:r>
          <w:rPr>
            <w:rStyle w:val="Hyperlink"/>
            <w:webHidden/>
            <w:color w:val="595959" w:themeColor="text1" w:themeTint="A6"/>
            <w:szCs w:val="20"/>
            <w:lang w:val="fr-BE"/>
          </w:rPr>
          <w:t>74</w:t>
        </w:r>
        <w:r w:rsidR="005A36C4" w:rsidRPr="00F738EA">
          <w:rPr>
            <w:rStyle w:val="Hyperlink"/>
            <w:webHidden/>
            <w:color w:val="595959" w:themeColor="text1" w:themeTint="A6"/>
            <w:szCs w:val="20"/>
            <w:lang w:val="fr-BE"/>
          </w:rPr>
          <w:fldChar w:fldCharType="end"/>
        </w:r>
      </w:hyperlink>
    </w:p>
    <w:p w:rsidR="00F50689" w:rsidRPr="00F738EA" w:rsidRDefault="00DE1FA9" w:rsidP="00F738EA">
      <w:pPr>
        <w:pStyle w:val="TOC2"/>
        <w:tabs>
          <w:tab w:val="clear" w:pos="1134"/>
          <w:tab w:val="left" w:pos="851"/>
        </w:tabs>
        <w:spacing w:after="100"/>
        <w:ind w:left="851" w:hanging="611"/>
        <w:rPr>
          <w:rStyle w:val="Hyperlink"/>
          <w:color w:val="595959" w:themeColor="text1" w:themeTint="A6"/>
          <w:szCs w:val="20"/>
          <w:lang w:val="fr-BE"/>
        </w:rPr>
      </w:pPr>
      <w:hyperlink w:anchor="_Toc424652044" w:history="1">
        <w:r w:rsidR="005A36C4" w:rsidRPr="00F738EA">
          <w:rPr>
            <w:rStyle w:val="Hyperlink"/>
            <w:color w:val="595959" w:themeColor="text1" w:themeTint="A6"/>
            <w:szCs w:val="20"/>
            <w:lang w:val="fr-BE"/>
          </w:rPr>
          <w:t>6.</w:t>
        </w:r>
        <w:r w:rsidR="005A36C4" w:rsidRPr="00F738EA">
          <w:rPr>
            <w:rStyle w:val="Hyperlink"/>
            <w:color w:val="595959" w:themeColor="text1" w:themeTint="A6"/>
            <w:szCs w:val="20"/>
            <w:lang w:val="fr-BE"/>
          </w:rPr>
          <w:tab/>
          <w:t>PROTECTION OF THE EU BUDGET</w:t>
        </w:r>
        <w:r w:rsidR="005A36C4" w:rsidRPr="00F738EA">
          <w:rPr>
            <w:rStyle w:val="Hyperlink"/>
            <w:webHidden/>
            <w:color w:val="595959" w:themeColor="text1" w:themeTint="A6"/>
            <w:szCs w:val="20"/>
            <w:lang w:val="fr-BE"/>
          </w:rPr>
          <w:tab/>
        </w:r>
        <w:r w:rsidR="005A36C4" w:rsidRPr="00F738EA">
          <w:rPr>
            <w:rStyle w:val="Hyperlink"/>
            <w:webHidden/>
            <w:color w:val="595959" w:themeColor="text1" w:themeTint="A6"/>
            <w:szCs w:val="20"/>
            <w:lang w:val="fr-BE"/>
          </w:rPr>
          <w:fldChar w:fldCharType="begin"/>
        </w:r>
        <w:r w:rsidR="005A36C4" w:rsidRPr="00F738EA">
          <w:rPr>
            <w:rStyle w:val="Hyperlink"/>
            <w:webHidden/>
            <w:color w:val="595959" w:themeColor="text1" w:themeTint="A6"/>
            <w:szCs w:val="20"/>
            <w:lang w:val="fr-BE"/>
          </w:rPr>
          <w:instrText xml:space="preserve"> PAGEREF _Toc424652044 \h </w:instrText>
        </w:r>
        <w:r w:rsidR="005A36C4" w:rsidRPr="00F738EA">
          <w:rPr>
            <w:rStyle w:val="Hyperlink"/>
            <w:webHidden/>
            <w:color w:val="595959" w:themeColor="text1" w:themeTint="A6"/>
            <w:szCs w:val="20"/>
            <w:lang w:val="fr-BE"/>
          </w:rPr>
        </w:r>
        <w:r w:rsidR="005A36C4" w:rsidRPr="00F738EA">
          <w:rPr>
            <w:rStyle w:val="Hyperlink"/>
            <w:webHidden/>
            <w:color w:val="595959" w:themeColor="text1" w:themeTint="A6"/>
            <w:szCs w:val="20"/>
            <w:lang w:val="fr-BE"/>
          </w:rPr>
          <w:fldChar w:fldCharType="separate"/>
        </w:r>
        <w:r>
          <w:rPr>
            <w:rStyle w:val="Hyperlink"/>
            <w:webHidden/>
            <w:color w:val="595959" w:themeColor="text1" w:themeTint="A6"/>
            <w:szCs w:val="20"/>
            <w:lang w:val="fr-BE"/>
          </w:rPr>
          <w:t>77</w:t>
        </w:r>
        <w:r w:rsidR="005A36C4" w:rsidRPr="00F738EA">
          <w:rPr>
            <w:rStyle w:val="Hyperlink"/>
            <w:webHidden/>
            <w:color w:val="595959" w:themeColor="text1" w:themeTint="A6"/>
            <w:szCs w:val="20"/>
            <w:lang w:val="fr-BE"/>
          </w:rPr>
          <w:fldChar w:fldCharType="end"/>
        </w:r>
      </w:hyperlink>
    </w:p>
    <w:p w:rsidR="00F50689" w:rsidRPr="00F738EA" w:rsidRDefault="00DE1FA9" w:rsidP="00F738EA">
      <w:pPr>
        <w:pStyle w:val="TOC2"/>
        <w:tabs>
          <w:tab w:val="clear" w:pos="1134"/>
          <w:tab w:val="left" w:pos="851"/>
        </w:tabs>
        <w:spacing w:after="100"/>
        <w:ind w:left="851" w:hanging="611"/>
        <w:rPr>
          <w:rStyle w:val="Hyperlink"/>
          <w:color w:val="595959" w:themeColor="text1" w:themeTint="A6"/>
          <w:szCs w:val="20"/>
          <w:lang w:val="fr-BE"/>
        </w:rPr>
      </w:pPr>
      <w:hyperlink w:anchor="_Toc424652045" w:history="1">
        <w:r w:rsidR="005A36C4" w:rsidRPr="00F738EA">
          <w:rPr>
            <w:rStyle w:val="Hyperlink"/>
            <w:color w:val="595959" w:themeColor="text1" w:themeTint="A6"/>
            <w:szCs w:val="20"/>
            <w:lang w:val="fr-BE"/>
          </w:rPr>
          <w:t>7.</w:t>
        </w:r>
        <w:r w:rsidR="005A36C4" w:rsidRPr="00F738EA">
          <w:rPr>
            <w:rStyle w:val="Hyperlink"/>
            <w:color w:val="595959" w:themeColor="text1" w:themeTint="A6"/>
            <w:szCs w:val="20"/>
            <w:lang w:val="fr-BE"/>
          </w:rPr>
          <w:tab/>
          <w:t>FINANCIAL RISK MANAGEMENT</w:t>
        </w:r>
        <w:r w:rsidR="005A36C4" w:rsidRPr="00F738EA">
          <w:rPr>
            <w:rStyle w:val="Hyperlink"/>
            <w:webHidden/>
            <w:color w:val="595959" w:themeColor="text1" w:themeTint="A6"/>
            <w:szCs w:val="20"/>
            <w:lang w:val="fr-BE"/>
          </w:rPr>
          <w:tab/>
        </w:r>
        <w:r w:rsidR="005A36C4" w:rsidRPr="00F738EA">
          <w:rPr>
            <w:rStyle w:val="Hyperlink"/>
            <w:webHidden/>
            <w:color w:val="595959" w:themeColor="text1" w:themeTint="A6"/>
            <w:szCs w:val="20"/>
            <w:lang w:val="fr-BE"/>
          </w:rPr>
          <w:fldChar w:fldCharType="begin"/>
        </w:r>
        <w:r w:rsidR="005A36C4" w:rsidRPr="00F738EA">
          <w:rPr>
            <w:rStyle w:val="Hyperlink"/>
            <w:webHidden/>
            <w:color w:val="595959" w:themeColor="text1" w:themeTint="A6"/>
            <w:szCs w:val="20"/>
            <w:lang w:val="fr-BE"/>
          </w:rPr>
          <w:instrText xml:space="preserve"> PAGEREF _Toc424652045 \h </w:instrText>
        </w:r>
        <w:r w:rsidR="005A36C4" w:rsidRPr="00F738EA">
          <w:rPr>
            <w:rStyle w:val="Hyperlink"/>
            <w:webHidden/>
            <w:color w:val="595959" w:themeColor="text1" w:themeTint="A6"/>
            <w:szCs w:val="20"/>
            <w:lang w:val="fr-BE"/>
          </w:rPr>
        </w:r>
        <w:r w:rsidR="005A36C4" w:rsidRPr="00F738EA">
          <w:rPr>
            <w:rStyle w:val="Hyperlink"/>
            <w:webHidden/>
            <w:color w:val="595959" w:themeColor="text1" w:themeTint="A6"/>
            <w:szCs w:val="20"/>
            <w:lang w:val="fr-BE"/>
          </w:rPr>
          <w:fldChar w:fldCharType="separate"/>
        </w:r>
        <w:r>
          <w:rPr>
            <w:rStyle w:val="Hyperlink"/>
            <w:webHidden/>
            <w:color w:val="595959" w:themeColor="text1" w:themeTint="A6"/>
            <w:szCs w:val="20"/>
            <w:lang w:val="fr-BE"/>
          </w:rPr>
          <w:t>83</w:t>
        </w:r>
        <w:r w:rsidR="005A36C4" w:rsidRPr="00F738EA">
          <w:rPr>
            <w:rStyle w:val="Hyperlink"/>
            <w:webHidden/>
            <w:color w:val="595959" w:themeColor="text1" w:themeTint="A6"/>
            <w:szCs w:val="20"/>
            <w:lang w:val="fr-BE"/>
          </w:rPr>
          <w:fldChar w:fldCharType="end"/>
        </w:r>
      </w:hyperlink>
    </w:p>
    <w:p w:rsidR="00F50689" w:rsidRPr="00F738EA" w:rsidRDefault="00DE1FA9" w:rsidP="00F738EA">
      <w:pPr>
        <w:pStyle w:val="TOC2"/>
        <w:tabs>
          <w:tab w:val="clear" w:pos="1134"/>
          <w:tab w:val="left" w:pos="851"/>
        </w:tabs>
        <w:spacing w:after="100"/>
        <w:ind w:left="851" w:hanging="611"/>
        <w:rPr>
          <w:rStyle w:val="Hyperlink"/>
          <w:color w:val="595959" w:themeColor="text1" w:themeTint="A6"/>
          <w:szCs w:val="20"/>
          <w:lang w:val="fr-BE"/>
        </w:rPr>
      </w:pPr>
      <w:hyperlink w:anchor="_Toc424652046" w:history="1">
        <w:r w:rsidR="005A36C4" w:rsidRPr="00F738EA">
          <w:rPr>
            <w:rStyle w:val="Hyperlink"/>
            <w:color w:val="595959" w:themeColor="text1" w:themeTint="A6"/>
            <w:szCs w:val="20"/>
            <w:lang w:val="fr-BE"/>
          </w:rPr>
          <w:t>8.</w:t>
        </w:r>
        <w:r w:rsidR="005A36C4" w:rsidRPr="00F738EA">
          <w:rPr>
            <w:rStyle w:val="Hyperlink"/>
            <w:color w:val="595959" w:themeColor="text1" w:themeTint="A6"/>
            <w:szCs w:val="20"/>
            <w:lang w:val="fr-BE"/>
          </w:rPr>
          <w:tab/>
          <w:t>RELATED PARTY DISCLOSURES</w:t>
        </w:r>
        <w:r w:rsidR="005A36C4" w:rsidRPr="00F738EA">
          <w:rPr>
            <w:rStyle w:val="Hyperlink"/>
            <w:webHidden/>
            <w:color w:val="595959" w:themeColor="text1" w:themeTint="A6"/>
            <w:szCs w:val="20"/>
            <w:lang w:val="fr-BE"/>
          </w:rPr>
          <w:tab/>
        </w:r>
        <w:r w:rsidR="005A36C4" w:rsidRPr="00F738EA">
          <w:rPr>
            <w:rStyle w:val="Hyperlink"/>
            <w:webHidden/>
            <w:color w:val="595959" w:themeColor="text1" w:themeTint="A6"/>
            <w:szCs w:val="20"/>
            <w:lang w:val="fr-BE"/>
          </w:rPr>
          <w:fldChar w:fldCharType="begin"/>
        </w:r>
        <w:r w:rsidR="005A36C4" w:rsidRPr="00F738EA">
          <w:rPr>
            <w:rStyle w:val="Hyperlink"/>
            <w:webHidden/>
            <w:color w:val="595959" w:themeColor="text1" w:themeTint="A6"/>
            <w:szCs w:val="20"/>
            <w:lang w:val="fr-BE"/>
          </w:rPr>
          <w:instrText xml:space="preserve"> PAGEREF _Toc424652046 \h </w:instrText>
        </w:r>
        <w:r w:rsidR="005A36C4" w:rsidRPr="00F738EA">
          <w:rPr>
            <w:rStyle w:val="Hyperlink"/>
            <w:webHidden/>
            <w:color w:val="595959" w:themeColor="text1" w:themeTint="A6"/>
            <w:szCs w:val="20"/>
            <w:lang w:val="fr-BE"/>
          </w:rPr>
        </w:r>
        <w:r w:rsidR="005A36C4" w:rsidRPr="00F738EA">
          <w:rPr>
            <w:rStyle w:val="Hyperlink"/>
            <w:webHidden/>
            <w:color w:val="595959" w:themeColor="text1" w:themeTint="A6"/>
            <w:szCs w:val="20"/>
            <w:lang w:val="fr-BE"/>
          </w:rPr>
          <w:fldChar w:fldCharType="separate"/>
        </w:r>
        <w:r>
          <w:rPr>
            <w:rStyle w:val="Hyperlink"/>
            <w:webHidden/>
            <w:color w:val="595959" w:themeColor="text1" w:themeTint="A6"/>
            <w:szCs w:val="20"/>
            <w:lang w:val="fr-BE"/>
          </w:rPr>
          <w:t>94</w:t>
        </w:r>
        <w:r w:rsidR="005A36C4" w:rsidRPr="00F738EA">
          <w:rPr>
            <w:rStyle w:val="Hyperlink"/>
            <w:webHidden/>
            <w:color w:val="595959" w:themeColor="text1" w:themeTint="A6"/>
            <w:szCs w:val="20"/>
            <w:lang w:val="fr-BE"/>
          </w:rPr>
          <w:fldChar w:fldCharType="end"/>
        </w:r>
      </w:hyperlink>
    </w:p>
    <w:p w:rsidR="00F50689" w:rsidRPr="00F738EA" w:rsidRDefault="00DE1FA9" w:rsidP="00F738EA">
      <w:pPr>
        <w:pStyle w:val="TOC2"/>
        <w:tabs>
          <w:tab w:val="clear" w:pos="1134"/>
          <w:tab w:val="left" w:pos="851"/>
        </w:tabs>
        <w:spacing w:after="100"/>
        <w:ind w:left="851" w:hanging="611"/>
        <w:rPr>
          <w:rStyle w:val="Hyperlink"/>
          <w:color w:val="595959" w:themeColor="text1" w:themeTint="A6"/>
          <w:szCs w:val="20"/>
          <w:lang w:val="fr-BE"/>
        </w:rPr>
      </w:pPr>
      <w:hyperlink w:anchor="_Toc424652047" w:history="1">
        <w:r w:rsidR="005A36C4" w:rsidRPr="00F738EA">
          <w:rPr>
            <w:rStyle w:val="Hyperlink"/>
            <w:color w:val="595959" w:themeColor="text1" w:themeTint="A6"/>
            <w:szCs w:val="20"/>
            <w:lang w:val="fr-BE"/>
          </w:rPr>
          <w:t>9.</w:t>
        </w:r>
        <w:r w:rsidR="005A36C4" w:rsidRPr="00F738EA">
          <w:rPr>
            <w:rStyle w:val="Hyperlink"/>
            <w:color w:val="595959" w:themeColor="text1" w:themeTint="A6"/>
            <w:szCs w:val="20"/>
            <w:lang w:val="fr-BE"/>
          </w:rPr>
          <w:tab/>
          <w:t>EVENTS AFTER THE BALANCE SHEET DATE</w:t>
        </w:r>
        <w:r w:rsidR="005A36C4" w:rsidRPr="00F738EA">
          <w:rPr>
            <w:rStyle w:val="Hyperlink"/>
            <w:webHidden/>
            <w:color w:val="595959" w:themeColor="text1" w:themeTint="A6"/>
            <w:szCs w:val="20"/>
            <w:lang w:val="fr-BE"/>
          </w:rPr>
          <w:tab/>
        </w:r>
        <w:r w:rsidR="005A36C4" w:rsidRPr="00F738EA">
          <w:rPr>
            <w:rStyle w:val="Hyperlink"/>
            <w:webHidden/>
            <w:color w:val="595959" w:themeColor="text1" w:themeTint="A6"/>
            <w:szCs w:val="20"/>
            <w:lang w:val="fr-BE"/>
          </w:rPr>
          <w:fldChar w:fldCharType="begin"/>
        </w:r>
        <w:r w:rsidR="005A36C4" w:rsidRPr="00F738EA">
          <w:rPr>
            <w:rStyle w:val="Hyperlink"/>
            <w:webHidden/>
            <w:color w:val="595959" w:themeColor="text1" w:themeTint="A6"/>
            <w:szCs w:val="20"/>
            <w:lang w:val="fr-BE"/>
          </w:rPr>
          <w:instrText xml:space="preserve"> PAGEREF _Toc424652047 \h </w:instrText>
        </w:r>
        <w:r w:rsidR="005A36C4" w:rsidRPr="00F738EA">
          <w:rPr>
            <w:rStyle w:val="Hyperlink"/>
            <w:webHidden/>
            <w:color w:val="595959" w:themeColor="text1" w:themeTint="A6"/>
            <w:szCs w:val="20"/>
            <w:lang w:val="fr-BE"/>
          </w:rPr>
        </w:r>
        <w:r w:rsidR="005A36C4" w:rsidRPr="00F738EA">
          <w:rPr>
            <w:rStyle w:val="Hyperlink"/>
            <w:webHidden/>
            <w:color w:val="595959" w:themeColor="text1" w:themeTint="A6"/>
            <w:szCs w:val="20"/>
            <w:lang w:val="fr-BE"/>
          </w:rPr>
          <w:fldChar w:fldCharType="separate"/>
        </w:r>
        <w:r>
          <w:rPr>
            <w:rStyle w:val="Hyperlink"/>
            <w:webHidden/>
            <w:color w:val="595959" w:themeColor="text1" w:themeTint="A6"/>
            <w:szCs w:val="20"/>
            <w:lang w:val="fr-BE"/>
          </w:rPr>
          <w:t>96</w:t>
        </w:r>
        <w:r w:rsidR="005A36C4" w:rsidRPr="00F738EA">
          <w:rPr>
            <w:rStyle w:val="Hyperlink"/>
            <w:webHidden/>
            <w:color w:val="595959" w:themeColor="text1" w:themeTint="A6"/>
            <w:szCs w:val="20"/>
            <w:lang w:val="fr-BE"/>
          </w:rPr>
          <w:fldChar w:fldCharType="end"/>
        </w:r>
      </w:hyperlink>
    </w:p>
    <w:p w:rsidR="00F50689" w:rsidRPr="00F738EA" w:rsidRDefault="00DE1FA9" w:rsidP="00F738EA">
      <w:pPr>
        <w:pStyle w:val="TOC2"/>
        <w:tabs>
          <w:tab w:val="clear" w:pos="1134"/>
          <w:tab w:val="left" w:pos="851"/>
        </w:tabs>
        <w:spacing w:after="100"/>
        <w:ind w:left="851" w:hanging="611"/>
        <w:rPr>
          <w:rStyle w:val="Hyperlink"/>
          <w:color w:val="595959" w:themeColor="text1" w:themeTint="A6"/>
          <w:szCs w:val="20"/>
          <w:lang w:val="fr-BE"/>
        </w:rPr>
      </w:pPr>
      <w:hyperlink w:anchor="_Toc424652048" w:history="1">
        <w:r w:rsidR="005A36C4" w:rsidRPr="00F738EA">
          <w:rPr>
            <w:rStyle w:val="Hyperlink"/>
            <w:color w:val="595959" w:themeColor="text1" w:themeTint="A6"/>
            <w:szCs w:val="20"/>
            <w:lang w:val="fr-BE"/>
          </w:rPr>
          <w:t xml:space="preserve">10. </w:t>
        </w:r>
        <w:r w:rsidR="00B82250" w:rsidRPr="00F738EA">
          <w:rPr>
            <w:rStyle w:val="Hyperlink"/>
            <w:color w:val="595959" w:themeColor="text1" w:themeTint="A6"/>
            <w:szCs w:val="20"/>
            <w:lang w:val="fr-BE"/>
          </w:rPr>
          <w:tab/>
        </w:r>
        <w:r w:rsidR="005A36C4" w:rsidRPr="00F738EA">
          <w:rPr>
            <w:rStyle w:val="Hyperlink"/>
            <w:color w:val="595959" w:themeColor="text1" w:themeTint="A6"/>
            <w:szCs w:val="20"/>
            <w:lang w:val="fr-BE"/>
          </w:rPr>
          <w:t>SCOPE OF CONSOLIDATION</w:t>
        </w:r>
        <w:r w:rsidR="005A36C4" w:rsidRPr="00F738EA">
          <w:rPr>
            <w:rStyle w:val="Hyperlink"/>
            <w:webHidden/>
            <w:color w:val="595959" w:themeColor="text1" w:themeTint="A6"/>
            <w:szCs w:val="20"/>
            <w:lang w:val="fr-BE"/>
          </w:rPr>
          <w:tab/>
        </w:r>
        <w:r w:rsidR="005A36C4" w:rsidRPr="00F738EA">
          <w:rPr>
            <w:rStyle w:val="Hyperlink"/>
            <w:webHidden/>
            <w:color w:val="595959" w:themeColor="text1" w:themeTint="A6"/>
            <w:szCs w:val="20"/>
            <w:lang w:val="fr-BE"/>
          </w:rPr>
          <w:fldChar w:fldCharType="begin"/>
        </w:r>
        <w:r w:rsidR="005A36C4" w:rsidRPr="00F738EA">
          <w:rPr>
            <w:rStyle w:val="Hyperlink"/>
            <w:webHidden/>
            <w:color w:val="595959" w:themeColor="text1" w:themeTint="A6"/>
            <w:szCs w:val="20"/>
            <w:lang w:val="fr-BE"/>
          </w:rPr>
          <w:instrText xml:space="preserve"> PAGEREF _Toc424652048 \h </w:instrText>
        </w:r>
        <w:r w:rsidR="005A36C4" w:rsidRPr="00F738EA">
          <w:rPr>
            <w:rStyle w:val="Hyperlink"/>
            <w:webHidden/>
            <w:color w:val="595959" w:themeColor="text1" w:themeTint="A6"/>
            <w:szCs w:val="20"/>
            <w:lang w:val="fr-BE"/>
          </w:rPr>
        </w:r>
        <w:r w:rsidR="005A36C4" w:rsidRPr="00F738EA">
          <w:rPr>
            <w:rStyle w:val="Hyperlink"/>
            <w:webHidden/>
            <w:color w:val="595959" w:themeColor="text1" w:themeTint="A6"/>
            <w:szCs w:val="20"/>
            <w:lang w:val="fr-BE"/>
          </w:rPr>
          <w:fldChar w:fldCharType="separate"/>
        </w:r>
        <w:r>
          <w:rPr>
            <w:rStyle w:val="Hyperlink"/>
            <w:webHidden/>
            <w:color w:val="595959" w:themeColor="text1" w:themeTint="A6"/>
            <w:szCs w:val="20"/>
            <w:lang w:val="fr-BE"/>
          </w:rPr>
          <w:t>97</w:t>
        </w:r>
        <w:r w:rsidR="005A36C4" w:rsidRPr="00F738EA">
          <w:rPr>
            <w:rStyle w:val="Hyperlink"/>
            <w:webHidden/>
            <w:color w:val="595959" w:themeColor="text1" w:themeTint="A6"/>
            <w:szCs w:val="20"/>
            <w:lang w:val="fr-BE"/>
          </w:rPr>
          <w:fldChar w:fldCharType="end"/>
        </w:r>
      </w:hyperlink>
    </w:p>
    <w:p w:rsidR="00F50689" w:rsidRDefault="005A36C4" w:rsidP="00F50689">
      <w:pPr>
        <w:pStyle w:val="Textstand-alone"/>
      </w:pPr>
      <w:r>
        <w:fldChar w:fldCharType="end"/>
      </w:r>
    </w:p>
    <w:p w:rsidR="00F50689" w:rsidRDefault="005A36C4" w:rsidP="00F50689">
      <w:pPr>
        <w:pStyle w:val="Textstand-alone"/>
        <w:sectPr w:rsidR="00F50689" w:rsidSect="00F50689">
          <w:headerReference w:type="even" r:id="rId59"/>
          <w:headerReference w:type="default" r:id="rId60"/>
          <w:footerReference w:type="even" r:id="rId61"/>
          <w:footerReference w:type="default" r:id="rId62"/>
          <w:headerReference w:type="first" r:id="rId63"/>
          <w:footerReference w:type="first" r:id="rId64"/>
          <w:pgSz w:w="11907" w:h="16840"/>
          <w:pgMar w:top="1134" w:right="1134" w:bottom="1134" w:left="1134" w:header="709" w:footer="709" w:gutter="0"/>
          <w:cols w:space="708"/>
          <w:docGrid w:linePitch="360"/>
        </w:sectPr>
      </w:pPr>
      <w:r>
        <w:t xml:space="preserve"> </w:t>
      </w:r>
      <w:bookmarkEnd w:id="11"/>
    </w:p>
    <w:p w:rsidR="00F50689" w:rsidRDefault="005A36C4" w:rsidP="00F50689">
      <w:pPr>
        <w:pStyle w:val="HEADERTITLE1"/>
        <w:spacing w:after="0"/>
        <w:rPr>
          <w:lang w:val="fr-BE"/>
        </w:rPr>
      </w:pPr>
      <w:bookmarkStart w:id="12" w:name="_Toc424652034"/>
      <w:bookmarkStart w:id="13" w:name="_Toc424745963"/>
      <w:bookmarkStart w:id="14" w:name="_DMBM_2614"/>
      <w:r>
        <w:rPr>
          <w:lang w:val="fr-BE"/>
        </w:rPr>
        <w:t>BALANCE SHEET</w:t>
      </w:r>
      <w:bookmarkEnd w:id="12"/>
      <w:bookmarkEnd w:id="13"/>
    </w:p>
    <w:p w:rsidR="00F50689" w:rsidRDefault="005A36C4" w:rsidP="00F50689">
      <w:pPr>
        <w:pStyle w:val="HEADERTITLE1"/>
        <w:spacing w:after="0"/>
        <w:rPr>
          <w:lang w:val="fr-BE"/>
        </w:rPr>
      </w:pPr>
      <w:r>
        <w:rPr>
          <w:lang w:val="fr-BE"/>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Text8pItalicLeft"/>
              <w:rPr>
                <w:rFonts w:eastAsia="Verdana" w:cs="Verdana"/>
                <w:color w:val="FFFFFF"/>
                <w:lang w:bidi="en-GB"/>
              </w:rPr>
            </w:pPr>
            <w:bookmarkStart w:id="15" w:name="DOC_TBL00001_1_1"/>
            <w:bookmarkEnd w:id="15"/>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8pItalicRight025EUR"/>
              <w:rPr>
                <w:rFonts w:eastAsia="Verdana" w:cs="Verdana"/>
                <w:lang w:bidi="en-GB"/>
              </w:rPr>
            </w:pPr>
            <w:r w:rsidRPr="006A3072">
              <w:rPr>
                <w:rFonts w:eastAsia="Verdana" w:cs="Verdana"/>
                <w:lang w:bidi="en-GB"/>
              </w:rPr>
              <w:t xml:space="preserve"> EUR millions</w:t>
            </w:r>
          </w:p>
        </w:tc>
      </w:tr>
      <w:tr w:rsidR="00E7728E">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F50689" w:rsidRPr="006A3072" w:rsidRDefault="00F50689" w:rsidP="00F50689">
            <w:pPr>
              <w:pStyle w:val="Heading10pNormalLeft"/>
              <w:rPr>
                <w:rFonts w:eastAsia="Verdana" w:cs="Verdana"/>
                <w:lang w:bidi="en-GB"/>
              </w:rPr>
            </w:pPr>
          </w:p>
        </w:tc>
        <w:tc>
          <w:tcPr>
            <w:tcW w:w="851" w:type="dxa"/>
            <w:tcBorders>
              <w:top w:val="nil"/>
              <w:left w:val="nil"/>
              <w:bottom w:val="nil"/>
              <w:right w:val="nil"/>
            </w:tcBorders>
            <w:shd w:val="clear" w:color="auto" w:fill="016794"/>
            <w:tcMar>
              <w:top w:w="0" w:type="dxa"/>
              <w:left w:w="0" w:type="dxa"/>
              <w:bottom w:w="0" w:type="dxa"/>
              <w:right w:w="0" w:type="dxa"/>
            </w:tcMar>
          </w:tcPr>
          <w:p w:rsidR="00F50689" w:rsidRPr="006A3072" w:rsidRDefault="005A36C4" w:rsidP="00F50689">
            <w:pPr>
              <w:pStyle w:val="Heading10pNormalRight025"/>
              <w:rPr>
                <w:rFonts w:eastAsia="Verdana" w:cs="Verdana"/>
                <w:lang w:bidi="en-GB"/>
              </w:rPr>
            </w:pPr>
            <w:r w:rsidRPr="006A3072">
              <w:rPr>
                <w:rFonts w:eastAsia="Verdana" w:cs="Verdana"/>
                <w:lang w:bidi="en-GB"/>
              </w:rPr>
              <w:t>Note</w:t>
            </w:r>
          </w:p>
        </w:tc>
        <w:tc>
          <w:tcPr>
            <w:tcW w:w="1842" w:type="dxa"/>
            <w:tcBorders>
              <w:top w:val="nil"/>
              <w:left w:val="nil"/>
              <w:bottom w:val="nil"/>
              <w:right w:val="nil"/>
            </w:tcBorders>
            <w:shd w:val="clear" w:color="auto" w:fill="016794"/>
            <w:tcMar>
              <w:top w:w="0" w:type="dxa"/>
              <w:left w:w="0" w:type="dxa"/>
              <w:bottom w:w="0" w:type="dxa"/>
              <w:right w:w="0" w:type="dxa"/>
            </w:tcMar>
          </w:tcPr>
          <w:p w:rsidR="00F50689" w:rsidRPr="006A3072" w:rsidRDefault="005A36C4" w:rsidP="00F50689">
            <w:pPr>
              <w:pStyle w:val="Heading10pNormalRight025"/>
              <w:rPr>
                <w:rFonts w:eastAsia="Verdana" w:cs="Verdana"/>
                <w:lang w:bidi="en-GB"/>
              </w:rPr>
            </w:pPr>
            <w:r w:rsidRPr="006A3072">
              <w:rPr>
                <w:rFonts w:eastAsia="Verdana" w:cs="Verdana"/>
                <w:lang w:bidi="en-GB"/>
              </w:rPr>
              <w:t>31.12.2014</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Pr="006A3072" w:rsidRDefault="005A36C4" w:rsidP="00F50689">
            <w:pPr>
              <w:pStyle w:val="Heading10pNormalRight025"/>
              <w:rPr>
                <w:rFonts w:eastAsia="Verdana" w:cs="Verdana"/>
                <w:lang w:bidi="en-GB"/>
              </w:rPr>
            </w:pPr>
            <w:r w:rsidRPr="006A3072">
              <w:rPr>
                <w:rFonts w:eastAsia="Verdana" w:cs="Verdana"/>
                <w:lang w:bidi="en-GB"/>
              </w:rPr>
              <w:t>31.12.2013</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BoldLeft"/>
              <w:rPr>
                <w:rFonts w:eastAsia="Verdana" w:cs="Verdana"/>
                <w:lang w:bidi="en-GB"/>
              </w:rPr>
            </w:pPr>
            <w:r w:rsidRPr="006A3072">
              <w:rPr>
                <w:rFonts w:eastAsia="Verdana" w:cs="Verdana"/>
                <w:lang w:bidi="en-GB"/>
              </w:rPr>
              <w:t>NON-CURRENT ASSETS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b/>
                <w:i w:val="0"/>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b/>
                <w:i w:val="0"/>
                <w:lang w:bidi="en-GB"/>
              </w:rPr>
            </w:pP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b/>
                <w:i w:val="0"/>
                <w:lang w:bidi="en-GB"/>
              </w:rPr>
            </w:pP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lang w:bidi="en-GB"/>
              </w:rPr>
            </w:pPr>
            <w:r w:rsidRPr="006A3072">
              <w:rPr>
                <w:rFonts w:eastAsia="Verdana" w:cs="Verdana"/>
                <w:lang w:bidi="en-GB"/>
              </w:rPr>
              <w:t>Intangible assets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lang w:bidi="en-GB"/>
              </w:rPr>
            </w:pPr>
            <w:r w:rsidRPr="006A3072">
              <w:rPr>
                <w:rFonts w:eastAsia="Verdana" w:cs="Verdana"/>
                <w:lang w:bidi="en-GB"/>
              </w:rPr>
              <w:t>2.1</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lang w:bidi="en-GB"/>
              </w:rPr>
            </w:pPr>
            <w:r w:rsidRPr="006A3072">
              <w:rPr>
                <w:rFonts w:eastAsia="Verdana" w:cs="Verdana"/>
                <w:lang w:bidi="en-GB"/>
              </w:rPr>
              <w:t xml:space="preserve"> 282</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lang w:bidi="en-GB"/>
              </w:rPr>
            </w:pPr>
            <w:r w:rsidRPr="006A3072">
              <w:rPr>
                <w:rFonts w:eastAsia="Verdana" w:cs="Verdana"/>
                <w:lang w:bidi="en-GB"/>
              </w:rPr>
              <w:t xml:space="preserve"> 237</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lang w:bidi="en-GB"/>
              </w:rPr>
            </w:pPr>
            <w:r w:rsidRPr="006A3072">
              <w:rPr>
                <w:rFonts w:eastAsia="Verdana" w:cs="Verdana"/>
                <w:lang w:bidi="en-GB"/>
              </w:rPr>
              <w:t>Property, plant and equipment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lang w:bidi="en-GB"/>
              </w:rPr>
            </w:pPr>
            <w:r w:rsidRPr="006A3072">
              <w:rPr>
                <w:rFonts w:eastAsia="Verdana" w:cs="Verdana"/>
                <w:lang w:bidi="en-GB"/>
              </w:rPr>
              <w:t>2.2</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lang w:bidi="en-GB"/>
              </w:rPr>
            </w:pPr>
            <w:r w:rsidRPr="006A3072">
              <w:rPr>
                <w:rFonts w:eastAsia="Verdana" w:cs="Verdana"/>
                <w:lang w:bidi="en-GB"/>
              </w:rPr>
              <w:t>7 937</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lang w:bidi="en-GB"/>
              </w:rPr>
            </w:pPr>
            <w:r w:rsidRPr="006A3072">
              <w:rPr>
                <w:rFonts w:eastAsia="Verdana" w:cs="Verdana"/>
                <w:lang w:bidi="en-GB"/>
              </w:rPr>
              <w:t>6 104</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lang w:bidi="en-GB"/>
              </w:rPr>
            </w:pPr>
            <w:r w:rsidRPr="006A3072">
              <w:rPr>
                <w:rFonts w:eastAsia="Verdana" w:cs="Verdana"/>
                <w:lang w:bidi="en-GB"/>
              </w:rPr>
              <w:t>Investments accounted for using the equity method</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lang w:bidi="en-GB"/>
              </w:rPr>
            </w:pPr>
            <w:r w:rsidRPr="006A3072">
              <w:rPr>
                <w:rFonts w:eastAsia="Verdana" w:cs="Verdana"/>
                <w:lang w:bidi="en-GB"/>
              </w:rPr>
              <w:t>2.3</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lang w:bidi="en-GB"/>
              </w:rPr>
            </w:pPr>
            <w:r w:rsidRPr="006A3072">
              <w:rPr>
                <w:rFonts w:eastAsia="Verdana" w:cs="Verdana"/>
                <w:lang w:bidi="en-GB"/>
              </w:rPr>
              <w:t xml:space="preserve"> 409</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lang w:bidi="en-GB"/>
              </w:rPr>
            </w:pPr>
            <w:r w:rsidRPr="006A3072">
              <w:rPr>
                <w:rFonts w:eastAsia="Verdana" w:cs="Verdana"/>
                <w:lang w:bidi="en-GB"/>
              </w:rPr>
              <w:t xml:space="preserve"> 349</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lang w:bidi="en-GB"/>
              </w:rPr>
            </w:pPr>
            <w:r w:rsidRPr="006A3072">
              <w:rPr>
                <w:rFonts w:eastAsia="Verdana" w:cs="Verdana"/>
                <w:lang w:bidi="en-GB"/>
              </w:rPr>
              <w:t>Financial assets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lang w:bidi="en-GB"/>
              </w:rPr>
            </w:pPr>
            <w:r w:rsidRPr="006A3072">
              <w:rPr>
                <w:rFonts w:eastAsia="Verdana" w:cs="Verdana"/>
                <w:lang w:bidi="en-GB"/>
              </w:rPr>
              <w:t>2.4</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lang w:bidi="en-GB"/>
              </w:rPr>
            </w:pPr>
            <w:r w:rsidRPr="006A3072">
              <w:rPr>
                <w:rFonts w:eastAsia="Verdana" w:cs="Verdana"/>
                <w:lang w:bidi="en-GB"/>
              </w:rPr>
              <w:t>56 438</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lang w:bidi="en-GB"/>
              </w:rPr>
            </w:pPr>
            <w:r w:rsidRPr="006A3072">
              <w:rPr>
                <w:rFonts w:eastAsia="Verdana" w:cs="Verdana"/>
                <w:lang w:bidi="en-GB"/>
              </w:rPr>
              <w:t>59 844</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lang w:bidi="en-GB"/>
              </w:rPr>
            </w:pPr>
            <w:r w:rsidRPr="006A3072">
              <w:rPr>
                <w:rFonts w:eastAsia="Verdana" w:cs="Verdana"/>
                <w:lang w:bidi="en-GB"/>
              </w:rPr>
              <w:t>Pre-financing</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lang w:bidi="en-GB"/>
              </w:rPr>
            </w:pPr>
            <w:r w:rsidRPr="006A3072">
              <w:rPr>
                <w:rFonts w:eastAsia="Verdana" w:cs="Verdana"/>
                <w:lang w:bidi="en-GB"/>
              </w:rPr>
              <w:t>2.5</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lang w:bidi="en-GB"/>
              </w:rPr>
            </w:pPr>
            <w:r w:rsidRPr="006A3072">
              <w:rPr>
                <w:rFonts w:eastAsia="Verdana" w:cs="Verdana"/>
                <w:lang w:bidi="en-GB"/>
              </w:rPr>
              <w:t>18 358</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lang w:bidi="en-GB"/>
              </w:rPr>
            </w:pPr>
            <w:r w:rsidRPr="006A3072">
              <w:rPr>
                <w:rFonts w:eastAsia="Verdana" w:cs="Verdana"/>
                <w:lang w:bidi="en-GB"/>
              </w:rPr>
              <w:t>38 072</w:t>
            </w:r>
          </w:p>
        </w:tc>
      </w:tr>
      <w:tr w:rsidR="00E7728E">
        <w:trPr>
          <w:trHeight w:val="268"/>
        </w:trPr>
        <w:tc>
          <w:tcPr>
            <w:tcW w:w="5211"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lang w:bidi="en-GB"/>
              </w:rPr>
            </w:pPr>
            <w:r w:rsidRPr="006A3072">
              <w:rPr>
                <w:rFonts w:eastAsia="Verdana" w:cs="Verdana"/>
                <w:lang w:bidi="en-GB"/>
              </w:rPr>
              <w:t>Exchange receivables and non-exchange recoverables</w:t>
            </w:r>
          </w:p>
        </w:tc>
        <w:tc>
          <w:tcPr>
            <w:tcW w:w="851"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lang w:bidi="en-GB"/>
              </w:rPr>
            </w:pPr>
            <w:r w:rsidRPr="006A3072">
              <w:rPr>
                <w:rFonts w:eastAsia="Verdana" w:cs="Verdana"/>
                <w:lang w:bidi="en-GB"/>
              </w:rPr>
              <w:t>2.6</w:t>
            </w:r>
          </w:p>
        </w:tc>
        <w:tc>
          <w:tcPr>
            <w:tcW w:w="1842"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lang w:bidi="en-GB"/>
              </w:rPr>
            </w:pPr>
            <w:r w:rsidRPr="006A3072">
              <w:rPr>
                <w:rFonts w:eastAsia="Verdana" w:cs="Verdana"/>
                <w:lang w:bidi="en-GB"/>
              </w:rPr>
              <w:t>1 198</w:t>
            </w:r>
          </w:p>
        </w:tc>
        <w:tc>
          <w:tcPr>
            <w:tcW w:w="1843"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lang w:bidi="en-GB"/>
              </w:rPr>
            </w:pPr>
            <w:r w:rsidRPr="006A3072">
              <w:rPr>
                <w:rFonts w:eastAsia="Verdana" w:cs="Verdana"/>
                <w:lang w:bidi="en-GB"/>
              </w:rPr>
              <w:t xml:space="preserve"> 498</w:t>
            </w:r>
          </w:p>
        </w:tc>
      </w:tr>
      <w:tr w:rsidR="00E7728E">
        <w:trPr>
          <w:trHeight w:val="268"/>
        </w:trPr>
        <w:tc>
          <w:tcPr>
            <w:tcW w:w="5211"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6A3072" w:rsidRDefault="00F50689" w:rsidP="00F50689">
            <w:pPr>
              <w:pStyle w:val="Text9pItalicLeft"/>
              <w:rPr>
                <w:rFonts w:eastAsia="Verdana" w:cs="Verdana"/>
                <w:lang w:bidi="en-GB"/>
              </w:rPr>
            </w:pPr>
          </w:p>
        </w:tc>
        <w:tc>
          <w:tcPr>
            <w:tcW w:w="851"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6A3072" w:rsidRDefault="00F50689" w:rsidP="00F50689">
            <w:pPr>
              <w:pStyle w:val="Text9pItalicCentered"/>
              <w:rPr>
                <w:rFonts w:eastAsia="Verdana" w:cs="Verdana"/>
                <w:i w:val="0"/>
                <w:lang w:bidi="en-GB"/>
              </w:rPr>
            </w:pPr>
          </w:p>
        </w:tc>
        <w:tc>
          <w:tcPr>
            <w:tcW w:w="1842"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Figures9pBoldRight025"/>
              <w:rPr>
                <w:rFonts w:eastAsia="Verdana" w:cs="Verdana"/>
                <w:lang w:bidi="en-GB"/>
              </w:rPr>
            </w:pPr>
            <w:r w:rsidRPr="006A3072">
              <w:rPr>
                <w:rFonts w:eastAsia="Verdana" w:cs="Verdana"/>
                <w:lang w:bidi="en-GB"/>
              </w:rPr>
              <w:t>84 623</w:t>
            </w:r>
          </w:p>
        </w:tc>
        <w:tc>
          <w:tcPr>
            <w:tcW w:w="1843"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Figures9pBoldRight025"/>
              <w:rPr>
                <w:rFonts w:eastAsia="Verdana" w:cs="Verdana"/>
                <w:lang w:bidi="en-GB"/>
              </w:rPr>
            </w:pPr>
            <w:r w:rsidRPr="006A3072">
              <w:rPr>
                <w:rFonts w:eastAsia="Verdana" w:cs="Verdana"/>
                <w:lang w:bidi="en-GB"/>
              </w:rPr>
              <w:t>105 104</w:t>
            </w:r>
          </w:p>
        </w:tc>
      </w:tr>
      <w:tr w:rsidR="00E7728E">
        <w:trPr>
          <w:trHeight w:val="268"/>
        </w:trPr>
        <w:tc>
          <w:tcPr>
            <w:tcW w:w="5211"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BoldLeft"/>
              <w:rPr>
                <w:rFonts w:eastAsia="Verdana" w:cs="Verdana"/>
                <w:lang w:bidi="en-GB"/>
              </w:rPr>
            </w:pPr>
            <w:r w:rsidRPr="006A3072">
              <w:rPr>
                <w:rFonts w:eastAsia="Verdana" w:cs="Verdana"/>
                <w:lang w:bidi="en-GB"/>
              </w:rPr>
              <w:t>CURRENT ASSETS</w:t>
            </w:r>
          </w:p>
        </w:tc>
        <w:tc>
          <w:tcPr>
            <w:tcW w:w="851"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b/>
                <w:i w:val="0"/>
                <w:lang w:bidi="en-GB"/>
              </w:rPr>
            </w:pPr>
          </w:p>
        </w:tc>
        <w:tc>
          <w:tcPr>
            <w:tcW w:w="1842"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b/>
                <w:i w:val="0"/>
                <w:lang w:bidi="en-GB"/>
              </w:rPr>
            </w:pPr>
          </w:p>
        </w:tc>
        <w:tc>
          <w:tcPr>
            <w:tcW w:w="1843"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b/>
                <w:i w:val="0"/>
                <w:lang w:bidi="en-GB"/>
              </w:rPr>
            </w:pP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lang w:bidi="en-GB"/>
              </w:rPr>
            </w:pPr>
            <w:r w:rsidRPr="006A3072">
              <w:rPr>
                <w:rFonts w:eastAsia="Verdana" w:cs="Verdana"/>
                <w:lang w:bidi="en-GB"/>
              </w:rPr>
              <w:t>Financial assets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lang w:bidi="en-GB"/>
              </w:rPr>
            </w:pPr>
            <w:r w:rsidRPr="006A3072">
              <w:rPr>
                <w:rFonts w:eastAsia="Verdana" w:cs="Verdana"/>
                <w:lang w:bidi="en-GB"/>
              </w:rPr>
              <w:t>2.4</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lang w:bidi="en-GB"/>
              </w:rPr>
            </w:pPr>
            <w:r w:rsidRPr="006A3072">
              <w:rPr>
                <w:rFonts w:eastAsia="Verdana" w:cs="Verdana"/>
                <w:lang w:bidi="en-GB"/>
              </w:rPr>
              <w:t>11 811</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lang w:bidi="en-GB"/>
              </w:rPr>
            </w:pPr>
            <w:r w:rsidRPr="006A3072">
              <w:rPr>
                <w:rFonts w:eastAsia="Verdana" w:cs="Verdana"/>
                <w:lang w:bidi="en-GB"/>
              </w:rPr>
              <w:t>5 571</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lang w:bidi="en-GB"/>
              </w:rPr>
            </w:pPr>
            <w:r w:rsidRPr="006A3072">
              <w:rPr>
                <w:rFonts w:eastAsia="Verdana" w:cs="Verdana"/>
                <w:lang w:bidi="en-GB"/>
              </w:rPr>
              <w:t>Pre-financing</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lang w:bidi="en-GB"/>
              </w:rPr>
            </w:pPr>
            <w:r w:rsidRPr="006A3072">
              <w:rPr>
                <w:rFonts w:eastAsia="Verdana" w:cs="Verdana"/>
                <w:lang w:bidi="en-GB"/>
              </w:rPr>
              <w:t>2.5</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lang w:bidi="en-GB"/>
              </w:rPr>
            </w:pPr>
            <w:r w:rsidRPr="006A3072">
              <w:rPr>
                <w:rFonts w:eastAsia="Verdana" w:cs="Verdana"/>
                <w:lang w:bidi="en-GB"/>
              </w:rPr>
              <w:t>34 237</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lang w:bidi="en-GB"/>
              </w:rPr>
            </w:pPr>
            <w:r w:rsidRPr="006A3072">
              <w:rPr>
                <w:rFonts w:eastAsia="Verdana" w:cs="Verdana"/>
                <w:lang w:bidi="en-GB"/>
              </w:rPr>
              <w:t>21 367</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lang w:bidi="en-GB"/>
              </w:rPr>
            </w:pPr>
            <w:r w:rsidRPr="006A3072">
              <w:rPr>
                <w:rFonts w:eastAsia="Verdana" w:cs="Verdana"/>
                <w:lang w:bidi="en-GB"/>
              </w:rPr>
              <w:t>Exchange receivables and non-exchange recoverables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lang w:bidi="en-GB"/>
              </w:rPr>
            </w:pPr>
            <w:r w:rsidRPr="006A3072">
              <w:rPr>
                <w:rFonts w:eastAsia="Verdana" w:cs="Verdana"/>
                <w:lang w:bidi="en-GB"/>
              </w:rPr>
              <w:t>2.6</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lang w:bidi="en-GB"/>
              </w:rPr>
            </w:pPr>
            <w:r w:rsidRPr="006A3072">
              <w:rPr>
                <w:rFonts w:eastAsia="Verdana" w:cs="Verdana"/>
                <w:lang w:bidi="en-GB"/>
              </w:rPr>
              <w:t>14 380</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lang w:bidi="en-GB"/>
              </w:rPr>
            </w:pPr>
            <w:r w:rsidRPr="006A3072">
              <w:rPr>
                <w:rFonts w:eastAsia="Verdana" w:cs="Verdana"/>
                <w:lang w:bidi="en-GB"/>
              </w:rPr>
              <w:t>13 182</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lang w:bidi="en-GB"/>
              </w:rPr>
            </w:pPr>
            <w:r w:rsidRPr="006A3072">
              <w:rPr>
                <w:rFonts w:eastAsia="Verdana" w:cs="Verdana"/>
                <w:lang w:bidi="en-GB"/>
              </w:rPr>
              <w:t>Inventories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lang w:bidi="en-GB"/>
              </w:rPr>
            </w:pPr>
            <w:r w:rsidRPr="006A3072">
              <w:rPr>
                <w:rFonts w:eastAsia="Verdana" w:cs="Verdana"/>
                <w:lang w:bidi="en-GB"/>
              </w:rPr>
              <w:t>2.7</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lang w:bidi="en-GB"/>
              </w:rPr>
            </w:pPr>
            <w:r w:rsidRPr="006A3072">
              <w:rPr>
                <w:rFonts w:eastAsia="Verdana" w:cs="Verdana"/>
                <w:lang w:bidi="en-GB"/>
              </w:rPr>
              <w:t xml:space="preserve"> 128</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lang w:bidi="en-GB"/>
              </w:rPr>
            </w:pPr>
            <w:r w:rsidRPr="006A3072">
              <w:rPr>
                <w:rFonts w:eastAsia="Verdana" w:cs="Verdana"/>
                <w:lang w:bidi="en-GB"/>
              </w:rPr>
              <w:t xml:space="preserve"> 128</w:t>
            </w:r>
          </w:p>
        </w:tc>
      </w:tr>
      <w:tr w:rsidR="00E7728E">
        <w:trPr>
          <w:trHeight w:val="268"/>
        </w:trPr>
        <w:tc>
          <w:tcPr>
            <w:tcW w:w="5211"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lang w:bidi="en-GB"/>
              </w:rPr>
            </w:pPr>
            <w:r w:rsidRPr="006A3072">
              <w:rPr>
                <w:rFonts w:eastAsia="Verdana" w:cs="Verdana"/>
                <w:lang w:bidi="en-GB"/>
              </w:rPr>
              <w:t xml:space="preserve">Cash and cash equivalents </w:t>
            </w:r>
          </w:p>
        </w:tc>
        <w:tc>
          <w:tcPr>
            <w:tcW w:w="851"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lang w:bidi="en-GB"/>
              </w:rPr>
            </w:pPr>
            <w:r w:rsidRPr="006A3072">
              <w:rPr>
                <w:rFonts w:eastAsia="Verdana" w:cs="Verdana"/>
                <w:lang w:bidi="en-GB"/>
              </w:rPr>
              <w:t>2.8</w:t>
            </w:r>
          </w:p>
        </w:tc>
        <w:tc>
          <w:tcPr>
            <w:tcW w:w="1842"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lang w:bidi="en-GB"/>
              </w:rPr>
            </w:pPr>
            <w:r w:rsidRPr="006A3072">
              <w:rPr>
                <w:rFonts w:eastAsia="Verdana" w:cs="Verdana"/>
                <w:lang w:bidi="en-GB"/>
              </w:rPr>
              <w:t>17 545</w:t>
            </w:r>
          </w:p>
        </w:tc>
        <w:tc>
          <w:tcPr>
            <w:tcW w:w="1843"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lang w:bidi="en-GB"/>
              </w:rPr>
            </w:pPr>
            <w:r w:rsidRPr="006A3072">
              <w:rPr>
                <w:rFonts w:eastAsia="Verdana" w:cs="Verdana"/>
                <w:lang w:bidi="en-GB"/>
              </w:rPr>
              <w:t>9 510</w:t>
            </w:r>
          </w:p>
        </w:tc>
      </w:tr>
      <w:tr w:rsidR="00E7728E">
        <w:trPr>
          <w:trHeight w:val="268"/>
        </w:trPr>
        <w:tc>
          <w:tcPr>
            <w:tcW w:w="5211"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Text9pItalicLeft"/>
              <w:rPr>
                <w:rFonts w:eastAsia="Verdana" w:cs="Verdana"/>
                <w:lang w:bidi="en-GB"/>
              </w:rPr>
            </w:pPr>
          </w:p>
        </w:tc>
        <w:tc>
          <w:tcPr>
            <w:tcW w:w="851"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Text9pItalicCentered"/>
              <w:rPr>
                <w:rFonts w:eastAsia="Verdana" w:cs="Verdana"/>
                <w:lang w:bidi="en-GB"/>
              </w:rPr>
            </w:pPr>
          </w:p>
        </w:tc>
        <w:tc>
          <w:tcPr>
            <w:tcW w:w="1842"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BoldRight025"/>
              <w:rPr>
                <w:rFonts w:eastAsia="Verdana" w:cs="Verdana"/>
                <w:lang w:bidi="en-GB"/>
              </w:rPr>
            </w:pPr>
            <w:r w:rsidRPr="006A3072">
              <w:rPr>
                <w:rFonts w:eastAsia="Verdana" w:cs="Verdana"/>
                <w:lang w:bidi="en-GB"/>
              </w:rPr>
              <w:t>78 101</w:t>
            </w:r>
          </w:p>
        </w:tc>
        <w:tc>
          <w:tcPr>
            <w:tcW w:w="1843"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BoldRight025"/>
              <w:rPr>
                <w:rFonts w:eastAsia="Verdana" w:cs="Verdana"/>
                <w:lang w:bidi="en-GB"/>
              </w:rPr>
            </w:pPr>
            <w:r w:rsidRPr="006A3072">
              <w:rPr>
                <w:rFonts w:eastAsia="Verdana" w:cs="Verdana"/>
                <w:lang w:bidi="en-GB"/>
              </w:rPr>
              <w:t>49 758</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Pr="006A3072" w:rsidRDefault="005A36C4" w:rsidP="00F50689">
            <w:pPr>
              <w:pStyle w:val="Text9pBoldLeft"/>
              <w:rPr>
                <w:rFonts w:eastAsia="Verdana" w:cs="Verdana"/>
                <w:lang w:bidi="en-GB"/>
              </w:rPr>
            </w:pPr>
            <w:r w:rsidRPr="006A3072">
              <w:rPr>
                <w:rFonts w:eastAsia="Verdana" w:cs="Verdana"/>
                <w:lang w:bidi="en-GB"/>
              </w:rPr>
              <w:t>TOTAL ASSETS</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Pr="006A3072" w:rsidRDefault="00F50689" w:rsidP="00F50689">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Pr="006A3072" w:rsidRDefault="005A36C4" w:rsidP="00F50689">
            <w:pPr>
              <w:pStyle w:val="Figures9pBoldRight025"/>
              <w:rPr>
                <w:rFonts w:eastAsia="Verdana" w:cs="Verdana"/>
                <w:lang w:bidi="en-GB"/>
              </w:rPr>
            </w:pPr>
            <w:r w:rsidRPr="006A3072">
              <w:rPr>
                <w:rFonts w:eastAsia="Verdana" w:cs="Verdana"/>
                <w:lang w:bidi="en-GB"/>
              </w:rPr>
              <w:t>162 724</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Pr="006A3072" w:rsidRDefault="005A36C4" w:rsidP="00F50689">
            <w:pPr>
              <w:pStyle w:val="Figures9pBoldRight025"/>
              <w:rPr>
                <w:rFonts w:eastAsia="Verdana" w:cs="Verdana"/>
                <w:lang w:bidi="en-GB"/>
              </w:rPr>
            </w:pPr>
            <w:r w:rsidRPr="006A3072">
              <w:rPr>
                <w:rFonts w:eastAsia="Verdana" w:cs="Verdana"/>
                <w:lang w:bidi="en-GB"/>
              </w:rPr>
              <w:t>154 862</w:t>
            </w:r>
          </w:p>
        </w:tc>
      </w:tr>
      <w:tr w:rsidR="00E7728E">
        <w:trPr>
          <w:trHeight w:val="268"/>
        </w:trPr>
        <w:tc>
          <w:tcPr>
            <w:tcW w:w="5211"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F50689" w:rsidP="00F50689">
            <w:pPr>
              <w:pStyle w:val="Text9pItalicLeft"/>
              <w:rPr>
                <w:rFonts w:eastAsia="Verdana" w:cs="Verdana"/>
                <w:lang w:bidi="en-GB"/>
              </w:rPr>
            </w:pPr>
          </w:p>
        </w:tc>
        <w:tc>
          <w:tcPr>
            <w:tcW w:w="851"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F50689" w:rsidP="00F50689">
            <w:pPr>
              <w:pStyle w:val="Text9pItalicCentered"/>
              <w:rPr>
                <w:rFonts w:eastAsia="Verdana" w:cs="Verdana"/>
                <w:lang w:bidi="en-GB"/>
              </w:rPr>
            </w:pPr>
          </w:p>
        </w:tc>
        <w:tc>
          <w:tcPr>
            <w:tcW w:w="1842"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lang w:bidi="en-GB"/>
              </w:rPr>
            </w:pPr>
          </w:p>
        </w:tc>
        <w:tc>
          <w:tcPr>
            <w:tcW w:w="1843"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lang w:bidi="en-GB"/>
              </w:rPr>
            </w:pPr>
          </w:p>
        </w:tc>
      </w:tr>
      <w:tr w:rsidR="00E7728E">
        <w:trPr>
          <w:trHeight w:val="268"/>
        </w:trPr>
        <w:tc>
          <w:tcPr>
            <w:tcW w:w="5211"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BoldLeft"/>
              <w:rPr>
                <w:rFonts w:eastAsia="Verdana" w:cs="Verdana"/>
                <w:lang w:bidi="en-GB"/>
              </w:rPr>
            </w:pPr>
            <w:r w:rsidRPr="006A3072">
              <w:rPr>
                <w:rFonts w:eastAsia="Verdana" w:cs="Verdana"/>
                <w:lang w:bidi="en-GB"/>
              </w:rPr>
              <w:t>NON-CURRENT LIABILITIES</w:t>
            </w:r>
          </w:p>
        </w:tc>
        <w:tc>
          <w:tcPr>
            <w:tcW w:w="851"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b/>
                <w:i w:val="0"/>
                <w:lang w:bidi="en-GB"/>
              </w:rPr>
            </w:pPr>
          </w:p>
        </w:tc>
        <w:tc>
          <w:tcPr>
            <w:tcW w:w="1842"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b/>
                <w:i w:val="0"/>
                <w:lang w:bidi="en-GB"/>
              </w:rPr>
            </w:pPr>
          </w:p>
        </w:tc>
        <w:tc>
          <w:tcPr>
            <w:tcW w:w="1843"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b/>
                <w:i w:val="0"/>
                <w:lang w:bidi="en-GB"/>
              </w:rPr>
            </w:pP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lang w:bidi="en-GB"/>
              </w:rPr>
            </w:pPr>
            <w:r w:rsidRPr="006A3072">
              <w:rPr>
                <w:rFonts w:eastAsia="Verdana" w:cs="Verdana"/>
                <w:lang w:bidi="en-GB"/>
              </w:rPr>
              <w:t>Pension and other employee benefits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lang w:bidi="en-GB"/>
              </w:rPr>
            </w:pPr>
            <w:r w:rsidRPr="006A3072">
              <w:rPr>
                <w:rFonts w:eastAsia="Verdana" w:cs="Verdana"/>
                <w:lang w:bidi="en-GB"/>
              </w:rPr>
              <w:t>2.9</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lang w:bidi="en-GB"/>
              </w:rPr>
            </w:pPr>
            <w:r w:rsidRPr="006A3072">
              <w:rPr>
                <w:rFonts w:eastAsia="Verdana" w:cs="Verdana"/>
                <w:lang w:bidi="en-GB"/>
              </w:rPr>
              <w:t>(58 616)</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lang w:bidi="en-GB"/>
              </w:rPr>
            </w:pPr>
            <w:r w:rsidRPr="006A3072">
              <w:rPr>
                <w:rFonts w:eastAsia="Verdana" w:cs="Verdana"/>
                <w:lang w:bidi="en-GB"/>
              </w:rPr>
              <w:t>(46 818)</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lang w:bidi="en-GB"/>
              </w:rPr>
            </w:pPr>
            <w:r w:rsidRPr="006A3072">
              <w:rPr>
                <w:rFonts w:eastAsia="Verdana" w:cs="Verdana"/>
                <w:lang w:bidi="en-GB"/>
              </w:rPr>
              <w:t>Provisions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lang w:bidi="en-GB"/>
              </w:rPr>
            </w:pPr>
            <w:r w:rsidRPr="006A3072">
              <w:rPr>
                <w:rFonts w:eastAsia="Verdana" w:cs="Verdana"/>
                <w:lang w:bidi="en-GB"/>
              </w:rPr>
              <w:t>2.10</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lang w:bidi="en-GB"/>
              </w:rPr>
            </w:pPr>
            <w:r w:rsidRPr="006A3072">
              <w:rPr>
                <w:rFonts w:eastAsia="Verdana" w:cs="Verdana"/>
                <w:lang w:bidi="en-GB"/>
              </w:rPr>
              <w:t>(1 537)</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lang w:bidi="en-GB"/>
              </w:rPr>
            </w:pPr>
            <w:r w:rsidRPr="006A3072">
              <w:rPr>
                <w:rFonts w:eastAsia="Verdana" w:cs="Verdana"/>
                <w:lang w:bidi="en-GB"/>
              </w:rPr>
              <w:t>(1 323)</w:t>
            </w:r>
          </w:p>
        </w:tc>
      </w:tr>
      <w:tr w:rsidR="00E7728E">
        <w:trPr>
          <w:trHeight w:val="268"/>
        </w:trPr>
        <w:tc>
          <w:tcPr>
            <w:tcW w:w="5211"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lang w:bidi="en-GB"/>
              </w:rPr>
            </w:pPr>
            <w:r w:rsidRPr="006A3072">
              <w:rPr>
                <w:rFonts w:eastAsia="Verdana" w:cs="Verdana"/>
                <w:lang w:bidi="en-GB"/>
              </w:rPr>
              <w:t>Financial liabilities</w:t>
            </w:r>
          </w:p>
        </w:tc>
        <w:tc>
          <w:tcPr>
            <w:tcW w:w="851"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lang w:bidi="en-GB"/>
              </w:rPr>
            </w:pPr>
            <w:r w:rsidRPr="006A3072">
              <w:rPr>
                <w:rFonts w:eastAsia="Verdana" w:cs="Verdana"/>
                <w:lang w:bidi="en-GB"/>
              </w:rPr>
              <w:t>2.11</w:t>
            </w:r>
          </w:p>
        </w:tc>
        <w:tc>
          <w:tcPr>
            <w:tcW w:w="1842"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lang w:bidi="en-GB"/>
              </w:rPr>
            </w:pPr>
            <w:r w:rsidRPr="006A3072">
              <w:rPr>
                <w:rFonts w:eastAsia="Verdana" w:cs="Verdana"/>
                <w:lang w:bidi="en-GB"/>
              </w:rPr>
              <w:t>(51 851)</w:t>
            </w:r>
          </w:p>
        </w:tc>
        <w:tc>
          <w:tcPr>
            <w:tcW w:w="1843"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lang w:bidi="en-GB"/>
              </w:rPr>
            </w:pPr>
            <w:r w:rsidRPr="006A3072">
              <w:rPr>
                <w:rFonts w:eastAsia="Verdana" w:cs="Verdana"/>
                <w:lang w:bidi="en-GB"/>
              </w:rPr>
              <w:t>(56 369)</w:t>
            </w:r>
          </w:p>
        </w:tc>
      </w:tr>
      <w:tr w:rsidR="00E7728E">
        <w:trPr>
          <w:trHeight w:val="268"/>
        </w:trPr>
        <w:tc>
          <w:tcPr>
            <w:tcW w:w="5211"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6A3072" w:rsidRDefault="00F50689" w:rsidP="00F50689">
            <w:pPr>
              <w:pStyle w:val="Text9pItalicLeft"/>
              <w:rPr>
                <w:rFonts w:eastAsia="Verdana" w:cs="Verdana"/>
                <w:lang w:bidi="en-GB"/>
              </w:rPr>
            </w:pPr>
          </w:p>
        </w:tc>
        <w:tc>
          <w:tcPr>
            <w:tcW w:w="851"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6A3072" w:rsidRDefault="00F50689" w:rsidP="00F50689">
            <w:pPr>
              <w:pStyle w:val="Text9pItalicCentered"/>
              <w:rPr>
                <w:rFonts w:eastAsia="Verdana" w:cs="Verdana"/>
                <w:i w:val="0"/>
                <w:lang w:bidi="en-GB"/>
              </w:rPr>
            </w:pPr>
          </w:p>
        </w:tc>
        <w:tc>
          <w:tcPr>
            <w:tcW w:w="1842"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Figures9pBoldRight025"/>
              <w:rPr>
                <w:rFonts w:eastAsia="Verdana" w:cs="Verdana"/>
                <w:lang w:bidi="en-GB"/>
              </w:rPr>
            </w:pPr>
            <w:r w:rsidRPr="006A3072">
              <w:rPr>
                <w:rFonts w:eastAsia="Verdana" w:cs="Verdana"/>
                <w:lang w:bidi="en-GB"/>
              </w:rPr>
              <w:t>(112 005)</w:t>
            </w:r>
          </w:p>
        </w:tc>
        <w:tc>
          <w:tcPr>
            <w:tcW w:w="1843"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Figures9pBoldRight025"/>
              <w:rPr>
                <w:rFonts w:eastAsia="Verdana" w:cs="Verdana"/>
                <w:lang w:bidi="en-GB"/>
              </w:rPr>
            </w:pPr>
            <w:r w:rsidRPr="006A3072">
              <w:rPr>
                <w:rFonts w:eastAsia="Verdana" w:cs="Verdana"/>
                <w:lang w:bidi="en-GB"/>
              </w:rPr>
              <w:t>(104 510)</w:t>
            </w:r>
          </w:p>
        </w:tc>
      </w:tr>
      <w:tr w:rsidR="00E7728E">
        <w:trPr>
          <w:trHeight w:val="268"/>
        </w:trPr>
        <w:tc>
          <w:tcPr>
            <w:tcW w:w="5211"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BoldLeft"/>
              <w:rPr>
                <w:rFonts w:eastAsia="Verdana" w:cs="Verdana"/>
                <w:lang w:bidi="en-GB"/>
              </w:rPr>
            </w:pPr>
            <w:r w:rsidRPr="006A3072">
              <w:rPr>
                <w:rFonts w:eastAsia="Verdana" w:cs="Verdana"/>
                <w:lang w:bidi="en-GB"/>
              </w:rPr>
              <w:t>CURRENT LIABILITIES</w:t>
            </w:r>
          </w:p>
        </w:tc>
        <w:tc>
          <w:tcPr>
            <w:tcW w:w="851"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b/>
                <w:i w:val="0"/>
                <w:lang w:bidi="en-GB"/>
              </w:rPr>
            </w:pPr>
          </w:p>
        </w:tc>
        <w:tc>
          <w:tcPr>
            <w:tcW w:w="1842"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b/>
                <w:i w:val="0"/>
                <w:lang w:bidi="en-GB"/>
              </w:rPr>
            </w:pPr>
          </w:p>
        </w:tc>
        <w:tc>
          <w:tcPr>
            <w:tcW w:w="1843"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b/>
                <w:i w:val="0"/>
                <w:lang w:bidi="en-GB"/>
              </w:rPr>
            </w:pP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lang w:bidi="en-GB"/>
              </w:rPr>
            </w:pPr>
            <w:r w:rsidRPr="006A3072">
              <w:rPr>
                <w:rFonts w:eastAsia="Verdana" w:cs="Verdana"/>
                <w:lang w:bidi="en-GB"/>
              </w:rPr>
              <w:t>Provisions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lang w:bidi="en-GB"/>
              </w:rPr>
            </w:pPr>
            <w:r w:rsidRPr="006A3072">
              <w:rPr>
                <w:rFonts w:eastAsia="Verdana" w:cs="Verdana"/>
                <w:lang w:bidi="en-GB"/>
              </w:rPr>
              <w:t>2.10</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lang w:bidi="en-GB"/>
              </w:rPr>
            </w:pPr>
            <w:r w:rsidRPr="006A3072">
              <w:rPr>
                <w:rFonts w:eastAsia="Verdana" w:cs="Verdana"/>
                <w:lang w:bidi="en-GB"/>
              </w:rPr>
              <w:t xml:space="preserve"> (745)</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lang w:bidi="en-GB"/>
              </w:rPr>
            </w:pPr>
            <w:r w:rsidRPr="006A3072">
              <w:rPr>
                <w:rFonts w:eastAsia="Verdana" w:cs="Verdana"/>
                <w:lang w:bidi="en-GB"/>
              </w:rPr>
              <w:t xml:space="preserve"> (545)</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lang w:bidi="en-GB"/>
              </w:rPr>
            </w:pPr>
            <w:r w:rsidRPr="006A3072">
              <w:rPr>
                <w:rFonts w:eastAsia="Verdana" w:cs="Verdana"/>
                <w:lang w:bidi="en-GB"/>
              </w:rPr>
              <w:t>Financial liabilities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lang w:bidi="en-GB"/>
              </w:rPr>
            </w:pPr>
            <w:r w:rsidRPr="006A3072">
              <w:rPr>
                <w:rFonts w:eastAsia="Verdana" w:cs="Verdana"/>
                <w:lang w:bidi="en-GB"/>
              </w:rPr>
              <w:t>2.11</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lang w:bidi="en-GB"/>
              </w:rPr>
            </w:pPr>
            <w:r w:rsidRPr="006A3072">
              <w:rPr>
                <w:rFonts w:eastAsia="Verdana" w:cs="Verdana"/>
                <w:lang w:bidi="en-GB"/>
              </w:rPr>
              <w:t>(8 828)</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lang w:bidi="en-GB"/>
              </w:rPr>
            </w:pPr>
            <w:r w:rsidRPr="006A3072">
              <w:rPr>
                <w:rFonts w:eastAsia="Verdana" w:cs="Verdana"/>
                <w:lang w:bidi="en-GB"/>
              </w:rPr>
              <w:t>(3 163)</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lang w:bidi="en-GB"/>
              </w:rPr>
            </w:pPr>
            <w:r w:rsidRPr="006A3072">
              <w:rPr>
                <w:rFonts w:eastAsia="Verdana" w:cs="Verdana"/>
                <w:lang w:bidi="en-GB"/>
              </w:rPr>
              <w:t>Payables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lang w:bidi="en-GB"/>
              </w:rPr>
            </w:pPr>
            <w:r w:rsidRPr="006A3072">
              <w:rPr>
                <w:rFonts w:eastAsia="Verdana" w:cs="Verdana"/>
                <w:lang w:bidi="en-GB"/>
              </w:rPr>
              <w:t>2.12</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lang w:bidi="en-GB"/>
              </w:rPr>
            </w:pPr>
            <w:r w:rsidRPr="006A3072">
              <w:rPr>
                <w:rFonts w:eastAsia="Verdana" w:cs="Verdana"/>
                <w:lang w:bidi="en-GB"/>
              </w:rPr>
              <w:t>(43 180)</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lang w:bidi="en-GB"/>
              </w:rPr>
            </w:pPr>
            <w:r w:rsidRPr="006A3072">
              <w:rPr>
                <w:rFonts w:eastAsia="Verdana" w:cs="Verdana"/>
                <w:lang w:bidi="en-GB"/>
              </w:rPr>
              <w:t>(36 213)</w:t>
            </w:r>
          </w:p>
        </w:tc>
      </w:tr>
      <w:tr w:rsidR="00E7728E">
        <w:trPr>
          <w:trHeight w:val="268"/>
        </w:trPr>
        <w:tc>
          <w:tcPr>
            <w:tcW w:w="5211"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lang w:bidi="en-GB"/>
              </w:rPr>
            </w:pPr>
            <w:r w:rsidRPr="006A3072">
              <w:rPr>
                <w:rFonts w:eastAsia="Verdana" w:cs="Verdana"/>
                <w:lang w:bidi="en-GB"/>
              </w:rPr>
              <w:t>Accrued charges and deferred income</w:t>
            </w:r>
          </w:p>
        </w:tc>
        <w:tc>
          <w:tcPr>
            <w:tcW w:w="851"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lang w:bidi="en-GB"/>
              </w:rPr>
            </w:pPr>
            <w:r w:rsidRPr="006A3072">
              <w:rPr>
                <w:rFonts w:eastAsia="Verdana" w:cs="Verdana"/>
                <w:lang w:bidi="en-GB"/>
              </w:rPr>
              <w:t>2.13</w:t>
            </w:r>
          </w:p>
        </w:tc>
        <w:tc>
          <w:tcPr>
            <w:tcW w:w="1842"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lang w:bidi="en-GB"/>
              </w:rPr>
            </w:pPr>
            <w:r w:rsidRPr="006A3072">
              <w:rPr>
                <w:rFonts w:eastAsia="Verdana" w:cs="Verdana"/>
                <w:lang w:bidi="en-GB"/>
              </w:rPr>
              <w:t>(55 973)</w:t>
            </w:r>
          </w:p>
        </w:tc>
        <w:tc>
          <w:tcPr>
            <w:tcW w:w="1843"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lang w:bidi="en-GB"/>
              </w:rPr>
            </w:pPr>
            <w:r w:rsidRPr="006A3072">
              <w:rPr>
                <w:rFonts w:eastAsia="Verdana" w:cs="Verdana"/>
                <w:lang w:bidi="en-GB"/>
              </w:rPr>
              <w:t>(56 282)</w:t>
            </w:r>
          </w:p>
        </w:tc>
      </w:tr>
      <w:tr w:rsidR="00E7728E">
        <w:trPr>
          <w:trHeight w:val="268"/>
        </w:trPr>
        <w:tc>
          <w:tcPr>
            <w:tcW w:w="5211"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Text9pItalicLeft"/>
              <w:rPr>
                <w:rFonts w:eastAsia="Verdana" w:cs="Verdana"/>
                <w:lang w:bidi="en-GB"/>
              </w:rPr>
            </w:pPr>
          </w:p>
        </w:tc>
        <w:tc>
          <w:tcPr>
            <w:tcW w:w="851"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Text9pItalicCentered"/>
              <w:rPr>
                <w:rFonts w:eastAsia="Verdana" w:cs="Verdana"/>
                <w:lang w:bidi="en-GB"/>
              </w:rPr>
            </w:pPr>
          </w:p>
        </w:tc>
        <w:tc>
          <w:tcPr>
            <w:tcW w:w="1842"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BoldRight025"/>
              <w:rPr>
                <w:rFonts w:eastAsia="Verdana" w:cs="Verdana"/>
                <w:lang w:bidi="en-GB"/>
              </w:rPr>
            </w:pPr>
            <w:r w:rsidRPr="006A3072">
              <w:rPr>
                <w:rFonts w:eastAsia="Verdana" w:cs="Verdana"/>
                <w:lang w:bidi="en-GB"/>
              </w:rPr>
              <w:t>(108 726)</w:t>
            </w:r>
          </w:p>
        </w:tc>
        <w:tc>
          <w:tcPr>
            <w:tcW w:w="1843"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BoldRight025"/>
              <w:rPr>
                <w:rFonts w:eastAsia="Verdana" w:cs="Verdana"/>
                <w:lang w:bidi="en-GB"/>
              </w:rPr>
            </w:pPr>
            <w:r w:rsidRPr="006A3072">
              <w:rPr>
                <w:rFonts w:eastAsia="Verdana" w:cs="Verdana"/>
                <w:lang w:bidi="en-GB"/>
              </w:rPr>
              <w:t>(96 204)</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Pr="006A3072" w:rsidRDefault="005A36C4" w:rsidP="00F50689">
            <w:pPr>
              <w:pStyle w:val="Text9pBoldLeft"/>
              <w:rPr>
                <w:rFonts w:eastAsia="Verdana" w:cs="Verdana"/>
                <w:lang w:bidi="en-GB"/>
              </w:rPr>
            </w:pPr>
            <w:r w:rsidRPr="006A3072">
              <w:rPr>
                <w:rFonts w:eastAsia="Verdana" w:cs="Verdana"/>
                <w:lang w:bidi="en-GB"/>
              </w:rPr>
              <w:t>TOTAL LIABILITIES</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Pr="006A3072" w:rsidRDefault="00F50689" w:rsidP="00F50689">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Pr="006A3072" w:rsidRDefault="005A36C4" w:rsidP="00F50689">
            <w:pPr>
              <w:pStyle w:val="Figures9pBoldRight025"/>
              <w:rPr>
                <w:rFonts w:eastAsia="Verdana" w:cs="Verdana"/>
                <w:lang w:bidi="en-GB"/>
              </w:rPr>
            </w:pPr>
            <w:r w:rsidRPr="006A3072">
              <w:rPr>
                <w:rFonts w:eastAsia="Verdana" w:cs="Verdana"/>
                <w:lang w:bidi="en-GB"/>
              </w:rPr>
              <w:t>(220 730)</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Pr="006A3072" w:rsidRDefault="005A36C4" w:rsidP="00F50689">
            <w:pPr>
              <w:pStyle w:val="Figures9pBoldRight025"/>
              <w:rPr>
                <w:rFonts w:eastAsia="Verdana" w:cs="Verdana"/>
                <w:lang w:bidi="en-GB"/>
              </w:rPr>
            </w:pPr>
            <w:r w:rsidRPr="006A3072">
              <w:rPr>
                <w:rFonts w:eastAsia="Verdana" w:cs="Verdana"/>
                <w:lang w:bidi="en-GB"/>
              </w:rPr>
              <w:t>(200 714)</w:t>
            </w:r>
          </w:p>
        </w:tc>
      </w:tr>
      <w:tr w:rsidR="00E7728E">
        <w:trPr>
          <w:trHeight w:val="124"/>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Text9pItalicLeft"/>
              <w:rPr>
                <w:rFonts w:eastAsia="Verdana" w:cs="Verdana"/>
                <w:lang w:bidi="en-GB"/>
              </w:rPr>
            </w:pP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Text9pItalicCentered"/>
              <w:rPr>
                <w:rFonts w:eastAsia="Verdana" w:cs="Verdana"/>
                <w:i w:val="0"/>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i w:val="0"/>
                <w:lang w:bidi="en-GB"/>
              </w:rPr>
            </w:pP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i w:val="0"/>
                <w:lang w:bidi="en-GB"/>
              </w:rPr>
            </w:pP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Pr="006A3072" w:rsidRDefault="005A36C4" w:rsidP="00F50689">
            <w:pPr>
              <w:pStyle w:val="Text9pBoldLeft"/>
              <w:rPr>
                <w:rFonts w:eastAsia="Verdana" w:cs="Verdana"/>
                <w:lang w:bidi="en-GB"/>
              </w:rPr>
            </w:pPr>
            <w:r w:rsidRPr="006A3072">
              <w:rPr>
                <w:rFonts w:eastAsia="Verdana" w:cs="Verdana"/>
                <w:lang w:bidi="en-GB"/>
              </w:rPr>
              <w:t>NET ASSETS</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Pr="006A3072" w:rsidRDefault="00F50689" w:rsidP="00F50689">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Pr="006A3072" w:rsidRDefault="005A36C4" w:rsidP="00F50689">
            <w:pPr>
              <w:pStyle w:val="Figures9pBoldRight025"/>
              <w:rPr>
                <w:rFonts w:eastAsia="Verdana" w:cs="Verdana"/>
                <w:lang w:bidi="en-GB"/>
              </w:rPr>
            </w:pPr>
            <w:r w:rsidRPr="006A3072">
              <w:rPr>
                <w:rFonts w:eastAsia="Verdana" w:cs="Verdana"/>
                <w:lang w:bidi="en-GB"/>
              </w:rPr>
              <w:t>(58 006)</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Pr="006A3072" w:rsidRDefault="005A36C4" w:rsidP="00F50689">
            <w:pPr>
              <w:pStyle w:val="Figures9pBoldRight025"/>
              <w:rPr>
                <w:rFonts w:eastAsia="Verdana" w:cs="Verdana"/>
                <w:lang w:bidi="en-GB"/>
              </w:rPr>
            </w:pPr>
            <w:r w:rsidRPr="006A3072">
              <w:rPr>
                <w:rFonts w:eastAsia="Verdana" w:cs="Verdana"/>
                <w:lang w:bidi="en-GB"/>
              </w:rPr>
              <w:t>(45 852)</w:t>
            </w:r>
          </w:p>
        </w:tc>
      </w:tr>
      <w:tr w:rsidR="00E7728E">
        <w:trPr>
          <w:trHeight w:val="124"/>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Text9pItalicLeft"/>
              <w:rPr>
                <w:rFonts w:eastAsia="Verdana" w:cs="Verdana"/>
                <w:lang w:bidi="en-GB"/>
              </w:rPr>
            </w:pP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Text9pItalicCentered"/>
              <w:rPr>
                <w:rFonts w:eastAsia="Verdana" w:cs="Verdana"/>
                <w:i w:val="0"/>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i w:val="0"/>
                <w:lang w:bidi="en-GB"/>
              </w:rPr>
            </w:pP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i w:val="0"/>
                <w:lang w:bidi="en-GB"/>
              </w:rPr>
            </w:pP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lang w:bidi="en-GB"/>
              </w:rPr>
            </w:pPr>
            <w:r w:rsidRPr="006A3072">
              <w:rPr>
                <w:rFonts w:eastAsia="Verdana" w:cs="Verdana"/>
                <w:lang w:bidi="en-GB"/>
              </w:rPr>
              <w:t>Reserves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lang w:bidi="en-GB"/>
              </w:rPr>
            </w:pPr>
            <w:r w:rsidRPr="006A3072">
              <w:rPr>
                <w:rFonts w:eastAsia="Verdana" w:cs="Verdana"/>
                <w:lang w:bidi="en-GB"/>
              </w:rPr>
              <w:t>2.14</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lang w:bidi="en-GB"/>
              </w:rPr>
            </w:pPr>
            <w:r w:rsidRPr="006A3072">
              <w:rPr>
                <w:rFonts w:eastAsia="Verdana" w:cs="Verdana"/>
                <w:lang w:bidi="en-GB"/>
              </w:rPr>
              <w:t>4 435</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lang w:bidi="en-GB"/>
              </w:rPr>
            </w:pPr>
            <w:r w:rsidRPr="006A3072">
              <w:rPr>
                <w:rFonts w:eastAsia="Verdana" w:cs="Verdana"/>
                <w:lang w:bidi="en-GB"/>
              </w:rPr>
              <w:t>4 073</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lang w:bidi="en-GB"/>
              </w:rPr>
            </w:pPr>
            <w:r w:rsidRPr="006A3072">
              <w:rPr>
                <w:rFonts w:eastAsia="Verdana" w:cs="Verdana"/>
                <w:lang w:bidi="en-GB"/>
              </w:rPr>
              <w:t>Amounts to be called from Member States*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lang w:bidi="en-GB"/>
              </w:rPr>
            </w:pPr>
            <w:r w:rsidRPr="006A3072">
              <w:rPr>
                <w:rFonts w:eastAsia="Verdana" w:cs="Verdana"/>
                <w:lang w:bidi="en-GB"/>
              </w:rPr>
              <w:t>2.15</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lang w:bidi="en-GB"/>
              </w:rPr>
            </w:pPr>
            <w:r w:rsidRPr="006A3072">
              <w:rPr>
                <w:rFonts w:eastAsia="Verdana" w:cs="Verdana"/>
                <w:lang w:bidi="en-GB"/>
              </w:rPr>
              <w:t>(62 441)</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lang w:bidi="en-GB"/>
              </w:rPr>
            </w:pPr>
            <w:r w:rsidRPr="006A3072">
              <w:rPr>
                <w:rFonts w:eastAsia="Verdana" w:cs="Verdana"/>
                <w:lang w:bidi="en-GB"/>
              </w:rPr>
              <w:t>(49 925)</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Pr="006A3072" w:rsidRDefault="005A36C4" w:rsidP="00F50689">
            <w:pPr>
              <w:pStyle w:val="Text9pBoldLeft"/>
              <w:rPr>
                <w:rFonts w:eastAsia="Verdana" w:cs="Verdana"/>
                <w:lang w:bidi="en-GB"/>
              </w:rPr>
            </w:pPr>
            <w:r w:rsidRPr="006A3072">
              <w:rPr>
                <w:rFonts w:eastAsia="Verdana" w:cs="Verdana"/>
                <w:lang w:bidi="en-GB"/>
              </w:rPr>
              <w:t>NET ASSETS</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Pr="006A3072" w:rsidRDefault="00F50689" w:rsidP="00F50689">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Pr="006A3072" w:rsidRDefault="005A36C4" w:rsidP="00F50689">
            <w:pPr>
              <w:pStyle w:val="Figures9pBoldRight025"/>
              <w:rPr>
                <w:rFonts w:eastAsia="Verdana" w:cs="Verdana"/>
                <w:lang w:bidi="en-GB"/>
              </w:rPr>
            </w:pPr>
            <w:r w:rsidRPr="006A3072">
              <w:rPr>
                <w:rFonts w:eastAsia="Verdana" w:cs="Verdana"/>
                <w:lang w:bidi="en-GB"/>
              </w:rPr>
              <w:t>(58 006)</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Pr="006A3072" w:rsidRDefault="005A36C4" w:rsidP="00F50689">
            <w:pPr>
              <w:pStyle w:val="Figures9pBoldRight025"/>
              <w:rPr>
                <w:rFonts w:eastAsia="Verdana" w:cs="Verdana"/>
                <w:lang w:bidi="en-GB"/>
              </w:rPr>
            </w:pPr>
            <w:r w:rsidRPr="006A3072">
              <w:rPr>
                <w:rFonts w:eastAsia="Verdana" w:cs="Verdana"/>
                <w:lang w:bidi="en-GB"/>
              </w:rPr>
              <w:t>(45 852)</w:t>
            </w:r>
          </w:p>
        </w:tc>
      </w:tr>
    </w:tbl>
    <w:p w:rsidR="00F50689" w:rsidRPr="00101459" w:rsidRDefault="005A36C4" w:rsidP="006868FC">
      <w:pPr>
        <w:pStyle w:val="Textstand-alone"/>
        <w:spacing w:before="60"/>
        <w:rPr>
          <w:i/>
          <w:sz w:val="14"/>
        </w:rPr>
      </w:pPr>
      <w:r w:rsidRPr="00101459">
        <w:rPr>
          <w:i/>
          <w:sz w:val="14"/>
        </w:rPr>
        <w:t>* The European Parliament adopted a budget on 17 December 2014 which provides for the payment of the Union's short-term liabilities from own resources to be collected by, or called up from, the Member States in 2015. Additionally, under Article 83 of the Staff Regulations (Council Regulation 259/68 of 29 February 1968 as amended), the Member States shall jointly guarantee the liability for pensions.</w:t>
      </w:r>
    </w:p>
    <w:p w:rsidR="00F50689" w:rsidRPr="006A3072" w:rsidRDefault="005A36C4" w:rsidP="00F50689">
      <w:pPr>
        <w:pStyle w:val="Textstand-alone"/>
        <w:rPr>
          <w:i/>
        </w:rPr>
        <w:sectPr w:rsidR="00F50689" w:rsidRPr="006A3072" w:rsidSect="00F50689">
          <w:headerReference w:type="even" r:id="rId65"/>
          <w:headerReference w:type="default" r:id="rId66"/>
          <w:footerReference w:type="even" r:id="rId67"/>
          <w:footerReference w:type="default" r:id="rId68"/>
          <w:headerReference w:type="first" r:id="rId69"/>
          <w:footerReference w:type="first" r:id="rId70"/>
          <w:pgSz w:w="11906" w:h="16838"/>
          <w:pgMar w:top="1134" w:right="1134" w:bottom="1134" w:left="1134" w:header="709" w:footer="709" w:gutter="0"/>
          <w:cols w:space="708"/>
          <w:docGrid w:linePitch="360"/>
        </w:sectPr>
      </w:pPr>
      <w:r>
        <w:rPr>
          <w:i/>
        </w:rPr>
        <w:t xml:space="preserve"> </w:t>
      </w:r>
      <w:bookmarkEnd w:id="14"/>
    </w:p>
    <w:p w:rsidR="00F50689" w:rsidRDefault="005A36C4" w:rsidP="00F50689">
      <w:pPr>
        <w:pStyle w:val="HEADERTITLE1"/>
        <w:spacing w:after="0"/>
        <w:rPr>
          <w:lang w:val="fr-BE"/>
        </w:rPr>
      </w:pPr>
      <w:bookmarkStart w:id="16" w:name="_Toc424652035"/>
      <w:bookmarkStart w:id="17" w:name="_Toc424745964"/>
      <w:bookmarkStart w:id="18" w:name="_DMBM_2615"/>
      <w:r>
        <w:rPr>
          <w:lang w:val="fr-BE"/>
        </w:rPr>
        <w:t>STATEMENT OF FINANCIAL PERFORMANCE</w:t>
      </w:r>
      <w:bookmarkEnd w:id="16"/>
      <w:bookmarkEnd w:id="17"/>
    </w:p>
    <w:p w:rsidR="00F50689" w:rsidRDefault="005A36C4" w:rsidP="00F50689">
      <w:pPr>
        <w:pStyle w:val="Textstand-alone"/>
        <w:rPr>
          <w:lang w:val="fr-BE"/>
        </w:rPr>
      </w:pPr>
      <w:r>
        <w:rPr>
          <w:lang w:val="fr-BE"/>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lang w:val="fr-BE" w:bidi="en-GB"/>
              </w:rPr>
            </w:pPr>
            <w:bookmarkStart w:id="19" w:name="DOC_TBL00002_1_1"/>
            <w:bookmarkEnd w:id="19"/>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val="fr-BE"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val="fr-BE" w:bidi="en-GB"/>
              </w:rPr>
            </w:pP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lang w:val="fr-BE" w:bidi="en-GB"/>
              </w:rPr>
            </w:pPr>
            <w:r>
              <w:rPr>
                <w:rFonts w:eastAsia="Verdana" w:cs="Verdana"/>
                <w:lang w:val="fr-BE" w:bidi="en-GB"/>
              </w:rPr>
              <w:t>EUR millions</w:t>
            </w:r>
          </w:p>
        </w:tc>
      </w:tr>
      <w:tr w:rsidR="00E7728E">
        <w:trPr>
          <w:cantSplit/>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lang w:val="fr-BE" w:bidi="en-GB"/>
              </w:rPr>
            </w:pP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lang w:val="fr-BE" w:bidi="en-GB"/>
              </w:rPr>
            </w:pPr>
            <w:r>
              <w:rPr>
                <w:rFonts w:eastAsia="Verdana" w:cs="Verdana"/>
                <w:lang w:val="fr-BE" w:bidi="en-GB"/>
              </w:rPr>
              <w:t>Note</w:t>
            </w:r>
          </w:p>
        </w:tc>
        <w:tc>
          <w:tcPr>
            <w:tcW w:w="184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lang w:val="fr-BE" w:bidi="en-GB"/>
              </w:rPr>
            </w:pPr>
            <w:r>
              <w:rPr>
                <w:rFonts w:eastAsia="Verdana" w:cs="Verdana"/>
                <w:lang w:val="fr-BE" w:bidi="en-GB"/>
              </w:rPr>
              <w:t>2014</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lang w:val="fr-BE" w:bidi="en-GB"/>
              </w:rPr>
            </w:pPr>
            <w:r>
              <w:rPr>
                <w:rFonts w:eastAsia="Verdana" w:cs="Verdana"/>
                <w:lang w:val="fr-BE" w:bidi="en-GB"/>
              </w:rPr>
              <w:t>2013     (reclassified)*</w:t>
            </w:r>
          </w:p>
        </w:tc>
      </w:tr>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lang w:val="fr-BE" w:bidi="en-GB"/>
              </w:rPr>
            </w:pPr>
            <w:r>
              <w:rPr>
                <w:rFonts w:eastAsia="Verdana" w:cs="Verdana"/>
                <w:lang w:val="fr-BE" w:bidi="en-GB"/>
              </w:rPr>
              <w:t>REVENUE</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9pItalicRight025"/>
              <w:rPr>
                <w:rFonts w:eastAsia="Verdana" w:cs="Verdana"/>
                <w:b/>
                <w:i w:val="0"/>
                <w:lang w:val="fr-BE"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9pItalicRight025"/>
              <w:rPr>
                <w:rFonts w:eastAsia="Verdana" w:cs="Verdana"/>
                <w:b/>
                <w:i w:val="0"/>
                <w:lang w:val="fr-BE" w:bidi="en-GB"/>
              </w:rPr>
            </w:pP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9pItalicRight025"/>
              <w:rPr>
                <w:rFonts w:eastAsia="Verdana" w:cs="Verdana"/>
                <w:b/>
                <w:i w:val="0"/>
                <w:lang w:val="fr-BE" w:bidi="en-GB"/>
              </w:rPr>
            </w:pPr>
          </w:p>
        </w:tc>
      </w:tr>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lang w:val="fr-BE" w:bidi="en-GB"/>
              </w:rPr>
            </w:pPr>
            <w:r>
              <w:rPr>
                <w:rFonts w:eastAsia="Verdana" w:cs="Verdana"/>
                <w:lang w:val="fr-BE" w:bidi="en-GB"/>
              </w:rPr>
              <w:t>Revenue from non-exchange transactions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9pItalicRight025"/>
              <w:rPr>
                <w:rFonts w:eastAsia="Verdana" w:cs="Verdana"/>
                <w:b/>
                <w:i w:val="0"/>
                <w:lang w:val="fr-BE"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9pItalicRight025"/>
              <w:rPr>
                <w:rFonts w:eastAsia="Verdana" w:cs="Verdana"/>
                <w:b/>
                <w:i w:val="0"/>
                <w:lang w:val="fr-BE" w:bidi="en-GB"/>
              </w:rPr>
            </w:pP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9pItalicRight025"/>
              <w:rPr>
                <w:rFonts w:eastAsia="Verdana" w:cs="Verdana"/>
                <w:b/>
                <w:i w:val="0"/>
                <w:lang w:val="fr-BE" w:bidi="en-GB"/>
              </w:rPr>
            </w:pPr>
          </w:p>
        </w:tc>
      </w:tr>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val="fr-BE" w:bidi="en-GB"/>
              </w:rPr>
            </w:pPr>
            <w:r>
              <w:rPr>
                <w:rFonts w:eastAsia="Verdana" w:cs="Verdana"/>
                <w:lang w:val="fr-BE" w:bidi="en-GB"/>
              </w:rPr>
              <w:t>GNI resources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lang w:val="fr-BE" w:bidi="en-GB"/>
              </w:rPr>
            </w:pPr>
            <w:r>
              <w:rPr>
                <w:rFonts w:eastAsia="Verdana" w:cs="Verdana"/>
                <w:lang w:val="fr-BE" w:bidi="en-GB"/>
              </w:rPr>
              <w:t>3.1</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104 688</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110 194</w:t>
            </w:r>
          </w:p>
        </w:tc>
      </w:tr>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val="fr-BE" w:bidi="en-GB"/>
              </w:rPr>
            </w:pPr>
            <w:r>
              <w:rPr>
                <w:rFonts w:eastAsia="Verdana" w:cs="Verdana"/>
                <w:lang w:val="fr-BE" w:bidi="en-GB"/>
              </w:rPr>
              <w:t>Traditional own resources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lang w:val="fr-BE" w:bidi="en-GB"/>
              </w:rPr>
            </w:pPr>
            <w:r>
              <w:rPr>
                <w:rFonts w:eastAsia="Verdana" w:cs="Verdana"/>
                <w:lang w:val="fr-BE" w:bidi="en-GB"/>
              </w:rPr>
              <w:t>3.2</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17 137</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15 467</w:t>
            </w:r>
          </w:p>
        </w:tc>
      </w:tr>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val="fr-BE" w:bidi="en-GB"/>
              </w:rPr>
            </w:pPr>
            <w:r>
              <w:rPr>
                <w:rFonts w:eastAsia="Verdana" w:cs="Verdana"/>
                <w:lang w:val="fr-BE" w:bidi="en-GB"/>
              </w:rPr>
              <w:t>VAT resources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lang w:val="fr-BE" w:bidi="en-GB"/>
              </w:rPr>
            </w:pPr>
            <w:r>
              <w:rPr>
                <w:rFonts w:eastAsia="Verdana" w:cs="Verdana"/>
                <w:lang w:val="fr-BE" w:bidi="en-GB"/>
              </w:rPr>
              <w:t>3.3</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17 462</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14 019</w:t>
            </w:r>
          </w:p>
        </w:tc>
      </w:tr>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val="fr-BE" w:bidi="en-GB"/>
              </w:rPr>
            </w:pPr>
            <w:r>
              <w:rPr>
                <w:rFonts w:eastAsia="Verdana" w:cs="Verdana"/>
                <w:lang w:val="fr-BE" w:bidi="en-GB"/>
              </w:rPr>
              <w:t>Fines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lang w:val="fr-BE" w:bidi="en-GB"/>
              </w:rPr>
            </w:pPr>
            <w:r>
              <w:rPr>
                <w:rFonts w:eastAsia="Verdana" w:cs="Verdana"/>
                <w:lang w:val="fr-BE" w:bidi="en-GB"/>
              </w:rPr>
              <w:t>3.4</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2 297</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2 757</w:t>
            </w:r>
          </w:p>
        </w:tc>
      </w:tr>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val="fr-BE" w:bidi="en-GB"/>
              </w:rPr>
            </w:pPr>
            <w:r>
              <w:rPr>
                <w:rFonts w:eastAsia="Verdana" w:cs="Verdana"/>
                <w:lang w:val="fr-BE" w:bidi="en-GB"/>
              </w:rPr>
              <w:t>Recovery of expenses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lang w:val="fr-BE" w:bidi="en-GB"/>
              </w:rPr>
            </w:pPr>
            <w:r>
              <w:rPr>
                <w:rFonts w:eastAsia="Verdana" w:cs="Verdana"/>
                <w:lang w:val="fr-BE" w:bidi="en-GB"/>
              </w:rPr>
              <w:t>3.5</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3 418</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1 777</w:t>
            </w:r>
          </w:p>
        </w:tc>
      </w:tr>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val="fr-BE" w:bidi="en-GB"/>
              </w:rPr>
            </w:pPr>
            <w:r>
              <w:rPr>
                <w:rFonts w:eastAsia="Verdana" w:cs="Verdana"/>
                <w:lang w:val="fr-BE" w:bidi="en-GB"/>
              </w:rPr>
              <w:t>Other</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lang w:val="fr-BE" w:bidi="en-GB"/>
              </w:rPr>
            </w:pPr>
            <w:r>
              <w:rPr>
                <w:rFonts w:eastAsia="Verdana" w:cs="Verdana"/>
                <w:lang w:val="fr-BE" w:bidi="en-GB"/>
              </w:rPr>
              <w:t>3.6</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5 623</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4 045</w:t>
            </w:r>
          </w:p>
        </w:tc>
      </w:tr>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lang w:val="fr-BE" w:bidi="en-GB"/>
              </w:rPr>
            </w:pPr>
            <w:r>
              <w:rPr>
                <w:rFonts w:eastAsia="Verdana" w:cs="Verdana"/>
                <w:lang w:val="fr-BE" w:bidi="en-GB"/>
              </w:rPr>
              <w:t>Total</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9pItalicRight025"/>
              <w:rPr>
                <w:rFonts w:eastAsia="Verdana" w:cs="Verdana"/>
                <w:b/>
                <w:i w:val="0"/>
                <w:lang w:val="fr-BE"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b/>
                <w:i w:val="0"/>
                <w:lang w:val="fr-BE" w:bidi="en-GB"/>
              </w:rPr>
            </w:pPr>
            <w:r>
              <w:rPr>
                <w:rFonts w:eastAsia="Verdana" w:cs="Verdana"/>
                <w:b/>
                <w:i w:val="0"/>
                <w:lang w:val="fr-BE" w:bidi="en-GB"/>
              </w:rPr>
              <w:t>150 625</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b/>
                <w:i w:val="0"/>
                <w:lang w:val="fr-BE" w:bidi="en-GB"/>
              </w:rPr>
            </w:pPr>
            <w:r>
              <w:rPr>
                <w:rFonts w:eastAsia="Verdana" w:cs="Verdana"/>
                <w:b/>
                <w:i w:val="0"/>
                <w:lang w:val="fr-BE" w:bidi="en-GB"/>
              </w:rPr>
              <w:t>148 259</w:t>
            </w:r>
          </w:p>
        </w:tc>
      </w:tr>
      <w:tr w:rsidR="00E7728E">
        <w:trPr>
          <w:cantSplit/>
          <w:trHeight w:val="124"/>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lang w:val="fr-BE" w:bidi="en-GB"/>
              </w:rPr>
            </w:pP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i w:val="0"/>
                <w:lang w:val="fr-BE"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9pItalicRight025"/>
              <w:rPr>
                <w:rFonts w:eastAsia="Verdana" w:cs="Verdana"/>
                <w:i w:val="0"/>
                <w:lang w:val="fr-BE" w:bidi="en-GB"/>
              </w:rPr>
            </w:pP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9pItalicRight025"/>
              <w:rPr>
                <w:rFonts w:eastAsia="Verdana" w:cs="Verdana"/>
                <w:i w:val="0"/>
                <w:lang w:val="fr-BE" w:bidi="en-GB"/>
              </w:rPr>
            </w:pPr>
          </w:p>
        </w:tc>
      </w:tr>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lang w:val="fr-BE" w:bidi="en-GB"/>
              </w:rPr>
            </w:pPr>
            <w:r>
              <w:rPr>
                <w:rFonts w:eastAsia="Verdana" w:cs="Verdana"/>
                <w:lang w:val="fr-BE" w:bidi="en-GB"/>
              </w:rPr>
              <w:t>Revenue from exchange transactions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9pItalicRight025"/>
              <w:rPr>
                <w:rFonts w:eastAsia="Verdana" w:cs="Verdana"/>
                <w:b/>
                <w:i w:val="0"/>
                <w:lang w:val="fr-BE"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9pItalicRight025"/>
              <w:rPr>
                <w:rFonts w:eastAsia="Verdana" w:cs="Verdana"/>
                <w:b/>
                <w:i w:val="0"/>
                <w:lang w:val="fr-BE" w:bidi="en-GB"/>
              </w:rPr>
            </w:pP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9pItalicRight025"/>
              <w:rPr>
                <w:rFonts w:eastAsia="Verdana" w:cs="Verdana"/>
                <w:b/>
                <w:i w:val="0"/>
                <w:lang w:val="fr-BE" w:bidi="en-GB"/>
              </w:rPr>
            </w:pPr>
          </w:p>
        </w:tc>
      </w:tr>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val="fr-BE" w:bidi="en-GB"/>
              </w:rPr>
            </w:pPr>
            <w:r>
              <w:rPr>
                <w:rFonts w:eastAsia="Verdana" w:cs="Verdana"/>
                <w:lang w:val="fr-BE" w:bidi="en-GB"/>
              </w:rPr>
              <w:t>Financial income</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lang w:val="fr-BE" w:bidi="en-GB"/>
              </w:rPr>
            </w:pPr>
            <w:r>
              <w:rPr>
                <w:rFonts w:eastAsia="Verdana" w:cs="Verdana"/>
                <w:lang w:val="fr-BE" w:bidi="en-GB"/>
              </w:rPr>
              <w:t>3.7</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2 298</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1 991</w:t>
            </w:r>
          </w:p>
        </w:tc>
      </w:tr>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val="fr-BE" w:bidi="en-GB"/>
              </w:rPr>
            </w:pPr>
            <w:r>
              <w:rPr>
                <w:rFonts w:eastAsia="Verdana" w:cs="Verdana"/>
                <w:lang w:val="fr-BE" w:bidi="en-GB"/>
              </w:rPr>
              <w:t>Other</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lang w:val="fr-BE" w:bidi="en-GB"/>
              </w:rPr>
            </w:pPr>
            <w:r>
              <w:rPr>
                <w:rFonts w:eastAsia="Verdana" w:cs="Verdana"/>
                <w:lang w:val="fr-BE" w:bidi="en-GB"/>
              </w:rPr>
              <w:t>3.8</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1 066</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1 443</w:t>
            </w:r>
          </w:p>
        </w:tc>
      </w:tr>
      <w:tr w:rsidR="00E7728E">
        <w:trPr>
          <w:cantSplit/>
          <w:trHeight w:val="268"/>
        </w:trPr>
        <w:tc>
          <w:tcPr>
            <w:tcW w:w="5211" w:type="dxa"/>
            <w:tcBorders>
              <w:top w:val="nil"/>
              <w:left w:val="nil"/>
              <w:bottom w:val="single" w:sz="4" w:space="0" w:color="016794"/>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lang w:val="fr-BE" w:bidi="en-GB"/>
              </w:rPr>
            </w:pPr>
            <w:r>
              <w:rPr>
                <w:rFonts w:eastAsia="Verdana" w:cs="Verdana"/>
                <w:lang w:val="fr-BE" w:bidi="en-GB"/>
              </w:rPr>
              <w:t>Total</w:t>
            </w:r>
          </w:p>
        </w:tc>
        <w:tc>
          <w:tcPr>
            <w:tcW w:w="851" w:type="dxa"/>
            <w:tcBorders>
              <w:top w:val="nil"/>
              <w:left w:val="nil"/>
              <w:bottom w:val="single" w:sz="4" w:space="0" w:color="016794"/>
              <w:right w:val="nil"/>
            </w:tcBorders>
            <w:shd w:val="clear" w:color="auto" w:fill="auto"/>
            <w:tcMar>
              <w:top w:w="0" w:type="dxa"/>
              <w:left w:w="0" w:type="dxa"/>
              <w:bottom w:w="0" w:type="dxa"/>
              <w:right w:w="0" w:type="dxa"/>
            </w:tcMar>
          </w:tcPr>
          <w:p w:rsidR="00F50689" w:rsidRDefault="00F50689" w:rsidP="00F50689">
            <w:pPr>
              <w:pStyle w:val="Figures9pBoldRight025"/>
              <w:rPr>
                <w:rFonts w:eastAsia="Verdana" w:cs="Verdana"/>
                <w:lang w:val="fr-BE" w:bidi="en-GB"/>
              </w:rPr>
            </w:pPr>
          </w:p>
        </w:tc>
        <w:tc>
          <w:tcPr>
            <w:tcW w:w="1842" w:type="dxa"/>
            <w:tcBorders>
              <w:top w:val="nil"/>
              <w:left w:val="nil"/>
              <w:bottom w:val="single" w:sz="4" w:space="0" w:color="016794"/>
              <w:right w:val="nil"/>
            </w:tcBorders>
            <w:shd w:val="clear" w:color="auto" w:fill="auto"/>
            <w:tcMar>
              <w:top w:w="0" w:type="dxa"/>
              <w:left w:w="0" w:type="dxa"/>
              <w:bottom w:w="0" w:type="dxa"/>
              <w:right w:w="0" w:type="dxa"/>
            </w:tcMar>
          </w:tcPr>
          <w:p w:rsidR="00F50689" w:rsidRDefault="005A36C4" w:rsidP="00F50689">
            <w:pPr>
              <w:pStyle w:val="Figures9pBoldRight025"/>
              <w:rPr>
                <w:rFonts w:eastAsia="Verdana" w:cs="Verdana"/>
                <w:lang w:val="fr-BE" w:bidi="en-GB"/>
              </w:rPr>
            </w:pPr>
            <w:r>
              <w:rPr>
                <w:rFonts w:eastAsia="Verdana" w:cs="Verdana"/>
                <w:lang w:val="fr-BE" w:bidi="en-GB"/>
              </w:rPr>
              <w:t>3 364</w:t>
            </w:r>
          </w:p>
        </w:tc>
        <w:tc>
          <w:tcPr>
            <w:tcW w:w="1843" w:type="dxa"/>
            <w:tcBorders>
              <w:top w:val="nil"/>
              <w:left w:val="nil"/>
              <w:bottom w:val="single" w:sz="4" w:space="0" w:color="016794"/>
              <w:right w:val="nil"/>
            </w:tcBorders>
            <w:shd w:val="clear" w:color="auto" w:fill="auto"/>
            <w:tcMar>
              <w:top w:w="0" w:type="dxa"/>
              <w:left w:w="0" w:type="dxa"/>
              <w:bottom w:w="0" w:type="dxa"/>
              <w:right w:w="0" w:type="dxa"/>
            </w:tcMar>
          </w:tcPr>
          <w:p w:rsidR="00F50689" w:rsidRDefault="005A36C4" w:rsidP="00F50689">
            <w:pPr>
              <w:pStyle w:val="Figures9pBoldRight025"/>
              <w:rPr>
                <w:rFonts w:eastAsia="Verdana" w:cs="Verdana"/>
                <w:lang w:val="fr-BE" w:bidi="en-GB"/>
              </w:rPr>
            </w:pPr>
            <w:r>
              <w:rPr>
                <w:rFonts w:eastAsia="Verdana" w:cs="Verdana"/>
                <w:lang w:val="fr-BE" w:bidi="en-GB"/>
              </w:rPr>
              <w:t>3 434</w:t>
            </w:r>
          </w:p>
        </w:tc>
      </w:tr>
      <w:tr w:rsidR="00E7728E">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Default="00F50689" w:rsidP="00F50689">
            <w:pPr>
              <w:pStyle w:val="Figures9pBoldRight025"/>
              <w:rPr>
                <w:rFonts w:eastAsia="Verdana" w:cs="Verdana"/>
                <w:lang w:val="fr-BE" w:bidi="en-GB"/>
              </w:rPr>
            </w:pPr>
          </w:p>
        </w:tc>
        <w:tc>
          <w:tcPr>
            <w:tcW w:w="851"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i w:val="0"/>
                <w:lang w:val="fr-BE" w:bidi="en-GB"/>
              </w:rPr>
            </w:pPr>
          </w:p>
        </w:tc>
        <w:tc>
          <w:tcPr>
            <w:tcW w:w="1842"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Default="005A36C4" w:rsidP="00F50689">
            <w:pPr>
              <w:pStyle w:val="Figures9pBoldRight025"/>
              <w:rPr>
                <w:rFonts w:eastAsia="Verdana" w:cs="Verdana"/>
                <w:lang w:val="fr-BE" w:bidi="en-GB"/>
              </w:rPr>
            </w:pPr>
            <w:r>
              <w:rPr>
                <w:rFonts w:eastAsia="Verdana" w:cs="Verdana"/>
                <w:lang w:val="fr-BE" w:bidi="en-GB"/>
              </w:rPr>
              <w:t>153 989</w:t>
            </w:r>
          </w:p>
        </w:tc>
        <w:tc>
          <w:tcPr>
            <w:tcW w:w="1843"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Default="005A36C4" w:rsidP="00F50689">
            <w:pPr>
              <w:pStyle w:val="Figures9pBoldRight025"/>
              <w:rPr>
                <w:rFonts w:eastAsia="Verdana" w:cs="Verdana"/>
                <w:lang w:val="fr-BE" w:bidi="en-GB"/>
              </w:rPr>
            </w:pPr>
            <w:r>
              <w:rPr>
                <w:rFonts w:eastAsia="Verdana" w:cs="Verdana"/>
                <w:lang w:val="fr-BE" w:bidi="en-GB"/>
              </w:rPr>
              <w:t>151 693</w:t>
            </w:r>
          </w:p>
        </w:tc>
      </w:tr>
      <w:tr w:rsidR="00E7728E">
        <w:trPr>
          <w:cantSplit/>
          <w:trHeight w:val="268"/>
        </w:trPr>
        <w:tc>
          <w:tcPr>
            <w:tcW w:w="5211" w:type="dxa"/>
            <w:tcBorders>
              <w:top w:val="single" w:sz="4" w:space="0" w:color="016794"/>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lang w:val="fr-BE" w:bidi="en-GB"/>
              </w:rPr>
            </w:pPr>
            <w:r>
              <w:rPr>
                <w:rFonts w:eastAsia="Verdana" w:cs="Verdana"/>
                <w:lang w:val="fr-BE" w:bidi="en-GB"/>
              </w:rPr>
              <w:t>EXPENSES**</w:t>
            </w:r>
          </w:p>
        </w:tc>
        <w:tc>
          <w:tcPr>
            <w:tcW w:w="851" w:type="dxa"/>
            <w:tcBorders>
              <w:top w:val="single" w:sz="4" w:space="0" w:color="016794"/>
              <w:left w:val="nil"/>
              <w:bottom w:val="nil"/>
              <w:right w:val="nil"/>
            </w:tcBorders>
            <w:shd w:val="clear" w:color="auto" w:fill="auto"/>
            <w:tcMar>
              <w:top w:w="0" w:type="dxa"/>
              <w:left w:w="0" w:type="dxa"/>
              <w:bottom w:w="0" w:type="dxa"/>
              <w:right w:w="0" w:type="dxa"/>
            </w:tcMar>
          </w:tcPr>
          <w:p w:rsidR="00F50689" w:rsidRDefault="00F50689" w:rsidP="00F50689">
            <w:pPr>
              <w:pStyle w:val="Figures9pItalicRight025"/>
              <w:rPr>
                <w:rFonts w:eastAsia="Verdana" w:cs="Verdana"/>
                <w:b/>
                <w:i w:val="0"/>
                <w:lang w:val="fr-BE" w:bidi="en-GB"/>
              </w:rPr>
            </w:pPr>
          </w:p>
        </w:tc>
        <w:tc>
          <w:tcPr>
            <w:tcW w:w="1842" w:type="dxa"/>
            <w:tcBorders>
              <w:top w:val="single" w:sz="4" w:space="0" w:color="016794"/>
              <w:left w:val="nil"/>
              <w:bottom w:val="nil"/>
              <w:right w:val="nil"/>
            </w:tcBorders>
            <w:shd w:val="clear" w:color="auto" w:fill="auto"/>
            <w:tcMar>
              <w:top w:w="0" w:type="dxa"/>
              <w:left w:w="0" w:type="dxa"/>
              <w:bottom w:w="0" w:type="dxa"/>
              <w:right w:w="0" w:type="dxa"/>
            </w:tcMar>
          </w:tcPr>
          <w:p w:rsidR="00F50689" w:rsidRDefault="00F50689" w:rsidP="00F50689">
            <w:pPr>
              <w:pStyle w:val="Figures9pItalicRight025"/>
              <w:rPr>
                <w:rFonts w:eastAsia="Verdana" w:cs="Verdana"/>
                <w:b/>
                <w:i w:val="0"/>
                <w:lang w:val="fr-BE" w:bidi="en-GB"/>
              </w:rPr>
            </w:pPr>
          </w:p>
        </w:tc>
        <w:tc>
          <w:tcPr>
            <w:tcW w:w="1843" w:type="dxa"/>
            <w:tcBorders>
              <w:top w:val="single" w:sz="4" w:space="0" w:color="016794"/>
              <w:left w:val="nil"/>
              <w:bottom w:val="nil"/>
              <w:right w:val="nil"/>
            </w:tcBorders>
            <w:shd w:val="clear" w:color="auto" w:fill="auto"/>
            <w:tcMar>
              <w:top w:w="0" w:type="dxa"/>
              <w:left w:w="0" w:type="dxa"/>
              <w:bottom w:w="0" w:type="dxa"/>
              <w:right w:w="0" w:type="dxa"/>
            </w:tcMar>
          </w:tcPr>
          <w:p w:rsidR="00F50689" w:rsidRDefault="00F50689" w:rsidP="00F50689">
            <w:pPr>
              <w:pStyle w:val="Figures9pItalicRight025"/>
              <w:rPr>
                <w:rFonts w:eastAsia="Verdana" w:cs="Verdana"/>
                <w:b/>
                <w:i w:val="0"/>
                <w:lang w:val="fr-BE" w:bidi="en-GB"/>
              </w:rPr>
            </w:pPr>
          </w:p>
        </w:tc>
      </w:tr>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val="fr-BE" w:bidi="en-GB"/>
              </w:rPr>
            </w:pPr>
            <w:r>
              <w:rPr>
                <w:rFonts w:eastAsia="Verdana" w:cs="Verdana"/>
                <w:lang w:val="fr-BE" w:bidi="en-GB"/>
              </w:rPr>
              <w:t>Implemented by Member States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lang w:val="fr-BE" w:bidi="en-GB"/>
              </w:rPr>
            </w:pPr>
            <w:r>
              <w:rPr>
                <w:rFonts w:eastAsia="Verdana" w:cs="Verdana"/>
                <w:lang w:val="fr-BE" w:bidi="en-GB"/>
              </w:rPr>
              <w:t>3.9</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9pItalicRight025"/>
              <w:rPr>
                <w:rFonts w:eastAsia="Verdana" w:cs="Verdana"/>
                <w:lang w:val="fr-BE" w:bidi="en-GB"/>
              </w:rPr>
            </w:pP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9pItalicRight025"/>
              <w:rPr>
                <w:rFonts w:eastAsia="Verdana" w:cs="Verdana"/>
                <w:lang w:val="fr-BE" w:bidi="en-GB"/>
              </w:rPr>
            </w:pPr>
          </w:p>
        </w:tc>
      </w:tr>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ind w:left="200"/>
              <w:rPr>
                <w:rFonts w:eastAsia="Verdana" w:cs="Verdana"/>
                <w:lang w:val="fr-BE" w:bidi="en-GB"/>
              </w:rPr>
            </w:pPr>
            <w:r>
              <w:rPr>
                <w:rFonts w:eastAsia="Verdana" w:cs="Verdana"/>
                <w:lang w:val="fr-BE" w:bidi="en-GB"/>
              </w:rPr>
              <w:t>European Agricultural Guarantee Fund</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lang w:val="fr-BE"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(44 465)</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(45 067)</w:t>
            </w:r>
          </w:p>
        </w:tc>
      </w:tr>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7540AA" w:rsidRDefault="005A36C4" w:rsidP="00F50689">
            <w:pPr>
              <w:pStyle w:val="Text9pItalicLeft"/>
              <w:ind w:left="200"/>
              <w:rPr>
                <w:rFonts w:eastAsia="Verdana" w:cs="Verdana"/>
                <w:lang w:bidi="en-GB"/>
              </w:rPr>
            </w:pPr>
            <w:r w:rsidRPr="007540AA">
              <w:rPr>
                <w:rFonts w:eastAsia="Verdana" w:cs="Verdana"/>
                <w:lang w:bidi="en-GB"/>
              </w:rPr>
              <w:t>European Agricultural Fund for Rural Development and other rural development instruments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7540AA" w:rsidRDefault="00F50689" w:rsidP="00F50689">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(14 046)</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(13 585)</w:t>
            </w:r>
          </w:p>
        </w:tc>
      </w:tr>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7540AA" w:rsidRDefault="005A36C4" w:rsidP="00F50689">
            <w:pPr>
              <w:pStyle w:val="Text9pItalicLeft"/>
              <w:ind w:left="200"/>
              <w:rPr>
                <w:rFonts w:eastAsia="Verdana" w:cs="Verdana"/>
                <w:lang w:bidi="en-GB"/>
              </w:rPr>
            </w:pPr>
            <w:r w:rsidRPr="007540AA">
              <w:rPr>
                <w:rFonts w:eastAsia="Verdana" w:cs="Verdana"/>
                <w:lang w:bidi="en-GB"/>
              </w:rPr>
              <w:t>European Regional Development Fund and            Cohesion Fund</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7540AA" w:rsidRDefault="00F50689" w:rsidP="00F50689">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(43 345)</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(47 767)</w:t>
            </w:r>
          </w:p>
        </w:tc>
      </w:tr>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ind w:left="200"/>
              <w:rPr>
                <w:rFonts w:eastAsia="Verdana" w:cs="Verdana"/>
                <w:lang w:val="fr-BE" w:bidi="en-GB"/>
              </w:rPr>
            </w:pPr>
            <w:r>
              <w:rPr>
                <w:rFonts w:eastAsia="Verdana" w:cs="Verdana"/>
                <w:lang w:val="fr-BE" w:bidi="en-GB"/>
              </w:rPr>
              <w:t>European Social Fund</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lang w:val="fr-BE"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(12 651)</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(12 126)</w:t>
            </w:r>
          </w:p>
        </w:tc>
      </w:tr>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ind w:left="200"/>
              <w:rPr>
                <w:rFonts w:eastAsia="Verdana" w:cs="Verdana"/>
                <w:lang w:val="fr-BE" w:bidi="en-GB"/>
              </w:rPr>
            </w:pPr>
            <w:r>
              <w:rPr>
                <w:rFonts w:eastAsia="Verdana" w:cs="Verdana"/>
                <w:lang w:val="fr-BE" w:bidi="en-GB"/>
              </w:rPr>
              <w:t>Other</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lang w:val="fr-BE"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(2 307)</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(1 525)</w:t>
            </w:r>
          </w:p>
        </w:tc>
      </w:tr>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7540AA" w:rsidRDefault="005A36C4" w:rsidP="00B82250">
            <w:pPr>
              <w:pStyle w:val="Text9pItalicLeft"/>
              <w:rPr>
                <w:rFonts w:eastAsia="Verdana" w:cs="Verdana"/>
                <w:lang w:bidi="en-GB"/>
              </w:rPr>
            </w:pPr>
            <w:r w:rsidRPr="007540AA">
              <w:rPr>
                <w:rFonts w:eastAsia="Verdana" w:cs="Verdana"/>
                <w:lang w:bidi="en-GB"/>
              </w:rPr>
              <w:t xml:space="preserve">Implemented by the Commission and </w:t>
            </w:r>
            <w:r w:rsidR="00B82250">
              <w:rPr>
                <w:rFonts w:eastAsia="Verdana" w:cs="Verdana"/>
                <w:lang w:bidi="en-GB"/>
              </w:rPr>
              <w:t>executive a</w:t>
            </w:r>
            <w:r w:rsidRPr="007540AA">
              <w:rPr>
                <w:rFonts w:eastAsia="Verdana" w:cs="Verdana"/>
                <w:lang w:bidi="en-GB"/>
              </w:rPr>
              <w:t>gencies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lang w:val="fr-BE" w:bidi="en-GB"/>
              </w:rPr>
            </w:pPr>
            <w:r>
              <w:rPr>
                <w:rFonts w:eastAsia="Verdana" w:cs="Verdana"/>
                <w:lang w:val="fr-BE" w:bidi="en-GB"/>
              </w:rPr>
              <w:t>3.10</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(15 311)</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(12 519)</w:t>
            </w:r>
          </w:p>
        </w:tc>
      </w:tr>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7540AA" w:rsidRDefault="005A36C4" w:rsidP="00F50689">
            <w:pPr>
              <w:pStyle w:val="Text9pItalicLeft"/>
              <w:rPr>
                <w:rFonts w:eastAsia="Verdana" w:cs="Verdana"/>
                <w:lang w:bidi="en-GB"/>
              </w:rPr>
            </w:pPr>
            <w:r w:rsidRPr="007540AA">
              <w:rPr>
                <w:rFonts w:eastAsia="Verdana" w:cs="Verdana"/>
                <w:lang w:bidi="en-GB"/>
              </w:rPr>
              <w:t>Implemented by other EU agencies and bodies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lang w:val="fr-BE" w:bidi="en-GB"/>
              </w:rPr>
            </w:pPr>
            <w:r>
              <w:rPr>
                <w:rFonts w:eastAsia="Verdana" w:cs="Verdana"/>
                <w:lang w:val="fr-BE" w:bidi="en-GB"/>
              </w:rPr>
              <w:t>3.11</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(1 025)</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 xml:space="preserve"> (656)</w:t>
            </w:r>
          </w:p>
        </w:tc>
      </w:tr>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7540AA" w:rsidRDefault="005A36C4" w:rsidP="00F50689">
            <w:pPr>
              <w:pStyle w:val="Text9pItalicLeft"/>
              <w:rPr>
                <w:rFonts w:eastAsia="Verdana" w:cs="Verdana"/>
                <w:lang w:bidi="en-GB"/>
              </w:rPr>
            </w:pPr>
            <w:r w:rsidRPr="007540AA">
              <w:rPr>
                <w:rFonts w:eastAsia="Verdana" w:cs="Verdana"/>
                <w:lang w:bidi="en-GB"/>
              </w:rPr>
              <w:t>Implemented by third countries and international organisations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lang w:val="fr-BE" w:bidi="en-GB"/>
              </w:rPr>
            </w:pPr>
            <w:r>
              <w:rPr>
                <w:rFonts w:eastAsia="Verdana" w:cs="Verdana"/>
                <w:lang w:val="fr-BE" w:bidi="en-GB"/>
              </w:rPr>
              <w:t>3.11</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(2 770)</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(2 465)</w:t>
            </w:r>
          </w:p>
        </w:tc>
      </w:tr>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val="fr-BE" w:bidi="en-GB"/>
              </w:rPr>
            </w:pPr>
            <w:r>
              <w:rPr>
                <w:rFonts w:eastAsia="Verdana" w:cs="Verdana"/>
                <w:lang w:val="fr-BE" w:bidi="en-GB"/>
              </w:rPr>
              <w:t>Implemented by other entities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lang w:val="fr-BE" w:bidi="en-GB"/>
              </w:rPr>
            </w:pPr>
            <w:r>
              <w:rPr>
                <w:rFonts w:eastAsia="Verdana" w:cs="Verdana"/>
                <w:lang w:val="fr-BE" w:bidi="en-GB"/>
              </w:rPr>
              <w:t>3.11</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(1 799)</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(1 694)</w:t>
            </w:r>
          </w:p>
        </w:tc>
      </w:tr>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val="fr-BE" w:bidi="en-GB"/>
              </w:rPr>
            </w:pPr>
            <w:r>
              <w:rPr>
                <w:rFonts w:eastAsia="Verdana" w:cs="Verdana"/>
                <w:lang w:val="fr-BE" w:bidi="en-GB"/>
              </w:rPr>
              <w:t>Staff and pension costs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lang w:val="fr-BE" w:bidi="en-GB"/>
              </w:rPr>
            </w:pPr>
            <w:r>
              <w:rPr>
                <w:rFonts w:eastAsia="Verdana" w:cs="Verdana"/>
                <w:lang w:val="fr-BE" w:bidi="en-GB"/>
              </w:rPr>
              <w:t>3.12</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(9 662)</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(9 058)</w:t>
            </w:r>
          </w:p>
        </w:tc>
      </w:tr>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7540AA" w:rsidRDefault="005A36C4" w:rsidP="00F50689">
            <w:pPr>
              <w:pStyle w:val="Text9pItalicLeft"/>
              <w:rPr>
                <w:rFonts w:eastAsia="Verdana" w:cs="Verdana"/>
                <w:lang w:bidi="en-GB"/>
              </w:rPr>
            </w:pPr>
            <w:r w:rsidRPr="007540AA">
              <w:rPr>
                <w:rFonts w:eastAsia="Verdana" w:cs="Verdana"/>
                <w:lang w:bidi="en-GB"/>
              </w:rPr>
              <w:t>Changes in employee benefits actuarial assumptions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lang w:val="fr-BE" w:bidi="en-GB"/>
              </w:rPr>
            </w:pPr>
            <w:r>
              <w:rPr>
                <w:rFonts w:eastAsia="Verdana" w:cs="Verdana"/>
                <w:lang w:val="fr-BE" w:bidi="en-GB"/>
              </w:rPr>
              <w:t>3.13</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(9 170)</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(2 033)</w:t>
            </w:r>
          </w:p>
        </w:tc>
      </w:tr>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val="fr-BE" w:bidi="en-GB"/>
              </w:rPr>
            </w:pPr>
            <w:r>
              <w:rPr>
                <w:rFonts w:eastAsia="Verdana" w:cs="Verdana"/>
                <w:lang w:val="fr-BE" w:bidi="en-GB"/>
              </w:rPr>
              <w:t>Finance costs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lang w:val="fr-BE" w:bidi="en-GB"/>
              </w:rPr>
            </w:pPr>
            <w:r>
              <w:rPr>
                <w:rFonts w:eastAsia="Verdana" w:cs="Verdana"/>
                <w:lang w:val="fr-BE" w:bidi="en-GB"/>
              </w:rPr>
              <w:t>3.14</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(2 926)</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(2 383)</w:t>
            </w:r>
          </w:p>
        </w:tc>
      </w:tr>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7540AA" w:rsidRDefault="005A36C4" w:rsidP="00F50689">
            <w:pPr>
              <w:pStyle w:val="Text9pItalicLeft"/>
              <w:rPr>
                <w:rFonts w:eastAsia="Verdana" w:cs="Verdana"/>
                <w:lang w:bidi="en-GB"/>
              </w:rPr>
            </w:pPr>
            <w:r w:rsidRPr="007540AA">
              <w:rPr>
                <w:rFonts w:eastAsia="Verdana" w:cs="Verdana"/>
                <w:lang w:bidi="en-GB"/>
              </w:rPr>
              <w:t>Share of net deficit of joint ventures and associates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lang w:val="fr-BE" w:bidi="en-GB"/>
              </w:rPr>
            </w:pPr>
            <w:r>
              <w:rPr>
                <w:rFonts w:eastAsia="Verdana" w:cs="Verdana"/>
                <w:lang w:val="fr-BE" w:bidi="en-GB"/>
              </w:rPr>
              <w:t>3.15</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 xml:space="preserve"> (640)</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 xml:space="preserve"> (608)</w:t>
            </w:r>
          </w:p>
        </w:tc>
      </w:tr>
      <w:tr w:rsidR="00E7728E">
        <w:trPr>
          <w:cantSplit/>
          <w:trHeight w:val="268"/>
        </w:trPr>
        <w:tc>
          <w:tcPr>
            <w:tcW w:w="5211" w:type="dxa"/>
            <w:tcBorders>
              <w:top w:val="nil"/>
              <w:left w:val="nil"/>
              <w:bottom w:val="single" w:sz="4" w:space="0" w:color="auto"/>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val="fr-BE" w:bidi="en-GB"/>
              </w:rPr>
            </w:pPr>
            <w:r>
              <w:rPr>
                <w:rFonts w:eastAsia="Verdana" w:cs="Verdana"/>
                <w:lang w:val="fr-BE" w:bidi="en-GB"/>
              </w:rPr>
              <w:t>Other expenses</w:t>
            </w:r>
          </w:p>
        </w:tc>
        <w:tc>
          <w:tcPr>
            <w:tcW w:w="851" w:type="dxa"/>
            <w:tcBorders>
              <w:top w:val="nil"/>
              <w:left w:val="nil"/>
              <w:bottom w:val="single" w:sz="4" w:space="0" w:color="auto"/>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lang w:val="fr-BE" w:bidi="en-GB"/>
              </w:rPr>
            </w:pPr>
            <w:r>
              <w:rPr>
                <w:rFonts w:eastAsia="Verdana" w:cs="Verdana"/>
                <w:lang w:val="fr-BE" w:bidi="en-GB"/>
              </w:rPr>
              <w:t>3.16</w:t>
            </w:r>
          </w:p>
        </w:tc>
        <w:tc>
          <w:tcPr>
            <w:tcW w:w="1842" w:type="dxa"/>
            <w:tcBorders>
              <w:top w:val="nil"/>
              <w:left w:val="nil"/>
              <w:bottom w:val="single" w:sz="4" w:space="0" w:color="auto"/>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(5 152)</w:t>
            </w:r>
          </w:p>
        </w:tc>
        <w:tc>
          <w:tcPr>
            <w:tcW w:w="1843" w:type="dxa"/>
            <w:tcBorders>
              <w:top w:val="nil"/>
              <w:left w:val="nil"/>
              <w:bottom w:val="single" w:sz="4" w:space="0" w:color="auto"/>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(4 572)</w:t>
            </w:r>
          </w:p>
        </w:tc>
      </w:tr>
      <w:tr w:rsidR="00E7728E">
        <w:trPr>
          <w:cantSplit/>
          <w:trHeight w:val="268"/>
        </w:trPr>
        <w:tc>
          <w:tcPr>
            <w:tcW w:w="5211" w:type="dxa"/>
            <w:tcBorders>
              <w:top w:val="single" w:sz="4" w:space="0" w:color="016794"/>
              <w:left w:val="nil"/>
              <w:bottom w:val="nil"/>
              <w:right w:val="nil"/>
            </w:tcBorders>
            <w:shd w:val="clear" w:color="auto" w:fill="auto"/>
            <w:tcMar>
              <w:top w:w="0" w:type="dxa"/>
              <w:left w:w="0" w:type="dxa"/>
              <w:bottom w:w="0" w:type="dxa"/>
              <w:right w:w="0" w:type="dxa"/>
            </w:tcMar>
          </w:tcPr>
          <w:p w:rsidR="00F50689" w:rsidRDefault="00F50689" w:rsidP="00F50689">
            <w:pPr>
              <w:pStyle w:val="Text9pBoldLeft"/>
              <w:rPr>
                <w:rFonts w:eastAsia="Verdana" w:cs="Verdana"/>
                <w:lang w:val="fr-BE" w:bidi="en-GB"/>
              </w:rPr>
            </w:pPr>
          </w:p>
        </w:tc>
        <w:tc>
          <w:tcPr>
            <w:tcW w:w="851" w:type="dxa"/>
            <w:tcBorders>
              <w:top w:val="single" w:sz="4" w:space="0" w:color="016794"/>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i w:val="0"/>
                <w:lang w:val="fr-BE" w:bidi="en-GB"/>
              </w:rPr>
            </w:pPr>
          </w:p>
        </w:tc>
        <w:tc>
          <w:tcPr>
            <w:tcW w:w="1842" w:type="dxa"/>
            <w:tcBorders>
              <w:top w:val="single" w:sz="4" w:space="0" w:color="016794"/>
              <w:left w:val="nil"/>
              <w:bottom w:val="nil"/>
              <w:right w:val="nil"/>
            </w:tcBorders>
            <w:shd w:val="clear" w:color="auto" w:fill="auto"/>
            <w:tcMar>
              <w:top w:w="0" w:type="dxa"/>
              <w:left w:w="0" w:type="dxa"/>
              <w:bottom w:w="0" w:type="dxa"/>
              <w:right w:w="0" w:type="dxa"/>
            </w:tcMar>
          </w:tcPr>
          <w:p w:rsidR="00F50689" w:rsidRDefault="005A36C4" w:rsidP="00F50689">
            <w:pPr>
              <w:pStyle w:val="Figures9pBoldRight025"/>
              <w:rPr>
                <w:rFonts w:eastAsia="Verdana" w:cs="Verdana"/>
                <w:lang w:val="fr-BE" w:bidi="en-GB"/>
              </w:rPr>
            </w:pPr>
            <w:r>
              <w:rPr>
                <w:rFonts w:eastAsia="Verdana" w:cs="Verdana"/>
                <w:lang w:val="fr-BE" w:bidi="en-GB"/>
              </w:rPr>
              <w:t>(165 269)</w:t>
            </w:r>
          </w:p>
        </w:tc>
        <w:tc>
          <w:tcPr>
            <w:tcW w:w="1843" w:type="dxa"/>
            <w:tcBorders>
              <w:top w:val="single" w:sz="4" w:space="0" w:color="016794"/>
              <w:left w:val="nil"/>
              <w:bottom w:val="nil"/>
              <w:right w:val="nil"/>
            </w:tcBorders>
            <w:shd w:val="clear" w:color="auto" w:fill="auto"/>
            <w:tcMar>
              <w:top w:w="0" w:type="dxa"/>
              <w:left w:w="0" w:type="dxa"/>
              <w:bottom w:w="0" w:type="dxa"/>
              <w:right w:w="0" w:type="dxa"/>
            </w:tcMar>
          </w:tcPr>
          <w:p w:rsidR="00F50689" w:rsidRDefault="005A36C4" w:rsidP="00F50689">
            <w:pPr>
              <w:pStyle w:val="Figures9pBoldRight025"/>
              <w:rPr>
                <w:rFonts w:eastAsia="Verdana" w:cs="Verdana"/>
                <w:lang w:val="fr-BE" w:bidi="en-GB"/>
              </w:rPr>
            </w:pPr>
            <w:r>
              <w:rPr>
                <w:rFonts w:eastAsia="Verdana" w:cs="Verdana"/>
                <w:lang w:val="fr-BE" w:bidi="en-GB"/>
              </w:rPr>
              <w:t>(156 058)</w:t>
            </w:r>
          </w:p>
        </w:tc>
      </w:tr>
      <w:tr w:rsidR="00E7728E">
        <w:trPr>
          <w:cantSplit/>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Pr="007540AA" w:rsidRDefault="005A36C4" w:rsidP="00F50689">
            <w:pPr>
              <w:pStyle w:val="Text9pBoldLeft"/>
              <w:rPr>
                <w:rFonts w:eastAsia="Verdana" w:cs="Verdana"/>
                <w:lang w:bidi="en-GB"/>
              </w:rPr>
            </w:pPr>
            <w:r w:rsidRPr="007540AA">
              <w:rPr>
                <w:rFonts w:eastAsia="Verdana" w:cs="Verdana"/>
                <w:lang w:bidi="en-GB"/>
              </w:rPr>
              <w:t>ECONOMIC RESULT OF THE YEAR</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Pr="007540AA" w:rsidRDefault="00F50689" w:rsidP="00F50689">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lang w:val="fr-BE" w:bidi="en-GB"/>
              </w:rPr>
            </w:pPr>
            <w:r>
              <w:rPr>
                <w:rFonts w:eastAsia="Verdana" w:cs="Verdana"/>
                <w:lang w:val="fr-BE" w:bidi="en-GB"/>
              </w:rPr>
              <w:t>(11 280)</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lang w:val="fr-BE" w:bidi="en-GB"/>
              </w:rPr>
            </w:pPr>
            <w:r>
              <w:rPr>
                <w:rFonts w:eastAsia="Verdana" w:cs="Verdana"/>
                <w:lang w:val="fr-BE" w:bidi="en-GB"/>
              </w:rPr>
              <w:t>(4 365)</w:t>
            </w:r>
          </w:p>
        </w:tc>
      </w:tr>
    </w:tbl>
    <w:p w:rsidR="00F50689" w:rsidRDefault="00F50689" w:rsidP="00F50689">
      <w:pPr>
        <w:pStyle w:val="Textstand-alone"/>
        <w:rPr>
          <w:lang w:val="fr-BE" w:bidi="en-GB"/>
        </w:rPr>
      </w:pPr>
    </w:p>
    <w:p w:rsidR="00F50689" w:rsidRPr="00116387" w:rsidRDefault="005A36C4" w:rsidP="00F50689">
      <w:pPr>
        <w:pStyle w:val="Text9pItalicLeft3p"/>
        <w:rPr>
          <w:lang w:bidi="en-GB"/>
        </w:rPr>
      </w:pPr>
      <w:r w:rsidRPr="00A20B65">
        <w:rPr>
          <w:lang w:bidi="en-GB"/>
        </w:rPr>
        <w:t>*</w:t>
      </w:r>
      <w:r>
        <w:rPr>
          <w:lang w:bidi="en-GB"/>
        </w:rPr>
        <w:t xml:space="preserve"> </w:t>
      </w:r>
      <w:r w:rsidRPr="00A20B65">
        <w:rPr>
          <w:lang w:bidi="en-GB"/>
        </w:rPr>
        <w:t xml:space="preserve">Further information </w:t>
      </w:r>
      <w:r>
        <w:rPr>
          <w:lang w:bidi="en-GB"/>
        </w:rPr>
        <w:t>is</w:t>
      </w:r>
      <w:r w:rsidRPr="00A20B65">
        <w:rPr>
          <w:lang w:bidi="en-GB"/>
        </w:rPr>
        <w:t xml:space="preserve"> given in note </w:t>
      </w:r>
      <w:r w:rsidRPr="00116387">
        <w:rPr>
          <w:b/>
          <w:lang w:bidi="en-GB"/>
        </w:rPr>
        <w:t>3.18</w:t>
      </w:r>
      <w:r w:rsidR="00116387">
        <w:rPr>
          <w:lang w:bidi="en-GB"/>
        </w:rPr>
        <w:t>.</w:t>
      </w:r>
    </w:p>
    <w:p w:rsidR="00F50689" w:rsidRDefault="00F50689" w:rsidP="00F50689">
      <w:pPr>
        <w:pStyle w:val="Text9pItalicLeft3p"/>
      </w:pPr>
    </w:p>
    <w:p w:rsidR="00F50689" w:rsidRDefault="005A36C4" w:rsidP="00F50689">
      <w:pPr>
        <w:pStyle w:val="Text9pItalicLeft3p"/>
        <w:rPr>
          <w:b/>
        </w:rPr>
      </w:pPr>
      <w:r>
        <w:t xml:space="preserve">** </w:t>
      </w:r>
    </w:p>
    <w:p w:rsidR="00F50689" w:rsidRPr="00055E8D" w:rsidRDefault="005A36C4" w:rsidP="00F50689">
      <w:pPr>
        <w:pStyle w:val="Text9pItalicLeft3p"/>
        <w:rPr>
          <w:b/>
        </w:rPr>
      </w:pPr>
      <w:r w:rsidRPr="00055E8D">
        <w:t>Implemented by Member States</w:t>
      </w:r>
      <w:r>
        <w:t xml:space="preserve">: </w:t>
      </w:r>
      <w:r w:rsidRPr="00055E8D">
        <w:t>Shared management</w:t>
      </w:r>
    </w:p>
    <w:p w:rsidR="00F50689" w:rsidRPr="00055E8D" w:rsidRDefault="005A36C4" w:rsidP="00F50689">
      <w:pPr>
        <w:pStyle w:val="Text9pItalicLeft3p"/>
        <w:rPr>
          <w:b/>
        </w:rPr>
      </w:pPr>
      <w:r w:rsidRPr="00055E8D">
        <w:t>Implemented by the Commission and executive agencies</w:t>
      </w:r>
      <w:r>
        <w:t xml:space="preserve">: </w:t>
      </w:r>
      <w:r w:rsidRPr="00055E8D">
        <w:t>Direct Management</w:t>
      </w:r>
    </w:p>
    <w:p w:rsidR="00F50689" w:rsidRDefault="005A36C4" w:rsidP="00F50689">
      <w:pPr>
        <w:pStyle w:val="Text9pItalicLeft3p"/>
        <w:rPr>
          <w:lang w:bidi="en-GB"/>
        </w:rPr>
      </w:pPr>
      <w:r>
        <w:t xml:space="preserve">Implemented by other EU agencies and bodies, third countries, international organisations and other entities: </w:t>
      </w:r>
      <w:r w:rsidRPr="00055E8D">
        <w:t>Indirect manage</w:t>
      </w:r>
      <w:r>
        <w:t>ment</w:t>
      </w:r>
      <w:r>
        <w:rPr>
          <w:lang w:bidi="en-GB"/>
        </w:rPr>
        <w:t>.</w:t>
      </w:r>
    </w:p>
    <w:p w:rsidR="00F50689" w:rsidRDefault="00F50689" w:rsidP="00F50689">
      <w:pPr>
        <w:pStyle w:val="Text9pItalicLeft3p"/>
        <w:rPr>
          <w:lang w:bidi="en-GB"/>
        </w:rPr>
      </w:pPr>
    </w:p>
    <w:p w:rsidR="00F50689" w:rsidRPr="001C5771" w:rsidRDefault="005A36C4" w:rsidP="00F50689">
      <w:pPr>
        <w:pStyle w:val="Text9pItalicLeft3p"/>
        <w:rPr>
          <w:lang w:bidi="en-GB"/>
        </w:rPr>
        <w:sectPr w:rsidR="00F50689" w:rsidRPr="001C5771" w:rsidSect="00F50689">
          <w:headerReference w:type="even" r:id="rId71"/>
          <w:headerReference w:type="default" r:id="rId72"/>
          <w:footerReference w:type="even" r:id="rId73"/>
          <w:footerReference w:type="default" r:id="rId74"/>
          <w:headerReference w:type="first" r:id="rId75"/>
          <w:footerReference w:type="first" r:id="rId76"/>
          <w:pgSz w:w="11906" w:h="16838"/>
          <w:pgMar w:top="1134" w:right="1134" w:bottom="1134" w:left="1134" w:header="709" w:footer="709" w:gutter="0"/>
          <w:cols w:space="708"/>
          <w:docGrid w:linePitch="360"/>
        </w:sectPr>
      </w:pPr>
      <w:r>
        <w:rPr>
          <w:lang w:bidi="en-GB"/>
        </w:rPr>
        <w:t xml:space="preserve"> </w:t>
      </w:r>
      <w:bookmarkEnd w:id="18"/>
    </w:p>
    <w:p w:rsidR="00F50689" w:rsidRDefault="005A36C4" w:rsidP="00F50689">
      <w:pPr>
        <w:pStyle w:val="HEADERTITLE1"/>
        <w:spacing w:after="0"/>
        <w:rPr>
          <w:lang w:val="fr-BE"/>
        </w:rPr>
      </w:pPr>
      <w:bookmarkStart w:id="20" w:name="_Toc424652036"/>
      <w:bookmarkStart w:id="21" w:name="_Toc424745965"/>
      <w:bookmarkStart w:id="22" w:name="_DMBM_2616"/>
      <w:r>
        <w:rPr>
          <w:lang w:val="fr-BE"/>
        </w:rPr>
        <w:t>CASHFLOW STATEMENT</w:t>
      </w:r>
      <w:bookmarkEnd w:id="20"/>
      <w:bookmarkEnd w:id="21"/>
    </w:p>
    <w:p w:rsidR="00F50689" w:rsidRDefault="005A36C4" w:rsidP="00F50689">
      <w:pPr>
        <w:pStyle w:val="HEADERTITLE1"/>
        <w:spacing w:after="0"/>
        <w:rPr>
          <w:lang w:val="fr-BE"/>
        </w:rPr>
      </w:pPr>
      <w:r>
        <w:rPr>
          <w:lang w:val="fr-BE"/>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gridCol w:w="851"/>
        <w:gridCol w:w="1842"/>
        <w:gridCol w:w="1843"/>
      </w:tblGrid>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23" w:name="DOC_TBL00003_1_1"/>
            <w:bookmarkEnd w:id="23"/>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rPr>
                <w:rFonts w:cs="Verdana"/>
              </w:rPr>
              <w:t>EUR millions</w:t>
            </w:r>
          </w:p>
        </w:tc>
      </w:tr>
      <w:tr w:rsidR="00E7728E">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Note</w:t>
            </w:r>
          </w:p>
        </w:tc>
        <w:tc>
          <w:tcPr>
            <w:tcW w:w="184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2014</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2013</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Economic result of the year</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(11 280)</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(4 365)</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Operating activities</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ItalicCentered"/>
              <w:rPr>
                <w:rFonts w:eastAsia="Times New Roman" w:cs="Verdana"/>
                <w:i w:val="0"/>
              </w:rPr>
            </w:pPr>
            <w:r>
              <w:rPr>
                <w:rFonts w:eastAsia="Times New Roman" w:cs="Verdana"/>
                <w:i w:val="0"/>
              </w:rPr>
              <w:t>4.2</w:t>
            </w: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9pBoldRight025"/>
              <w:rPr>
                <w:rFonts w:cs="Verdana"/>
              </w:rPr>
            </w:pP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9pBoldRight025"/>
              <w:rPr>
                <w:rFonts w:cs="Verdana"/>
              </w:rPr>
            </w:pP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Amortisation</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61</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48</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Depreciation</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408</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401</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(Increase)/decrease in loans</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(1 298)</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20</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(Increase)/decrease in pre-financing</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6 844</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(1 695)</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(Increase)/decrease in exchange receivables and non-exchange recoverables</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(1 898)</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923</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(Increase)/decrease in inventories</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10</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Increase/(decrease) in pension and employee benefits liability</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11 798</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4 315</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Increase/(decrease) in provisions</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414</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(196)</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Increase/(decrease) in financial liabilities</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1 146</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(330)</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Increase/(decrease) in payables</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6 967</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14 655</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Increase/(decrease) in accrued charges and deferred income</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(309)</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(12 154)</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Prior year budgetary surplus taken as non-cash revenue</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(1 005)</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(1 023)</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Other non-cash movements</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130</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(50)</w:t>
            </w:r>
          </w:p>
        </w:tc>
      </w:tr>
      <w:tr w:rsidR="00E7728E">
        <w:trPr>
          <w:trHeight w:val="124"/>
        </w:trPr>
        <w:tc>
          <w:tcPr>
            <w:tcW w:w="5211" w:type="dxa"/>
            <w:tcBorders>
              <w:top w:val="nil"/>
              <w:left w:val="nil"/>
              <w:bottom w:val="nil"/>
              <w:right w:val="nil"/>
            </w:tcBorders>
            <w:tcMar>
              <w:top w:w="0" w:type="dxa"/>
              <w:left w:w="0" w:type="dxa"/>
              <w:bottom w:w="0" w:type="dxa"/>
              <w:right w:w="0" w:type="dxa"/>
            </w:tcMar>
          </w:tcPr>
          <w:p w:rsidR="00F50689" w:rsidRDefault="00F50689" w:rsidP="00F50689">
            <w:pPr>
              <w:pStyle w:val="Text9pItalicLeft"/>
              <w:rPr>
                <w:rFonts w:cs="Verdana"/>
              </w:rPr>
            </w:pP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1843"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Investing activities</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ItalicCentered"/>
              <w:rPr>
                <w:rFonts w:eastAsia="Times New Roman" w:cs="Verdana"/>
                <w:i w:val="0"/>
              </w:rPr>
            </w:pPr>
            <w:r>
              <w:rPr>
                <w:rFonts w:eastAsia="Times New Roman" w:cs="Verdana"/>
                <w:i w:val="0"/>
              </w:rPr>
              <w:t>4.3</w:t>
            </w: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9pBoldRight025"/>
              <w:rPr>
                <w:rFonts w:cs="Verdana"/>
              </w:rPr>
            </w:pP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9pBoldRight025"/>
              <w:rPr>
                <w:rFonts w:cs="Verdana"/>
              </w:rPr>
            </w:pP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 xml:space="preserve">(Increase)/decrease in intangible assets and property, plant and equipment </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(2 347)</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(624)</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(Increase)/decrease in investments accounted for using the equity method</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(60)</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43</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(Increase)/decrease in available for sale financial assets</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(1 536)</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(1 142)</w:t>
            </w:r>
          </w:p>
        </w:tc>
      </w:tr>
      <w:tr w:rsidR="00E7728E">
        <w:trPr>
          <w:trHeight w:val="124"/>
        </w:trPr>
        <w:tc>
          <w:tcPr>
            <w:tcW w:w="5211" w:type="dxa"/>
            <w:tcBorders>
              <w:top w:val="nil"/>
              <w:left w:val="nil"/>
              <w:bottom w:val="nil"/>
              <w:right w:val="nil"/>
            </w:tcBorders>
            <w:tcMar>
              <w:top w:w="0" w:type="dxa"/>
              <w:left w:w="0" w:type="dxa"/>
              <w:bottom w:w="0" w:type="dxa"/>
              <w:right w:w="0" w:type="dxa"/>
            </w:tcMar>
          </w:tcPr>
          <w:p w:rsidR="00F50689" w:rsidRDefault="00F50689" w:rsidP="00F50689">
            <w:pPr>
              <w:pStyle w:val="Text9pItalicLeft"/>
              <w:rPr>
                <w:rFonts w:cs="Verdana"/>
              </w:rPr>
            </w:pP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1843"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NET CASHFLOW</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8 035</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(1 164)</w:t>
            </w:r>
          </w:p>
        </w:tc>
      </w:tr>
      <w:tr w:rsidR="00E7728E">
        <w:trPr>
          <w:trHeight w:val="124"/>
        </w:trPr>
        <w:tc>
          <w:tcPr>
            <w:tcW w:w="5211" w:type="dxa"/>
            <w:tcBorders>
              <w:top w:val="nil"/>
              <w:left w:val="nil"/>
              <w:bottom w:val="nil"/>
              <w:right w:val="nil"/>
            </w:tcBorders>
            <w:tcMar>
              <w:top w:w="0" w:type="dxa"/>
              <w:left w:w="0" w:type="dxa"/>
              <w:bottom w:w="0" w:type="dxa"/>
              <w:right w:w="0" w:type="dxa"/>
            </w:tcMar>
          </w:tcPr>
          <w:p w:rsidR="00F50689" w:rsidRDefault="00F50689" w:rsidP="00F50689">
            <w:pPr>
              <w:pStyle w:val="Text9pItalicLeft"/>
              <w:rPr>
                <w:rFonts w:cs="Verdana"/>
              </w:rPr>
            </w:pP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1843"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Net increase/(decrease) in cash and cash equivalents</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8 035</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(1 164)</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Cash and cash equivalents at the beginning of the year</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rPr>
                <w:rFonts w:eastAsia="Times New Roman" w:cs="Verdana"/>
              </w:rPr>
              <w:t>2.8</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9 510</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10 674</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Cash and cash equivalents at year-end</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rPr>
                <w:rFonts w:eastAsia="Times New Roman" w:cs="Verdana"/>
              </w:rPr>
              <w:t>2.8</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17 545</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9 510</w:t>
            </w:r>
          </w:p>
        </w:tc>
      </w:tr>
      <w:bookmarkEnd w:id="22"/>
    </w:tbl>
    <w:p w:rsidR="00F50689" w:rsidRPr="00130838" w:rsidRDefault="00F50689" w:rsidP="00F50689">
      <w:pPr>
        <w:pStyle w:val="HEADERTITLE1"/>
        <w:rPr>
          <w:lang w:val="fr-BE" w:bidi="en-GB"/>
        </w:rPr>
        <w:sectPr w:rsidR="00F50689" w:rsidRPr="00130838" w:rsidSect="00F50689">
          <w:headerReference w:type="even" r:id="rId77"/>
          <w:headerReference w:type="default" r:id="rId78"/>
          <w:footerReference w:type="even" r:id="rId79"/>
          <w:footerReference w:type="default" r:id="rId80"/>
          <w:headerReference w:type="first" r:id="rId81"/>
          <w:footerReference w:type="first" r:id="rId82"/>
          <w:pgSz w:w="11906" w:h="16838"/>
          <w:pgMar w:top="1134" w:right="1134" w:bottom="1134" w:left="1134" w:header="709" w:footer="709" w:gutter="0"/>
          <w:cols w:space="708"/>
          <w:docGrid w:linePitch="360"/>
        </w:sectPr>
      </w:pPr>
    </w:p>
    <w:p w:rsidR="00F50689" w:rsidRDefault="005A36C4" w:rsidP="00F50689">
      <w:pPr>
        <w:pStyle w:val="HEADERTITLE1"/>
        <w:spacing w:after="0"/>
      </w:pPr>
      <w:bookmarkStart w:id="24" w:name="_Toc424652037"/>
      <w:bookmarkStart w:id="25" w:name="_Toc424745966"/>
      <w:bookmarkStart w:id="26" w:name="_DMBM_2617"/>
      <w:r w:rsidRPr="008C19B1">
        <w:t>STATEMENT OF CHANGES IN NET ASSETS</w:t>
      </w:r>
      <w:bookmarkEnd w:id="24"/>
      <w:bookmarkEnd w:id="25"/>
    </w:p>
    <w:p w:rsidR="00F50689" w:rsidRDefault="005A36C4" w:rsidP="00F50689">
      <w:pPr>
        <w:pStyle w:val="HEADERTITLE1"/>
        <w:spacing w:after="0"/>
      </w:pPr>
      <w:r>
        <w:t xml:space="preserve"> </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0"/>
        <w:gridCol w:w="1843"/>
        <w:gridCol w:w="1701"/>
        <w:gridCol w:w="1843"/>
        <w:gridCol w:w="1701"/>
        <w:gridCol w:w="1559"/>
      </w:tblGrid>
      <w:tr w:rsidR="00E7728E">
        <w:trPr>
          <w:cantSplit/>
        </w:trPr>
        <w:tc>
          <w:tcPr>
            <w:tcW w:w="5920"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27" w:name="DOC_TBL00004_1_1"/>
            <w:bookmarkEnd w:id="27"/>
          </w:p>
        </w:tc>
        <w:tc>
          <w:tcPr>
            <w:tcW w:w="3544" w:type="dxa"/>
            <w:gridSpan w:val="2"/>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i w:val="0"/>
              </w:rPr>
            </w:pPr>
          </w:p>
        </w:tc>
        <w:tc>
          <w:tcPr>
            <w:tcW w:w="3544" w:type="dxa"/>
            <w:gridSpan w:val="2"/>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i w:val="0"/>
              </w:rPr>
            </w:pPr>
          </w:p>
        </w:tc>
        <w:tc>
          <w:tcPr>
            <w:tcW w:w="1559" w:type="dxa"/>
            <w:tcBorders>
              <w:top w:val="nil"/>
              <w:left w:val="nil"/>
              <w:bottom w:val="nil"/>
              <w:right w:val="nil"/>
            </w:tcBorders>
            <w:tcMar>
              <w:top w:w="0" w:type="dxa"/>
              <w:left w:w="0" w:type="dxa"/>
              <w:bottom w:w="0" w:type="dxa"/>
              <w:right w:w="0" w:type="dxa"/>
            </w:tcMar>
            <w:vAlign w:val="center"/>
          </w:tcPr>
          <w:p w:rsidR="00F50689" w:rsidRDefault="005A36C4" w:rsidP="00F50689">
            <w:pPr>
              <w:pStyle w:val="Text8pItalicRight025EUR"/>
              <w:rPr>
                <w:rFonts w:cs="Verdana"/>
              </w:rPr>
            </w:pPr>
            <w:r>
              <w:rPr>
                <w:rFonts w:cs="Verdana"/>
              </w:rPr>
              <w:t>EUR millions</w:t>
            </w:r>
          </w:p>
        </w:tc>
      </w:tr>
      <w:tr w:rsidR="00E7728E">
        <w:trPr>
          <w:cantSplit/>
        </w:trPr>
        <w:tc>
          <w:tcPr>
            <w:tcW w:w="592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9pNormalCentered"/>
              <w:rPr>
                <w:rFonts w:cs="Verdana"/>
              </w:rPr>
            </w:pPr>
          </w:p>
        </w:tc>
        <w:tc>
          <w:tcPr>
            <w:tcW w:w="3544" w:type="dxa"/>
            <w:gridSpan w:val="2"/>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rPr>
                <w:rFonts w:cs="Verdana"/>
              </w:rPr>
              <w:t>Reserves (A)</w:t>
            </w:r>
          </w:p>
        </w:tc>
        <w:tc>
          <w:tcPr>
            <w:tcW w:w="3544" w:type="dxa"/>
            <w:gridSpan w:val="2"/>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rPr>
                <w:rFonts w:cs="Verdana"/>
              </w:rPr>
              <w:t>Amounts to be called from Member States (B)</w:t>
            </w:r>
          </w:p>
        </w:tc>
        <w:tc>
          <w:tcPr>
            <w:tcW w:w="1559" w:type="dxa"/>
            <w:vMerge w:val="restart"/>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9pNormalCentered"/>
              <w:rPr>
                <w:rFonts w:cs="Verdana"/>
              </w:rPr>
            </w:pPr>
            <w:r>
              <w:rPr>
                <w:rFonts w:cs="Verdana"/>
              </w:rPr>
              <w:t>Net Assets =(A)+(B)</w:t>
            </w:r>
          </w:p>
        </w:tc>
      </w:tr>
      <w:tr w:rsidR="00E7728E">
        <w:trPr>
          <w:cantSplit/>
        </w:trPr>
        <w:tc>
          <w:tcPr>
            <w:tcW w:w="592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9pNormalCentered"/>
              <w:rPr>
                <w:rFonts w:cs="Verdana"/>
              </w:rPr>
            </w:pPr>
          </w:p>
        </w:tc>
        <w:tc>
          <w:tcPr>
            <w:tcW w:w="1843"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Centered"/>
              <w:rPr>
                <w:rFonts w:cs="Verdana"/>
              </w:rPr>
            </w:pPr>
            <w:r>
              <w:rPr>
                <w:rFonts w:cs="Verdana"/>
              </w:rPr>
              <w:t>Fair value reserve</w:t>
            </w:r>
          </w:p>
        </w:tc>
        <w:tc>
          <w:tcPr>
            <w:tcW w:w="170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Centered"/>
              <w:rPr>
                <w:rFonts w:cs="Verdana"/>
              </w:rPr>
            </w:pPr>
            <w:r>
              <w:rPr>
                <w:rFonts w:cs="Verdana"/>
              </w:rPr>
              <w:t>Other reserves</w:t>
            </w:r>
          </w:p>
        </w:tc>
        <w:tc>
          <w:tcPr>
            <w:tcW w:w="1843"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Centered"/>
              <w:rPr>
                <w:rFonts w:cs="Verdana"/>
              </w:rPr>
            </w:pPr>
            <w:r>
              <w:rPr>
                <w:rFonts w:cs="Verdana"/>
              </w:rPr>
              <w:t>Accumulated Surplus/(Deficit)</w:t>
            </w:r>
          </w:p>
        </w:tc>
        <w:tc>
          <w:tcPr>
            <w:tcW w:w="170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Centered"/>
              <w:rPr>
                <w:rFonts w:cs="Verdana"/>
              </w:rPr>
            </w:pPr>
            <w:r>
              <w:rPr>
                <w:rFonts w:cs="Verdana"/>
              </w:rPr>
              <w:t>Economic result of the year</w:t>
            </w:r>
          </w:p>
        </w:tc>
        <w:tc>
          <w:tcPr>
            <w:tcW w:w="1559" w:type="dxa"/>
            <w:vMerge/>
            <w:tcBorders>
              <w:top w:val="nil"/>
              <w:left w:val="nil"/>
              <w:bottom w:val="nil"/>
              <w:right w:val="nil"/>
            </w:tcBorders>
            <w:shd w:val="clear" w:color="auto" w:fill="3486A9"/>
            <w:tcMar>
              <w:top w:w="0" w:type="dxa"/>
              <w:left w:w="0" w:type="dxa"/>
              <w:bottom w:w="0" w:type="dxa"/>
              <w:right w:w="0" w:type="dxa"/>
            </w:tcMar>
          </w:tcPr>
          <w:p w:rsidR="00F50689" w:rsidRDefault="00F50689" w:rsidP="00F50689">
            <w:pPr>
              <w:pStyle w:val="Heading9pNormalCentered"/>
              <w:rPr>
                <w:rFonts w:cs="Verdana"/>
              </w:rPr>
            </w:pPr>
          </w:p>
        </w:tc>
      </w:tr>
      <w:tr w:rsidR="00E7728E">
        <w:trPr>
          <w:cantSplit/>
        </w:trPr>
        <w:tc>
          <w:tcPr>
            <w:tcW w:w="592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BALANCE AS AT 31.12.2012</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 xml:space="preserve"> 150</w:t>
            </w:r>
          </w:p>
        </w:tc>
        <w:tc>
          <w:tcPr>
            <w:tcW w:w="170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3 911</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(39 148)</w:t>
            </w:r>
          </w:p>
        </w:tc>
        <w:tc>
          <w:tcPr>
            <w:tcW w:w="170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(5 329)</w:t>
            </w:r>
          </w:p>
        </w:tc>
        <w:tc>
          <w:tcPr>
            <w:tcW w:w="155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(40 416)</w:t>
            </w:r>
          </w:p>
        </w:tc>
      </w:tr>
      <w:tr w:rsidR="00E7728E">
        <w:trPr>
          <w:cantSplit/>
        </w:trPr>
        <w:tc>
          <w:tcPr>
            <w:tcW w:w="5920"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Movement in Guarantee Fund reserve</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46</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(46)</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r>
      <w:tr w:rsidR="00E7728E">
        <w:trPr>
          <w:cantSplit/>
        </w:trPr>
        <w:tc>
          <w:tcPr>
            <w:tcW w:w="5920"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Fair value movements</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(51)</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(51)</w:t>
            </w:r>
          </w:p>
        </w:tc>
      </w:tr>
      <w:tr w:rsidR="00E7728E">
        <w:trPr>
          <w:cantSplit/>
        </w:trPr>
        <w:tc>
          <w:tcPr>
            <w:tcW w:w="5920"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Other</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12</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(9)</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3</w:t>
            </w:r>
          </w:p>
        </w:tc>
      </w:tr>
      <w:tr w:rsidR="00E7728E">
        <w:trPr>
          <w:cantSplit/>
        </w:trPr>
        <w:tc>
          <w:tcPr>
            <w:tcW w:w="5920"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Allocation of the 2012 economic result</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5</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(5 334)</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5 329</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r>
      <w:tr w:rsidR="00E7728E">
        <w:trPr>
          <w:cantSplit/>
        </w:trPr>
        <w:tc>
          <w:tcPr>
            <w:tcW w:w="5920"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2012 budget result credited to Member States</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(1 023)</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(1 023)</w:t>
            </w:r>
          </w:p>
        </w:tc>
      </w:tr>
      <w:tr w:rsidR="00E7728E">
        <w:trPr>
          <w:cantSplit/>
        </w:trPr>
        <w:tc>
          <w:tcPr>
            <w:tcW w:w="5920" w:type="dxa"/>
            <w:tcBorders>
              <w:top w:val="nil"/>
              <w:left w:val="nil"/>
              <w:bottom w:val="nil"/>
              <w:right w:val="nil"/>
            </w:tcBorders>
            <w:tcMar>
              <w:top w:w="0" w:type="dxa"/>
              <w:left w:w="0" w:type="dxa"/>
              <w:bottom w:w="0" w:type="dxa"/>
              <w:right w:w="0" w:type="dxa"/>
            </w:tcMar>
          </w:tcPr>
          <w:p w:rsidR="00F50689" w:rsidRDefault="005A36C4" w:rsidP="00A675FE">
            <w:pPr>
              <w:pStyle w:val="Text9pItalicLeft"/>
              <w:rPr>
                <w:rFonts w:cs="Verdana"/>
              </w:rPr>
            </w:pPr>
            <w:r>
              <w:rPr>
                <w:rFonts w:cs="Verdana"/>
              </w:rPr>
              <w:t xml:space="preserve">Economic </w:t>
            </w:r>
            <w:r w:rsidR="00A675FE">
              <w:rPr>
                <w:rFonts w:cs="Verdana"/>
              </w:rPr>
              <w:t>r</w:t>
            </w:r>
            <w:r>
              <w:rPr>
                <w:rFonts w:cs="Verdana"/>
              </w:rPr>
              <w:t>esult of the year</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(4 365)</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(4 365)</w:t>
            </w:r>
          </w:p>
        </w:tc>
      </w:tr>
      <w:tr w:rsidR="00E7728E">
        <w:trPr>
          <w:cantSplit/>
        </w:trPr>
        <w:tc>
          <w:tcPr>
            <w:tcW w:w="592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BALANCE AS AT 31.12.2013</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 xml:space="preserve"> 99</w:t>
            </w:r>
          </w:p>
        </w:tc>
        <w:tc>
          <w:tcPr>
            <w:tcW w:w="170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3 974</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(45 560)</w:t>
            </w:r>
          </w:p>
        </w:tc>
        <w:tc>
          <w:tcPr>
            <w:tcW w:w="170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(4 365)</w:t>
            </w:r>
          </w:p>
        </w:tc>
        <w:tc>
          <w:tcPr>
            <w:tcW w:w="155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(45 852)</w:t>
            </w:r>
          </w:p>
        </w:tc>
      </w:tr>
      <w:tr w:rsidR="00E7728E">
        <w:trPr>
          <w:cantSplit/>
        </w:trPr>
        <w:tc>
          <w:tcPr>
            <w:tcW w:w="5920"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Movement in Guarantee Fund reserve</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247</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(247)</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r>
      <w:tr w:rsidR="00E7728E">
        <w:trPr>
          <w:cantSplit/>
        </w:trPr>
        <w:tc>
          <w:tcPr>
            <w:tcW w:w="5920"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Fair value movements</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139</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139</w:t>
            </w:r>
          </w:p>
        </w:tc>
      </w:tr>
      <w:tr w:rsidR="00E7728E">
        <w:trPr>
          <w:cantSplit/>
        </w:trPr>
        <w:tc>
          <w:tcPr>
            <w:tcW w:w="5920"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Other</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(24)</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16</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(8)</w:t>
            </w:r>
          </w:p>
        </w:tc>
      </w:tr>
      <w:tr w:rsidR="00E7728E">
        <w:trPr>
          <w:cantSplit/>
        </w:trPr>
        <w:tc>
          <w:tcPr>
            <w:tcW w:w="5920"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Allocation of the 2013 economic result</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(0)</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(4 365)</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4 365</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r>
      <w:tr w:rsidR="00E7728E">
        <w:trPr>
          <w:cantSplit/>
        </w:trPr>
        <w:tc>
          <w:tcPr>
            <w:tcW w:w="5920"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2013 budget result credited to Member States</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(1 005)</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(1 005)</w:t>
            </w:r>
          </w:p>
        </w:tc>
      </w:tr>
      <w:tr w:rsidR="00E7728E">
        <w:trPr>
          <w:cantSplit/>
        </w:trPr>
        <w:tc>
          <w:tcPr>
            <w:tcW w:w="5920"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Economic result of the year</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(11 280)</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(11 280)</w:t>
            </w:r>
          </w:p>
        </w:tc>
      </w:tr>
      <w:tr w:rsidR="00E7728E">
        <w:trPr>
          <w:cantSplit/>
        </w:trPr>
        <w:tc>
          <w:tcPr>
            <w:tcW w:w="592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BALANCE AS AT 31.12.2014</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 xml:space="preserve"> 238</w:t>
            </w:r>
          </w:p>
        </w:tc>
        <w:tc>
          <w:tcPr>
            <w:tcW w:w="170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4 197</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(51 161)</w:t>
            </w:r>
          </w:p>
        </w:tc>
        <w:tc>
          <w:tcPr>
            <w:tcW w:w="170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(11 280)</w:t>
            </w:r>
          </w:p>
        </w:tc>
        <w:tc>
          <w:tcPr>
            <w:tcW w:w="155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(58 006)</w:t>
            </w:r>
          </w:p>
        </w:tc>
      </w:tr>
      <w:bookmarkEnd w:id="26"/>
    </w:tbl>
    <w:p w:rsidR="00F50689" w:rsidRDefault="00F50689" w:rsidP="00F50689">
      <w:pPr>
        <w:pStyle w:val="Textstand-alone"/>
        <w:rPr>
          <w:lang w:bidi="en-GB"/>
        </w:rPr>
        <w:sectPr w:rsidR="00F50689" w:rsidSect="00F50689">
          <w:headerReference w:type="even" r:id="rId83"/>
          <w:headerReference w:type="default" r:id="rId84"/>
          <w:footerReference w:type="even" r:id="rId85"/>
          <w:footerReference w:type="default" r:id="rId86"/>
          <w:headerReference w:type="first" r:id="rId87"/>
          <w:footerReference w:type="first" r:id="rId88"/>
          <w:pgSz w:w="16838" w:h="11906" w:orient="landscape"/>
          <w:pgMar w:top="1134" w:right="1134" w:bottom="1134" w:left="1134" w:header="708" w:footer="708" w:gutter="0"/>
          <w:cols w:space="708"/>
          <w:docGrid w:linePitch="360"/>
        </w:sectPr>
      </w:pPr>
    </w:p>
    <w:p w:rsidR="00F50689" w:rsidRDefault="00F50689" w:rsidP="00F50689">
      <w:pPr>
        <w:pStyle w:val="FIRSTCHAPTERPAGE1"/>
        <w:rPr>
          <w:lang w:val="fr-BE"/>
        </w:rPr>
      </w:pPr>
      <w:bookmarkStart w:id="28" w:name="_DMBM_2600"/>
    </w:p>
    <w:p w:rsidR="00F50689" w:rsidRDefault="00F50689" w:rsidP="00F50689">
      <w:pPr>
        <w:pStyle w:val="FIRSTCHAPTERPAGE1"/>
        <w:rPr>
          <w:lang w:val="fr-BE"/>
        </w:rPr>
      </w:pPr>
    </w:p>
    <w:p w:rsidR="00F50689" w:rsidRDefault="00F50689" w:rsidP="00F50689">
      <w:pPr>
        <w:pStyle w:val="FIRSTCHAPTERPAGE1"/>
        <w:rPr>
          <w:lang w:val="fr-BE"/>
        </w:rPr>
      </w:pPr>
    </w:p>
    <w:p w:rsidR="00F50689" w:rsidRDefault="00F50689" w:rsidP="00F50689">
      <w:pPr>
        <w:pStyle w:val="FIRSTCHAPTERPAGE1"/>
        <w:rPr>
          <w:lang w:val="fr-BE"/>
        </w:rPr>
      </w:pPr>
    </w:p>
    <w:p w:rsidR="00F50689" w:rsidRDefault="005A36C4" w:rsidP="00F50689">
      <w:pPr>
        <w:pStyle w:val="FIRSTCHAPTERPAGE1"/>
        <w:rPr>
          <w:lang w:val="fr-BE"/>
        </w:rPr>
      </w:pPr>
      <w:bookmarkStart w:id="29" w:name="_Toc424652038"/>
      <w:bookmarkStart w:id="30" w:name="_Toc424745967"/>
      <w:r>
        <w:rPr>
          <w:lang w:val="fr-BE"/>
        </w:rPr>
        <w:t>NOTES TO THE FINANCIAL STATEMENTS</w:t>
      </w:r>
      <w:bookmarkEnd w:id="29"/>
      <w:bookmarkEnd w:id="30"/>
    </w:p>
    <w:p w:rsidR="00F50689" w:rsidRDefault="00F50689" w:rsidP="00F50689">
      <w:pPr>
        <w:pStyle w:val="FIRSTCHAPTERPAGE1"/>
        <w:rPr>
          <w:lang w:val="fr-BE"/>
        </w:rPr>
      </w:pPr>
    </w:p>
    <w:p w:rsidR="00F50689" w:rsidRDefault="00F50689" w:rsidP="00F50689">
      <w:pPr>
        <w:pStyle w:val="FIRSTCHAPTERPAGE1"/>
        <w:rPr>
          <w:lang w:val="fr-BE"/>
        </w:rPr>
      </w:pPr>
    </w:p>
    <w:p w:rsidR="00F50689" w:rsidRDefault="00F50689" w:rsidP="00F50689">
      <w:pPr>
        <w:pStyle w:val="FIRSTCHAPTERPAGE1"/>
        <w:rPr>
          <w:lang w:val="fr-BE"/>
        </w:rPr>
      </w:pPr>
    </w:p>
    <w:p w:rsidR="00F50689" w:rsidRPr="00A5463E" w:rsidRDefault="005A36C4" w:rsidP="00F50689">
      <w:pPr>
        <w:pStyle w:val="FIRSTCHAPTERPAGE1"/>
        <w:rPr>
          <w:lang w:val="fr-BE"/>
        </w:rPr>
        <w:sectPr w:rsidR="00F50689" w:rsidRPr="00A5463E" w:rsidSect="00F50689">
          <w:headerReference w:type="even" r:id="rId89"/>
          <w:headerReference w:type="default" r:id="rId90"/>
          <w:footerReference w:type="even" r:id="rId91"/>
          <w:footerReference w:type="default" r:id="rId92"/>
          <w:headerReference w:type="first" r:id="rId93"/>
          <w:footerReference w:type="first" r:id="rId94"/>
          <w:pgSz w:w="11906" w:h="16838"/>
          <w:pgMar w:top="1134" w:right="1134" w:bottom="1134" w:left="1134" w:header="709" w:footer="709" w:gutter="0"/>
          <w:cols w:space="708"/>
          <w:docGrid w:linePitch="360"/>
        </w:sectPr>
      </w:pPr>
      <w:r>
        <w:rPr>
          <w:lang w:val="fr-BE"/>
        </w:rPr>
        <w:t xml:space="preserve"> </w:t>
      </w:r>
      <w:bookmarkEnd w:id="28"/>
    </w:p>
    <w:p w:rsidR="00F50689" w:rsidRDefault="005A36C4" w:rsidP="00F50689">
      <w:pPr>
        <w:pStyle w:val="HEADER1Part2"/>
        <w:spacing w:after="0"/>
        <w:rPr>
          <w:lang w:val="fr-BE"/>
        </w:rPr>
      </w:pPr>
      <w:bookmarkStart w:id="31" w:name="_Toc424652039"/>
      <w:bookmarkStart w:id="32" w:name="_DMBM_3883"/>
      <w:r>
        <w:rPr>
          <w:lang w:val="fr-BE"/>
        </w:rPr>
        <w:t>SIGNIFICANT ACCOUNTING POLICIES</w:t>
      </w:r>
      <w:bookmarkEnd w:id="31"/>
    </w:p>
    <w:p w:rsidR="00F50689" w:rsidRPr="00F9658A" w:rsidRDefault="005A36C4" w:rsidP="00F50689">
      <w:pPr>
        <w:pStyle w:val="Textstand-alone"/>
        <w:spacing w:before="0" w:after="0"/>
        <w:sectPr w:rsidR="00F50689" w:rsidRPr="00F9658A" w:rsidSect="00F50689">
          <w:headerReference w:type="even" r:id="rId95"/>
          <w:headerReference w:type="default" r:id="rId96"/>
          <w:footerReference w:type="even" r:id="rId97"/>
          <w:footerReference w:type="default" r:id="rId98"/>
          <w:headerReference w:type="first" r:id="rId99"/>
          <w:footerReference w:type="first" r:id="rId100"/>
          <w:pgSz w:w="11906" w:h="16838"/>
          <w:pgMar w:top="1134" w:right="1134" w:bottom="1134" w:left="1134" w:header="708" w:footer="708" w:gutter="0"/>
          <w:cols w:space="708"/>
          <w:docGrid w:linePitch="360"/>
        </w:sectPr>
      </w:pPr>
      <w:bookmarkStart w:id="33" w:name="DOC_TBL00002_1_1_0"/>
      <w:bookmarkStart w:id="34" w:name="DOC_TBL00001_1_1_0"/>
      <w:bookmarkEnd w:id="33"/>
      <w:bookmarkEnd w:id="34"/>
      <w:r>
        <w:t xml:space="preserve"> </w:t>
      </w:r>
      <w:bookmarkEnd w:id="32"/>
    </w:p>
    <w:p w:rsidR="00F50689" w:rsidRDefault="005A36C4" w:rsidP="00F50689">
      <w:pPr>
        <w:pStyle w:val="HEADER2Part2"/>
        <w:rPr>
          <w:lang w:val="fr-BE"/>
        </w:rPr>
      </w:pPr>
      <w:bookmarkStart w:id="35" w:name="_DMBM_2601"/>
      <w:r>
        <w:rPr>
          <w:lang w:val="fr-BE"/>
        </w:rPr>
        <w:t>LEGAL BASIS AND ACCOUNTING RULES</w:t>
      </w:r>
    </w:p>
    <w:p w:rsidR="00F50689" w:rsidRPr="0083395B" w:rsidRDefault="005A36C4" w:rsidP="00F50689">
      <w:pPr>
        <w:pStyle w:val="DGTextstand-alone"/>
      </w:pPr>
      <w:r w:rsidRPr="0083395B">
        <w:t xml:space="preserve">The </w:t>
      </w:r>
      <w:r>
        <w:t xml:space="preserve">accounts of the EU </w:t>
      </w:r>
      <w:r w:rsidRPr="0083395B">
        <w:t xml:space="preserve">are kept in accordance with Regulation (EU, Euratom) No 966/2012 of the European Parliament and of the Council of 25 October 2012 </w:t>
      </w:r>
      <w:r>
        <w:t xml:space="preserve">on the financial rules applicable to the general budget of the Union and repealing Council Regulation (EC, Euratom) No 1605/2002 </w:t>
      </w:r>
      <w:r w:rsidRPr="0083395B">
        <w:t>(OJ</w:t>
      </w:r>
      <w:r w:rsidR="00116387">
        <w:t> </w:t>
      </w:r>
      <w:r w:rsidRPr="0083395B">
        <w:t>L</w:t>
      </w:r>
      <w:r w:rsidR="00116387">
        <w:t> </w:t>
      </w:r>
      <w:r w:rsidRPr="0083395B">
        <w:t>298</w:t>
      </w:r>
      <w:r>
        <w:t>,</w:t>
      </w:r>
      <w:r w:rsidRPr="0083395B">
        <w:t xml:space="preserve"> 26</w:t>
      </w:r>
      <w:r>
        <w:t>.10.</w:t>
      </w:r>
      <w:r w:rsidRPr="0083395B">
        <w:t>2012</w:t>
      </w:r>
      <w:r>
        <w:t>, p.</w:t>
      </w:r>
      <w:r w:rsidR="00116387">
        <w:t> </w:t>
      </w:r>
      <w:r>
        <w:t>1</w:t>
      </w:r>
      <w:r w:rsidRPr="0083395B">
        <w:t xml:space="preserve">) </w:t>
      </w:r>
      <w:r>
        <w:t>herein</w:t>
      </w:r>
      <w:r w:rsidRPr="0083395B">
        <w:t xml:space="preserve">after referred to as the 'Financial Regulation' and Commission Delegated Regulation (EU) No 1268/2012 of 29 October 2012 </w:t>
      </w:r>
      <w:r>
        <w:t xml:space="preserve">(OJ L 362, 31.12.2012, p. 1) </w:t>
      </w:r>
      <w:r w:rsidRPr="0083395B">
        <w:t>laying down detailed rules of application of this Financial Regulation.</w:t>
      </w:r>
    </w:p>
    <w:p w:rsidR="00F50689" w:rsidRDefault="005A36C4" w:rsidP="00F50689">
      <w:pPr>
        <w:pStyle w:val="DGTextstand-alone"/>
      </w:pPr>
      <w:r w:rsidRPr="0083395B">
        <w:t>In accordance with article 143 of the Financial Regulation, the EU prepares its financial statements on the basis of accrual-based accounting rules that are based on International Public Sector Accounting Standards (IPSAS). These accounting rules, adopted by the Accounting Officer of the Commission, have to be applied by all the institutions and EU bodies falling within the scope of consolidation in order to establish a uniform set of rules for accounting, valuation and presentation of the accounts with a view to harmonising the process for drawing up the financial statements and consolidation. The accounts are kept in Euro on the basis of the calendar year.</w:t>
      </w:r>
    </w:p>
    <w:p w:rsidR="00F50689" w:rsidRPr="00632B75" w:rsidRDefault="005A36C4" w:rsidP="00F50689">
      <w:pPr>
        <w:pStyle w:val="HEADER2Part2"/>
      </w:pPr>
      <w:r w:rsidRPr="00632B75">
        <w:t>ACCOUNTING PRINCIPLES</w:t>
      </w:r>
    </w:p>
    <w:p w:rsidR="00F50689" w:rsidRDefault="005A36C4" w:rsidP="00F50689">
      <w:pPr>
        <w:pStyle w:val="DGTextstand-alone"/>
      </w:pPr>
      <w:r>
        <w:t xml:space="preserve">The objective of the financial statements is to provide information about the financial position, performance and cashflows of an entity that is useful to a wide range of users. For the EU as a public sector entity, the objectives are more specifically to provide information useful for decision making, and to demonstrate the accountability of the entity for the resources entrusted to it. It is with these goals in mind that the present document has been drawn up. </w:t>
      </w:r>
    </w:p>
    <w:p w:rsidR="00F50689" w:rsidRDefault="005A36C4" w:rsidP="00F50689">
      <w:pPr>
        <w:pStyle w:val="DGTextstand-alone"/>
      </w:pPr>
      <w:r>
        <w:t>The overall considerations (or accounting principles) to be followed when preparing the financial statements are laid down in EU accounting rule 2 and are the same as those described in IPSAS 1, that is: fair presentation, accrual basis, going concern, consistency of presentation, aggregation, offsetting and comparative information. The qualitative characteristics of financial reporting according to article 144 of the Financial Regulation are relevance, reliability, understandability and comparability.</w:t>
      </w:r>
    </w:p>
    <w:p w:rsidR="00F50689" w:rsidRDefault="005A36C4" w:rsidP="00F50689">
      <w:pPr>
        <w:pStyle w:val="DGTextstand-alone"/>
      </w:pPr>
      <w:r>
        <w:t>Preparation of the financial statements in accordance with the above mentioned rules and principles requires management to make estimates that affect the reported amounts of certain items in the balance sheet and statement of financial performance, as well as the disclosures related to financial instruments and contingent assets and liabilities.</w:t>
      </w:r>
      <w:bookmarkStart w:id="36" w:name="_DMBM_242"/>
    </w:p>
    <w:p w:rsidR="00F50689" w:rsidRPr="00632B75" w:rsidRDefault="005A36C4" w:rsidP="00F50689">
      <w:pPr>
        <w:pStyle w:val="HEADER2Part2"/>
      </w:pPr>
      <w:r w:rsidRPr="00632B75">
        <w:t>CONSOLIDATION</w:t>
      </w:r>
    </w:p>
    <w:p w:rsidR="00F50689" w:rsidRPr="00190313" w:rsidRDefault="005A36C4" w:rsidP="00F50689">
      <w:pPr>
        <w:pStyle w:val="HEADER5"/>
      </w:pPr>
      <w:r w:rsidRPr="00190313">
        <w:t>SCOPE OF CONSOLIDATION</w:t>
      </w:r>
    </w:p>
    <w:p w:rsidR="00F50689" w:rsidRPr="00190313" w:rsidRDefault="005A36C4" w:rsidP="00F50689">
      <w:pPr>
        <w:pStyle w:val="DGTextstand-alone"/>
      </w:pPr>
      <w:r>
        <w:t>The consolidated financial statements of the EU comprise all significant controlled entities (i.e. the EU institutions (including the Commission) and the EU agencies), associates and joint ventures, this being 52 controlled entities, 7</w:t>
      </w:r>
      <w:r w:rsidRPr="00D629A4">
        <w:t xml:space="preserve"> joint ventures and </w:t>
      </w:r>
      <w:r>
        <w:t>1</w:t>
      </w:r>
      <w:r w:rsidRPr="00D629A4">
        <w:t xml:space="preserve"> associate</w:t>
      </w:r>
      <w:r>
        <w:t xml:space="preserve">. The complete list of consolidated entities can be found in note </w:t>
      </w:r>
      <w:r w:rsidRPr="003744A6">
        <w:rPr>
          <w:b/>
        </w:rPr>
        <w:t>1</w:t>
      </w:r>
      <w:r>
        <w:rPr>
          <w:b/>
        </w:rPr>
        <w:t>0</w:t>
      </w:r>
      <w:r>
        <w:t xml:space="preserve"> of the EU accounts. In comparison with 2013, the scope of consolidation remains unchanged, noting that 1 associate has now been reclassified as a joint venture and following the amalgamation of 2 other associates the resulting entity has been classified as a joint venture.</w:t>
      </w:r>
    </w:p>
    <w:p w:rsidR="00F50689" w:rsidRPr="00190313" w:rsidRDefault="005A36C4" w:rsidP="00F50689">
      <w:pPr>
        <w:pStyle w:val="HEADER5"/>
      </w:pPr>
      <w:r w:rsidRPr="00190313">
        <w:t>CONTROLLED ENTITIES</w:t>
      </w:r>
    </w:p>
    <w:p w:rsidR="00F50689" w:rsidRDefault="005A36C4" w:rsidP="00F50689">
      <w:pPr>
        <w:pStyle w:val="DGTextstand-alone"/>
      </w:pPr>
      <w:r>
        <w:t>The decision to include an entity in the scope of consolidation is based on the control concept. Controlled entities are all entities over which the EU has, directly or indirectly, the power to govern the financial and operating policies so as to be able to benefit from these entities' activities. This power must be presently exercisable. Controlled entities are fully consolidated. The consolidation begins at the first date on which control exists, and ends when such control no longer exists.</w:t>
      </w:r>
    </w:p>
    <w:p w:rsidR="00F50689" w:rsidRDefault="005A36C4" w:rsidP="00F50689">
      <w:pPr>
        <w:pStyle w:val="DGTextstand-alone"/>
      </w:pPr>
      <w:r>
        <w:t>The most common indicators of control within the EU are: creation of the entity through founding treaties or secondary legislation, financing of the entity from the general budget, the existence of voting rights in the governing bodies, audit by the Court and discharge by the European Parliament. It is clear that an individual assessment for each entity needs to be made in order to decide whether one or all of the criteria listed above are sufficient to trigger control.</w:t>
      </w:r>
    </w:p>
    <w:p w:rsidR="00F50689" w:rsidRDefault="005A36C4" w:rsidP="00F50689">
      <w:pPr>
        <w:pStyle w:val="DGTextstand-alone"/>
      </w:pPr>
      <w:r>
        <w:t xml:space="preserve">Under this approach, the EU's institutions (except the European Central Bank - ECB) and agencies (excluding the agencies of the former 2nd pillar) are considered as under the exclusive control of the EU and are therefore included in the consolidation scope. Furthermore the European Coal and Steel Community (ECSC) in Liquidation is also considered as a controlled entity. </w:t>
      </w:r>
    </w:p>
    <w:p w:rsidR="00F50689" w:rsidRDefault="005A36C4" w:rsidP="00F50689">
      <w:pPr>
        <w:pStyle w:val="DGTextstand-alone"/>
      </w:pPr>
      <w:r>
        <w:t>All material inter-company transactions and balances between EU controlled entities are eliminated, while unrealised gains and losses on such transactions are not material and so have not been eliminated.</w:t>
      </w:r>
    </w:p>
    <w:p w:rsidR="00F50689" w:rsidRPr="00190313" w:rsidRDefault="005A36C4" w:rsidP="00F50689">
      <w:pPr>
        <w:pStyle w:val="HEADER5"/>
      </w:pPr>
      <w:r w:rsidRPr="00190313">
        <w:t>JOINT VENTURES</w:t>
      </w:r>
    </w:p>
    <w:p w:rsidR="00F50689" w:rsidRDefault="005A36C4" w:rsidP="00F50689">
      <w:pPr>
        <w:pStyle w:val="DGTextstand-alone"/>
      </w:pPr>
      <w:r>
        <w:t xml:space="preserve">A joint venture is a contractual arrangement whereby the EU and one or more parties (the "venturers") undertake an economic activity which is subject to joint control. Joint control is the contractually agreed sharing of control, directly or indirectly, over an activity embodying service potential. Participations in joint ventures are accounted for using the equity method (see </w:t>
      </w:r>
      <w:r w:rsidRPr="00966B2B">
        <w:rPr>
          <w:b/>
        </w:rPr>
        <w:t>1.5.4</w:t>
      </w:r>
      <w:r>
        <w:t xml:space="preserve"> below).</w:t>
      </w:r>
    </w:p>
    <w:p w:rsidR="00F50689" w:rsidRPr="00190313" w:rsidRDefault="005A36C4" w:rsidP="00F50689">
      <w:pPr>
        <w:pStyle w:val="HEADER5"/>
      </w:pPr>
      <w:r w:rsidRPr="00190313">
        <w:t>ASSOCIATES</w:t>
      </w:r>
    </w:p>
    <w:p w:rsidR="00F50689" w:rsidRDefault="005A36C4" w:rsidP="00F50689">
      <w:pPr>
        <w:pStyle w:val="DGTextstand-alone"/>
      </w:pPr>
      <w:r>
        <w:t xml:space="preserve">Associates are entities over which the EU has, directly or indirectly, significant influence but not control. It is presumed that significant influence exists if the EU holds directly or indirectly 20 % or more of the voting rights. Participations in associates are accounted for using the equity method (see </w:t>
      </w:r>
      <w:r w:rsidRPr="00966B2B">
        <w:rPr>
          <w:b/>
        </w:rPr>
        <w:t>1.5.4</w:t>
      </w:r>
      <w:r>
        <w:t xml:space="preserve"> below).</w:t>
      </w:r>
    </w:p>
    <w:p w:rsidR="00F50689" w:rsidRPr="00190313" w:rsidRDefault="005A36C4" w:rsidP="00F50689">
      <w:pPr>
        <w:pStyle w:val="HEADER5"/>
      </w:pPr>
      <w:r w:rsidRPr="00190313">
        <w:t>NON-CONSOLIDATED ENTITIES THE FUNDS OF WHICH ARE MANAGED BY THE COMMISSION</w:t>
      </w:r>
    </w:p>
    <w:p w:rsidR="00F50689" w:rsidRDefault="005A36C4" w:rsidP="00F50689">
      <w:pPr>
        <w:pStyle w:val="DGTextstand-alone"/>
      </w:pPr>
      <w:r>
        <w:t>The funds of the Sickness Insurance Scheme for staff of the EU, the European Development Fund and the Participants Guarantee Fund are managed by the Commission on their behalf, however since these entities are not controlled by the EU they are not consolidated in its financial statements.</w:t>
      </w:r>
    </w:p>
    <w:p w:rsidR="00F50689" w:rsidRDefault="00F50689" w:rsidP="00F50689">
      <w:pPr>
        <w:pStyle w:val="DGTextstand-alone"/>
      </w:pPr>
    </w:p>
    <w:bookmarkEnd w:id="36"/>
    <w:p w:rsidR="00F50689" w:rsidRDefault="005A36C4" w:rsidP="00F50689">
      <w:pPr>
        <w:pStyle w:val="HEADER2Part2"/>
        <w:spacing w:before="0" w:after="0"/>
      </w:pPr>
      <w:r w:rsidRPr="00723F09">
        <w:t>BASIS OF PREPARATION</w:t>
      </w:r>
      <w:bookmarkStart w:id="37" w:name="_DMBM_1142"/>
    </w:p>
    <w:p w:rsidR="00F50689" w:rsidRPr="00B34731" w:rsidRDefault="005A36C4" w:rsidP="00F50689">
      <w:pPr>
        <w:pStyle w:val="HEADER3Part2"/>
      </w:pPr>
      <w:r w:rsidRPr="00B34731">
        <w:t>Currency and basis for conversion</w:t>
      </w:r>
      <w:bookmarkEnd w:id="37"/>
    </w:p>
    <w:p w:rsidR="00F50689" w:rsidRPr="00190313" w:rsidRDefault="005A36C4" w:rsidP="00F50689">
      <w:pPr>
        <w:pStyle w:val="HEADER5"/>
      </w:pPr>
      <w:r w:rsidRPr="00190313">
        <w:t>Functional and reporting currency</w:t>
      </w:r>
    </w:p>
    <w:p w:rsidR="00F50689" w:rsidRDefault="005A36C4" w:rsidP="00F50689">
      <w:pPr>
        <w:pStyle w:val="DGTextstand-alone"/>
      </w:pPr>
      <w:r>
        <w:t>The financial statements are presented in millions of euros, the euro being the EU's functional and reporting currency.</w:t>
      </w:r>
    </w:p>
    <w:p w:rsidR="00F50689" w:rsidRPr="00190313" w:rsidRDefault="005A36C4" w:rsidP="00F50689">
      <w:pPr>
        <w:pStyle w:val="HEADER5"/>
      </w:pPr>
      <w:r w:rsidRPr="00190313">
        <w:t>Transactions and balances</w:t>
      </w:r>
    </w:p>
    <w:p w:rsidR="00F50689" w:rsidRDefault="005A36C4" w:rsidP="00F50689">
      <w:pPr>
        <w:pStyle w:val="DGTextstand-alone"/>
      </w:pPr>
      <w:r>
        <w:t>Foreign currency transactions are translated into euros using the exchange rates prevailing at the dates of the transactions. Foreign exchange gains and losses resulting from the settlement of foreign currency transactions and from the translation at year-end exchange rates of monetary assets and liabilities denominated in foreign currencies are recognised in the statement of financial performance.</w:t>
      </w:r>
    </w:p>
    <w:p w:rsidR="00F50689" w:rsidRDefault="005A36C4" w:rsidP="00F50689">
      <w:pPr>
        <w:pStyle w:val="DGTextstand-alone"/>
      </w:pPr>
      <w:r>
        <w:t>Different conversion methods apply to property, plant and equipment and intangible assets, which retain their value in euros at the rate that applied at the date when they were purchased.</w:t>
      </w:r>
    </w:p>
    <w:p w:rsidR="00F50689" w:rsidRDefault="005A36C4" w:rsidP="00F50689">
      <w:pPr>
        <w:pStyle w:val="DGTextstand-alone"/>
      </w:pPr>
      <w:r>
        <w:t>Year-end balances of monetary assets and liabilities denominated in foreign currencies are converted into euros on the basis of the exchange rates applying on 31 December:</w:t>
      </w:r>
    </w:p>
    <w:p w:rsidR="00B82250" w:rsidRDefault="00B82250">
      <w:pPr>
        <w:rPr>
          <w:rFonts w:ascii="Verdana" w:hAnsi="Verdana"/>
          <w:b/>
          <w:color w:val="016794"/>
          <w:sz w:val="18"/>
          <w:szCs w:val="18"/>
        </w:rPr>
      </w:pPr>
      <w:r>
        <w:br w:type="page"/>
      </w:r>
    </w:p>
    <w:p w:rsidR="00F50689" w:rsidRPr="00190313" w:rsidRDefault="005A36C4" w:rsidP="00B82250">
      <w:pPr>
        <w:pStyle w:val="HEADER5"/>
        <w:spacing w:after="120"/>
      </w:pPr>
      <w:r w:rsidRPr="00190313">
        <w:t>Euro exchange rates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625"/>
        <w:gridCol w:w="1624"/>
        <w:gridCol w:w="1625"/>
        <w:gridCol w:w="1624"/>
        <w:gridCol w:w="1625"/>
      </w:tblGrid>
      <w:tr w:rsidR="00E7728E">
        <w:tc>
          <w:tcPr>
            <w:tcW w:w="1624" w:type="dxa"/>
            <w:tcBorders>
              <w:top w:val="nil"/>
              <w:left w:val="nil"/>
              <w:bottom w:val="single" w:sz="4" w:space="0" w:color="016794"/>
              <w:right w:val="nil"/>
            </w:tcBorders>
            <w:shd w:val="clear" w:color="auto" w:fill="016794"/>
            <w:tcMar>
              <w:top w:w="0" w:type="dxa"/>
              <w:left w:w="0" w:type="dxa"/>
              <w:bottom w:w="0" w:type="dxa"/>
              <w:right w:w="0" w:type="dxa"/>
            </w:tcMar>
          </w:tcPr>
          <w:p w:rsidR="00F50689" w:rsidRPr="00883F8D" w:rsidRDefault="005A36C4" w:rsidP="00F50689">
            <w:pPr>
              <w:pStyle w:val="Heading10pNormalLeft"/>
              <w:rPr>
                <w:rFonts w:eastAsia="Verdana" w:cs="Verdana"/>
                <w:lang w:bidi="en-GB"/>
              </w:rPr>
            </w:pPr>
            <w:bookmarkStart w:id="38" w:name="DOC_TBL00005_1_1"/>
            <w:bookmarkEnd w:id="38"/>
            <w:r w:rsidRPr="00883F8D">
              <w:rPr>
                <w:rFonts w:eastAsia="Verdana" w:cs="Verdana"/>
                <w:lang w:bidi="en-GB"/>
              </w:rPr>
              <w:t>Currency</w:t>
            </w:r>
          </w:p>
        </w:tc>
        <w:tc>
          <w:tcPr>
            <w:tcW w:w="1625" w:type="dxa"/>
            <w:tcBorders>
              <w:top w:val="nil"/>
              <w:left w:val="nil"/>
              <w:bottom w:val="single" w:sz="4" w:space="0" w:color="016794"/>
              <w:right w:val="nil"/>
            </w:tcBorders>
            <w:shd w:val="clear" w:color="auto" w:fill="016794"/>
            <w:tcMar>
              <w:top w:w="0" w:type="dxa"/>
              <w:left w:w="0" w:type="dxa"/>
              <w:bottom w:w="0" w:type="dxa"/>
              <w:right w:w="0" w:type="dxa"/>
            </w:tcMar>
          </w:tcPr>
          <w:p w:rsidR="00F50689" w:rsidRPr="00883F8D" w:rsidRDefault="005A36C4" w:rsidP="00F50689">
            <w:pPr>
              <w:pStyle w:val="Heading10pNormalRight025"/>
              <w:rPr>
                <w:rFonts w:eastAsia="Verdana" w:cs="Verdana"/>
                <w:lang w:bidi="en-GB"/>
              </w:rPr>
            </w:pPr>
            <w:r w:rsidRPr="00883F8D">
              <w:rPr>
                <w:rFonts w:eastAsia="Verdana" w:cs="Verdana"/>
                <w:lang w:bidi="en-GB"/>
              </w:rPr>
              <w:t>31.12.2014</w:t>
            </w:r>
          </w:p>
        </w:tc>
        <w:tc>
          <w:tcPr>
            <w:tcW w:w="1624" w:type="dxa"/>
            <w:tcBorders>
              <w:top w:val="nil"/>
              <w:left w:val="nil"/>
              <w:bottom w:val="single" w:sz="4" w:space="0" w:color="016794"/>
              <w:right w:val="nil"/>
            </w:tcBorders>
            <w:shd w:val="clear" w:color="auto" w:fill="016794"/>
            <w:tcMar>
              <w:top w:w="0" w:type="dxa"/>
              <w:left w:w="0" w:type="dxa"/>
              <w:bottom w:w="0" w:type="dxa"/>
              <w:right w:w="0" w:type="dxa"/>
            </w:tcMar>
          </w:tcPr>
          <w:p w:rsidR="00F50689" w:rsidRPr="00883F8D" w:rsidRDefault="005A36C4" w:rsidP="00F50689">
            <w:pPr>
              <w:pStyle w:val="Heading10pNormalRight025"/>
              <w:rPr>
                <w:rFonts w:eastAsia="Verdana" w:cs="Verdana"/>
                <w:lang w:bidi="en-GB"/>
              </w:rPr>
            </w:pPr>
            <w:r w:rsidRPr="00883F8D">
              <w:rPr>
                <w:rFonts w:eastAsia="Verdana" w:cs="Verdana"/>
                <w:lang w:bidi="en-GB"/>
              </w:rPr>
              <w:t>31.12.2013</w:t>
            </w:r>
          </w:p>
        </w:tc>
        <w:tc>
          <w:tcPr>
            <w:tcW w:w="1625" w:type="dxa"/>
            <w:tcBorders>
              <w:top w:val="nil"/>
              <w:left w:val="nil"/>
              <w:bottom w:val="single" w:sz="4" w:space="0" w:color="016794"/>
              <w:right w:val="nil"/>
            </w:tcBorders>
            <w:shd w:val="clear" w:color="auto" w:fill="016794"/>
            <w:tcMar>
              <w:top w:w="0" w:type="dxa"/>
              <w:left w:w="0" w:type="dxa"/>
              <w:bottom w:w="0" w:type="dxa"/>
              <w:right w:w="0" w:type="dxa"/>
            </w:tcMar>
          </w:tcPr>
          <w:p w:rsidR="00F50689" w:rsidRPr="00883F8D" w:rsidRDefault="005A36C4" w:rsidP="00F50689">
            <w:pPr>
              <w:pStyle w:val="Heading10pNormalRight025"/>
              <w:rPr>
                <w:rFonts w:eastAsia="Verdana" w:cs="Verdana"/>
                <w:lang w:bidi="en-GB"/>
              </w:rPr>
            </w:pPr>
            <w:r w:rsidRPr="00883F8D">
              <w:rPr>
                <w:rFonts w:eastAsia="Verdana" w:cs="Verdana"/>
                <w:lang w:bidi="en-GB"/>
              </w:rPr>
              <w:t>Currency</w:t>
            </w:r>
          </w:p>
        </w:tc>
        <w:tc>
          <w:tcPr>
            <w:tcW w:w="1624" w:type="dxa"/>
            <w:tcBorders>
              <w:top w:val="nil"/>
              <w:left w:val="nil"/>
              <w:bottom w:val="single" w:sz="4" w:space="0" w:color="016794"/>
              <w:right w:val="nil"/>
            </w:tcBorders>
            <w:shd w:val="clear" w:color="auto" w:fill="016794"/>
            <w:tcMar>
              <w:top w:w="0" w:type="dxa"/>
              <w:left w:w="0" w:type="dxa"/>
              <w:bottom w:w="0" w:type="dxa"/>
              <w:right w:w="0" w:type="dxa"/>
            </w:tcMar>
          </w:tcPr>
          <w:p w:rsidR="00F50689" w:rsidRPr="00883F8D" w:rsidRDefault="005A36C4" w:rsidP="00F50689">
            <w:pPr>
              <w:pStyle w:val="Heading10pNormalRight025"/>
              <w:rPr>
                <w:rFonts w:eastAsia="Verdana" w:cs="Verdana"/>
                <w:lang w:bidi="en-GB"/>
              </w:rPr>
            </w:pPr>
            <w:r w:rsidRPr="00883F8D">
              <w:rPr>
                <w:rFonts w:eastAsia="Verdana" w:cs="Verdana"/>
                <w:lang w:bidi="en-GB"/>
              </w:rPr>
              <w:t>31.12.2014</w:t>
            </w:r>
          </w:p>
        </w:tc>
        <w:tc>
          <w:tcPr>
            <w:tcW w:w="1625" w:type="dxa"/>
            <w:tcBorders>
              <w:top w:val="nil"/>
              <w:left w:val="nil"/>
              <w:bottom w:val="single" w:sz="4" w:space="0" w:color="016794"/>
              <w:right w:val="nil"/>
            </w:tcBorders>
            <w:shd w:val="clear" w:color="auto" w:fill="016794"/>
            <w:tcMar>
              <w:top w:w="0" w:type="dxa"/>
              <w:left w:w="0" w:type="dxa"/>
              <w:bottom w:w="0" w:type="dxa"/>
              <w:right w:w="0" w:type="dxa"/>
            </w:tcMar>
          </w:tcPr>
          <w:p w:rsidR="00F50689" w:rsidRPr="00883F8D" w:rsidRDefault="005A36C4" w:rsidP="00F50689">
            <w:pPr>
              <w:pStyle w:val="Heading10pNormalRight025"/>
              <w:rPr>
                <w:rFonts w:eastAsia="Verdana" w:cs="Verdana"/>
                <w:lang w:bidi="en-GB"/>
              </w:rPr>
            </w:pPr>
            <w:r w:rsidRPr="00883F8D">
              <w:rPr>
                <w:rFonts w:eastAsia="Verdana" w:cs="Verdana"/>
                <w:lang w:bidi="en-GB"/>
              </w:rPr>
              <w:t>31.12.2013</w:t>
            </w:r>
          </w:p>
        </w:tc>
      </w:tr>
      <w:tr w:rsidR="00E7728E">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Text9pBoldLeft025"/>
              <w:ind w:left="0"/>
              <w:rPr>
                <w:rFonts w:eastAsia="Verdana" w:cs="Verdana"/>
                <w:lang w:bidi="en-GB"/>
              </w:rPr>
            </w:pPr>
            <w:r w:rsidRPr="00883F8D">
              <w:rPr>
                <w:rFonts w:eastAsia="Verdana" w:cs="Verdana"/>
                <w:lang w:bidi="en-GB"/>
              </w:rPr>
              <w:t>BGN</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lang w:bidi="en-GB"/>
              </w:rPr>
            </w:pPr>
            <w:r w:rsidRPr="00883F8D">
              <w:rPr>
                <w:rFonts w:eastAsia="Verdana" w:cs="Verdana"/>
                <w:lang w:bidi="en-GB"/>
              </w:rPr>
              <w:t>1.9558</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ItalicRight025"/>
              <w:rPr>
                <w:rFonts w:eastAsia="Verdana" w:cs="Verdana"/>
                <w:lang w:bidi="en-GB"/>
              </w:rPr>
            </w:pPr>
            <w:r w:rsidRPr="00883F8D">
              <w:rPr>
                <w:rFonts w:eastAsia="Verdana" w:cs="Verdana"/>
                <w:lang w:bidi="en-GB"/>
              </w:rPr>
              <w:t>1.9558</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lang w:bidi="en-GB"/>
              </w:rPr>
            </w:pPr>
            <w:r w:rsidRPr="00883F8D">
              <w:rPr>
                <w:rFonts w:eastAsia="Verdana" w:cs="Verdana"/>
                <w:lang w:bidi="en-GB"/>
              </w:rPr>
              <w:t>LTL</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lang w:bidi="en-GB"/>
              </w:rPr>
            </w:pPr>
            <w:r w:rsidRPr="00883F8D">
              <w:rPr>
                <w:rFonts w:eastAsia="Verdana" w:cs="Verdana"/>
                <w:lang w:bidi="en-GB"/>
              </w:rPr>
              <w:t>3.4528</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ItalicRight025"/>
              <w:rPr>
                <w:rFonts w:eastAsia="Verdana" w:cs="Verdana"/>
                <w:lang w:bidi="en-GB"/>
              </w:rPr>
            </w:pPr>
            <w:r w:rsidRPr="00883F8D">
              <w:rPr>
                <w:rFonts w:eastAsia="Verdana" w:cs="Verdana"/>
                <w:lang w:bidi="en-GB"/>
              </w:rPr>
              <w:t>3.4528</w:t>
            </w:r>
          </w:p>
        </w:tc>
      </w:tr>
      <w:tr w:rsidR="00E7728E">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Text9pBoldLeft025"/>
              <w:ind w:left="0"/>
              <w:rPr>
                <w:rFonts w:eastAsia="Verdana" w:cs="Verdana"/>
                <w:lang w:bidi="en-GB"/>
              </w:rPr>
            </w:pPr>
            <w:r w:rsidRPr="00883F8D">
              <w:rPr>
                <w:rFonts w:eastAsia="Verdana" w:cs="Verdana"/>
                <w:lang w:bidi="en-GB"/>
              </w:rPr>
              <w:t>CZK</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lang w:bidi="en-GB"/>
              </w:rPr>
            </w:pPr>
            <w:r w:rsidRPr="00883F8D">
              <w:rPr>
                <w:rFonts w:eastAsia="Verdana" w:cs="Verdana"/>
                <w:lang w:bidi="en-GB"/>
              </w:rPr>
              <w:t>27.7350</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ItalicRight025"/>
              <w:rPr>
                <w:rFonts w:eastAsia="Verdana" w:cs="Verdana"/>
                <w:lang w:bidi="en-GB"/>
              </w:rPr>
            </w:pPr>
            <w:r w:rsidRPr="00883F8D">
              <w:rPr>
                <w:rFonts w:eastAsia="Verdana" w:cs="Verdana"/>
                <w:lang w:bidi="en-GB"/>
              </w:rPr>
              <w:t>27.4270</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lang w:bidi="en-GB"/>
              </w:rPr>
            </w:pPr>
            <w:r w:rsidRPr="00883F8D">
              <w:rPr>
                <w:rFonts w:eastAsia="Verdana" w:cs="Verdana"/>
                <w:lang w:bidi="en-GB"/>
              </w:rPr>
              <w:t>PLN</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lang w:bidi="en-GB"/>
              </w:rPr>
            </w:pPr>
            <w:r w:rsidRPr="00883F8D">
              <w:rPr>
                <w:rFonts w:eastAsia="Verdana" w:cs="Verdana"/>
                <w:lang w:bidi="en-GB"/>
              </w:rPr>
              <w:t>4.2732</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ItalicRight025"/>
              <w:rPr>
                <w:rFonts w:eastAsia="Verdana" w:cs="Verdana"/>
                <w:lang w:bidi="en-GB"/>
              </w:rPr>
            </w:pPr>
            <w:r w:rsidRPr="00883F8D">
              <w:rPr>
                <w:rFonts w:eastAsia="Verdana" w:cs="Verdana"/>
                <w:lang w:bidi="en-GB"/>
              </w:rPr>
              <w:t>4.1543</w:t>
            </w:r>
          </w:p>
        </w:tc>
      </w:tr>
      <w:tr w:rsidR="00E7728E">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Text9pBoldLeft025"/>
              <w:ind w:left="0"/>
              <w:rPr>
                <w:rFonts w:eastAsia="Verdana" w:cs="Verdana"/>
                <w:lang w:bidi="en-GB"/>
              </w:rPr>
            </w:pPr>
            <w:r w:rsidRPr="00883F8D">
              <w:rPr>
                <w:rFonts w:eastAsia="Verdana" w:cs="Verdana"/>
                <w:lang w:bidi="en-GB"/>
              </w:rPr>
              <w:t>DKK</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lang w:bidi="en-GB"/>
              </w:rPr>
            </w:pPr>
            <w:r w:rsidRPr="00883F8D">
              <w:rPr>
                <w:rFonts w:eastAsia="Verdana" w:cs="Verdana"/>
                <w:lang w:bidi="en-GB"/>
              </w:rPr>
              <w:t>7.4453</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ItalicRight025"/>
              <w:rPr>
                <w:rFonts w:eastAsia="Verdana" w:cs="Verdana"/>
                <w:lang w:bidi="en-GB"/>
              </w:rPr>
            </w:pPr>
            <w:r w:rsidRPr="00883F8D">
              <w:rPr>
                <w:rFonts w:eastAsia="Verdana" w:cs="Verdana"/>
                <w:lang w:bidi="en-GB"/>
              </w:rPr>
              <w:t>7.4593</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lang w:bidi="en-GB"/>
              </w:rPr>
            </w:pPr>
            <w:r w:rsidRPr="00883F8D">
              <w:rPr>
                <w:rFonts w:eastAsia="Verdana" w:cs="Verdana"/>
                <w:lang w:bidi="en-GB"/>
              </w:rPr>
              <w:t>RON</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lang w:bidi="en-GB"/>
              </w:rPr>
            </w:pPr>
            <w:r w:rsidRPr="00883F8D">
              <w:rPr>
                <w:rFonts w:eastAsia="Verdana" w:cs="Verdana"/>
                <w:lang w:bidi="en-GB"/>
              </w:rPr>
              <w:t>4.4828</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ItalicRight025"/>
              <w:rPr>
                <w:rFonts w:eastAsia="Verdana" w:cs="Verdana"/>
                <w:lang w:bidi="en-GB"/>
              </w:rPr>
            </w:pPr>
            <w:r w:rsidRPr="00883F8D">
              <w:rPr>
                <w:rFonts w:eastAsia="Verdana" w:cs="Verdana"/>
                <w:lang w:bidi="en-GB"/>
              </w:rPr>
              <w:t>4.4710</w:t>
            </w:r>
          </w:p>
        </w:tc>
      </w:tr>
      <w:tr w:rsidR="00E7728E">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Text9pBoldLeft025"/>
              <w:ind w:left="0"/>
              <w:rPr>
                <w:rFonts w:eastAsia="Verdana" w:cs="Verdana"/>
                <w:lang w:bidi="en-GB"/>
              </w:rPr>
            </w:pPr>
            <w:r w:rsidRPr="00883F8D">
              <w:rPr>
                <w:rFonts w:eastAsia="Verdana" w:cs="Verdana"/>
                <w:lang w:bidi="en-GB"/>
              </w:rPr>
              <w:t>GBP</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lang w:bidi="en-GB"/>
              </w:rPr>
            </w:pPr>
            <w:r w:rsidRPr="00883F8D">
              <w:rPr>
                <w:rFonts w:eastAsia="Verdana" w:cs="Verdana"/>
                <w:lang w:bidi="en-GB"/>
              </w:rPr>
              <w:t>0.7789</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ItalicRight025"/>
              <w:rPr>
                <w:rFonts w:eastAsia="Verdana" w:cs="Verdana"/>
                <w:lang w:bidi="en-GB"/>
              </w:rPr>
            </w:pPr>
            <w:r w:rsidRPr="00883F8D">
              <w:rPr>
                <w:rFonts w:eastAsia="Verdana" w:cs="Verdana"/>
                <w:lang w:bidi="en-GB"/>
              </w:rPr>
              <w:t>0.8337</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lang w:bidi="en-GB"/>
              </w:rPr>
            </w:pPr>
            <w:r w:rsidRPr="00883F8D">
              <w:rPr>
                <w:rFonts w:eastAsia="Verdana" w:cs="Verdana"/>
                <w:lang w:bidi="en-GB"/>
              </w:rPr>
              <w:t>SEK</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lang w:bidi="en-GB"/>
              </w:rPr>
            </w:pPr>
            <w:r w:rsidRPr="00883F8D">
              <w:rPr>
                <w:rFonts w:eastAsia="Verdana" w:cs="Verdana"/>
                <w:lang w:bidi="en-GB"/>
              </w:rPr>
              <w:t>9.3930</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ItalicRight025"/>
              <w:rPr>
                <w:rFonts w:eastAsia="Verdana" w:cs="Verdana"/>
                <w:lang w:bidi="en-GB"/>
              </w:rPr>
            </w:pPr>
            <w:r w:rsidRPr="00883F8D">
              <w:rPr>
                <w:rFonts w:eastAsia="Verdana" w:cs="Verdana"/>
                <w:lang w:bidi="en-GB"/>
              </w:rPr>
              <w:t>8.8591</w:t>
            </w:r>
          </w:p>
        </w:tc>
      </w:tr>
      <w:tr w:rsidR="00E7728E">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Text9pBoldLeft025"/>
              <w:ind w:left="0"/>
              <w:rPr>
                <w:rFonts w:eastAsia="Verdana" w:cs="Verdana"/>
                <w:lang w:bidi="en-GB"/>
              </w:rPr>
            </w:pPr>
            <w:r w:rsidRPr="00883F8D">
              <w:rPr>
                <w:rFonts w:eastAsia="Verdana" w:cs="Verdana"/>
                <w:lang w:bidi="en-GB"/>
              </w:rPr>
              <w:t>HRK</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lang w:bidi="en-GB"/>
              </w:rPr>
            </w:pPr>
            <w:r w:rsidRPr="00883F8D">
              <w:rPr>
                <w:rFonts w:eastAsia="Verdana" w:cs="Verdana"/>
                <w:lang w:bidi="en-GB"/>
              </w:rPr>
              <w:t>7.6580</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ItalicRight025"/>
              <w:rPr>
                <w:rFonts w:eastAsia="Verdana" w:cs="Verdana"/>
                <w:lang w:bidi="en-GB"/>
              </w:rPr>
            </w:pPr>
            <w:r w:rsidRPr="00883F8D">
              <w:rPr>
                <w:rFonts w:eastAsia="Verdana" w:cs="Verdana"/>
                <w:lang w:bidi="en-GB"/>
              </w:rPr>
              <w:t>7.6265</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lang w:bidi="en-GB"/>
              </w:rPr>
            </w:pPr>
            <w:r w:rsidRPr="00883F8D">
              <w:rPr>
                <w:rFonts w:eastAsia="Verdana" w:cs="Verdana"/>
                <w:lang w:bidi="en-GB"/>
              </w:rPr>
              <w:t>CHF</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lang w:bidi="en-GB"/>
              </w:rPr>
            </w:pPr>
            <w:r w:rsidRPr="00883F8D">
              <w:rPr>
                <w:rFonts w:eastAsia="Verdana" w:cs="Verdana"/>
                <w:lang w:bidi="en-GB"/>
              </w:rPr>
              <w:t>1.2024</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ItalicRight025"/>
              <w:rPr>
                <w:rFonts w:eastAsia="Verdana" w:cs="Verdana"/>
                <w:lang w:bidi="en-GB"/>
              </w:rPr>
            </w:pPr>
            <w:r w:rsidRPr="00883F8D">
              <w:rPr>
                <w:rFonts w:eastAsia="Verdana" w:cs="Verdana"/>
                <w:lang w:bidi="en-GB"/>
              </w:rPr>
              <w:t>1.2276</w:t>
            </w:r>
          </w:p>
        </w:tc>
      </w:tr>
      <w:tr w:rsidR="00E7728E">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Text9pBoldLeft025"/>
              <w:ind w:left="0"/>
              <w:rPr>
                <w:rFonts w:eastAsia="Verdana" w:cs="Verdana"/>
                <w:lang w:bidi="en-GB"/>
              </w:rPr>
            </w:pPr>
            <w:r w:rsidRPr="00883F8D">
              <w:rPr>
                <w:rFonts w:eastAsia="Verdana" w:cs="Verdana"/>
                <w:lang w:bidi="en-GB"/>
              </w:rPr>
              <w:t>HUF</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lang w:bidi="en-GB"/>
              </w:rPr>
            </w:pPr>
            <w:r w:rsidRPr="00883F8D">
              <w:rPr>
                <w:rFonts w:eastAsia="Verdana" w:cs="Verdana"/>
                <w:lang w:bidi="en-GB"/>
              </w:rPr>
              <w:t>315.5400</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ItalicRight025"/>
              <w:rPr>
                <w:rFonts w:eastAsia="Verdana" w:cs="Verdana"/>
                <w:lang w:bidi="en-GB"/>
              </w:rPr>
            </w:pPr>
            <w:r w:rsidRPr="00883F8D">
              <w:rPr>
                <w:rFonts w:eastAsia="Verdana" w:cs="Verdana"/>
                <w:lang w:bidi="en-GB"/>
              </w:rPr>
              <w:t>297.0400</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lang w:bidi="en-GB"/>
              </w:rPr>
            </w:pPr>
            <w:r w:rsidRPr="00883F8D">
              <w:rPr>
                <w:rFonts w:eastAsia="Verdana" w:cs="Verdana"/>
                <w:lang w:bidi="en-GB"/>
              </w:rPr>
              <w:t>JPY</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lang w:bidi="en-GB"/>
              </w:rPr>
            </w:pPr>
            <w:r w:rsidRPr="00883F8D">
              <w:rPr>
                <w:rFonts w:eastAsia="Verdana" w:cs="Verdana"/>
                <w:lang w:bidi="en-GB"/>
              </w:rPr>
              <w:t>145.2300</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ItalicRight025"/>
              <w:rPr>
                <w:rFonts w:eastAsia="Verdana" w:cs="Verdana"/>
                <w:lang w:bidi="en-GB"/>
              </w:rPr>
            </w:pPr>
            <w:r w:rsidRPr="00883F8D">
              <w:rPr>
                <w:rFonts w:eastAsia="Verdana" w:cs="Verdana"/>
                <w:lang w:bidi="en-GB"/>
              </w:rPr>
              <w:t>144.7200</w:t>
            </w:r>
          </w:p>
        </w:tc>
      </w:tr>
      <w:tr w:rsidR="00E7728E" w:rsidTr="00F50689">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Text9pBoldLeft025"/>
              <w:ind w:left="0"/>
              <w:rPr>
                <w:rFonts w:eastAsia="Verdana" w:cs="Verdana"/>
                <w:lang w:bidi="en-GB"/>
              </w:rPr>
            </w:pPr>
            <w:r w:rsidRPr="00883F8D">
              <w:rPr>
                <w:rFonts w:eastAsia="Verdana" w:cs="Verdana"/>
                <w:lang w:bidi="en-GB"/>
              </w:rPr>
              <w:t>LVL</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lang w:bidi="en-GB"/>
              </w:rPr>
            </w:pPr>
            <w:r w:rsidRPr="00883F8D">
              <w:rPr>
                <w:rFonts w:eastAsia="Verdana" w:cs="Verdana"/>
                <w:lang w:bidi="en-GB"/>
              </w:rPr>
              <w:t>-</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ItalicRight025"/>
              <w:rPr>
                <w:rFonts w:eastAsia="Verdana" w:cs="Verdana"/>
                <w:lang w:bidi="en-GB"/>
              </w:rPr>
            </w:pPr>
            <w:r w:rsidRPr="00883F8D">
              <w:rPr>
                <w:rFonts w:eastAsia="Verdana" w:cs="Verdana"/>
                <w:lang w:bidi="en-GB"/>
              </w:rPr>
              <w:t>0.7028</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lang w:bidi="en-GB"/>
              </w:rPr>
            </w:pPr>
            <w:r w:rsidRPr="00883F8D">
              <w:rPr>
                <w:rFonts w:eastAsia="Verdana" w:cs="Verdana"/>
                <w:lang w:bidi="en-GB"/>
              </w:rPr>
              <w:t>USD</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lang w:bidi="en-GB"/>
              </w:rPr>
            </w:pPr>
            <w:r w:rsidRPr="00883F8D">
              <w:rPr>
                <w:rFonts w:eastAsia="Verdana" w:cs="Verdana"/>
                <w:lang w:bidi="en-GB"/>
              </w:rPr>
              <w:t>1.2141</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ItalicRight025"/>
              <w:rPr>
                <w:rFonts w:eastAsia="Verdana" w:cs="Verdana"/>
                <w:lang w:bidi="en-GB"/>
              </w:rPr>
            </w:pPr>
            <w:r w:rsidRPr="00883F8D">
              <w:rPr>
                <w:rFonts w:eastAsia="Verdana" w:cs="Verdana"/>
                <w:lang w:bidi="en-GB"/>
              </w:rPr>
              <w:t>1.3791</w:t>
            </w:r>
          </w:p>
        </w:tc>
      </w:tr>
      <w:tr w:rsidR="00E7728E">
        <w:tc>
          <w:tcPr>
            <w:tcW w:w="1624"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883F8D" w:rsidRDefault="00F50689" w:rsidP="00F50689">
            <w:pPr>
              <w:pStyle w:val="Text9pBoldLeft025"/>
              <w:ind w:left="0"/>
              <w:rPr>
                <w:rFonts w:eastAsia="Verdana" w:cs="Verdana"/>
                <w:lang w:bidi="en-GB"/>
              </w:rPr>
            </w:pPr>
          </w:p>
        </w:tc>
        <w:tc>
          <w:tcPr>
            <w:tcW w:w="1625"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883F8D" w:rsidRDefault="00F50689" w:rsidP="00F50689">
            <w:pPr>
              <w:pStyle w:val="Figures9pBoldRight025"/>
              <w:rPr>
                <w:rFonts w:eastAsia="Verdana" w:cs="Verdana"/>
                <w:lang w:bidi="en-GB"/>
              </w:rPr>
            </w:pPr>
          </w:p>
        </w:tc>
        <w:tc>
          <w:tcPr>
            <w:tcW w:w="1624"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883F8D" w:rsidRDefault="00F50689" w:rsidP="00F50689">
            <w:pPr>
              <w:pStyle w:val="Figures9pItalicRight025"/>
              <w:rPr>
                <w:rFonts w:eastAsia="Verdana" w:cs="Verdana"/>
                <w:lang w:bidi="en-GB"/>
              </w:rPr>
            </w:pPr>
          </w:p>
        </w:tc>
        <w:tc>
          <w:tcPr>
            <w:tcW w:w="1625"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883F8D" w:rsidRDefault="00F50689" w:rsidP="00F50689">
            <w:pPr>
              <w:pStyle w:val="Figures9pBoldRight025"/>
              <w:rPr>
                <w:rFonts w:eastAsia="Verdana" w:cs="Verdana"/>
                <w:lang w:bidi="en-GB"/>
              </w:rPr>
            </w:pPr>
          </w:p>
        </w:tc>
        <w:tc>
          <w:tcPr>
            <w:tcW w:w="1624"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883F8D" w:rsidRDefault="00F50689" w:rsidP="00F50689">
            <w:pPr>
              <w:pStyle w:val="Figures9pBoldRight025"/>
              <w:rPr>
                <w:rFonts w:eastAsia="Verdana" w:cs="Verdana"/>
                <w:lang w:bidi="en-GB"/>
              </w:rPr>
            </w:pPr>
          </w:p>
        </w:tc>
        <w:tc>
          <w:tcPr>
            <w:tcW w:w="1625"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883F8D" w:rsidRDefault="00F50689" w:rsidP="00F50689">
            <w:pPr>
              <w:pStyle w:val="Figures9pItalicRight025"/>
              <w:rPr>
                <w:rFonts w:eastAsia="Verdana" w:cs="Verdana"/>
                <w:lang w:bidi="en-GB"/>
              </w:rPr>
            </w:pPr>
          </w:p>
        </w:tc>
      </w:tr>
    </w:tbl>
    <w:p w:rsidR="00F50689" w:rsidRDefault="005A36C4" w:rsidP="00F50689">
      <w:pPr>
        <w:pStyle w:val="DGTextstand-alone"/>
      </w:pPr>
      <w:r w:rsidRPr="00883F8D">
        <w:t>Changes in the fair value of monetary financial instruments denominated in a foreign currency and classified as available for sale that relate to a translation difference are recognised in the statement of financial performance. Translation differences on non-monetary financial assets and liabilities held at fair value through profit or loss are recognised in the statement of financial performance. Translation differences on non-monetary financial instruments classified as available for sale are included in the fair value reserve.</w:t>
      </w:r>
    </w:p>
    <w:p w:rsidR="00F50689" w:rsidRPr="00B34731" w:rsidRDefault="005A36C4" w:rsidP="00F50689">
      <w:pPr>
        <w:pStyle w:val="HEADER3Part2"/>
      </w:pPr>
      <w:r w:rsidRPr="00B34731">
        <w:t>Use of estimates</w:t>
      </w:r>
    </w:p>
    <w:p w:rsidR="00F50689" w:rsidRDefault="005A36C4" w:rsidP="00F50689">
      <w:pPr>
        <w:pStyle w:val="DGTextstand-alone"/>
      </w:pPr>
      <w:r>
        <w:t>In accordance with IPSAS and generally accepted accounting principles, the financial statements necessarily include amounts based on estimates and assumptions by management based on the most reliable information available. Significant estimates include, but are not limited to; amounts for employee benefit liabilities, provisions, financial risk on inventories and accounts receivable, accrued income and charges, contingent assets and liabilities, degree of impairment of intangible assets and property, plant and equipment and amounts disclosed in the notes concerning financial instruments. Actual results could differ from those estimates. Changes in estimates are reflected in the period in which they become known.</w:t>
      </w:r>
    </w:p>
    <w:p w:rsidR="00F50689" w:rsidRDefault="005A36C4" w:rsidP="00F50689">
      <w:pPr>
        <w:pStyle w:val="HEADER2Part2"/>
      </w:pPr>
      <w:bookmarkStart w:id="39" w:name="_DMBM_220"/>
      <w:r w:rsidRPr="00632B75">
        <w:t>BALANCE SHEET</w:t>
      </w:r>
      <w:bookmarkEnd w:id="39"/>
    </w:p>
    <w:p w:rsidR="00F50689" w:rsidRPr="00B34731" w:rsidRDefault="005A36C4" w:rsidP="00F50689">
      <w:pPr>
        <w:pStyle w:val="HEADER3Part2"/>
      </w:pPr>
      <w:r w:rsidRPr="00B34731">
        <w:t>Intangible assets</w:t>
      </w:r>
    </w:p>
    <w:p w:rsidR="00F50689" w:rsidRDefault="005A36C4" w:rsidP="00F50689">
      <w:pPr>
        <w:pStyle w:val="DGTextstand-alone"/>
      </w:pPr>
      <w:r>
        <w:t>Acquired computer software licences are stated at historical cost less accumulated amortisation and impairment losses. The assets are amortised on a straight-line basis over their estimated useful lives. The estimated useful lives of intangible assets depend on their specific economic lifetime or legal lifetime determined by an agreement. Internally developed intangible assets are capitalised when the relevant criteria of the EU accounting rules are met and relate solely to the development phase of the asset. The costs capitalisable include all directly attributable costs necessary to create, produce, and prepare the asset to be capable of operating in the manner intended by management. Costs associated with research activities, non-capitalisable development costs and maintenance costs are recognised as expenses as incurred.</w:t>
      </w:r>
      <w:r>
        <w:tab/>
      </w:r>
    </w:p>
    <w:p w:rsidR="00F50689" w:rsidRPr="00B34731" w:rsidRDefault="005A36C4" w:rsidP="00F50689">
      <w:pPr>
        <w:pStyle w:val="HEADER3Part2"/>
      </w:pPr>
      <w:bookmarkStart w:id="40" w:name="_DMBM_1156"/>
      <w:r w:rsidRPr="00B34731">
        <w:t>Property, plant and equipment</w:t>
      </w:r>
    </w:p>
    <w:p w:rsidR="00F50689" w:rsidRDefault="005A36C4" w:rsidP="00F50689">
      <w:pPr>
        <w:pStyle w:val="DGTextstand-alone"/>
      </w:pPr>
      <w:r>
        <w:t>All property, plant and equipment are stated at historical cost less accumulated depreciation and impairment losses. Historical cost includes expenditure that is directly attributable to the acquisition, construction or transfer of the asset.</w:t>
      </w:r>
    </w:p>
    <w:p w:rsidR="00F50689" w:rsidRDefault="005A36C4" w:rsidP="00F50689">
      <w:pPr>
        <w:pStyle w:val="DGTextstand-alone"/>
      </w:pPr>
      <w:r>
        <w:t>Subsequent costs are included in the asset’s carrying amount or recognised as a separate asset, as appropriate, only when it is probable that future economic benefits or service potential associated with the item will flow to the EU and its cost can be measured reliably. Repairs and maintenance costs are charged to the statement of financial performance during the financial period in which they are incurred.</w:t>
      </w:r>
    </w:p>
    <w:p w:rsidR="00F50689" w:rsidRDefault="005A36C4" w:rsidP="00F50689">
      <w:pPr>
        <w:pStyle w:val="DGTextstand-alone"/>
      </w:pPr>
      <w:r>
        <w:t>Land and works of art are not depreciated as they are deemed to have an indefinite useful life. Assets under construction are not depreciated as these assets are not yet available for use. Depreciation on other assets is calculated using the straight-line method to allocate their cost less their residual values over their estimated useful lives, as follows: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969"/>
      </w:tblGrid>
      <w:tr w:rsidR="00E7728E">
        <w:tc>
          <w:tcPr>
            <w:tcW w:w="5778" w:type="dxa"/>
            <w:tcBorders>
              <w:top w:val="nil"/>
              <w:left w:val="nil"/>
              <w:bottom w:val="single" w:sz="4" w:space="0" w:color="016794"/>
              <w:right w:val="nil"/>
            </w:tcBorders>
            <w:shd w:val="clear" w:color="auto" w:fill="016794"/>
            <w:tcMar>
              <w:top w:w="0" w:type="dxa"/>
              <w:left w:w="0" w:type="dxa"/>
              <w:bottom w:w="0" w:type="dxa"/>
              <w:right w:w="0" w:type="dxa"/>
            </w:tcMar>
          </w:tcPr>
          <w:p w:rsidR="00F50689" w:rsidRDefault="005A36C4" w:rsidP="00F50689">
            <w:pPr>
              <w:pStyle w:val="Heading10pNormalLeft"/>
              <w:rPr>
                <w:rFonts w:eastAsia="Verdana" w:cs="Verdana"/>
                <w:lang w:bidi="en-GB"/>
              </w:rPr>
            </w:pPr>
            <w:bookmarkStart w:id="41" w:name="DOC_TBL00006_1_1"/>
            <w:bookmarkEnd w:id="41"/>
            <w:r>
              <w:rPr>
                <w:rFonts w:eastAsia="Verdana" w:cs="Verdana"/>
                <w:lang w:bidi="en-GB"/>
              </w:rPr>
              <w:t>Type of asset</w:t>
            </w:r>
          </w:p>
        </w:tc>
        <w:tc>
          <w:tcPr>
            <w:tcW w:w="3969" w:type="dxa"/>
            <w:tcBorders>
              <w:top w:val="nil"/>
              <w:left w:val="nil"/>
              <w:bottom w:val="single" w:sz="4" w:space="0" w:color="016794"/>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lang w:bidi="en-GB"/>
              </w:rPr>
            </w:pPr>
            <w:r>
              <w:rPr>
                <w:rFonts w:eastAsia="Verdana" w:cs="Verdana"/>
                <w:lang w:bidi="en-GB"/>
              </w:rPr>
              <w:t>Straight line depreciation rate</w:t>
            </w:r>
          </w:p>
        </w:tc>
      </w:tr>
      <w:tr w:rsidR="00E7728E">
        <w:tc>
          <w:tcPr>
            <w:tcW w:w="5778"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bidi="en-GB"/>
              </w:rPr>
            </w:pPr>
            <w:r>
              <w:rPr>
                <w:rFonts w:eastAsia="Verdana" w:cs="Verdana"/>
                <w:lang w:bidi="en-GB"/>
              </w:rPr>
              <w:t>Buildings</w:t>
            </w:r>
          </w:p>
        </w:tc>
        <w:tc>
          <w:tcPr>
            <w:tcW w:w="3969"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Default="005A36C4" w:rsidP="00F50689">
            <w:pPr>
              <w:pStyle w:val="Figures9pItalicCentered"/>
              <w:rPr>
                <w:rFonts w:eastAsia="Verdana" w:cs="Verdana"/>
                <w:lang w:bidi="en-GB"/>
              </w:rPr>
            </w:pPr>
            <w:r>
              <w:rPr>
                <w:rFonts w:eastAsia="Verdana" w:cs="Verdana"/>
                <w:lang w:bidi="en-GB"/>
              </w:rPr>
              <w:t>4 % to 10 %</w:t>
            </w:r>
          </w:p>
        </w:tc>
      </w:tr>
      <w:tr w:rsidR="00E7728E">
        <w:tc>
          <w:tcPr>
            <w:tcW w:w="5778"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bidi="en-GB"/>
              </w:rPr>
            </w:pPr>
            <w:r>
              <w:rPr>
                <w:rFonts w:eastAsia="Verdana" w:cs="Verdana"/>
                <w:lang w:bidi="en-GB"/>
              </w:rPr>
              <w:t>Plant and equipment</w:t>
            </w:r>
          </w:p>
        </w:tc>
        <w:tc>
          <w:tcPr>
            <w:tcW w:w="3969"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Default="005A36C4" w:rsidP="00F50689">
            <w:pPr>
              <w:pStyle w:val="Figures9pItalicCentered"/>
              <w:rPr>
                <w:rFonts w:eastAsia="Verdana" w:cs="Verdana"/>
                <w:lang w:bidi="en-GB"/>
              </w:rPr>
            </w:pPr>
            <w:r>
              <w:rPr>
                <w:rFonts w:eastAsia="Verdana" w:cs="Verdana"/>
                <w:lang w:bidi="en-GB"/>
              </w:rPr>
              <w:t>10 % to 25 %</w:t>
            </w:r>
          </w:p>
        </w:tc>
      </w:tr>
      <w:tr w:rsidR="00E7728E">
        <w:tc>
          <w:tcPr>
            <w:tcW w:w="5778"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bidi="en-GB"/>
              </w:rPr>
            </w:pPr>
            <w:r>
              <w:rPr>
                <w:rFonts w:eastAsia="Verdana" w:cs="Verdana"/>
                <w:lang w:bidi="en-GB"/>
              </w:rPr>
              <w:t>Furniture and vehicles</w:t>
            </w:r>
          </w:p>
        </w:tc>
        <w:tc>
          <w:tcPr>
            <w:tcW w:w="3969"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Default="005A36C4" w:rsidP="00F50689">
            <w:pPr>
              <w:pStyle w:val="Figures9pItalicCentered"/>
              <w:rPr>
                <w:rFonts w:eastAsia="Verdana" w:cs="Verdana"/>
                <w:lang w:bidi="en-GB"/>
              </w:rPr>
            </w:pPr>
            <w:r>
              <w:rPr>
                <w:rFonts w:eastAsia="Verdana" w:cs="Verdana"/>
                <w:lang w:bidi="en-GB"/>
              </w:rPr>
              <w:t>10 % to 25 %</w:t>
            </w:r>
          </w:p>
        </w:tc>
      </w:tr>
      <w:tr w:rsidR="00E7728E">
        <w:tc>
          <w:tcPr>
            <w:tcW w:w="5778"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bidi="en-GB"/>
              </w:rPr>
            </w:pPr>
            <w:r>
              <w:rPr>
                <w:rFonts w:eastAsia="Verdana" w:cs="Verdana"/>
                <w:lang w:bidi="en-GB"/>
              </w:rPr>
              <w:t>Fixtures and fittings</w:t>
            </w:r>
          </w:p>
        </w:tc>
        <w:tc>
          <w:tcPr>
            <w:tcW w:w="3969"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Default="005A36C4" w:rsidP="00F50689">
            <w:pPr>
              <w:pStyle w:val="Figures9pItalicCentered"/>
              <w:rPr>
                <w:rFonts w:eastAsia="Verdana" w:cs="Verdana"/>
                <w:lang w:bidi="en-GB"/>
              </w:rPr>
            </w:pPr>
            <w:r>
              <w:rPr>
                <w:rFonts w:eastAsia="Verdana" w:cs="Verdana"/>
                <w:lang w:bidi="en-GB"/>
              </w:rPr>
              <w:t>10 % to 33 %</w:t>
            </w:r>
          </w:p>
        </w:tc>
      </w:tr>
      <w:tr w:rsidR="00E7728E">
        <w:tc>
          <w:tcPr>
            <w:tcW w:w="5778"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bidi="en-GB"/>
              </w:rPr>
            </w:pPr>
            <w:r>
              <w:rPr>
                <w:rFonts w:eastAsia="Verdana" w:cs="Verdana"/>
                <w:lang w:bidi="en-GB"/>
              </w:rPr>
              <w:t>Computer hardware</w:t>
            </w:r>
          </w:p>
        </w:tc>
        <w:tc>
          <w:tcPr>
            <w:tcW w:w="3969"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Default="005A36C4" w:rsidP="00F50689">
            <w:pPr>
              <w:pStyle w:val="Figures9pItalicCentered"/>
              <w:rPr>
                <w:rFonts w:eastAsia="Verdana" w:cs="Verdana"/>
                <w:lang w:bidi="en-GB"/>
              </w:rPr>
            </w:pPr>
            <w:r>
              <w:rPr>
                <w:rFonts w:eastAsia="Verdana" w:cs="Verdana"/>
                <w:lang w:bidi="en-GB"/>
              </w:rPr>
              <w:t>25 % to 33 %</w:t>
            </w:r>
          </w:p>
        </w:tc>
      </w:tr>
      <w:tr w:rsidR="00E7728E" w:rsidTr="00F50689">
        <w:tc>
          <w:tcPr>
            <w:tcW w:w="5778"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bidi="en-GB"/>
              </w:rPr>
            </w:pPr>
            <w:r>
              <w:rPr>
                <w:rFonts w:eastAsia="Verdana" w:cs="Verdana"/>
                <w:lang w:bidi="en-GB"/>
              </w:rPr>
              <w:t>Other</w:t>
            </w:r>
          </w:p>
        </w:tc>
        <w:tc>
          <w:tcPr>
            <w:tcW w:w="3969"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Default="005A36C4" w:rsidP="00F50689">
            <w:pPr>
              <w:pStyle w:val="Figures9pItalicCentered"/>
              <w:rPr>
                <w:rFonts w:eastAsia="Verdana" w:cs="Verdana"/>
                <w:lang w:bidi="en-GB"/>
              </w:rPr>
            </w:pPr>
            <w:r>
              <w:rPr>
                <w:rFonts w:eastAsia="Verdana" w:cs="Verdana"/>
                <w:lang w:bidi="en-GB"/>
              </w:rPr>
              <w:t>10 % to 33 %</w:t>
            </w:r>
          </w:p>
        </w:tc>
      </w:tr>
      <w:tr w:rsidR="00E7728E">
        <w:tc>
          <w:tcPr>
            <w:tcW w:w="5778" w:type="dxa"/>
            <w:tcBorders>
              <w:top w:val="single" w:sz="4" w:space="0" w:color="016794"/>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lang w:bidi="en-GB"/>
              </w:rPr>
            </w:pPr>
          </w:p>
        </w:tc>
        <w:tc>
          <w:tcPr>
            <w:tcW w:w="3969" w:type="dxa"/>
            <w:tcBorders>
              <w:top w:val="single" w:sz="4" w:space="0" w:color="016794"/>
              <w:left w:val="nil"/>
              <w:bottom w:val="nil"/>
              <w:right w:val="nil"/>
            </w:tcBorders>
            <w:shd w:val="clear" w:color="auto" w:fill="auto"/>
            <w:tcMar>
              <w:top w:w="0" w:type="dxa"/>
              <w:left w:w="0" w:type="dxa"/>
              <w:bottom w:w="0" w:type="dxa"/>
              <w:right w:w="0" w:type="dxa"/>
            </w:tcMar>
          </w:tcPr>
          <w:p w:rsidR="00F50689" w:rsidRDefault="00F50689" w:rsidP="00F50689">
            <w:pPr>
              <w:pStyle w:val="Figures9pItalicCentered"/>
              <w:rPr>
                <w:rFonts w:eastAsia="Verdana" w:cs="Verdana"/>
                <w:lang w:bidi="en-GB"/>
              </w:rPr>
            </w:pPr>
          </w:p>
        </w:tc>
      </w:tr>
    </w:tbl>
    <w:p w:rsidR="00F50689" w:rsidRDefault="005A36C4" w:rsidP="00F50689">
      <w:pPr>
        <w:pStyle w:val="DGTextstand-alone"/>
      </w:pPr>
      <w:r>
        <w:t>Gains or losses on disposals are determined by comparing proceeds less selling expenses with the carrying amount of the disposed asset and are included in the statement of financial performance.</w:t>
      </w:r>
    </w:p>
    <w:bookmarkEnd w:id="40"/>
    <w:p w:rsidR="00F50689" w:rsidRPr="00190313" w:rsidRDefault="005A36C4" w:rsidP="00F50689">
      <w:pPr>
        <w:pStyle w:val="HEADER5"/>
      </w:pPr>
      <w:r w:rsidRPr="00190313">
        <w:t>Leases</w:t>
      </w:r>
    </w:p>
    <w:p w:rsidR="00F50689" w:rsidRDefault="005A36C4" w:rsidP="00F50689">
      <w:pPr>
        <w:pStyle w:val="DGTextstand-alone"/>
      </w:pPr>
      <w:r>
        <w:t>Leases of tangible assets, where the EU has substantially all the risks and rewards of ownership, are classified as finance leases. Finance leases are capitalised at the inception of the lease at the lower of the fair value of the leased asset and the present value of the minimum lease payments. Each lease payment is allocated between the liability and finance charges so as to achieve a constant rate on the finance balance outstanding. The rental obligations, net of finance charges, are included in financial liabilities (non-current and current). The interest element of the finance cost is charged to the statement of financial performance over the lease period so as to produce a constant periodic interest rate on the remaining balance of the liability for each period. The assets held under finance leases are depreciated over the shorter of the assets' useful life and the lease term.</w:t>
      </w:r>
    </w:p>
    <w:p w:rsidR="00F50689" w:rsidRDefault="005A36C4" w:rsidP="00F50689">
      <w:pPr>
        <w:pStyle w:val="DGTextstand-alone"/>
      </w:pPr>
      <w:r>
        <w:t>Leases where the lessor retains a significant portion of the risks and rewards inherent to ownership are classified as operating leases. Payments made under operating leases are charged to the statement of financial performance on a straight-line basis over the period of the lease.</w:t>
      </w:r>
    </w:p>
    <w:p w:rsidR="00F50689" w:rsidRPr="00B34731" w:rsidRDefault="005A36C4" w:rsidP="00F50689">
      <w:pPr>
        <w:pStyle w:val="HEADER3Part2"/>
      </w:pPr>
      <w:bookmarkStart w:id="42" w:name="_DMBM_1158"/>
      <w:r w:rsidRPr="00B34731">
        <w:t>Impairment of non-financial assets</w:t>
      </w:r>
    </w:p>
    <w:p w:rsidR="00F50689" w:rsidRDefault="005A36C4" w:rsidP="00F50689">
      <w:pPr>
        <w:pStyle w:val="DGTextstand-alone"/>
      </w:pPr>
      <w:r>
        <w:t>Assets that have an indefinite useful life are not subject to amortisation/depreciation and are tested annually for impairment. Assets that are subject to amortisation/depreciation are reviewed for impairment whenever events or changes in circumstances indicate that the carrying amount may not be recoverable. An impairment loss is recognised for the amount by which the asset’s carrying amount exceeds its recoverable (service) amount. The recoverable (service) amount is the higher of an asset’s fair value less costs to sell and its value in use.</w:t>
      </w:r>
    </w:p>
    <w:p w:rsidR="00F50689" w:rsidRDefault="005A36C4" w:rsidP="00F50689">
      <w:pPr>
        <w:pStyle w:val="DGTextstand-alone"/>
      </w:pPr>
      <w:r w:rsidRPr="00E94FE9">
        <w:t xml:space="preserve">Intangible assets and property, plant and equipment residual values and useful lives are reviewed, and adjusted if appropriate, at least once per year. An asset’s carrying amount is written down immediately to its recoverable </w:t>
      </w:r>
      <w:r>
        <w:t xml:space="preserve">(service) </w:t>
      </w:r>
      <w:r w:rsidRPr="00E94FE9">
        <w:t xml:space="preserve">amount if the asset’s carrying amount is greater than its estimated recoverable </w:t>
      </w:r>
      <w:r>
        <w:t xml:space="preserve">(service) </w:t>
      </w:r>
      <w:r w:rsidRPr="00E94FE9">
        <w:t>amount. If the reasons for impairments recognised in previous years no longer apply, the impairment losses are reversed accordingly.</w:t>
      </w:r>
    </w:p>
    <w:bookmarkEnd w:id="42"/>
    <w:p w:rsidR="00F50689" w:rsidRPr="00B34731" w:rsidRDefault="005A36C4" w:rsidP="00F50689">
      <w:pPr>
        <w:pStyle w:val="HEADER3Part2"/>
      </w:pPr>
      <w:r w:rsidRPr="00B34731">
        <w:t>Investments accounted for using the equity method</w:t>
      </w:r>
    </w:p>
    <w:p w:rsidR="00F50689" w:rsidRPr="00190313" w:rsidRDefault="005A36C4" w:rsidP="00F50689">
      <w:pPr>
        <w:pStyle w:val="HEADER5"/>
      </w:pPr>
      <w:r w:rsidRPr="00190313">
        <w:t>Participations in associates and joint ventures</w:t>
      </w:r>
    </w:p>
    <w:p w:rsidR="00F50689" w:rsidRDefault="005A36C4" w:rsidP="00F50689">
      <w:pPr>
        <w:pStyle w:val="DGTextstand-alone"/>
      </w:pPr>
      <w:r>
        <w:t>Participations in associates and joint ventures are accounted for using the equity method and are initially recognised at cost. The EU's interest in the results of its associates and joint ventures is recognised in the statement of financial performance, and its share in the movements in reserves is recognised in the reserves. The initial cost together with all movements (further contributions, share of economic results and reserve movements, impairments, and dividends) give the book value of the associate or joint venture in the financial statements at the balance sheet date. Distributions received from an associate or joint venture reduce the carrying amount of the asset.</w:t>
      </w:r>
    </w:p>
    <w:p w:rsidR="00F50689" w:rsidRDefault="005A36C4" w:rsidP="00F50689">
      <w:pPr>
        <w:pStyle w:val="DGTextstand-alone"/>
      </w:pPr>
      <w:r>
        <w:t xml:space="preserve">If the EU's share of deficits of a joint venture equals or exceeds its interest in the joint venture, the EU discontinues recognising its share of further losses ("unrecognised losses"). The unrecognised share of losses is the result of a technical accounting exercise needed when using the equity method of accounting. These unrecognised losses do not represent losses for the EU and are due to the fact that the expense recognition normally takes place before the capital increase for the contribution in kind of the venturers other than the EU. </w:t>
      </w:r>
    </w:p>
    <w:p w:rsidR="00F50689" w:rsidRDefault="005A36C4" w:rsidP="00F50689">
      <w:pPr>
        <w:pStyle w:val="DGTextstand-alone"/>
      </w:pPr>
      <w:r>
        <w:t>Unrealised gains and losses on transactions between the EU and its associate or joint ventures are not material and have therefore not been eliminated</w:t>
      </w:r>
      <w:r w:rsidRPr="00966B2B">
        <w:t>. The accounting policies of associates or joint ventures may differ from those adopted by the EU for like transactions and events in similar circumstances.</w:t>
      </w:r>
    </w:p>
    <w:p w:rsidR="00F50689" w:rsidRDefault="005A36C4" w:rsidP="00F50689">
      <w:pPr>
        <w:pStyle w:val="DGTextstand-alone"/>
      </w:pPr>
      <w:r>
        <w:t xml:space="preserve">If there are indications of impairment, a write-down to the lower recoverable amount is necessary. The recoverable amount is determined as described under </w:t>
      </w:r>
      <w:r w:rsidRPr="00966B2B">
        <w:rPr>
          <w:b/>
        </w:rPr>
        <w:t>1.5.3</w:t>
      </w:r>
      <w:r w:rsidRPr="0002508E">
        <w:t>.</w:t>
      </w:r>
      <w:r>
        <w:t xml:space="preserve"> If the reason for impairment ceases to apply at a later date, the impairment loss is reversed to the carrying amount that would have been determined had no impairment loss been recognised.</w:t>
      </w:r>
    </w:p>
    <w:p w:rsidR="00F50689" w:rsidRDefault="005A36C4" w:rsidP="00F50689">
      <w:pPr>
        <w:pStyle w:val="DGTextstand-alone"/>
      </w:pPr>
      <w:r>
        <w:t>In cases where the EU holds 20 % or more of an investment capital fund, it does not seek to exert significant influence. Such funds are therefore treated as financial instruments and categorised as available for sale financial assets.</w:t>
      </w:r>
    </w:p>
    <w:p w:rsidR="00F50689" w:rsidRPr="00B34731" w:rsidRDefault="005A36C4" w:rsidP="00F50689">
      <w:pPr>
        <w:pStyle w:val="HEADER3Part2"/>
      </w:pPr>
      <w:bookmarkStart w:id="43" w:name="_DMBM_1160"/>
      <w:r w:rsidRPr="00B34731">
        <w:t>Financial assets</w:t>
      </w:r>
    </w:p>
    <w:p w:rsidR="00F50689" w:rsidRPr="00190313" w:rsidRDefault="005A36C4" w:rsidP="00F50689">
      <w:pPr>
        <w:pStyle w:val="HEADER5"/>
      </w:pPr>
      <w:r w:rsidRPr="00190313">
        <w:t>Classification</w:t>
      </w:r>
    </w:p>
    <w:p w:rsidR="00F50689" w:rsidRDefault="005A36C4" w:rsidP="00F50689">
      <w:pPr>
        <w:pStyle w:val="DGTextstand-alone"/>
      </w:pPr>
      <w:r>
        <w:t>The EU classifies their financial assets in the following categories: financial assets at fair value through profit or loss; loans and receivables; held-to-maturity investments; and available for sale financial assets. The classification of the financial instruments is determined at initial recognition and re-evaluated at each balance sheet date.</w:t>
      </w:r>
    </w:p>
    <w:p w:rsidR="00F50689" w:rsidRPr="0002508E" w:rsidRDefault="005A36C4" w:rsidP="00F50689">
      <w:pPr>
        <w:pStyle w:val="TextSubtitlenumberingRCItalic"/>
      </w:pPr>
      <w:r w:rsidRPr="0002508E">
        <w:t>Financial assets at fair value through profit or loss</w:t>
      </w:r>
    </w:p>
    <w:p w:rsidR="00F50689" w:rsidRDefault="005A36C4" w:rsidP="00F50689">
      <w:pPr>
        <w:pStyle w:val="DGTextstand-alone"/>
      </w:pPr>
      <w:r>
        <w:t>A financial asset is classified in this category if acquired principally for the purpose of selling in the short term or if so designated by the EU. Derivatives are also categorised in this category. Assets in this category are classified as current assets if they are expected to be realised within 12 months of the balance sheet date. During this financial year, the EU did not hold any financial assets in this category.</w:t>
      </w:r>
    </w:p>
    <w:p w:rsidR="00F50689" w:rsidRDefault="005A36C4" w:rsidP="00F50689">
      <w:pPr>
        <w:pStyle w:val="TextSubtitlenumberingRCItalic"/>
      </w:pPr>
      <w:r>
        <w:t>Loans and receivables</w:t>
      </w:r>
    </w:p>
    <w:p w:rsidR="00F50689" w:rsidRDefault="005A36C4" w:rsidP="00F50689">
      <w:pPr>
        <w:pStyle w:val="DGTextstand-alone"/>
      </w:pPr>
      <w:r>
        <w:t>Loans and receivables are non-derivative financial assets with fixed or determinable payments that are not quoted in an active market. They arise when the EU provides money, goods or services directly to a debtor with no intention of trading the receivable. They are included in non-current assets, except for maturities within 12 months of the balance sheet date even if the maturity date of the entire loan dates more than 12 months from the balance sheet date.</w:t>
      </w:r>
    </w:p>
    <w:p w:rsidR="00F50689" w:rsidRDefault="005A36C4" w:rsidP="00F50689">
      <w:pPr>
        <w:pStyle w:val="TextSubtitlenumberingRCItalic"/>
      </w:pPr>
      <w:r>
        <w:t>Held-to-maturity investments</w:t>
      </w:r>
    </w:p>
    <w:p w:rsidR="00F50689" w:rsidRDefault="005A36C4" w:rsidP="00F50689">
      <w:pPr>
        <w:pStyle w:val="DGTextstand-alone"/>
      </w:pPr>
      <w:r>
        <w:t xml:space="preserve">Held-to-maturity investments are non-derivative financial assets with fixed or determinable payments and fixed maturities that the EU has the positive intention and ability to hold to maturity. During this financial year, the EU did not hold any investments in this category. </w:t>
      </w:r>
    </w:p>
    <w:p w:rsidR="00F50689" w:rsidRPr="00D12634" w:rsidRDefault="005A36C4" w:rsidP="00F50689">
      <w:pPr>
        <w:pStyle w:val="TextSubtitlenumberingRCItalic"/>
      </w:pPr>
      <w:r w:rsidRPr="00D12634">
        <w:t>Available for sale financial assets</w:t>
      </w:r>
    </w:p>
    <w:p w:rsidR="00F50689" w:rsidRDefault="005A36C4" w:rsidP="00F50689">
      <w:pPr>
        <w:pStyle w:val="DGTextstand-alone"/>
      </w:pPr>
      <w:r>
        <w:t>Available for sale financial assets are non-derivatives that are either designated in this category or not classified in any of the other categories. They are classified as either current or non-current assets, depending on the time period in which the EU expects to dispose of them which is usually the remaining maturity at the balance sheet date. Investments in unconsolidated entities and other equity investments (e.g. Risk Capital Operations) that are not accounted for using the equity method are also classified as available for sale financial assets.</w:t>
      </w:r>
    </w:p>
    <w:p w:rsidR="00F50689" w:rsidRPr="00190313" w:rsidRDefault="005A36C4" w:rsidP="00F50689">
      <w:pPr>
        <w:pStyle w:val="HEADER5"/>
      </w:pPr>
      <w:r w:rsidRPr="00190313">
        <w:t>Initial recognition and measurement</w:t>
      </w:r>
    </w:p>
    <w:p w:rsidR="00F50689" w:rsidRDefault="005A36C4" w:rsidP="00F50689">
      <w:pPr>
        <w:pStyle w:val="DGTextstand-alone"/>
      </w:pPr>
      <w:r>
        <w:t>Purchases and sales of financial assets at fair value through profit or loss, held-to-maturity and available for sale are recognised on trade-date – the date on which the EU commits to purchase or sell the asset. Loans are recognised when cash is advanced to the borrowers. Financial instruments are initially recognised at fair value. For all financial assets not carried at fair value through profit or loss transactions costs are added to the fair value at initial recognition. Financial assets carried at fair value through profit or loss are initially recognised at fair value and transaction costs are expensed in the statement of financial performance.</w:t>
      </w:r>
    </w:p>
    <w:p w:rsidR="00F50689" w:rsidRDefault="005A36C4" w:rsidP="00F50689">
      <w:pPr>
        <w:pStyle w:val="DGTextstand-alone"/>
      </w:pPr>
      <w:r>
        <w:t>The fair value of a financial asset on initial recognition is normally the transaction price (i.e. the fair value of the consideration received). However, when a long-term loan that carries no interest or an interest below market conditions is granted, its fair value can be estimated as the present value of all future cash receipts discounted using the prevailing market rate of interest for a similar instrument with a similar credit rating.</w:t>
      </w:r>
    </w:p>
    <w:p w:rsidR="00F50689" w:rsidRDefault="005A36C4" w:rsidP="00F50689">
      <w:pPr>
        <w:pStyle w:val="DGTextstand-alone"/>
      </w:pPr>
      <w:r>
        <w:t>Loans granted are measured at their nominal amount, which is considered to be the fair value of the loan. The reasoning for this is as follows:</w:t>
      </w:r>
    </w:p>
    <w:p w:rsidR="00F50689" w:rsidRDefault="005A36C4" w:rsidP="00F50689">
      <w:pPr>
        <w:pStyle w:val="Textstand-alonebulletpointJustified"/>
      </w:pPr>
      <w:r w:rsidRPr="007C0DE0">
        <w:t>The</w:t>
      </w:r>
      <w:r>
        <w:t xml:space="preserve"> “market environment” for EU lending is very specific and different from the capital market used to issue commercial or government bonds. As lenders in these markets have the opportunity to choose alternative investments, the opportunity possibility is factored into market prices. However, this opportunity for alternative investments does not exist for the EU which is not allowed to invest money on the capital markets; it only borrows funds for the purpose of lending at the same rate. This means that there is no alternative lending or investment option available to the EU for the sums borrowed. Thus, there is no opportunity cost and therefore no basis of comparison with market rates. In fact, the EU lending operation itself represents the market. Essentially, since the opportunity cost "option" is not applicable, the market price does not fairly reflect the substance of the EU lending transactions. Therefore, it is not appropriate to determine the fair value of EU lending with reference to commercial or government bonds.</w:t>
      </w:r>
    </w:p>
    <w:p w:rsidR="00F50689" w:rsidRDefault="00F50689" w:rsidP="00F50689">
      <w:pPr>
        <w:pStyle w:val="Textstand-alonebulletpointJustified"/>
        <w:numPr>
          <w:ilvl w:val="0"/>
          <w:numId w:val="0"/>
        </w:numPr>
        <w:ind w:left="720"/>
      </w:pPr>
    </w:p>
    <w:p w:rsidR="00F50689" w:rsidRDefault="005A36C4" w:rsidP="00F50689">
      <w:pPr>
        <w:pStyle w:val="Textstand-alonebulletpointJustified"/>
      </w:pPr>
      <w:r>
        <w:t>Furthermore as there is no active market or similar transactions to compare with, the interest rate to be used by the EU for fair valuing its lending operations under the European Financial Stability Mechanism (EFSM), Balance of Payment (BOP) and other such loans, should be the interest rate charged.</w:t>
      </w:r>
    </w:p>
    <w:p w:rsidR="00F50689" w:rsidRDefault="00F50689" w:rsidP="00F50689">
      <w:pPr>
        <w:pStyle w:val="Textstand-alonebulletpointJustified"/>
        <w:numPr>
          <w:ilvl w:val="0"/>
          <w:numId w:val="0"/>
        </w:numPr>
        <w:ind w:left="1080"/>
      </w:pPr>
    </w:p>
    <w:p w:rsidR="00F50689" w:rsidRDefault="005A36C4" w:rsidP="00F50689">
      <w:pPr>
        <w:pStyle w:val="Textstand-alonebulletpointJustified"/>
      </w:pPr>
      <w:r>
        <w:t>In addition, for these loans, there are compensating effects between loans and borrowings due to their back-to-back character. Thus, the effective interest for the loan equals the effective interest rate for the related borrowings. The transaction costs incurred by the EU and then recharged to the beneficiary of the loan are directly recognised in the statement of financial performance.</w:t>
      </w:r>
    </w:p>
    <w:p w:rsidR="00F50689" w:rsidRDefault="005A36C4" w:rsidP="00F50689">
      <w:pPr>
        <w:pStyle w:val="DGTextstand-alone"/>
      </w:pPr>
      <w:r>
        <w:t>Financial instruments are derecognised when the rights to receive cashflows from the investments have expired or have been transferred and the EU has transferred substantially all risks and rewards of ownership.</w:t>
      </w:r>
    </w:p>
    <w:p w:rsidR="00F50689" w:rsidRPr="00190313" w:rsidRDefault="005A36C4" w:rsidP="00116387">
      <w:pPr>
        <w:pStyle w:val="HEADER5"/>
        <w:spacing w:after="120"/>
      </w:pPr>
      <w:r w:rsidRPr="00190313">
        <w:t>Subsequent measurement</w:t>
      </w:r>
    </w:p>
    <w:p w:rsidR="00F50689" w:rsidRDefault="005A36C4" w:rsidP="00F50689">
      <w:pPr>
        <w:pStyle w:val="Textstand-alonenumberingRCIndentJustified"/>
        <w:jc w:val="both"/>
      </w:pPr>
      <w:r>
        <w:t>Financial assets at fair value through profit or loss are subsequently carried at fair value. Gains and losses arising from changes in the fair value of the ‘financial instruments at fair value through profit or loss’ category are included in the statement of financial performance in the period in which they arise.</w:t>
      </w:r>
    </w:p>
    <w:p w:rsidR="00F50689" w:rsidRDefault="005A36C4" w:rsidP="00F50689">
      <w:pPr>
        <w:pStyle w:val="Textstand-alonenumberingRCIndentJustified"/>
        <w:jc w:val="both"/>
      </w:pPr>
      <w:r>
        <w:t>Loans and receivables and held-to-maturity investments are carried at amortised cost using the effective interest method. In the case of loans granted on borrowed funds, the same effective interest rate is applied to both the loans and borrowings since these loans have the characteristics of 'back-to-back operations' and the differences between the loan and the borrowing conditions and amounts are not material. The transaction costs incurred by the EU and then recharged to the beneficiary of the loan are directly recognised in the statement of financial performance.</w:t>
      </w:r>
    </w:p>
    <w:p w:rsidR="00F50689" w:rsidRDefault="005A36C4" w:rsidP="00F50689">
      <w:pPr>
        <w:pStyle w:val="Textstand-alonenumberingRCIndentJustified"/>
      </w:pPr>
      <w:r>
        <w:t>Held to maturity – the EU currently holds no held to maturity investments.</w:t>
      </w:r>
    </w:p>
    <w:p w:rsidR="00F50689" w:rsidRDefault="005A36C4" w:rsidP="00F50689">
      <w:pPr>
        <w:pStyle w:val="Textstand-alonenumberingRCIndentJustified"/>
        <w:jc w:val="both"/>
      </w:pPr>
      <w:r>
        <w:t>Available for sale financial assets are subsequently carried at fair value. Gains and losses arising from changes in the fair value of available for sale financial assets are recognised in the fair value reserve. When assets classified as available for sale financial assets are derecognised or impaired, the cumulative fair value adjustments previously recognised in the fair value reserve are recognised in the statement of financial performance. Interest on available for sale financial assets calculated using the effective interest method is recognised in the statement of financial performance. Dividends on available for sale equity instruments are recognised when the EU's right to receive payment is established.</w:t>
      </w:r>
    </w:p>
    <w:p w:rsidR="00F50689" w:rsidRDefault="005A36C4" w:rsidP="00F50689">
      <w:pPr>
        <w:pStyle w:val="DGTextstand-alone"/>
      </w:pPr>
      <w:r>
        <w:t xml:space="preserve">The fair values of quoted investments in active markets are based on current bid prices. If the market for a financial asset is not active (and for unlisted securities), the EU establishes a fair value by using valuation techniques. These include the use of recent arm’s length transactions, reference to other instruments that are substantially the same, discounted cashflow analysis, option pricing models and other valuation techniques commonly used by market participants. </w:t>
      </w:r>
    </w:p>
    <w:p w:rsidR="00F50689" w:rsidRDefault="005A36C4" w:rsidP="00F50689">
      <w:pPr>
        <w:pStyle w:val="DGTextstand-alone"/>
      </w:pPr>
      <w:r>
        <w:t>In cases where the fair value of investments in equity instruments that do not have a quoted market price in an active market cannot be reliably measured, these investments are valued at cost less impairment losses.</w:t>
      </w:r>
    </w:p>
    <w:p w:rsidR="00F50689" w:rsidRDefault="00F50689" w:rsidP="00F50689">
      <w:pPr>
        <w:pStyle w:val="DGTextstand-alone"/>
      </w:pPr>
    </w:p>
    <w:p w:rsidR="00F50689" w:rsidRPr="00190313" w:rsidRDefault="005A36C4" w:rsidP="00F50689">
      <w:pPr>
        <w:pStyle w:val="HEADER5"/>
      </w:pPr>
      <w:r w:rsidRPr="00190313">
        <w:t>Impairment of financial assets</w:t>
      </w:r>
    </w:p>
    <w:p w:rsidR="00F50689" w:rsidRDefault="005A36C4" w:rsidP="00F50689">
      <w:pPr>
        <w:pStyle w:val="DGTextstand-alone"/>
      </w:pPr>
      <w:r>
        <w:t>The EU assesses at each balance sheet date whether there is objective evidence that a financial asset is impaired. A financial asset is impaired and impairment losses are incurred if, and only if, there is objective evidence of impairment as a result of one or more events that occurred after the initial recognition of the asset and that loss event (or events) has an impact on the estimated future cashflows of the financial asset that can be reliably estimated.</w:t>
      </w:r>
    </w:p>
    <w:p w:rsidR="00F50689" w:rsidRDefault="005A36C4" w:rsidP="00F50689">
      <w:pPr>
        <w:pStyle w:val="TextSubtitleItalicnumberinglettera"/>
      </w:pPr>
      <w:r>
        <w:t xml:space="preserve">Assets </w:t>
      </w:r>
      <w:r w:rsidRPr="007C0DE0">
        <w:t>carried</w:t>
      </w:r>
      <w:r>
        <w:t xml:space="preserve"> at amortised cost</w:t>
      </w:r>
    </w:p>
    <w:p w:rsidR="00F50689" w:rsidRDefault="005A36C4" w:rsidP="00F50689">
      <w:pPr>
        <w:pStyle w:val="DGTextstand-alone"/>
      </w:pPr>
      <w:r>
        <w:t>If there is objective evidence that an impairment loss on loans and receivables or held-to-maturity investments carried at amortised cost has been incurred, the amount of the loss is measured as the difference between the asset’s carrying amount and the present value of estimated future cashflows (excluding future credit losses that have not been incurred) discounted at the financial asset’s original effective interest rate. The carrying amount of the asset is reduced and the amount of the loss is recognised in the statement of financial performance. If a loan or held-to-maturity investment has a variable interest rate, the discount rate for measuring any impairment loss is the current effective interest rate determined under the contract. The calculation of the present value of the estimated future cashflows of a collateralised financial asset reflects the cashflows that may result from foreclosure less costs for obtaining and selling the collateral, whether or not foreclosure is probable. If, in a subsequent period, the amount of the impairment loss decreases and the decrease can be related objectively to an event occurring after the impairment was recognised, the previously recognised impairment loss is reversed through the statement of financial performance.</w:t>
      </w:r>
    </w:p>
    <w:p w:rsidR="00F50689" w:rsidRDefault="005A36C4" w:rsidP="00F50689">
      <w:pPr>
        <w:pStyle w:val="TextSubtitleItalicnumberinglettera"/>
      </w:pPr>
      <w:r>
        <w:t>Assets carried at fair value</w:t>
      </w:r>
    </w:p>
    <w:p w:rsidR="00F50689" w:rsidRDefault="005A36C4" w:rsidP="00F50689">
      <w:pPr>
        <w:pStyle w:val="DGTextstand-alone"/>
      </w:pPr>
      <w:r>
        <w:t>In the case of equity investments classified as available for sale financial assets, a significant or permanent (prolonged) decline in the fair value of the security below its cost is considered in determining whether the securities are impaired. If any such evidence exists for available for sale financial assets, the cumulative loss – measured as the difference between the acquisition cost and the current fair value, less any impairment loss on that financial asset previously recognised in the statement of financial performance – is removed from reserves and recognised in the statement of financial performance. Impairment losses recognised in the statement of financial performance on equity instruments are not reversed through the statement of financial performance. If, in a subsequent period, the fair value of a debt instrument classified as available for sale financial asset increases and the increase can be objectively related to an event occurring after the impairment loss was recognised, the impairment loss is reversed through the statement of financial performance.</w:t>
      </w:r>
      <w:bookmarkEnd w:id="43"/>
    </w:p>
    <w:p w:rsidR="00F50689" w:rsidRPr="00190313" w:rsidRDefault="005A36C4" w:rsidP="00F50689">
      <w:pPr>
        <w:pStyle w:val="HEADER5"/>
      </w:pPr>
      <w:r w:rsidRPr="00190313">
        <w:t>Investments in venture capital funds</w:t>
      </w:r>
    </w:p>
    <w:p w:rsidR="00F50689" w:rsidRDefault="005A36C4" w:rsidP="00F50689">
      <w:pPr>
        <w:pStyle w:val="DGTextstand-alone"/>
      </w:pPr>
      <w:r>
        <w:t>Investments in Venture Capital Funds are classified as available for sale financial assets and, accordingly, are carried at fair value with gains and losses arising from changes in the fair value (including translation differences) recognised in the fair value reserve. Since they do not have a quoted market price in an active market, investments in Venture Capital Funds are valued on a line-by-line basis at the lower of cost or attributable net asset value. Unrealised gains resulting from the fair value measurement are recognised through reserves and unrealised losses are assessed for impairment so as to determine whether they are recognised as impairment losses in the statement of financial performance or as changes in the fair value reserve.</w:t>
      </w:r>
    </w:p>
    <w:p w:rsidR="00F50689" w:rsidRPr="00B34731" w:rsidRDefault="005A36C4" w:rsidP="00F50689">
      <w:pPr>
        <w:pStyle w:val="HEADER3Part2"/>
      </w:pPr>
      <w:r w:rsidRPr="00B34731">
        <w:t>Inventories</w:t>
      </w:r>
    </w:p>
    <w:p w:rsidR="00F50689" w:rsidRDefault="005A36C4" w:rsidP="00F50689">
      <w:pPr>
        <w:pStyle w:val="DGTextstand-alone"/>
      </w:pPr>
      <w:r>
        <w:t>Inventories are stated at the lower of cost and net realisable value. Cost is determined using the first-in, first-out (FIFO) method. The cost of finished goods and work in progress comprises raw materials, direct labour, other directly attributable costs and related production overheads (based on normal operating capacity). Net realisable value is the estimated selling price in the ordinary course of business, less the costs of completion and selling expenses. When inventories are held for distribution at no charge or for a nominal charge, they are measured at the lower of cost and current replacement cost. Current replacement cost is the cost the EU would incur to acquire the asset on the reporting date.</w:t>
      </w:r>
    </w:p>
    <w:p w:rsidR="00B82250" w:rsidRDefault="00B82250">
      <w:pPr>
        <w:rPr>
          <w:rFonts w:ascii="Verdana" w:hAnsi="Verdana"/>
          <w:color w:val="016794"/>
          <w:sz w:val="20"/>
          <w:szCs w:val="20"/>
        </w:rPr>
      </w:pPr>
      <w:bookmarkStart w:id="44" w:name="_DMBM_1162"/>
      <w:r>
        <w:br w:type="page"/>
      </w:r>
    </w:p>
    <w:p w:rsidR="00F50689" w:rsidRPr="00B34731" w:rsidRDefault="005A36C4" w:rsidP="00F50689">
      <w:pPr>
        <w:pStyle w:val="HEADER3Part2"/>
      </w:pPr>
      <w:r w:rsidRPr="00B34731">
        <w:t>Pre-financing amounts</w:t>
      </w:r>
    </w:p>
    <w:p w:rsidR="00F50689" w:rsidRDefault="005A36C4" w:rsidP="00F50689">
      <w:pPr>
        <w:pStyle w:val="DGTextstand-alone"/>
      </w:pPr>
      <w:r>
        <w:t>Pre-financing is a payment intended to provide the beneficiary with a cash advance, i.e. a float. It may be split into a number of payments over a period defined in the particular pre-financing agreement. The float or advance is repaid or used for the purpose for which it was provided during the period defined in the agreement. If the beneficiary does not incur eligible expenditure, he has the obligation to return the pre-financing advance to the EU. The amount of the pre-financing may be reduced (wholly or partially) by the acceptance of eligible costs (which are recognised as expenses) and amounts returned.</w:t>
      </w:r>
    </w:p>
    <w:p w:rsidR="00F50689" w:rsidRDefault="005A36C4" w:rsidP="00F50689">
      <w:pPr>
        <w:pStyle w:val="DGTextstand-alone"/>
      </w:pPr>
      <w:r>
        <w:t>At year-end, outstanding pre-financing amounts are valued at the original amount(s) paid less: amounts returned, eligible amounts expensed, estimated eligible amounts not yet cleared at year-end, and value reductions.</w:t>
      </w:r>
    </w:p>
    <w:p w:rsidR="00F50689" w:rsidRDefault="005A36C4" w:rsidP="00F50689">
      <w:pPr>
        <w:pStyle w:val="DGTextstand-alone"/>
      </w:pPr>
      <w:r>
        <w:t>Amounts defined in the Financial Regulation as "financial instruments under shared management" are from an accounting point of view classified as pre-financing amounts. These pre-financing amounts are valued at the original amounts paid to Member States less an estimation of amounts utilised.</w:t>
      </w:r>
    </w:p>
    <w:p w:rsidR="00F50689" w:rsidRDefault="005A36C4" w:rsidP="00F50689">
      <w:pPr>
        <w:pStyle w:val="DGTextstand-alone"/>
      </w:pPr>
      <w:r>
        <w:t>Interest on pre-financing is recognised as it is earned in accordance with the provisions of the relevant agreement. An estimate of the accrued interest revenue, based on the most reliable information, is made at the year-end and included in the balance sheet.</w:t>
      </w:r>
    </w:p>
    <w:bookmarkEnd w:id="44"/>
    <w:p w:rsidR="00F50689" w:rsidRPr="00B34731" w:rsidRDefault="005A36C4" w:rsidP="00F50689">
      <w:pPr>
        <w:pStyle w:val="HEADER3Part2"/>
      </w:pPr>
      <w:r w:rsidRPr="00B34731">
        <w:t xml:space="preserve">Exchange receivables and non-exchange </w:t>
      </w:r>
      <w:proofErr w:type="spellStart"/>
      <w:r w:rsidRPr="00B34731">
        <w:t>recoverables</w:t>
      </w:r>
      <w:proofErr w:type="spellEnd"/>
    </w:p>
    <w:p w:rsidR="00F50689" w:rsidRDefault="005A36C4" w:rsidP="00F50689">
      <w:pPr>
        <w:pStyle w:val="DGTextstand-alone"/>
      </w:pPr>
      <w:r>
        <w:t>As the EU accounting rules require a separate presentation of exchange and non-exchange transactions, for the purpose of drawing up the accounts, receivables are defined as stemming from exchange transactions and recoverables are defined as stemming from non-exchange transactions that do not arise out of a contract (sovereign recoverables).</w:t>
      </w:r>
    </w:p>
    <w:p w:rsidR="00F50689" w:rsidRDefault="005A36C4" w:rsidP="00F50689">
      <w:pPr>
        <w:pStyle w:val="DGTextstand-alone"/>
      </w:pPr>
      <w:r>
        <w:t xml:space="preserve">Receivables from exchange transactions meet the definition of financial instruments and are thus classified as loans and receivables and measured accordingly (see </w:t>
      </w:r>
      <w:r w:rsidRPr="00966B2B">
        <w:rPr>
          <w:b/>
        </w:rPr>
        <w:t>1.5.5</w:t>
      </w:r>
      <w:r>
        <w:t xml:space="preserve"> above). The financial instruments notes disclosures concerning receivables from exchange transactions include accrued income and deferred charges from exchange transactions as they are not material.</w:t>
      </w:r>
    </w:p>
    <w:p w:rsidR="00F50689" w:rsidRDefault="005A36C4" w:rsidP="00F50689">
      <w:pPr>
        <w:pStyle w:val="DGTextstand-alone"/>
      </w:pPr>
      <w:r>
        <w:t xml:space="preserve">Recoverables from non-exchange transactions are carried at original amount (adjusted for interest and penalties) less write-down for impairment. A write-down for impairment of recoverables from </w:t>
      </w:r>
      <w:r>
        <w:br/>
        <w:t xml:space="preserve">non-exchange transactions is established when there is objective evidence that the EU will not be able to collect all amounts due according to the original terms of recoverables from non-exchange transactions. The amount of the write-down is the difference between the asset’s carrying amount and the recoverable amount. The amount of the write-down is recognised in the statement of financial performance. A general write-down, based on past experience, is also made for outstanding recovery orders not already subject to a specific write-down. See note </w:t>
      </w:r>
      <w:r w:rsidRPr="00966B2B">
        <w:rPr>
          <w:b/>
        </w:rPr>
        <w:t>1.5.14</w:t>
      </w:r>
      <w:r>
        <w:t xml:space="preserve"> below concerning the treatment of accrued income at </w:t>
      </w:r>
      <w:r>
        <w:br/>
        <w:t>year-end. Amounts displayed and disclosed as recoverables from non-exchanges transactions are not financial instruments as they do not arise from a contract. However, in the notes to the financial statements recoverables from non-exchange transactions are disclosed together with receivables from exchange transactions where appropriate.</w:t>
      </w:r>
    </w:p>
    <w:p w:rsidR="00F50689" w:rsidRPr="00B34731" w:rsidRDefault="005A36C4" w:rsidP="00F50689">
      <w:pPr>
        <w:pStyle w:val="HEADER3Part2"/>
      </w:pPr>
      <w:bookmarkStart w:id="45" w:name="_DMBM_1164"/>
      <w:r w:rsidRPr="00B34731">
        <w:t>Cash and cash equivalents</w:t>
      </w:r>
    </w:p>
    <w:p w:rsidR="00F50689" w:rsidRDefault="005A36C4" w:rsidP="00F50689">
      <w:pPr>
        <w:pStyle w:val="DGTextstand-alone"/>
      </w:pPr>
      <w:r>
        <w:t>Cash and cash equivalents are financial instruments and classified as available for sale financial assets. They include cash at hand, deposits held at call with banks and other short-term highly liquid investments with original maturities of three months or less.</w:t>
      </w:r>
    </w:p>
    <w:bookmarkEnd w:id="45"/>
    <w:p w:rsidR="00F50689" w:rsidRPr="00B34731" w:rsidRDefault="005A36C4" w:rsidP="00F50689">
      <w:pPr>
        <w:pStyle w:val="HEADER3Part2"/>
      </w:pPr>
      <w:r w:rsidRPr="00B34731">
        <w:t>Pension and other employee benefits</w:t>
      </w:r>
    </w:p>
    <w:p w:rsidR="00F50689" w:rsidRPr="00190313" w:rsidRDefault="005A36C4" w:rsidP="00F50689">
      <w:pPr>
        <w:pStyle w:val="HEADER5"/>
      </w:pPr>
      <w:r w:rsidRPr="00190313">
        <w:t>Pension obligations</w:t>
      </w:r>
    </w:p>
    <w:p w:rsidR="00F50689" w:rsidRDefault="005A36C4" w:rsidP="00F50689">
      <w:pPr>
        <w:pStyle w:val="DGTextstand-alone"/>
      </w:pPr>
      <w:r>
        <w:t>The EU operates defined benefit pension plans. Whilst staff contribute from their salaries one third of the expected cost of these benefits, the liability is not funded. The liability recognised in the balance sheet in respect of defined benefit pension plans is the present value of the defined benefit obligation at the balance sheet date. The defined benefit obligation is calculated by actuaries using the projected unit credit method. The present value of the defined benefit obligation is determined by discounting the estimated future cash outflows using interest rates of government bonds that are denominated in the currency in which the benefits will be paid, and that have terms to maturity approximating to the terms of the related pension liability.</w:t>
      </w:r>
    </w:p>
    <w:p w:rsidR="00F50689" w:rsidRDefault="005A36C4" w:rsidP="00F50689">
      <w:pPr>
        <w:pStyle w:val="DGTextstand-alone"/>
      </w:pPr>
      <w:r>
        <w:t>Actuarial gains and losses arising from experience adjustments and changes in actuarial assumptions are recognised immediately in the statement of financial performance. Past-service costs are recognised immediately in statement of financial performance, unless the changes to the pension plan are conditional on the employees remaining in service for a specified period of time (the vesting period). In this case, the past-service costs are amortised on a straight-line basis over the vesting period.</w:t>
      </w:r>
    </w:p>
    <w:p w:rsidR="00F50689" w:rsidRPr="00190313" w:rsidRDefault="005A36C4" w:rsidP="00F50689">
      <w:pPr>
        <w:pStyle w:val="HEADER5"/>
      </w:pPr>
      <w:bookmarkStart w:id="46" w:name="_DMBM_1974"/>
      <w:r w:rsidRPr="00190313">
        <w:t>Post-employment sickness benefits</w:t>
      </w:r>
    </w:p>
    <w:p w:rsidR="00F50689" w:rsidRDefault="005A36C4" w:rsidP="00F50689">
      <w:pPr>
        <w:pStyle w:val="DGTextstand-alone"/>
      </w:pPr>
      <w:r>
        <w:t>The EU provides health benefits to its employees through the reimbursement of medical expenses. A separate fund has been created for its day-to-day administration. Both current employees, pensioners, widowers and their beneficiaries benefit from the system. The benefits granted to the "inactives" (pensioners, orphans, etc.) are classified as "Post-Employment Employee Benefits". Given the nature of these benefits, an actuarial calculation is required. The liability in the balance sheet is determined on a similar basis as that for the pension obligations (see above).</w:t>
      </w:r>
    </w:p>
    <w:bookmarkEnd w:id="46"/>
    <w:p w:rsidR="00F50689" w:rsidRPr="00B34731" w:rsidRDefault="005A36C4" w:rsidP="00F50689">
      <w:pPr>
        <w:pStyle w:val="HEADER3Part2"/>
      </w:pPr>
      <w:r w:rsidRPr="00B34731">
        <w:t>Provisions</w:t>
      </w:r>
    </w:p>
    <w:p w:rsidR="00F50689" w:rsidRDefault="005A36C4" w:rsidP="00F50689">
      <w:pPr>
        <w:pStyle w:val="DGTextstand-alone"/>
      </w:pPr>
      <w:r>
        <w:t>Provisions are recognised when the EU has a present legal or constructive obligation towards third parties as a result of past events, it is more likely than not that an outflow of resources will be required to settle the obligation, and the amount can be reliably estimated. Provisions are not recognised for future operating losses. The amount of the provision is the best estimate of the expenses expected to be required to settle the present obligation at the reporting date. Where the provision involves a large number of items, the obligation is estimated by weighting all possible outcomes by their associated probabilities (“expected value” method).</w:t>
      </w:r>
    </w:p>
    <w:p w:rsidR="00F50689" w:rsidRPr="00B34731" w:rsidRDefault="005A36C4" w:rsidP="00F50689">
      <w:pPr>
        <w:pStyle w:val="HEADER3Part2"/>
      </w:pPr>
      <w:bookmarkStart w:id="47" w:name="_DMBM_1167"/>
      <w:r w:rsidRPr="00B34731">
        <w:t>Financial liabilities</w:t>
      </w:r>
    </w:p>
    <w:p w:rsidR="00F50689" w:rsidRDefault="005A36C4" w:rsidP="00F50689">
      <w:pPr>
        <w:pStyle w:val="DGTextstand-alone"/>
      </w:pPr>
      <w:r>
        <w:t xml:space="preserve">Financial liabilities are classified as financial liabilities at fair value through profit or loss or as financial liabilities carried at amortised cost. Borrowings are composed of borrowings from credit institutions and debts evidenced by certificates. They are recognised initially at fair value, being their issue proceeds (fair value of consideration received) net of transaction costs incurred, then subsequently carried at amortised cost using the effective interest method; any difference between proceeds, net of transaction costs, and the redemption value is recognised in the statement of financial performance over the period of the borrowings using the effective interest method. </w:t>
      </w:r>
    </w:p>
    <w:p w:rsidR="00F50689" w:rsidRDefault="005A36C4" w:rsidP="00F50689">
      <w:pPr>
        <w:pStyle w:val="DGTextstand-alone"/>
      </w:pPr>
      <w:r>
        <w:t>Financial liabilities are classified as non-current liabilities, except for maturities less than 12 months after the balance sheet date. In the case of loans granted on borrowed funds, the effective interest method may not be applied to loans and borrowings, based on materiality considerations. The transaction costs incurred by the EU and then recharged to the beneficiary of the loan are directly recognised in the statement of financial performance.</w:t>
      </w:r>
    </w:p>
    <w:p w:rsidR="00F50689" w:rsidRDefault="005A36C4" w:rsidP="00F50689">
      <w:pPr>
        <w:pStyle w:val="DGTextstand-alone"/>
      </w:pPr>
      <w:r w:rsidRPr="00D83744">
        <w:t xml:space="preserve">Financial liabilities categorised at fair value through profit or loss include derivatives when their fair value is negative. They follow the same accounting treatment as financial assets at fair value through profit or loss, see note </w:t>
      </w:r>
      <w:r w:rsidRPr="00966B2B">
        <w:rPr>
          <w:b/>
        </w:rPr>
        <w:t>1.5.5</w:t>
      </w:r>
      <w:r w:rsidRPr="00D83744">
        <w:t>.</w:t>
      </w:r>
      <w:r>
        <w:t xml:space="preserve"> During this financial year, the EU did not hold any financial liabilities in this category.</w:t>
      </w:r>
      <w:bookmarkEnd w:id="47"/>
    </w:p>
    <w:p w:rsidR="00F50689" w:rsidRPr="00B34731" w:rsidRDefault="005A36C4" w:rsidP="00F50689">
      <w:pPr>
        <w:pStyle w:val="HEADER3Part2"/>
      </w:pPr>
      <w:r w:rsidRPr="00B34731">
        <w:t>Payables</w:t>
      </w:r>
    </w:p>
    <w:p w:rsidR="00F50689" w:rsidRDefault="005A36C4" w:rsidP="00F50689">
      <w:pPr>
        <w:pStyle w:val="DGTextstand-alone"/>
      </w:pPr>
      <w:r>
        <w:t>A significant amount of the payables of the EU are not related to exchange transactions such as the purchase of goods or services – instead they are unpaid cost claims from beneficiaries of grants or other EU funding (non-exchange transactions). They are recorded as payables for the requested amount when the cost claim is received. Upon verification and acceptance of the eligible costs, the payables are valued at the accepted and eligible amount.</w:t>
      </w:r>
    </w:p>
    <w:p w:rsidR="00F50689" w:rsidRDefault="005A36C4" w:rsidP="00F50689">
      <w:pPr>
        <w:pStyle w:val="DGTextstand-alone"/>
      </w:pPr>
      <w:r>
        <w:t>Payables arising from the purchase of goods and services are recognised at invoice reception for the original amount and corresponding expenses are entered in the accounts when the supplies or services are delivered and accepted by the EU.</w:t>
      </w:r>
      <w:bookmarkStart w:id="48" w:name="_DMBM_1169"/>
    </w:p>
    <w:p w:rsidR="00F50689" w:rsidRPr="00B34731" w:rsidRDefault="005A36C4" w:rsidP="00F50689">
      <w:pPr>
        <w:pStyle w:val="HEADER3Part2"/>
      </w:pPr>
      <w:r w:rsidRPr="00B34731">
        <w:t>Accrued and deferred income and charges</w:t>
      </w:r>
    </w:p>
    <w:p w:rsidR="00F50689" w:rsidRDefault="005A36C4" w:rsidP="00F50689">
      <w:pPr>
        <w:pStyle w:val="DGTextstand-alone"/>
      </w:pPr>
      <w:r>
        <w:t>Transactions and events are recognised in the financial statements in the period to which they relate. At year-end, if an invoice is not yet issued but the service has been rendered, the supplies have been delivered by the EU or a contractual agreement exists (e.g. by reference to a treaty), an accrued income will be recognised in the financial statements. In addition, at year-end, if an invoice is issued but the services have not yet been rendered or the goods supplied have not yet been delivered, the revenue will be deferred and recognised in the subsequent accounting period.</w:t>
      </w:r>
    </w:p>
    <w:p w:rsidR="00F50689" w:rsidRDefault="005A36C4" w:rsidP="00F50689">
      <w:pPr>
        <w:pStyle w:val="DGTextstand-alone"/>
      </w:pPr>
      <w:r>
        <w:t>Expenses are also accounted for in the period to which they relate. At the end of the accounting period, accrued expenses are recognised based on an estimated amount of the transfer obligation of the period. The calculation of accrued expenses is done in accordance with detailed operational and practical guidelines issued by the Commission which aim at ensuring that the financial statements provide a faithful representation of the economic and other phenomena they purport to represent.</w:t>
      </w:r>
    </w:p>
    <w:bookmarkEnd w:id="48"/>
    <w:p w:rsidR="00F50689" w:rsidRDefault="005A36C4" w:rsidP="00F50689">
      <w:pPr>
        <w:pStyle w:val="HEADER2Part2"/>
      </w:pPr>
      <w:r w:rsidRPr="00632B75">
        <w:t>STATEMENT OF FINANCIAL PERFORMANCE</w:t>
      </w:r>
    </w:p>
    <w:p w:rsidR="00F50689" w:rsidRPr="00B34731" w:rsidRDefault="005A36C4" w:rsidP="00F50689">
      <w:pPr>
        <w:pStyle w:val="HEADER3Part2"/>
      </w:pPr>
      <w:bookmarkStart w:id="49" w:name="_DMBM_1180"/>
      <w:r w:rsidRPr="00B34731">
        <w:t>Revenue</w:t>
      </w:r>
    </w:p>
    <w:p w:rsidR="00F50689" w:rsidRPr="00190313" w:rsidRDefault="005A36C4" w:rsidP="00F50689">
      <w:pPr>
        <w:pStyle w:val="HEADER5"/>
      </w:pPr>
      <w:r w:rsidRPr="00190313">
        <w:t>REVENUE FROM NON-EXCHANGE TRANSACTIONS</w:t>
      </w:r>
    </w:p>
    <w:p w:rsidR="00F50689" w:rsidRDefault="005A36C4" w:rsidP="00F50689">
      <w:pPr>
        <w:pStyle w:val="DGTextstand-alone"/>
      </w:pPr>
      <w:r>
        <w:t>The vast majority of the EU's revenue relates to non-exchange transactions:</w:t>
      </w:r>
    </w:p>
    <w:p w:rsidR="00F50689" w:rsidRPr="007C0DE0" w:rsidRDefault="005A36C4" w:rsidP="00F50689">
      <w:pPr>
        <w:pStyle w:val="HEADER5"/>
      </w:pPr>
      <w:r w:rsidRPr="007C0DE0">
        <w:t>GNI based resources and VAT resources</w:t>
      </w:r>
    </w:p>
    <w:p w:rsidR="00F50689" w:rsidRDefault="005A36C4" w:rsidP="00F50689">
      <w:pPr>
        <w:pStyle w:val="DGTextstand-alone"/>
      </w:pPr>
      <w:r>
        <w:t>Revenue is recognised for the period for which the Commission sends out a call for funds to the Member States claiming their contribution. They are measured at their “called amount”. As VAT and GNI resources are based on estimates of the data for the budgetary year concerned, they may be revised as changes occur until the final data are issued by the Member States. The effect of a change in estimate is included when determining the net surplus or deficit for the period in which the change occurred.</w:t>
      </w:r>
    </w:p>
    <w:p w:rsidR="00F50689" w:rsidRPr="007C0DE0" w:rsidRDefault="005A36C4" w:rsidP="00F50689">
      <w:pPr>
        <w:pStyle w:val="HEADER5"/>
      </w:pPr>
      <w:r w:rsidRPr="007C0DE0">
        <w:t>Traditional own resources</w:t>
      </w:r>
    </w:p>
    <w:p w:rsidR="00F50689" w:rsidRDefault="005A36C4" w:rsidP="00F50689">
      <w:pPr>
        <w:pStyle w:val="DGTextstand-alone"/>
      </w:pPr>
      <w:r>
        <w:t>Recoverables from non-exchange transactions and related revenues are recognised when the relevant monthly "A" statements (including duties collected and amounts due that are guaranteed and not contested) are received from the Member States. At the reporting date, revenue collected by the Member States for the period but not yet paid to the Commission is estimated and recognised as accrued income. The quarterly "B" statements (including duties neither collected nor guaranteed, as well as guaranteed amounts that have been contested by the debtor) received from the Member States are recognised as revenue less the collection costs to which they are entitled. In addition, a value reduction is recognised for the amount of the estimated recovery gap.</w:t>
      </w:r>
    </w:p>
    <w:p w:rsidR="00F50689" w:rsidRPr="007C0DE0" w:rsidRDefault="005A36C4" w:rsidP="00F50689">
      <w:pPr>
        <w:pStyle w:val="HEADER5"/>
      </w:pPr>
      <w:r w:rsidRPr="007C0DE0">
        <w:t>Fines</w:t>
      </w:r>
    </w:p>
    <w:p w:rsidR="00F50689" w:rsidRDefault="005A36C4" w:rsidP="00F50689">
      <w:pPr>
        <w:pStyle w:val="DGTextstand-alone"/>
      </w:pPr>
      <w:r>
        <w:t>Revenue from fines is recognised when the EU's decision imposing a fine has been taken and it is officially notified to the addressee. If there are doubts about the undertaking's solvency, a value reduction on the entitlement is recognised. After the decision to impose a fine, the debtors have two months from the date of notification:</w:t>
      </w:r>
    </w:p>
    <w:p w:rsidR="00F50689" w:rsidRDefault="005A36C4" w:rsidP="00F50689">
      <w:pPr>
        <w:pStyle w:val="Textstand-alonebulletpointJustified"/>
      </w:pPr>
      <w:r>
        <w:t>either to accept the decision, in which case they must pay the fine within the time limit laid down and the amount is definitively collected by the EU;</w:t>
      </w:r>
    </w:p>
    <w:p w:rsidR="00F50689" w:rsidRDefault="00F50689" w:rsidP="00F50689">
      <w:pPr>
        <w:pStyle w:val="Textstand-alonebulletpointJustified"/>
        <w:numPr>
          <w:ilvl w:val="0"/>
          <w:numId w:val="0"/>
        </w:numPr>
        <w:ind w:left="357"/>
      </w:pPr>
    </w:p>
    <w:p w:rsidR="00F50689" w:rsidRDefault="005A36C4" w:rsidP="00F50689">
      <w:pPr>
        <w:pStyle w:val="Textstand-alonebulletpointJustified"/>
      </w:pPr>
      <w:proofErr w:type="gramStart"/>
      <w:r>
        <w:t>or</w:t>
      </w:r>
      <w:proofErr w:type="gramEnd"/>
      <w:r>
        <w:t xml:space="preserve"> not to accept the decision, in which case they lodge an appeal under EU law. </w:t>
      </w:r>
    </w:p>
    <w:p w:rsidR="00F50689" w:rsidRDefault="005A36C4" w:rsidP="00F50689">
      <w:pPr>
        <w:pStyle w:val="DGTextstand-alone"/>
      </w:pPr>
      <w:r>
        <w:t>However, even if appealed, the principal of the fine must be paid within the time limit of three months laid down as the appeal does not have suspensory effect (Article 278 of the EU Treaty) or, under certain circumstances and subject to the agreement of the Commission's Accounting Officer, it may present a bank guarantee for the amount instead.</w:t>
      </w:r>
    </w:p>
    <w:p w:rsidR="00F50689" w:rsidRDefault="005A36C4" w:rsidP="00F50689">
      <w:pPr>
        <w:pStyle w:val="DGTextstand-alone"/>
      </w:pPr>
      <w:r>
        <w:t>If the undertaking appeals against the decision, and has already provisionally paid the fine, the amount is disclosed as a contingent liability. However, since an appeal against an EU decision by the addressee does not have suspensory effect, the cash received is used to clear the recoverable. If a guarantee is received instead of payment, the fine remains as a recoverable. If it appears probable that the General Court may not rule in favour of the EU, a provision is recognised to cover this risk. If a guarantee had been given instead, then the recoverable outstanding is written-down as required. The accumulated interest received by the Commission on the bank accounts where received payments are deposited is recognised as revenue, and any contingent liability is increased accordingly.</w:t>
      </w:r>
    </w:p>
    <w:p w:rsidR="00F50689" w:rsidRDefault="005A36C4" w:rsidP="00F50689">
      <w:pPr>
        <w:pStyle w:val="DGTextstand-alone"/>
      </w:pPr>
      <w:r>
        <w:t>Since 2010, all provisionally cashed fines are managed by the Commission in a specifically created fund (BUFI) and invested in financial instruments categorised as available for sale financial assets.</w:t>
      </w:r>
    </w:p>
    <w:p w:rsidR="00F50689" w:rsidRPr="00190313" w:rsidRDefault="005A36C4" w:rsidP="00F50689">
      <w:pPr>
        <w:pStyle w:val="HEADER5"/>
      </w:pPr>
      <w:r w:rsidRPr="00190313">
        <w:t>REVENUE FROM EXCHANGE TRANSACTIONS</w:t>
      </w:r>
    </w:p>
    <w:p w:rsidR="00F50689" w:rsidRDefault="005A36C4" w:rsidP="00F50689">
      <w:pPr>
        <w:pStyle w:val="DGTextstand-alone"/>
      </w:pPr>
      <w:r>
        <w:t>Revenue from the sale of goods and services is recognised when the significant risk and rewards of ownership of the goods are transferred to the purchaser. Revenue associated with a transaction involving the provision of services is recognised by reference to the stage of completion of the transaction at the reporting date.</w:t>
      </w:r>
    </w:p>
    <w:p w:rsidR="00F50689" w:rsidRPr="00623E3E" w:rsidRDefault="005A36C4" w:rsidP="00F50689">
      <w:pPr>
        <w:pStyle w:val="HEADER5"/>
      </w:pPr>
      <w:r w:rsidRPr="00623E3E">
        <w:t>I</w:t>
      </w:r>
      <w:r>
        <w:t>nterest income</w:t>
      </w:r>
      <w:r w:rsidRPr="00623E3E">
        <w:t xml:space="preserve"> </w:t>
      </w:r>
      <w:r>
        <w:t>and</w:t>
      </w:r>
      <w:r w:rsidRPr="00623E3E">
        <w:t xml:space="preserve"> </w:t>
      </w:r>
      <w:r>
        <w:t>expense</w:t>
      </w:r>
    </w:p>
    <w:p w:rsidR="00F50689" w:rsidRDefault="005A36C4" w:rsidP="00F50689">
      <w:pPr>
        <w:pStyle w:val="DGTextstand-alone"/>
      </w:pPr>
      <w:r>
        <w:t>Interest income and expense are recognised in the statement of financial performance using the effective interest method. This is a method of calculating the amortised cost of a financial asset or a financial liability and of allocating the interest income or interest expense over the relevant period. When calculating the effective interest rate, the EU estimates cashflows considering all contractual terms of the financial instrument (for example, prepayment options) but does not consider future credit losses. The calculation includes all fees and points paid or received between parties to the contract that are an integral part of the effective interest rate, transaction costs and all other premiums or discounts.</w:t>
      </w:r>
    </w:p>
    <w:p w:rsidR="00F50689" w:rsidRDefault="005A36C4" w:rsidP="00F50689">
      <w:pPr>
        <w:pStyle w:val="DGTextstand-alone"/>
      </w:pPr>
      <w:r>
        <w:t>Once a financial asset or a group of similar financial assets has been written down as a result of an impairment loss, interest income is recognised using the rate of interest to discount the future cashflows for the purpose of measuring the impairment loss.</w:t>
      </w:r>
    </w:p>
    <w:p w:rsidR="00F50689" w:rsidRPr="00623E3E" w:rsidRDefault="005A36C4" w:rsidP="00F50689">
      <w:pPr>
        <w:pStyle w:val="HEADER5"/>
      </w:pPr>
      <w:r w:rsidRPr="00623E3E">
        <w:t>D</w:t>
      </w:r>
      <w:r>
        <w:t>ividend income</w:t>
      </w:r>
    </w:p>
    <w:p w:rsidR="00F50689" w:rsidRDefault="005A36C4" w:rsidP="00F50689">
      <w:pPr>
        <w:pStyle w:val="DGTextstand-alone"/>
      </w:pPr>
      <w:r>
        <w:t>Dividend income is recognised when the right to receive payment is established.</w:t>
      </w:r>
    </w:p>
    <w:bookmarkEnd w:id="49"/>
    <w:p w:rsidR="00F50689" w:rsidRPr="00B34731" w:rsidRDefault="005A36C4" w:rsidP="00F50689">
      <w:pPr>
        <w:pStyle w:val="HEADER3Part2"/>
      </w:pPr>
      <w:r w:rsidRPr="00B34731">
        <w:t>Expenses</w:t>
      </w:r>
    </w:p>
    <w:p w:rsidR="00F50689" w:rsidRDefault="005A36C4" w:rsidP="00F50689">
      <w:pPr>
        <w:pStyle w:val="DGTextstand-alone"/>
      </w:pPr>
      <w:r>
        <w:t>Expenses from non-exchange transactions account for the majority of the EU's expenses. They relate to transfers to beneficiaries and can be of three types: entitlements, transfers under agreement and discretionary grants, contributions and donations.</w:t>
      </w:r>
    </w:p>
    <w:p w:rsidR="00F50689" w:rsidRDefault="005A36C4" w:rsidP="00F50689">
      <w:pPr>
        <w:pStyle w:val="DGTextstand-alone"/>
      </w:pPr>
      <w:r>
        <w:t>Transfers are recognised as expenses in the period during which the events giving rise to the transfer occurred, as long as the nature of the transfer is allowed by regulation (Financial Regulation, Staff Regulations, or other regulation) or an agreement has been signed authorising the transfer; any eligibility criteria have been met by the beneficiary; and a reasonable estimate of the amount can be made.</w:t>
      </w:r>
    </w:p>
    <w:p w:rsidR="00F50689" w:rsidRDefault="005A36C4" w:rsidP="00F50689">
      <w:pPr>
        <w:pStyle w:val="DGTextstand-alone"/>
      </w:pPr>
      <w:r>
        <w:t>When a request for payment or cost claim is received and meets the recognition criteria, it is recognised as an expense for the eligible amount. At year-end, incurred eligible expenses due to the beneficiaries but not yet reported are estimated and recorded as accrued expenses.</w:t>
      </w:r>
    </w:p>
    <w:p w:rsidR="00F50689" w:rsidRDefault="005A36C4" w:rsidP="00F50689">
      <w:pPr>
        <w:pStyle w:val="DGTextstand-alone"/>
      </w:pPr>
      <w:r>
        <w:t xml:space="preserve">Expenses from exchange transactions arising from the purchase of goods and services are recognised when the supplies are delivered and accepted by the EU. They are valued at original invoice cost. </w:t>
      </w:r>
    </w:p>
    <w:p w:rsidR="00B82250" w:rsidRDefault="00B82250">
      <w:pPr>
        <w:rPr>
          <w:rFonts w:ascii="Verdana" w:hAnsi="Verdana"/>
          <w:b/>
          <w:color w:val="016794"/>
          <w:sz w:val="28"/>
          <w:szCs w:val="28"/>
        </w:rPr>
      </w:pPr>
      <w:bookmarkStart w:id="50" w:name="_DMBM_244"/>
      <w:r>
        <w:br w:type="page"/>
      </w:r>
    </w:p>
    <w:p w:rsidR="00F50689" w:rsidRPr="00632B75" w:rsidRDefault="005A36C4" w:rsidP="00F50689">
      <w:pPr>
        <w:pStyle w:val="HEADER2Part2"/>
      </w:pPr>
      <w:r w:rsidRPr="00632B75">
        <w:t>CONTINGENT ASSETS AND LIABILITIES</w:t>
      </w:r>
    </w:p>
    <w:p w:rsidR="00F50689" w:rsidRPr="00B34731" w:rsidRDefault="005A36C4" w:rsidP="00F50689">
      <w:pPr>
        <w:pStyle w:val="HEADER3Part2"/>
      </w:pPr>
      <w:r w:rsidRPr="00B34731">
        <w:t>Contingent assets</w:t>
      </w:r>
    </w:p>
    <w:p w:rsidR="00F50689" w:rsidRDefault="005A36C4" w:rsidP="00F50689">
      <w:pPr>
        <w:pStyle w:val="DGTextstand-alone"/>
      </w:pPr>
      <w:r>
        <w:t>A contingent asset is a possible asset that arises from past events and of which the existence will be confirmed only by the occurrence or non-occurrence of one or more uncertain future events not wholly within the control of the EU. A contingent asset is disclosed when an inflow of economic benefits or service potential is probable.</w:t>
      </w:r>
    </w:p>
    <w:p w:rsidR="00F50689" w:rsidRPr="00B34731" w:rsidRDefault="005A36C4" w:rsidP="00F50689">
      <w:pPr>
        <w:pStyle w:val="HEADER3Part2"/>
      </w:pPr>
      <w:r w:rsidRPr="00B34731">
        <w:t>Contingent liabilities</w:t>
      </w:r>
    </w:p>
    <w:p w:rsidR="00F50689" w:rsidRDefault="005A36C4" w:rsidP="00F50689">
      <w:pPr>
        <w:pStyle w:val="DGTextstand-alone"/>
        <w:spacing w:after="0"/>
      </w:pPr>
      <w:r>
        <w:t>A contingent liability is a possible obligation that arises from past events and of which the existence will be confirmed only by the occurrence or non-occurrence of one or more uncertain future events not wholly within the control of the EU; or a present obligation that arises from past events but is not recognised because: it is not probable that an outflow of resources embodying economic benefits or service potential will be required to settle the obligation or in the rare circumstances where the amount of the obligation cannot be measured with sufficient reliability.</w:t>
      </w:r>
      <w:bookmarkEnd w:id="50"/>
    </w:p>
    <w:p w:rsidR="00F50689" w:rsidRPr="00F9658A" w:rsidRDefault="005A36C4" w:rsidP="00F50689">
      <w:pPr>
        <w:pStyle w:val="DGTextstand-alone"/>
        <w:spacing w:before="0" w:after="0"/>
        <w:sectPr w:rsidR="00F50689" w:rsidRPr="00F9658A" w:rsidSect="00F50689">
          <w:headerReference w:type="even" r:id="rId101"/>
          <w:headerReference w:type="default" r:id="rId102"/>
          <w:footerReference w:type="even" r:id="rId103"/>
          <w:footerReference w:type="default" r:id="rId104"/>
          <w:headerReference w:type="first" r:id="rId105"/>
          <w:footerReference w:type="first" r:id="rId106"/>
          <w:type w:val="continuous"/>
          <w:pgSz w:w="11906" w:h="16838"/>
          <w:pgMar w:top="1134" w:right="1134" w:bottom="1134" w:left="1134" w:header="709" w:footer="709" w:gutter="0"/>
          <w:cols w:space="708"/>
          <w:docGrid w:linePitch="360"/>
        </w:sectPr>
      </w:pPr>
      <w:r>
        <w:t xml:space="preserve"> </w:t>
      </w:r>
      <w:bookmarkEnd w:id="35"/>
    </w:p>
    <w:p w:rsidR="00F50689" w:rsidRDefault="005A36C4" w:rsidP="00F50689">
      <w:pPr>
        <w:pStyle w:val="HEADER1Part2"/>
        <w:spacing w:after="0"/>
        <w:rPr>
          <w:lang w:val="fr-BE"/>
        </w:rPr>
      </w:pPr>
      <w:bookmarkStart w:id="51" w:name="_Toc424652040"/>
      <w:bookmarkStart w:id="52" w:name="_DMBM_2602"/>
      <w:r>
        <w:rPr>
          <w:lang w:val="fr-BE"/>
        </w:rPr>
        <w:t>NOTES TO THE BALANCE SHEET</w:t>
      </w:r>
      <w:bookmarkEnd w:id="51"/>
    </w:p>
    <w:p w:rsidR="00F50689" w:rsidRPr="002F4182" w:rsidRDefault="005A36C4" w:rsidP="00F50689">
      <w:pPr>
        <w:pStyle w:val="Textstand-alone"/>
        <w:spacing w:before="0"/>
        <w:rPr>
          <w:lang w:val="fr-BE"/>
        </w:rPr>
        <w:sectPr w:rsidR="00F50689" w:rsidRPr="002F4182" w:rsidSect="00F50689">
          <w:headerReference w:type="even" r:id="rId107"/>
          <w:headerReference w:type="default" r:id="rId108"/>
          <w:footerReference w:type="even" r:id="rId109"/>
          <w:footerReference w:type="default" r:id="rId110"/>
          <w:headerReference w:type="first" r:id="rId111"/>
          <w:footerReference w:type="first" r:id="rId112"/>
          <w:pgSz w:w="11906" w:h="16838"/>
          <w:pgMar w:top="1134" w:right="1134" w:bottom="1134" w:left="1134" w:header="709" w:footer="709" w:gutter="0"/>
          <w:cols w:space="708"/>
          <w:docGrid w:linePitch="360"/>
        </w:sectPr>
      </w:pPr>
      <w:r>
        <w:rPr>
          <w:lang w:val="fr-BE"/>
        </w:rPr>
        <w:t xml:space="preserve"> </w:t>
      </w:r>
      <w:bookmarkEnd w:id="52"/>
    </w:p>
    <w:p w:rsidR="00F50689" w:rsidRDefault="005A36C4" w:rsidP="00F50689">
      <w:pPr>
        <w:pStyle w:val="HEADERTABLE"/>
        <w:spacing w:after="0"/>
        <w:rPr>
          <w:lang w:val="fr-BE"/>
        </w:rPr>
      </w:pPr>
      <w:bookmarkStart w:id="53" w:name="_DMBM_2622"/>
      <w:r>
        <w:rPr>
          <w:lang w:val="fr-BE"/>
        </w:rPr>
        <w:t>ASSETS</w:t>
      </w:r>
    </w:p>
    <w:p w:rsidR="00F50689" w:rsidRPr="00E9094D" w:rsidRDefault="005A36C4" w:rsidP="00F50689">
      <w:pPr>
        <w:pStyle w:val="Textstand-alone"/>
        <w:spacing w:before="0" w:after="0"/>
        <w:rPr>
          <w:lang w:val="fr-BE"/>
        </w:rPr>
        <w:sectPr w:rsidR="00F50689" w:rsidRPr="00E9094D" w:rsidSect="00F50689">
          <w:headerReference w:type="even" r:id="rId113"/>
          <w:headerReference w:type="default" r:id="rId114"/>
          <w:footerReference w:type="even" r:id="rId115"/>
          <w:footerReference w:type="default" r:id="rId116"/>
          <w:headerReference w:type="first" r:id="rId117"/>
          <w:footerReference w:type="first" r:id="rId118"/>
          <w:type w:val="continuous"/>
          <w:pgSz w:w="11906" w:h="16838"/>
          <w:pgMar w:top="1134" w:right="1134" w:bottom="1134" w:left="1134" w:header="709" w:footer="709" w:gutter="0"/>
          <w:cols w:space="708"/>
          <w:docGrid w:linePitch="360"/>
        </w:sectPr>
      </w:pPr>
      <w:r>
        <w:rPr>
          <w:lang w:val="fr-BE"/>
        </w:rPr>
        <w:t xml:space="preserve"> </w:t>
      </w:r>
      <w:bookmarkEnd w:id="53"/>
    </w:p>
    <w:p w:rsidR="00F50689" w:rsidRDefault="005A36C4" w:rsidP="00F50689">
      <w:pPr>
        <w:pStyle w:val="HEADER2Part2"/>
        <w:spacing w:before="0" w:after="0"/>
        <w:rPr>
          <w:lang w:val="fr-BE"/>
        </w:rPr>
      </w:pPr>
      <w:bookmarkStart w:id="54" w:name="_DMBM_2623"/>
      <w:r>
        <w:rPr>
          <w:lang w:val="fr-BE"/>
        </w:rPr>
        <w:t>INTANGIBLE ASSETS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1"/>
        <w:gridCol w:w="2126"/>
      </w:tblGrid>
      <w:tr w:rsidR="00E7728E">
        <w:tc>
          <w:tcPr>
            <w:tcW w:w="7621"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55" w:name="DOC_TBL00007_1_1"/>
            <w:bookmarkEnd w:id="55"/>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rPr>
                <w:rFonts w:cs="Verdana"/>
              </w:rPr>
              <w:t xml:space="preserve">EUR millions </w:t>
            </w:r>
          </w:p>
        </w:tc>
      </w:tr>
      <w:tr w:rsidR="00E7728E">
        <w:tc>
          <w:tcPr>
            <w:tcW w:w="762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Right025"/>
              <w:rPr>
                <w:rFonts w:cs="Verdana"/>
              </w:rPr>
            </w:pP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Gross carrying amount at 31.12.2013</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474</w:t>
            </w: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Additions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104</w:t>
            </w: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Disposals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w:t>
            </w: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Transfer between asset categories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0</w:t>
            </w:r>
          </w:p>
        </w:tc>
      </w:tr>
      <w:tr w:rsidR="00E7728E">
        <w:tc>
          <w:tcPr>
            <w:tcW w:w="762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Other changes</w:t>
            </w:r>
          </w:p>
        </w:tc>
        <w:tc>
          <w:tcPr>
            <w:tcW w:w="2126"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w:t>
            </w:r>
          </w:p>
        </w:tc>
      </w:tr>
      <w:tr w:rsidR="00E7728E">
        <w:tc>
          <w:tcPr>
            <w:tcW w:w="762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BoldLeft"/>
              <w:rPr>
                <w:rFonts w:cs="Verdana"/>
              </w:rPr>
            </w:pPr>
            <w:r>
              <w:rPr>
                <w:rFonts w:cs="Verdana"/>
              </w:rPr>
              <w:t>Gross carrying amount at 31.12.2014</w:t>
            </w:r>
          </w:p>
        </w:tc>
        <w:tc>
          <w:tcPr>
            <w:tcW w:w="2126"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 xml:space="preserve"> 577</w:t>
            </w:r>
          </w:p>
        </w:tc>
      </w:tr>
      <w:tr w:rsidR="00E7728E">
        <w:tc>
          <w:tcPr>
            <w:tcW w:w="7621"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Accumulated amortisation at 31.12.2013</w:t>
            </w:r>
          </w:p>
        </w:tc>
        <w:tc>
          <w:tcPr>
            <w:tcW w:w="2126"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(236)</w:t>
            </w: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Amortisation charge for the year</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(61)</w:t>
            </w: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Disposals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w:t>
            </w: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Transfer between asset categories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0</w:t>
            </w:r>
          </w:p>
        </w:tc>
      </w:tr>
      <w:tr w:rsidR="00E7728E">
        <w:tc>
          <w:tcPr>
            <w:tcW w:w="762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Other changes</w:t>
            </w:r>
          </w:p>
        </w:tc>
        <w:tc>
          <w:tcPr>
            <w:tcW w:w="2126"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0</w:t>
            </w:r>
          </w:p>
        </w:tc>
      </w:tr>
      <w:tr w:rsidR="00E7728E">
        <w:tc>
          <w:tcPr>
            <w:tcW w:w="762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BoldLeft"/>
              <w:rPr>
                <w:rFonts w:cs="Verdana"/>
              </w:rPr>
            </w:pPr>
            <w:r>
              <w:rPr>
                <w:rFonts w:cs="Verdana"/>
              </w:rPr>
              <w:t>Accumulated amortisation at 31.12.2014</w:t>
            </w:r>
          </w:p>
        </w:tc>
        <w:tc>
          <w:tcPr>
            <w:tcW w:w="2126"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 xml:space="preserve"> (295)</w:t>
            </w:r>
          </w:p>
        </w:tc>
      </w:tr>
      <w:tr w:rsidR="00E7728E">
        <w:tc>
          <w:tcPr>
            <w:tcW w:w="7621"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Text9pItalicLeft"/>
              <w:rPr>
                <w:rFonts w:cs="Verdana"/>
              </w:rPr>
            </w:pPr>
          </w:p>
        </w:tc>
        <w:tc>
          <w:tcPr>
            <w:tcW w:w="2126"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r>
      <w:tr w:rsidR="00E7728E">
        <w:tc>
          <w:tcPr>
            <w:tcW w:w="762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Net carrying amount at 31.12.2014</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 xml:space="preserve"> 282</w:t>
            </w: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Net carrying amount at 31.12.2013</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237</w:t>
            </w:r>
          </w:p>
        </w:tc>
      </w:tr>
    </w:tbl>
    <w:p w:rsidR="00F50689" w:rsidRPr="00BE4A62" w:rsidRDefault="005A36C4" w:rsidP="00F50689">
      <w:pPr>
        <w:pStyle w:val="Textstand-alone"/>
        <w:spacing w:after="0"/>
      </w:pPr>
      <w:r w:rsidRPr="00BE4A62">
        <w:t>The above amounts relate primarily to computer software.</w:t>
      </w:r>
    </w:p>
    <w:p w:rsidR="00F50689" w:rsidRPr="002B5C07" w:rsidRDefault="005A36C4" w:rsidP="00F50689">
      <w:pPr>
        <w:pStyle w:val="Textstand-alone"/>
        <w:spacing w:before="0" w:after="0"/>
        <w:rPr>
          <w:i/>
        </w:rPr>
        <w:sectPr w:rsidR="00F50689" w:rsidRPr="002B5C07" w:rsidSect="00F50689">
          <w:headerReference w:type="even" r:id="rId119"/>
          <w:headerReference w:type="default" r:id="rId120"/>
          <w:footerReference w:type="even" r:id="rId121"/>
          <w:footerReference w:type="default" r:id="rId122"/>
          <w:headerReference w:type="first" r:id="rId123"/>
          <w:footerReference w:type="first" r:id="rId124"/>
          <w:type w:val="continuous"/>
          <w:pgSz w:w="11906" w:h="16838"/>
          <w:pgMar w:top="1134" w:right="1134" w:bottom="1134" w:left="1134" w:header="709" w:footer="709" w:gutter="0"/>
          <w:cols w:space="708"/>
          <w:docGrid w:linePitch="360"/>
        </w:sectPr>
      </w:pPr>
      <w:r>
        <w:rPr>
          <w:i/>
        </w:rPr>
        <w:t xml:space="preserve"> </w:t>
      </w:r>
      <w:bookmarkEnd w:id="54"/>
    </w:p>
    <w:p w:rsidR="00F50689" w:rsidRDefault="005A36C4" w:rsidP="00F50689">
      <w:pPr>
        <w:pStyle w:val="HEADER2Part2"/>
        <w:spacing w:before="0" w:after="0"/>
        <w:rPr>
          <w:lang w:val="fr-BE"/>
        </w:rPr>
      </w:pPr>
      <w:bookmarkStart w:id="56" w:name="_DMBM_2624"/>
      <w:r>
        <w:rPr>
          <w:lang w:val="fr-BE"/>
        </w:rPr>
        <w:t>PROPERTY, PLANT AND EQUIPMENT</w:t>
      </w:r>
    </w:p>
    <w:p w:rsidR="00F50689" w:rsidRDefault="005A36C4" w:rsidP="00F50689">
      <w:pPr>
        <w:pStyle w:val="Textstand-alone"/>
        <w:rPr>
          <w:rFonts w:cs="Arial"/>
          <w:noProof w:val="0"/>
          <w:lang w:eastAsia="en-GB"/>
        </w:rPr>
      </w:pPr>
      <w:r w:rsidRPr="00BC1B11">
        <w:rPr>
          <w:noProof w:val="0"/>
        </w:rPr>
        <w:t xml:space="preserve">The increase of property, plant and equipment is mainly due to the fact that </w:t>
      </w:r>
      <w:r>
        <w:t>following the</w:t>
      </w:r>
      <w:r w:rsidRPr="00BC1B11">
        <w:t xml:space="preserve"> signature of the Copernicus delegation agreement </w:t>
      </w:r>
      <w:r>
        <w:t xml:space="preserve">with </w:t>
      </w:r>
      <w:r w:rsidRPr="00BC1B11">
        <w:t>the European Space Agency (ESA)</w:t>
      </w:r>
      <w:r>
        <w:t xml:space="preserve"> during 2014, </w:t>
      </w:r>
      <w:r w:rsidRPr="00BC1B11">
        <w:t>assets of EUR</w:t>
      </w:r>
      <w:r>
        <w:t> </w:t>
      </w:r>
      <w:r w:rsidRPr="00BC1B11">
        <w:t>1</w:t>
      </w:r>
      <w:r>
        <w:t> </w:t>
      </w:r>
      <w:r w:rsidRPr="00BC1B11">
        <w:t>525</w:t>
      </w:r>
      <w:r>
        <w:t> </w:t>
      </w:r>
      <w:r w:rsidRPr="00BC1B11">
        <w:t xml:space="preserve">million </w:t>
      </w:r>
      <w:r>
        <w:t>of</w:t>
      </w:r>
      <w:r w:rsidRPr="00BC1B11">
        <w:t xml:space="preserve"> the Copernicus programme (former GMES programme) have been transferred from ESA to the Commission</w:t>
      </w:r>
      <w:r w:rsidRPr="00BC1B11">
        <w:rPr>
          <w:noProof w:val="0"/>
        </w:rPr>
        <w:t>. In accordance with the Copernicus Regulation adopted in 2014, the EU t</w:t>
      </w:r>
      <w:r w:rsidRPr="00BC1B11">
        <w:t>ook</w:t>
      </w:r>
      <w:r w:rsidRPr="00BC1B11">
        <w:rPr>
          <w:noProof w:val="0"/>
        </w:rPr>
        <w:t xml:space="preserve"> over the responsibility for the Copernicus programme</w:t>
      </w:r>
      <w:r w:rsidRPr="00BC1B11">
        <w:t xml:space="preserve"> and thus </w:t>
      </w:r>
      <w:r>
        <w:t>must</w:t>
      </w:r>
      <w:r w:rsidRPr="00BC1B11">
        <w:t xml:space="preserve"> recognise the assets on its balance sheet. </w:t>
      </w:r>
      <w:r w:rsidRPr="00BC1B11">
        <w:rPr>
          <w:noProof w:val="0"/>
        </w:rPr>
        <w:t>EUR</w:t>
      </w:r>
      <w:r w:rsidR="00823FE4">
        <w:rPr>
          <w:noProof w:val="0"/>
        </w:rPr>
        <w:t> </w:t>
      </w:r>
      <w:r w:rsidRPr="00BC1B11">
        <w:rPr>
          <w:noProof w:val="0"/>
        </w:rPr>
        <w:t>297</w:t>
      </w:r>
      <w:r w:rsidR="00823FE4">
        <w:rPr>
          <w:noProof w:val="0"/>
        </w:rPr>
        <w:t> </w:t>
      </w:r>
      <w:r w:rsidRPr="00BC1B11">
        <w:rPr>
          <w:noProof w:val="0"/>
        </w:rPr>
        <w:t xml:space="preserve">million relating to the </w:t>
      </w:r>
      <w:r>
        <w:rPr>
          <w:noProof w:val="0"/>
        </w:rPr>
        <w:t>S</w:t>
      </w:r>
      <w:r w:rsidRPr="00BC1B11">
        <w:rPr>
          <w:noProof w:val="0"/>
        </w:rPr>
        <w:t>entin</w:t>
      </w:r>
      <w:r>
        <w:t>e</w:t>
      </w:r>
      <w:r w:rsidRPr="00BC1B11">
        <w:rPr>
          <w:noProof w:val="0"/>
        </w:rPr>
        <w:t>l 1</w:t>
      </w:r>
      <w:r>
        <w:rPr>
          <w:noProof w:val="0"/>
        </w:rPr>
        <w:t>A</w:t>
      </w:r>
      <w:r w:rsidRPr="00BC1B11">
        <w:rPr>
          <w:noProof w:val="0"/>
        </w:rPr>
        <w:t xml:space="preserve"> satellite have been recognised as asset</w:t>
      </w:r>
      <w:r>
        <w:rPr>
          <w:noProof w:val="0"/>
        </w:rPr>
        <w:t>s</w:t>
      </w:r>
      <w:r w:rsidRPr="00BC1B11">
        <w:rPr>
          <w:noProof w:val="0"/>
        </w:rPr>
        <w:t xml:space="preserve"> under the heading plant and equipment</w:t>
      </w:r>
      <w:r>
        <w:rPr>
          <w:noProof w:val="0"/>
        </w:rPr>
        <w:t>,</w:t>
      </w:r>
      <w:r w:rsidRPr="00BC1B11">
        <w:rPr>
          <w:noProof w:val="0"/>
        </w:rPr>
        <w:t xml:space="preserve"> and EUR</w:t>
      </w:r>
      <w:r w:rsidR="00823FE4">
        <w:rPr>
          <w:noProof w:val="0"/>
        </w:rPr>
        <w:t> </w:t>
      </w:r>
      <w:r w:rsidRPr="00BC1B11">
        <w:rPr>
          <w:noProof w:val="0"/>
        </w:rPr>
        <w:t>1</w:t>
      </w:r>
      <w:r w:rsidR="00823FE4">
        <w:rPr>
          <w:noProof w:val="0"/>
        </w:rPr>
        <w:t> </w:t>
      </w:r>
      <w:r w:rsidRPr="00BC1B11">
        <w:rPr>
          <w:noProof w:val="0"/>
        </w:rPr>
        <w:t>228</w:t>
      </w:r>
      <w:r w:rsidR="00823FE4">
        <w:rPr>
          <w:noProof w:val="0"/>
        </w:rPr>
        <w:t> </w:t>
      </w:r>
      <w:r w:rsidRPr="00BC1B11">
        <w:rPr>
          <w:noProof w:val="0"/>
        </w:rPr>
        <w:t xml:space="preserve">million relating to the other satellites </w:t>
      </w:r>
      <w:r>
        <w:rPr>
          <w:noProof w:val="0"/>
        </w:rPr>
        <w:t xml:space="preserve">currently </w:t>
      </w:r>
      <w:r w:rsidRPr="00BC1B11">
        <w:rPr>
          <w:noProof w:val="0"/>
        </w:rPr>
        <w:t>being constructed have been recognised as assets under con</w:t>
      </w:r>
      <w:r w:rsidRPr="00BC1B11">
        <w:t xml:space="preserve">struction. </w:t>
      </w:r>
      <w:r w:rsidRPr="00BC1B11">
        <w:rPr>
          <w:rFonts w:cs="Arial"/>
          <w:noProof w:val="0"/>
          <w:lang w:eastAsia="en-GB"/>
        </w:rPr>
        <w:t>Copernicus</w:t>
      </w:r>
      <w:r w:rsidRPr="00BC1B11">
        <w:rPr>
          <w:rFonts w:cs="Arial"/>
          <w:lang w:eastAsia="en-GB"/>
        </w:rPr>
        <w:t xml:space="preserve"> </w:t>
      </w:r>
      <w:r w:rsidRPr="00BC1B11">
        <w:rPr>
          <w:rFonts w:cs="Arial"/>
          <w:noProof w:val="0"/>
          <w:lang w:eastAsia="en-GB"/>
        </w:rPr>
        <w:t xml:space="preserve">is the European Earth observation programme. It consists of </w:t>
      </w:r>
      <w:r w:rsidRPr="00BC1B11">
        <w:rPr>
          <w:rFonts w:cs="Arial"/>
          <w:iCs/>
          <w:noProof w:val="0"/>
          <w:lang w:eastAsia="en-GB"/>
        </w:rPr>
        <w:t>a space component</w:t>
      </w:r>
      <w:r w:rsidRPr="00BC1B11">
        <w:rPr>
          <w:rFonts w:cs="Arial"/>
          <w:i/>
          <w:iCs/>
          <w:noProof w:val="0"/>
          <w:lang w:eastAsia="en-GB"/>
        </w:rPr>
        <w:t xml:space="preserve"> </w:t>
      </w:r>
      <w:r w:rsidRPr="00BC1B11">
        <w:rPr>
          <w:rFonts w:cs="Arial"/>
          <w:noProof w:val="0"/>
          <w:lang w:eastAsia="en-GB"/>
        </w:rPr>
        <w:t xml:space="preserve">including six series of earth observation satellites and instruments, </w:t>
      </w:r>
      <w:r w:rsidRPr="00BC1B11">
        <w:rPr>
          <w:rFonts w:cs="Arial"/>
          <w:iCs/>
          <w:noProof w:val="0"/>
          <w:lang w:eastAsia="en-GB"/>
        </w:rPr>
        <w:t>an in situ component</w:t>
      </w:r>
      <w:r w:rsidRPr="00BC1B11">
        <w:rPr>
          <w:rFonts w:cs="Arial"/>
          <w:i/>
          <w:iCs/>
          <w:noProof w:val="0"/>
          <w:lang w:eastAsia="en-GB"/>
        </w:rPr>
        <w:t xml:space="preserve"> </w:t>
      </w:r>
      <w:r w:rsidRPr="00BC1B11">
        <w:rPr>
          <w:rFonts w:cs="Arial"/>
          <w:noProof w:val="0"/>
          <w:lang w:eastAsia="en-GB"/>
        </w:rPr>
        <w:t>(composed of numerous sensors on the ground, at sea and in the air), and a service component. The following services are to be provided by Copernicus: atmosphere monitoring, climate change monitoring, land monitoring, marine monitoring, and emergency management and security applications.</w:t>
      </w:r>
    </w:p>
    <w:p w:rsidR="00F50689" w:rsidRDefault="005A36C4" w:rsidP="00F50689">
      <w:pPr>
        <w:pStyle w:val="Textstand-alone"/>
        <w:spacing w:after="0"/>
      </w:pPr>
      <w:r w:rsidRPr="00BC1B11">
        <w:rPr>
          <w:noProof w:val="0"/>
        </w:rPr>
        <w:t xml:space="preserve">In addition, </w:t>
      </w:r>
      <w:r>
        <w:rPr>
          <w:noProof w:val="0"/>
        </w:rPr>
        <w:t xml:space="preserve">also </w:t>
      </w:r>
      <w:r w:rsidRPr="00BC1B11">
        <w:t xml:space="preserve">included as assets under </w:t>
      </w:r>
      <w:r w:rsidRPr="00BC1B11">
        <w:rPr>
          <w:noProof w:val="0"/>
        </w:rPr>
        <w:t>construction at 31</w:t>
      </w:r>
      <w:r w:rsidR="00823FE4">
        <w:rPr>
          <w:noProof w:val="0"/>
        </w:rPr>
        <w:t> </w:t>
      </w:r>
      <w:r w:rsidRPr="00BC1B11">
        <w:rPr>
          <w:noProof w:val="0"/>
        </w:rPr>
        <w:t>December</w:t>
      </w:r>
      <w:bookmarkStart w:id="57" w:name="BIP_SEL001"/>
      <w:r w:rsidR="00823FE4">
        <w:rPr>
          <w:noProof w:val="0"/>
        </w:rPr>
        <w:t> </w:t>
      </w:r>
      <w:r w:rsidRPr="00BC1B11">
        <w:rPr>
          <w:noProof w:val="0"/>
        </w:rPr>
        <w:t>201</w:t>
      </w:r>
      <w:bookmarkEnd w:id="57"/>
      <w:r w:rsidRPr="00BC1B11">
        <w:rPr>
          <w:noProof w:val="0"/>
        </w:rPr>
        <w:t>4 are EUR 1 47</w:t>
      </w:r>
      <w:r>
        <w:rPr>
          <w:noProof w:val="0"/>
        </w:rPr>
        <w:t>8</w:t>
      </w:r>
      <w:r w:rsidRPr="00BC1B11">
        <w:rPr>
          <w:noProof w:val="0"/>
        </w:rPr>
        <w:t> million (</w:t>
      </w:r>
      <w:bookmarkStart w:id="58" w:name="BIP_SEL003"/>
      <w:r w:rsidRPr="00BC1B11">
        <w:rPr>
          <w:noProof w:val="0"/>
        </w:rPr>
        <w:t>201</w:t>
      </w:r>
      <w:bookmarkEnd w:id="58"/>
      <w:r w:rsidRPr="00BC1B11">
        <w:rPr>
          <w:noProof w:val="0"/>
        </w:rPr>
        <w:t>3: EUR</w:t>
      </w:r>
      <w:r>
        <w:rPr>
          <w:noProof w:val="0"/>
        </w:rPr>
        <w:t> </w:t>
      </w:r>
      <w:r w:rsidRPr="00BC1B11">
        <w:rPr>
          <w:noProof w:val="0"/>
        </w:rPr>
        <w:t>1</w:t>
      </w:r>
      <w:r>
        <w:rPr>
          <w:noProof w:val="0"/>
        </w:rPr>
        <w:t> 041 m</w:t>
      </w:r>
      <w:r w:rsidRPr="00BC1B11">
        <w:rPr>
          <w:noProof w:val="0"/>
        </w:rPr>
        <w:t xml:space="preserve">illion) </w:t>
      </w:r>
      <w:r>
        <w:rPr>
          <w:noProof w:val="0"/>
        </w:rPr>
        <w:t xml:space="preserve">of assets </w:t>
      </w:r>
      <w:r w:rsidRPr="00BC1B11">
        <w:rPr>
          <w:noProof w:val="0"/>
        </w:rPr>
        <w:t>relating to the Galileo project, the EU's Global Navigation Satellite System (GNSS), being built with the assistance of ESA. An amount of EUR</w:t>
      </w:r>
      <w:r w:rsidR="00823FE4">
        <w:rPr>
          <w:noProof w:val="0"/>
        </w:rPr>
        <w:t> </w:t>
      </w:r>
      <w:r>
        <w:rPr>
          <w:noProof w:val="0"/>
        </w:rPr>
        <w:t>17</w:t>
      </w:r>
      <w:r w:rsidR="00823FE4">
        <w:rPr>
          <w:noProof w:val="0"/>
        </w:rPr>
        <w:t> </w:t>
      </w:r>
      <w:r w:rsidRPr="00BC1B11">
        <w:rPr>
          <w:noProof w:val="0"/>
        </w:rPr>
        <w:t>million of non-capitalisable development costs has been recognised as expenses during the period.</w:t>
      </w:r>
    </w:p>
    <w:p w:rsidR="00F50689" w:rsidRPr="0064073A" w:rsidRDefault="005A36C4" w:rsidP="00F50689">
      <w:pPr>
        <w:pStyle w:val="DGTextstand-alone"/>
        <w:spacing w:before="0"/>
        <w:sectPr w:rsidR="00F50689" w:rsidRPr="0064073A" w:rsidSect="00F50689">
          <w:headerReference w:type="even" r:id="rId125"/>
          <w:headerReference w:type="default" r:id="rId126"/>
          <w:footerReference w:type="even" r:id="rId127"/>
          <w:footerReference w:type="default" r:id="rId128"/>
          <w:headerReference w:type="first" r:id="rId129"/>
          <w:footerReference w:type="first" r:id="rId130"/>
          <w:type w:val="continuous"/>
          <w:pgSz w:w="11906" w:h="16838"/>
          <w:pgMar w:top="1134" w:right="1134" w:bottom="1134" w:left="1134" w:header="709" w:footer="709" w:gutter="0"/>
          <w:cols w:space="708"/>
          <w:docGrid w:linePitch="360"/>
        </w:sectPr>
      </w:pPr>
      <w:bookmarkStart w:id="59" w:name="DOC_TBL00001_1_1_1"/>
      <w:bookmarkEnd w:id="59"/>
      <w:r>
        <w:t xml:space="preserve"> </w:t>
      </w:r>
      <w:bookmarkEnd w:id="56"/>
    </w:p>
    <w:p w:rsidR="00F50689" w:rsidRDefault="005A36C4" w:rsidP="00F50689">
      <w:pPr>
        <w:pStyle w:val="HEADERTABLE"/>
        <w:rPr>
          <w:lang w:val="fr-BE"/>
        </w:rPr>
      </w:pPr>
      <w:bookmarkStart w:id="60" w:name="_DMBM_3505"/>
      <w:proofErr w:type="spellStart"/>
      <w:r>
        <w:rPr>
          <w:lang w:val="fr-BE"/>
        </w:rPr>
        <w:t>Property</w:t>
      </w:r>
      <w:proofErr w:type="spellEnd"/>
      <w:r>
        <w:rPr>
          <w:lang w:val="fr-BE"/>
        </w:rPr>
        <w:t xml:space="preserve">, plant and </w:t>
      </w:r>
      <w:proofErr w:type="spellStart"/>
      <w:r>
        <w:rPr>
          <w:lang w:val="fr-BE"/>
        </w:rPr>
        <w:t>equipment</w:t>
      </w:r>
      <w:proofErr w:type="spellEnd"/>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1045"/>
        <w:gridCol w:w="1329"/>
        <w:gridCol w:w="1329"/>
        <w:gridCol w:w="1329"/>
        <w:gridCol w:w="1329"/>
        <w:gridCol w:w="1152"/>
        <w:gridCol w:w="1417"/>
        <w:gridCol w:w="1418"/>
      </w:tblGrid>
      <w:tr w:rsidR="00E7728E">
        <w:tc>
          <w:tcPr>
            <w:tcW w:w="4219"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rPr>
            </w:pPr>
            <w:bookmarkStart w:id="61" w:name="DOC_TBL00008_1_1"/>
            <w:bookmarkEnd w:id="61"/>
          </w:p>
        </w:tc>
        <w:tc>
          <w:tcPr>
            <w:tcW w:w="1045"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329"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329"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329"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329"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15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17"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rPr>
                <w:rFonts w:cs="Verdana"/>
              </w:rPr>
              <w:t>EUR millions</w:t>
            </w:r>
          </w:p>
        </w:tc>
      </w:tr>
      <w:tr w:rsidR="00E7728E">
        <w:tc>
          <w:tcPr>
            <w:tcW w:w="4219"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104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rPr>
                <w:rFonts w:cs="Verdana"/>
              </w:rPr>
              <w:t>Land and Buildings</w:t>
            </w:r>
          </w:p>
        </w:tc>
        <w:tc>
          <w:tcPr>
            <w:tcW w:w="132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rPr>
                <w:rFonts w:cs="Verdana"/>
              </w:rPr>
              <w:t>Plant and Equipment</w:t>
            </w:r>
          </w:p>
        </w:tc>
        <w:tc>
          <w:tcPr>
            <w:tcW w:w="132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rPr>
                <w:rFonts w:cs="Verdana"/>
              </w:rPr>
              <w:t>Furniture and Vehicles</w:t>
            </w:r>
          </w:p>
        </w:tc>
        <w:tc>
          <w:tcPr>
            <w:tcW w:w="132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rPr>
                <w:rFonts w:cs="Verdana"/>
              </w:rPr>
              <w:t>Computer Hardware</w:t>
            </w:r>
          </w:p>
        </w:tc>
        <w:tc>
          <w:tcPr>
            <w:tcW w:w="132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rPr>
                <w:rFonts w:cs="Verdana"/>
              </w:rPr>
              <w:t>Other</w:t>
            </w:r>
          </w:p>
        </w:tc>
        <w:tc>
          <w:tcPr>
            <w:tcW w:w="115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rPr>
                <w:rFonts w:cs="Verdana"/>
              </w:rPr>
              <w:t>Finance leases</w:t>
            </w:r>
          </w:p>
        </w:tc>
        <w:tc>
          <w:tcPr>
            <w:tcW w:w="141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rPr>
                <w:rFonts w:cs="Verdana"/>
              </w:rPr>
              <w:t xml:space="preserve"> Assets under construction</w:t>
            </w:r>
          </w:p>
        </w:tc>
        <w:tc>
          <w:tcPr>
            <w:tcW w:w="1418" w:type="dxa"/>
            <w:tcBorders>
              <w:top w:val="nil"/>
              <w:left w:val="nil"/>
              <w:bottom w:val="nil"/>
              <w:right w:val="nil"/>
            </w:tcBorders>
            <w:shd w:val="clear" w:color="auto" w:fill="016794"/>
            <w:tcMar>
              <w:top w:w="0" w:type="dxa"/>
              <w:left w:w="0" w:type="dxa"/>
              <w:bottom w:w="0" w:type="dxa"/>
              <w:right w:w="0" w:type="dxa"/>
            </w:tcMar>
          </w:tcPr>
          <w:p w:rsidR="00F50689" w:rsidRDefault="005A36C4" w:rsidP="00A675FE">
            <w:pPr>
              <w:pStyle w:val="Heading9pNormalCentered"/>
              <w:rPr>
                <w:rFonts w:cs="Verdana"/>
              </w:rPr>
            </w:pPr>
            <w:r>
              <w:rPr>
                <w:rFonts w:cs="Verdana"/>
              </w:rPr>
              <w:t>Total</w:t>
            </w:r>
          </w:p>
        </w:tc>
      </w:tr>
      <w:tr w:rsidR="00E7728E">
        <w:tc>
          <w:tcPr>
            <w:tcW w:w="421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Gross carrying amount at 31.12.2013</w:t>
            </w:r>
          </w:p>
        </w:tc>
        <w:tc>
          <w:tcPr>
            <w:tcW w:w="104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4 660</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608</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233</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596</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248</w:t>
            </w:r>
          </w:p>
        </w:tc>
        <w:tc>
          <w:tcPr>
            <w:tcW w:w="11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2 692</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1 599</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10 635</w:t>
            </w:r>
          </w:p>
        </w:tc>
      </w:tr>
      <w:tr w:rsidR="00E7728E">
        <w:tc>
          <w:tcPr>
            <w:tcW w:w="421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Additions</w:t>
            </w:r>
          </w:p>
        </w:tc>
        <w:tc>
          <w:tcPr>
            <w:tcW w:w="104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30</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342</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18</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59</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31</w:t>
            </w:r>
          </w:p>
        </w:tc>
        <w:tc>
          <w:tcPr>
            <w:tcW w:w="11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9</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1 779</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2 267</w:t>
            </w:r>
          </w:p>
        </w:tc>
      </w:tr>
      <w:tr w:rsidR="00E7728E">
        <w:tc>
          <w:tcPr>
            <w:tcW w:w="421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Disposals</w:t>
            </w:r>
          </w:p>
        </w:tc>
        <w:tc>
          <w:tcPr>
            <w:tcW w:w="104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(9)</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(58)</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(20)</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(49)</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(22)</w:t>
            </w:r>
          </w:p>
        </w:tc>
        <w:tc>
          <w:tcPr>
            <w:tcW w:w="11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0</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(6)</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(164)</w:t>
            </w:r>
          </w:p>
        </w:tc>
      </w:tr>
      <w:tr w:rsidR="00E7728E">
        <w:tc>
          <w:tcPr>
            <w:tcW w:w="421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Transfer between asset categories</w:t>
            </w:r>
          </w:p>
        </w:tc>
        <w:tc>
          <w:tcPr>
            <w:tcW w:w="104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84</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98</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10</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8</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w:t>
            </w:r>
          </w:p>
        </w:tc>
        <w:tc>
          <w:tcPr>
            <w:tcW w:w="11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(8)</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(195)</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r>
      <w:tr w:rsidR="00E7728E">
        <w:tc>
          <w:tcPr>
            <w:tcW w:w="421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Other changes</w:t>
            </w:r>
          </w:p>
        </w:tc>
        <w:tc>
          <w:tcPr>
            <w:tcW w:w="104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10</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w:t>
            </w:r>
          </w:p>
        </w:tc>
        <w:tc>
          <w:tcPr>
            <w:tcW w:w="11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17</w:t>
            </w:r>
          </w:p>
        </w:tc>
      </w:tr>
      <w:tr w:rsidR="00E7728E">
        <w:tc>
          <w:tcPr>
            <w:tcW w:w="421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Gross carrying amount at 31.12.2014</w:t>
            </w:r>
          </w:p>
        </w:tc>
        <w:tc>
          <w:tcPr>
            <w:tcW w:w="104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4 768</w:t>
            </w:r>
          </w:p>
        </w:tc>
        <w:tc>
          <w:tcPr>
            <w:tcW w:w="132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 xml:space="preserve"> 990</w:t>
            </w:r>
          </w:p>
        </w:tc>
        <w:tc>
          <w:tcPr>
            <w:tcW w:w="132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 xml:space="preserve"> 242</w:t>
            </w:r>
          </w:p>
        </w:tc>
        <w:tc>
          <w:tcPr>
            <w:tcW w:w="132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 xml:space="preserve"> 623</w:t>
            </w:r>
          </w:p>
        </w:tc>
        <w:tc>
          <w:tcPr>
            <w:tcW w:w="132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 xml:space="preserve"> 261</w:t>
            </w:r>
          </w:p>
        </w:tc>
        <w:tc>
          <w:tcPr>
            <w:tcW w:w="115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2 693</w:t>
            </w:r>
          </w:p>
        </w:tc>
        <w:tc>
          <w:tcPr>
            <w:tcW w:w="141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3 176</w:t>
            </w:r>
          </w:p>
        </w:tc>
        <w:tc>
          <w:tcPr>
            <w:tcW w:w="141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12 754</w:t>
            </w:r>
          </w:p>
        </w:tc>
      </w:tr>
      <w:tr w:rsidR="00E7728E">
        <w:tc>
          <w:tcPr>
            <w:tcW w:w="421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Accumulated depreciation at 31.12.2013</w:t>
            </w:r>
          </w:p>
        </w:tc>
        <w:tc>
          <w:tcPr>
            <w:tcW w:w="104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(2 399)</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(474)</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(168)</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(461)</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(166)</w:t>
            </w:r>
          </w:p>
        </w:tc>
        <w:tc>
          <w:tcPr>
            <w:tcW w:w="11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(863)</w:t>
            </w:r>
          </w:p>
        </w:tc>
        <w:tc>
          <w:tcPr>
            <w:tcW w:w="1417"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(4 531)</w:t>
            </w:r>
          </w:p>
        </w:tc>
      </w:tr>
      <w:tr w:rsidR="00E7728E">
        <w:tc>
          <w:tcPr>
            <w:tcW w:w="421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Depreciation charge for the year</w:t>
            </w:r>
          </w:p>
        </w:tc>
        <w:tc>
          <w:tcPr>
            <w:tcW w:w="104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(153)</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(65)</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(17)</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(74)</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(25)</w:t>
            </w:r>
          </w:p>
        </w:tc>
        <w:tc>
          <w:tcPr>
            <w:tcW w:w="11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(95)</w:t>
            </w:r>
          </w:p>
        </w:tc>
        <w:tc>
          <w:tcPr>
            <w:tcW w:w="1417"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(429)</w:t>
            </w:r>
          </w:p>
        </w:tc>
      </w:tr>
      <w:tr w:rsidR="00E7728E">
        <w:tc>
          <w:tcPr>
            <w:tcW w:w="421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Depreciation written back</w:t>
            </w:r>
          </w:p>
        </w:tc>
        <w:tc>
          <w:tcPr>
            <w:tcW w:w="104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16</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0</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3</w:t>
            </w:r>
          </w:p>
        </w:tc>
        <w:tc>
          <w:tcPr>
            <w:tcW w:w="11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417"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21</w:t>
            </w:r>
          </w:p>
        </w:tc>
      </w:tr>
      <w:tr w:rsidR="00E7728E">
        <w:tc>
          <w:tcPr>
            <w:tcW w:w="421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Disposals</w:t>
            </w:r>
          </w:p>
        </w:tc>
        <w:tc>
          <w:tcPr>
            <w:tcW w:w="104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4</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42</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18</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47</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18</w:t>
            </w:r>
          </w:p>
        </w:tc>
        <w:tc>
          <w:tcPr>
            <w:tcW w:w="11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0</w:t>
            </w:r>
          </w:p>
        </w:tc>
        <w:tc>
          <w:tcPr>
            <w:tcW w:w="1417"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128</w:t>
            </w:r>
          </w:p>
        </w:tc>
      </w:tr>
      <w:tr w:rsidR="00E7728E">
        <w:tc>
          <w:tcPr>
            <w:tcW w:w="421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Transfer between asset categories</w:t>
            </w:r>
          </w:p>
        </w:tc>
        <w:tc>
          <w:tcPr>
            <w:tcW w:w="104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4</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(8)</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w:t>
            </w:r>
          </w:p>
        </w:tc>
        <w:tc>
          <w:tcPr>
            <w:tcW w:w="11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7</w:t>
            </w:r>
          </w:p>
        </w:tc>
        <w:tc>
          <w:tcPr>
            <w:tcW w:w="1417"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r>
      <w:tr w:rsidR="00E7728E">
        <w:tc>
          <w:tcPr>
            <w:tcW w:w="421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Other changes</w:t>
            </w:r>
          </w:p>
        </w:tc>
        <w:tc>
          <w:tcPr>
            <w:tcW w:w="104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0</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(6)</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w:t>
            </w:r>
          </w:p>
        </w:tc>
        <w:tc>
          <w:tcPr>
            <w:tcW w:w="11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417"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(8)</w:t>
            </w:r>
          </w:p>
        </w:tc>
      </w:tr>
      <w:tr w:rsidR="00E7728E">
        <w:tc>
          <w:tcPr>
            <w:tcW w:w="421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Accumulated depreciation at 31.12.2014</w:t>
            </w:r>
          </w:p>
        </w:tc>
        <w:tc>
          <w:tcPr>
            <w:tcW w:w="104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(2 549)</w:t>
            </w:r>
          </w:p>
        </w:tc>
        <w:tc>
          <w:tcPr>
            <w:tcW w:w="132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 xml:space="preserve"> (477)</w:t>
            </w:r>
          </w:p>
        </w:tc>
        <w:tc>
          <w:tcPr>
            <w:tcW w:w="132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 xml:space="preserve"> (168)</w:t>
            </w:r>
          </w:p>
        </w:tc>
        <w:tc>
          <w:tcPr>
            <w:tcW w:w="132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 xml:space="preserve"> (501)</w:t>
            </w:r>
          </w:p>
        </w:tc>
        <w:tc>
          <w:tcPr>
            <w:tcW w:w="132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 xml:space="preserve"> (173)</w:t>
            </w:r>
          </w:p>
        </w:tc>
        <w:tc>
          <w:tcPr>
            <w:tcW w:w="115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 xml:space="preserve"> (950)</w:t>
            </w:r>
          </w:p>
        </w:tc>
        <w:tc>
          <w:tcPr>
            <w:tcW w:w="1417"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9pBoldRight025"/>
              <w:rPr>
                <w:rFonts w:cs="Verdana"/>
              </w:rPr>
            </w:pPr>
          </w:p>
        </w:tc>
        <w:tc>
          <w:tcPr>
            <w:tcW w:w="141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(4 817)</w:t>
            </w:r>
          </w:p>
        </w:tc>
      </w:tr>
      <w:tr w:rsidR="00E7728E">
        <w:tc>
          <w:tcPr>
            <w:tcW w:w="4219" w:type="dxa"/>
            <w:tcBorders>
              <w:top w:val="nil"/>
              <w:left w:val="nil"/>
              <w:bottom w:val="nil"/>
              <w:right w:val="nil"/>
            </w:tcBorders>
            <w:tcMar>
              <w:top w:w="0" w:type="dxa"/>
              <w:left w:w="0" w:type="dxa"/>
              <w:bottom w:w="0" w:type="dxa"/>
              <w:right w:w="0" w:type="dxa"/>
            </w:tcMar>
          </w:tcPr>
          <w:p w:rsidR="00F50689" w:rsidRDefault="00F50689" w:rsidP="00F50689">
            <w:pPr>
              <w:pStyle w:val="Text9pItalicLeft"/>
              <w:rPr>
                <w:rFonts w:cs="Verdana"/>
              </w:rPr>
            </w:pPr>
          </w:p>
        </w:tc>
        <w:tc>
          <w:tcPr>
            <w:tcW w:w="104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32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32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32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32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5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417"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418"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r>
      <w:tr w:rsidR="00E7728E">
        <w:tc>
          <w:tcPr>
            <w:tcW w:w="421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NET CARRYING AMOUNT AT 31.12.2014</w:t>
            </w:r>
          </w:p>
        </w:tc>
        <w:tc>
          <w:tcPr>
            <w:tcW w:w="104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2 219</w:t>
            </w:r>
          </w:p>
        </w:tc>
        <w:tc>
          <w:tcPr>
            <w:tcW w:w="132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 xml:space="preserve"> 513</w:t>
            </w:r>
          </w:p>
        </w:tc>
        <w:tc>
          <w:tcPr>
            <w:tcW w:w="132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 xml:space="preserve"> 74</w:t>
            </w:r>
          </w:p>
        </w:tc>
        <w:tc>
          <w:tcPr>
            <w:tcW w:w="132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 xml:space="preserve"> 122</w:t>
            </w:r>
          </w:p>
        </w:tc>
        <w:tc>
          <w:tcPr>
            <w:tcW w:w="132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 xml:space="preserve"> 89</w:t>
            </w:r>
          </w:p>
        </w:tc>
        <w:tc>
          <w:tcPr>
            <w:tcW w:w="115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1 743</w:t>
            </w:r>
          </w:p>
        </w:tc>
        <w:tc>
          <w:tcPr>
            <w:tcW w:w="141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3 176</w:t>
            </w:r>
          </w:p>
        </w:tc>
        <w:tc>
          <w:tcPr>
            <w:tcW w:w="141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7 937</w:t>
            </w:r>
          </w:p>
        </w:tc>
      </w:tr>
      <w:tr w:rsidR="00E7728E">
        <w:tc>
          <w:tcPr>
            <w:tcW w:w="421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NET CARRYING AMOUNT AT 31.12.2013</w:t>
            </w:r>
          </w:p>
        </w:tc>
        <w:tc>
          <w:tcPr>
            <w:tcW w:w="104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2 261</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134</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65</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134</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83</w:t>
            </w:r>
          </w:p>
        </w:tc>
        <w:tc>
          <w:tcPr>
            <w:tcW w:w="11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1 829</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1 599</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6 104</w:t>
            </w:r>
          </w:p>
        </w:tc>
      </w:tr>
    </w:tbl>
    <w:p w:rsidR="00F50689" w:rsidRPr="00EB6B2F" w:rsidRDefault="005A36C4" w:rsidP="00F50689">
      <w:pPr>
        <w:pStyle w:val="HEADERTABLE"/>
        <w:rPr>
          <w:lang w:val="fr-BE"/>
        </w:rPr>
        <w:sectPr w:rsidR="00F50689" w:rsidRPr="00EB6B2F" w:rsidSect="00F50689">
          <w:headerReference w:type="even" r:id="rId131"/>
          <w:headerReference w:type="default" r:id="rId132"/>
          <w:footerReference w:type="even" r:id="rId133"/>
          <w:footerReference w:type="default" r:id="rId134"/>
          <w:headerReference w:type="first" r:id="rId135"/>
          <w:footerReference w:type="first" r:id="rId136"/>
          <w:pgSz w:w="16838" w:h="11906" w:orient="landscape"/>
          <w:pgMar w:top="1134" w:right="1134" w:bottom="1134" w:left="1134" w:header="708" w:footer="708" w:gutter="0"/>
          <w:cols w:space="708"/>
          <w:docGrid w:linePitch="360"/>
        </w:sectPr>
      </w:pPr>
      <w:r>
        <w:rPr>
          <w:lang w:val="fr-BE"/>
        </w:rPr>
        <w:t xml:space="preserve"> </w:t>
      </w:r>
      <w:bookmarkEnd w:id="60"/>
    </w:p>
    <w:p w:rsidR="00F50689" w:rsidRDefault="005A36C4" w:rsidP="00F50689">
      <w:pPr>
        <w:pStyle w:val="HEADER2Part2"/>
        <w:spacing w:after="0"/>
      </w:pPr>
      <w:bookmarkStart w:id="62" w:name="_DMBM_2625"/>
      <w:r w:rsidRPr="006B7CE1">
        <w:t>INVESTMENTS ACCOUNTED FOR USING THE EQUITY METHOD</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lang w:bidi="en-GB"/>
              </w:rPr>
            </w:pPr>
            <w:bookmarkStart w:id="63" w:name="DOC_TBL00009_1_1"/>
            <w:bookmarkEnd w:id="63"/>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lang w:bidi="en-GB"/>
              </w:rPr>
            </w:pPr>
            <w:r>
              <w:rPr>
                <w:rFonts w:eastAsia="Verdana" w:cs="Verdana"/>
                <w:lang w:bidi="en-GB"/>
              </w:rPr>
              <w:t>EUR millions</w:t>
            </w:r>
          </w:p>
        </w:tc>
      </w:tr>
      <w:tr w:rsidR="00E7728E">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lang w:bidi="en-GB"/>
              </w:rPr>
            </w:pP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lang w:bidi="en-GB"/>
              </w:rPr>
            </w:pPr>
            <w:r>
              <w:rPr>
                <w:rFonts w:eastAsia="Verdana" w:cs="Verdana"/>
                <w:lang w:bidi="en-GB"/>
              </w:rPr>
              <w:t>Note</w:t>
            </w:r>
          </w:p>
        </w:tc>
        <w:tc>
          <w:tcPr>
            <w:tcW w:w="184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lang w:bidi="en-GB"/>
              </w:rPr>
            </w:pPr>
            <w:r>
              <w:rPr>
                <w:rFonts w:eastAsia="Verdana" w:cs="Verdana"/>
                <w:lang w:bidi="en-GB"/>
              </w:rPr>
              <w:t>31.12.2014</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lang w:bidi="en-GB"/>
              </w:rPr>
            </w:pPr>
            <w:r>
              <w:rPr>
                <w:rFonts w:eastAsia="Verdana" w:cs="Verdana"/>
                <w:lang w:bidi="en-GB"/>
              </w:rPr>
              <w:t>31.12.2013</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bidi="en-GB"/>
              </w:rPr>
            </w:pPr>
            <w:r>
              <w:rPr>
                <w:rFonts w:eastAsia="Verdana" w:cs="Verdana"/>
                <w:lang w:bidi="en-GB"/>
              </w:rPr>
              <w:t>Participations in joint ventures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lang w:bidi="en-GB"/>
              </w:rPr>
            </w:pPr>
            <w:r>
              <w:rPr>
                <w:rFonts w:eastAsia="Verdana" w:cs="Verdana"/>
                <w:lang w:bidi="en-GB"/>
              </w:rPr>
              <w:t>2.3.1</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bidi="en-GB"/>
              </w:rPr>
            </w:pPr>
            <w:r>
              <w:rPr>
                <w:rFonts w:eastAsia="Verdana" w:cs="Verdana"/>
                <w:lang w:bidi="en-GB"/>
              </w:rPr>
              <w:t>Participations in associates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lang w:bidi="en-GB"/>
              </w:rPr>
            </w:pPr>
            <w:r>
              <w:rPr>
                <w:rFonts w:eastAsia="Verdana" w:cs="Verdana"/>
                <w:lang w:bidi="en-GB"/>
              </w:rPr>
              <w:t>2.3.2</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409</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349</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eastAsia="Verdana" w:cs="Verdana"/>
                <w:lang w:bidi="en-GB"/>
              </w:rPr>
            </w:pPr>
            <w:r>
              <w:rPr>
                <w:rFonts w:eastAsia="Verdana" w:cs="Verdana"/>
                <w:lang w:bidi="en-GB"/>
              </w:rPr>
              <w:t>Total</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lang w:bidi="en-GB"/>
              </w:rPr>
            </w:pPr>
            <w:r>
              <w:rPr>
                <w:rFonts w:eastAsia="Verdana" w:cs="Verdana"/>
                <w:lang w:bidi="en-GB"/>
              </w:rPr>
              <w:t xml:space="preserve"> 409</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lang w:bidi="en-GB"/>
              </w:rPr>
            </w:pPr>
            <w:r>
              <w:rPr>
                <w:rFonts w:eastAsia="Verdana" w:cs="Verdana"/>
                <w:lang w:bidi="en-GB"/>
              </w:rPr>
              <w:t xml:space="preserve"> 349</w:t>
            </w:r>
          </w:p>
        </w:tc>
      </w:tr>
    </w:tbl>
    <w:p w:rsidR="00F50689" w:rsidRDefault="005A36C4" w:rsidP="00F50689">
      <w:pPr>
        <w:pStyle w:val="DGTextstand-alone"/>
      </w:pPr>
      <w:r>
        <w:t xml:space="preserve">Participations in joint ventures and associates are accounted for using the equity method. </w:t>
      </w:r>
    </w:p>
    <w:p w:rsidR="00F50689" w:rsidRDefault="005A36C4" w:rsidP="00F50689">
      <w:pPr>
        <w:pStyle w:val="HEADER3Part2"/>
        <w:spacing w:after="0"/>
      </w:pPr>
      <w:r>
        <w:t>Participations in joint ventures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900"/>
        <w:gridCol w:w="900"/>
        <w:gridCol w:w="900"/>
        <w:gridCol w:w="900"/>
        <w:gridCol w:w="900"/>
        <w:gridCol w:w="900"/>
        <w:gridCol w:w="900"/>
        <w:gridCol w:w="999"/>
      </w:tblGrid>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Pr="00A00043" w:rsidRDefault="00F50689" w:rsidP="00F50689">
            <w:pPr>
              <w:pStyle w:val="Text8pItalicLeft"/>
              <w:rPr>
                <w:rFonts w:eastAsia="Verdana" w:cs="Verdana"/>
                <w:color w:val="FFFFFF"/>
                <w:lang w:bidi="en-GB"/>
              </w:rPr>
            </w:pPr>
            <w:bookmarkStart w:id="64" w:name="DOC_TBL00010_1_1"/>
            <w:bookmarkEnd w:id="64"/>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F50689" w:rsidP="00F50689">
            <w:pPr>
              <w:pStyle w:val="Text8pItalicRight025EUR"/>
              <w:rPr>
                <w:rFonts w:eastAsia="Verdana" w:cs="Verdana"/>
                <w:i w:val="0"/>
                <w:lang w:bidi="en-GB"/>
              </w:rPr>
            </w:pP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F50689" w:rsidP="00F50689">
            <w:pPr>
              <w:pStyle w:val="Text8pItalicRight025EUR"/>
              <w:rPr>
                <w:rFonts w:eastAsia="Verdana" w:cs="Verdana"/>
                <w:i w:val="0"/>
                <w:lang w:bidi="en-GB"/>
              </w:rPr>
            </w:pP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F50689" w:rsidP="00F50689">
            <w:pPr>
              <w:pStyle w:val="Text8pItalicRight025EUR"/>
              <w:rPr>
                <w:rFonts w:eastAsia="Verdana" w:cs="Verdana"/>
                <w:i w:val="0"/>
                <w:lang w:bidi="en-GB"/>
              </w:rPr>
            </w:pP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F50689" w:rsidP="00F50689">
            <w:pPr>
              <w:pStyle w:val="Text8pItalicRight025EUR"/>
              <w:rPr>
                <w:rFonts w:eastAsia="Verdana" w:cs="Verdana"/>
                <w:i w:val="0"/>
                <w:lang w:bidi="en-GB"/>
              </w:rPr>
            </w:pP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F50689" w:rsidP="00F50689">
            <w:pPr>
              <w:pStyle w:val="Text8pItalicRight025EUR"/>
              <w:rPr>
                <w:rFonts w:eastAsia="Verdana" w:cs="Verdana"/>
                <w:i w:val="0"/>
                <w:lang w:bidi="en-GB"/>
              </w:rPr>
            </w:pP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F50689" w:rsidP="00F50689">
            <w:pPr>
              <w:pStyle w:val="Text8pItalicRight025EUR"/>
              <w:rPr>
                <w:rFonts w:eastAsia="Verdana" w:cs="Verdana"/>
                <w:i w:val="0"/>
                <w:lang w:bidi="en-GB"/>
              </w:rPr>
            </w:pPr>
          </w:p>
        </w:tc>
        <w:tc>
          <w:tcPr>
            <w:tcW w:w="1899" w:type="dxa"/>
            <w:gridSpan w:val="2"/>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Text8pItalicRight025EUR"/>
              <w:rPr>
                <w:rFonts w:eastAsia="Verdana" w:cs="Verdana"/>
                <w:lang w:bidi="en-GB"/>
              </w:rPr>
            </w:pPr>
            <w:r w:rsidRPr="00A00043">
              <w:rPr>
                <w:rFonts w:eastAsia="Verdana" w:cs="Verdana"/>
                <w:lang w:bidi="en-GB"/>
              </w:rPr>
              <w:t>EUR millions</w:t>
            </w:r>
          </w:p>
        </w:tc>
      </w:tr>
      <w:tr w:rsidR="00E7728E">
        <w:tc>
          <w:tcPr>
            <w:tcW w:w="2448" w:type="dxa"/>
            <w:tcBorders>
              <w:top w:val="nil"/>
              <w:left w:val="nil"/>
              <w:bottom w:val="nil"/>
              <w:right w:val="nil"/>
            </w:tcBorders>
            <w:shd w:val="clear" w:color="auto" w:fill="016794"/>
            <w:tcMar>
              <w:top w:w="0" w:type="dxa"/>
              <w:left w:w="0" w:type="dxa"/>
              <w:bottom w:w="0" w:type="dxa"/>
              <w:right w:w="0" w:type="dxa"/>
            </w:tcMar>
          </w:tcPr>
          <w:p w:rsidR="00F50689" w:rsidRPr="00A00043" w:rsidRDefault="00F50689" w:rsidP="00F50689">
            <w:pPr>
              <w:pStyle w:val="Heading7pNormalRight01"/>
              <w:rPr>
                <w:rFonts w:eastAsia="Verdana" w:cs="Verdana"/>
                <w:lang w:bidi="en-GB"/>
              </w:rPr>
            </w:pPr>
          </w:p>
        </w:tc>
        <w:tc>
          <w:tcPr>
            <w:tcW w:w="900" w:type="dxa"/>
            <w:tcBorders>
              <w:top w:val="nil"/>
              <w:left w:val="nil"/>
              <w:bottom w:val="nil"/>
              <w:right w:val="nil"/>
            </w:tcBorders>
            <w:shd w:val="clear" w:color="auto" w:fill="016794"/>
            <w:tcMar>
              <w:top w:w="0" w:type="dxa"/>
              <w:left w:w="0" w:type="dxa"/>
              <w:bottom w:w="0" w:type="dxa"/>
              <w:right w:w="0" w:type="dxa"/>
            </w:tcMar>
          </w:tcPr>
          <w:p w:rsidR="00F50689" w:rsidRPr="00A00043" w:rsidRDefault="005A36C4" w:rsidP="00F50689">
            <w:pPr>
              <w:pStyle w:val="Heading7pNormalRight025"/>
              <w:rPr>
                <w:rFonts w:eastAsia="Verdana" w:cs="Verdana"/>
                <w:lang w:bidi="en-GB"/>
              </w:rPr>
            </w:pPr>
            <w:r w:rsidRPr="00A00043">
              <w:rPr>
                <w:rFonts w:eastAsia="Verdana" w:cs="Verdana"/>
                <w:lang w:bidi="en-GB"/>
              </w:rPr>
              <w:t>GJU</w:t>
            </w:r>
          </w:p>
        </w:tc>
        <w:tc>
          <w:tcPr>
            <w:tcW w:w="900" w:type="dxa"/>
            <w:tcBorders>
              <w:top w:val="nil"/>
              <w:left w:val="nil"/>
              <w:bottom w:val="nil"/>
              <w:right w:val="nil"/>
            </w:tcBorders>
            <w:shd w:val="clear" w:color="auto" w:fill="016794"/>
            <w:tcMar>
              <w:top w:w="0" w:type="dxa"/>
              <w:left w:w="0" w:type="dxa"/>
              <w:bottom w:w="0" w:type="dxa"/>
              <w:right w:w="0" w:type="dxa"/>
            </w:tcMar>
          </w:tcPr>
          <w:p w:rsidR="00F50689" w:rsidRPr="00A00043" w:rsidRDefault="005A36C4" w:rsidP="00F50689">
            <w:pPr>
              <w:pStyle w:val="Heading7pNormalRight025"/>
              <w:rPr>
                <w:rFonts w:eastAsia="Verdana" w:cs="Verdana"/>
                <w:lang w:bidi="en-GB"/>
              </w:rPr>
            </w:pPr>
            <w:r w:rsidRPr="00A00043">
              <w:rPr>
                <w:rFonts w:eastAsia="Verdana" w:cs="Verdana"/>
                <w:lang w:bidi="en-GB"/>
              </w:rPr>
              <w:t>SESAR</w:t>
            </w:r>
          </w:p>
        </w:tc>
        <w:tc>
          <w:tcPr>
            <w:tcW w:w="900" w:type="dxa"/>
            <w:tcBorders>
              <w:top w:val="nil"/>
              <w:left w:val="nil"/>
              <w:bottom w:val="nil"/>
              <w:right w:val="nil"/>
            </w:tcBorders>
            <w:shd w:val="clear" w:color="auto" w:fill="016794"/>
            <w:tcMar>
              <w:top w:w="0" w:type="dxa"/>
              <w:left w:w="0" w:type="dxa"/>
              <w:bottom w:w="0" w:type="dxa"/>
              <w:right w:w="0" w:type="dxa"/>
            </w:tcMar>
          </w:tcPr>
          <w:p w:rsidR="00F50689" w:rsidRPr="00A00043" w:rsidRDefault="005A36C4" w:rsidP="00F50689">
            <w:pPr>
              <w:pStyle w:val="Heading7pNormalRight025"/>
              <w:rPr>
                <w:rFonts w:eastAsia="Verdana" w:cs="Verdana"/>
                <w:lang w:bidi="en-GB"/>
              </w:rPr>
            </w:pPr>
            <w:r w:rsidRPr="00A00043">
              <w:rPr>
                <w:rFonts w:eastAsia="Verdana" w:cs="Verdana"/>
                <w:lang w:bidi="en-GB"/>
              </w:rPr>
              <w:t>ITER</w:t>
            </w:r>
          </w:p>
        </w:tc>
        <w:tc>
          <w:tcPr>
            <w:tcW w:w="900" w:type="dxa"/>
            <w:tcBorders>
              <w:top w:val="nil"/>
              <w:left w:val="nil"/>
              <w:bottom w:val="nil"/>
              <w:right w:val="nil"/>
            </w:tcBorders>
            <w:shd w:val="clear" w:color="auto" w:fill="016794"/>
            <w:tcMar>
              <w:top w:w="0" w:type="dxa"/>
              <w:left w:w="0" w:type="dxa"/>
              <w:bottom w:w="0" w:type="dxa"/>
              <w:right w:w="0" w:type="dxa"/>
            </w:tcMar>
          </w:tcPr>
          <w:p w:rsidR="00F50689" w:rsidRPr="00A00043" w:rsidRDefault="005A36C4" w:rsidP="00F50689">
            <w:pPr>
              <w:pStyle w:val="Heading7pNormalRight025"/>
              <w:rPr>
                <w:rFonts w:eastAsia="Verdana" w:cs="Verdana"/>
                <w:lang w:bidi="en-GB"/>
              </w:rPr>
            </w:pPr>
            <w:r w:rsidRPr="00A00043">
              <w:rPr>
                <w:rFonts w:eastAsia="Verdana" w:cs="Verdana"/>
                <w:lang w:bidi="en-GB"/>
              </w:rPr>
              <w:t>Clean Sky</w:t>
            </w:r>
          </w:p>
        </w:tc>
        <w:tc>
          <w:tcPr>
            <w:tcW w:w="900" w:type="dxa"/>
            <w:tcBorders>
              <w:top w:val="nil"/>
              <w:left w:val="nil"/>
              <w:bottom w:val="nil"/>
              <w:right w:val="nil"/>
            </w:tcBorders>
            <w:shd w:val="clear" w:color="auto" w:fill="016794"/>
            <w:tcMar>
              <w:top w:w="0" w:type="dxa"/>
              <w:left w:w="0" w:type="dxa"/>
              <w:bottom w:w="0" w:type="dxa"/>
              <w:right w:w="0" w:type="dxa"/>
            </w:tcMar>
          </w:tcPr>
          <w:p w:rsidR="00F50689" w:rsidRPr="00A00043" w:rsidRDefault="005A36C4" w:rsidP="00F50689">
            <w:pPr>
              <w:pStyle w:val="Heading7pNormalRight025"/>
              <w:rPr>
                <w:rFonts w:eastAsia="Verdana" w:cs="Verdana"/>
                <w:lang w:bidi="en-GB"/>
              </w:rPr>
            </w:pPr>
            <w:r w:rsidRPr="00A00043">
              <w:rPr>
                <w:rFonts w:eastAsia="Verdana" w:cs="Verdana"/>
                <w:lang w:bidi="en-GB"/>
              </w:rPr>
              <w:t>IMI</w:t>
            </w:r>
          </w:p>
        </w:tc>
        <w:tc>
          <w:tcPr>
            <w:tcW w:w="900" w:type="dxa"/>
            <w:tcBorders>
              <w:top w:val="nil"/>
              <w:left w:val="nil"/>
              <w:bottom w:val="nil"/>
              <w:right w:val="nil"/>
            </w:tcBorders>
            <w:shd w:val="clear" w:color="auto" w:fill="016794"/>
            <w:tcMar>
              <w:top w:w="0" w:type="dxa"/>
              <w:left w:w="0" w:type="dxa"/>
              <w:bottom w:w="0" w:type="dxa"/>
              <w:right w:w="0" w:type="dxa"/>
            </w:tcMar>
          </w:tcPr>
          <w:p w:rsidR="00F50689" w:rsidRPr="00A00043" w:rsidRDefault="005A36C4" w:rsidP="00F50689">
            <w:pPr>
              <w:pStyle w:val="Heading7pNormalRight025"/>
              <w:rPr>
                <w:rFonts w:eastAsia="Verdana" w:cs="Verdana"/>
                <w:lang w:bidi="en-GB"/>
              </w:rPr>
            </w:pPr>
            <w:r w:rsidRPr="00A00043">
              <w:rPr>
                <w:rFonts w:eastAsia="Verdana" w:cs="Verdana"/>
                <w:lang w:bidi="en-GB"/>
              </w:rPr>
              <w:t>ECSEL</w:t>
            </w:r>
          </w:p>
        </w:tc>
        <w:tc>
          <w:tcPr>
            <w:tcW w:w="900" w:type="dxa"/>
            <w:tcBorders>
              <w:top w:val="nil"/>
              <w:left w:val="nil"/>
              <w:bottom w:val="nil"/>
              <w:right w:val="nil"/>
            </w:tcBorders>
            <w:shd w:val="clear" w:color="auto" w:fill="016794"/>
            <w:tcMar>
              <w:top w:w="0" w:type="dxa"/>
              <w:left w:w="0" w:type="dxa"/>
              <w:bottom w:w="0" w:type="dxa"/>
              <w:right w:w="0" w:type="dxa"/>
            </w:tcMar>
          </w:tcPr>
          <w:p w:rsidR="00F50689" w:rsidRPr="00A00043" w:rsidRDefault="005A36C4" w:rsidP="00F50689">
            <w:pPr>
              <w:pStyle w:val="Heading7pNormalRight025"/>
              <w:rPr>
                <w:rFonts w:eastAsia="Verdana" w:cs="Verdana"/>
                <w:lang w:bidi="en-GB"/>
              </w:rPr>
            </w:pPr>
            <w:r w:rsidRPr="00A00043">
              <w:rPr>
                <w:rFonts w:eastAsia="Verdana" w:cs="Verdana"/>
                <w:lang w:bidi="en-GB"/>
              </w:rPr>
              <w:t>FCH</w:t>
            </w:r>
          </w:p>
        </w:tc>
        <w:tc>
          <w:tcPr>
            <w:tcW w:w="999" w:type="dxa"/>
            <w:tcBorders>
              <w:top w:val="nil"/>
              <w:left w:val="nil"/>
              <w:bottom w:val="nil"/>
              <w:right w:val="nil"/>
            </w:tcBorders>
            <w:shd w:val="clear" w:color="auto" w:fill="016794"/>
            <w:tcMar>
              <w:top w:w="0" w:type="dxa"/>
              <w:left w:w="0" w:type="dxa"/>
              <w:bottom w:w="0" w:type="dxa"/>
              <w:right w:w="0" w:type="dxa"/>
            </w:tcMar>
          </w:tcPr>
          <w:p w:rsidR="00F50689" w:rsidRPr="00A00043" w:rsidRDefault="005A36C4" w:rsidP="00F50689">
            <w:pPr>
              <w:pStyle w:val="Heading7pNormalRight025"/>
              <w:rPr>
                <w:rFonts w:eastAsia="Verdana" w:cs="Verdana"/>
                <w:lang w:bidi="en-GB"/>
              </w:rPr>
            </w:pPr>
            <w:r w:rsidRPr="00A00043">
              <w:rPr>
                <w:rFonts w:eastAsia="Verdana" w:cs="Verdana"/>
                <w:lang w:bidi="en-GB"/>
              </w:rPr>
              <w:t>Total</w:t>
            </w:r>
          </w:p>
        </w:tc>
      </w:tr>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Text7pItalicLeft"/>
              <w:rPr>
                <w:rFonts w:eastAsia="Verdana" w:cs="Verdana"/>
                <w:lang w:bidi="en-GB"/>
              </w:rPr>
            </w:pPr>
            <w:r w:rsidRPr="00A00043">
              <w:rPr>
                <w:rFonts w:eastAsia="Verdana" w:cs="Verdana"/>
                <w:lang w:bidi="en-GB"/>
              </w:rPr>
              <w:t>Participations at 31.12.2013</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lang w:bidi="en-GB"/>
              </w:rPr>
            </w:pPr>
            <w:r w:rsidRPr="00A00043">
              <w:rPr>
                <w:rFonts w:eastAsia="Verdana" w:cs="Verdana"/>
                <w:lang w:bidi="en-GB"/>
              </w:rP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lang w:bidi="en-GB"/>
              </w:rPr>
            </w:pPr>
            <w:r w:rsidRPr="00A00043">
              <w:rPr>
                <w:rFonts w:eastAsia="Verdana" w:cs="Verdana"/>
                <w:lang w:bidi="en-GB"/>
              </w:rP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lang w:bidi="en-GB"/>
              </w:rPr>
            </w:pPr>
            <w:r w:rsidRPr="00A00043">
              <w:rPr>
                <w:rFonts w:eastAsia="Verdana" w:cs="Verdana"/>
                <w:lang w:bidi="en-GB"/>
              </w:rP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lang w:bidi="en-GB"/>
              </w:rPr>
            </w:pPr>
            <w:r w:rsidRPr="00A00043">
              <w:rPr>
                <w:rFonts w:eastAsia="Verdana" w:cs="Verdana"/>
                <w:lang w:bidi="en-GB"/>
              </w:rP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lang w:bidi="en-GB"/>
              </w:rPr>
            </w:pPr>
            <w:r w:rsidRPr="00A00043">
              <w:rPr>
                <w:rFonts w:eastAsia="Verdana" w:cs="Verdana"/>
                <w:lang w:bidi="en-GB"/>
              </w:rP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lang w:bidi="en-GB"/>
              </w:rPr>
            </w:pPr>
            <w:r w:rsidRPr="00A00043">
              <w:rPr>
                <w:rFonts w:eastAsia="Verdana" w:cs="Verdana"/>
                <w:lang w:bidi="en-GB"/>
              </w:rP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lang w:bidi="en-GB"/>
              </w:rPr>
            </w:pPr>
            <w:r w:rsidRPr="00A00043">
              <w:rPr>
                <w:rFonts w:eastAsia="Verdana" w:cs="Verdana"/>
                <w:lang w:bidi="en-GB"/>
              </w:rPr>
              <w:t xml:space="preserve"> 0</w:t>
            </w:r>
          </w:p>
        </w:tc>
        <w:tc>
          <w:tcPr>
            <w:tcW w:w="999"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lang w:bidi="en-GB"/>
              </w:rPr>
            </w:pPr>
            <w:r w:rsidRPr="00A00043">
              <w:rPr>
                <w:rFonts w:eastAsia="Verdana" w:cs="Verdana"/>
                <w:lang w:bidi="en-GB"/>
              </w:rPr>
              <w:t xml:space="preserve"> 0</w:t>
            </w:r>
          </w:p>
        </w:tc>
      </w:tr>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Text7pItalicLeft"/>
              <w:rPr>
                <w:rFonts w:eastAsia="Verdana" w:cs="Verdana"/>
                <w:lang w:bidi="en-GB"/>
              </w:rPr>
            </w:pPr>
            <w:r w:rsidRPr="00A00043">
              <w:rPr>
                <w:rFonts w:eastAsia="Verdana" w:cs="Verdana"/>
                <w:lang w:bidi="en-GB"/>
              </w:rPr>
              <w:t>Contributions</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lang w:bidi="en-GB"/>
              </w:rPr>
            </w:pPr>
            <w:r w:rsidRPr="00A00043">
              <w:rPr>
                <w:rFonts w:eastAsia="Verdana" w:cs="Verdana"/>
                <w:lang w:bidi="en-GB"/>
              </w:rP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lang w:bidi="en-GB"/>
              </w:rPr>
            </w:pPr>
            <w:r w:rsidRPr="00A00043">
              <w:rPr>
                <w:rFonts w:eastAsia="Verdana" w:cs="Verdana"/>
                <w:lang w:bidi="en-GB"/>
              </w:rPr>
              <w:t xml:space="preserve"> 95</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lang w:bidi="en-GB"/>
              </w:rPr>
            </w:pPr>
            <w:r w:rsidRPr="00A00043">
              <w:rPr>
                <w:rFonts w:eastAsia="Verdana" w:cs="Verdana"/>
                <w:lang w:bidi="en-GB"/>
              </w:rPr>
              <w:t xml:space="preserve"> 118</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lang w:bidi="en-GB"/>
              </w:rPr>
            </w:pPr>
            <w:r w:rsidRPr="00A00043">
              <w:rPr>
                <w:rFonts w:eastAsia="Verdana" w:cs="Verdana"/>
                <w:lang w:bidi="en-GB"/>
              </w:rPr>
              <w:t xml:space="preserve"> 125</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lang w:bidi="en-GB"/>
              </w:rPr>
            </w:pPr>
            <w:r w:rsidRPr="00A00043">
              <w:rPr>
                <w:rFonts w:eastAsia="Verdana" w:cs="Verdana"/>
                <w:lang w:bidi="en-GB"/>
              </w:rPr>
              <w:t xml:space="preserve"> 166</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lang w:bidi="en-GB"/>
              </w:rPr>
            </w:pPr>
            <w:r w:rsidRPr="00A00043">
              <w:rPr>
                <w:rFonts w:eastAsia="Verdana" w:cs="Verdana"/>
                <w:lang w:bidi="en-GB"/>
              </w:rPr>
              <w:t xml:space="preserve"> 75</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lang w:bidi="en-GB"/>
              </w:rPr>
            </w:pPr>
            <w:r w:rsidRPr="00A00043">
              <w:rPr>
                <w:rFonts w:eastAsia="Verdana" w:cs="Verdana"/>
                <w:lang w:bidi="en-GB"/>
              </w:rPr>
              <w:t xml:space="preserve"> 69</w:t>
            </w:r>
          </w:p>
        </w:tc>
        <w:tc>
          <w:tcPr>
            <w:tcW w:w="999"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lang w:bidi="en-GB"/>
              </w:rPr>
            </w:pPr>
            <w:r w:rsidRPr="00A00043">
              <w:rPr>
                <w:rFonts w:eastAsia="Verdana" w:cs="Verdana"/>
                <w:lang w:bidi="en-GB"/>
              </w:rPr>
              <w:t xml:space="preserve"> 647</w:t>
            </w:r>
          </w:p>
        </w:tc>
      </w:tr>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Text7pItalicLeft"/>
              <w:rPr>
                <w:rFonts w:eastAsia="Verdana" w:cs="Verdana"/>
                <w:lang w:bidi="en-GB"/>
              </w:rPr>
            </w:pPr>
            <w:r w:rsidRPr="00A00043">
              <w:rPr>
                <w:rFonts w:eastAsia="Verdana" w:cs="Verdana"/>
                <w:lang w:bidi="en-GB"/>
              </w:rPr>
              <w:t>Share of net result</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lang w:bidi="en-GB"/>
              </w:rPr>
            </w:pPr>
            <w:r w:rsidRPr="00A00043">
              <w:rPr>
                <w:rFonts w:eastAsia="Verdana" w:cs="Verdana"/>
                <w:lang w:bidi="en-GB"/>
              </w:rP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lang w:bidi="en-GB"/>
              </w:rPr>
            </w:pPr>
            <w:r w:rsidRPr="00A00043">
              <w:rPr>
                <w:rFonts w:eastAsia="Verdana" w:cs="Verdana"/>
                <w:lang w:bidi="en-GB"/>
              </w:rPr>
              <w:t xml:space="preserve"> (95)</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lang w:bidi="en-GB"/>
              </w:rPr>
            </w:pPr>
            <w:r w:rsidRPr="00A00043">
              <w:rPr>
                <w:rFonts w:eastAsia="Verdana" w:cs="Verdana"/>
                <w:lang w:bidi="en-GB"/>
              </w:rPr>
              <w:t xml:space="preserve"> (118)</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lang w:bidi="en-GB"/>
              </w:rPr>
            </w:pPr>
            <w:r w:rsidRPr="00A00043">
              <w:rPr>
                <w:rFonts w:eastAsia="Verdana" w:cs="Verdana"/>
                <w:lang w:bidi="en-GB"/>
              </w:rPr>
              <w:t xml:space="preserve"> (125)</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lang w:bidi="en-GB"/>
              </w:rPr>
            </w:pPr>
            <w:r w:rsidRPr="00A00043">
              <w:rPr>
                <w:rFonts w:eastAsia="Verdana" w:cs="Verdana"/>
                <w:lang w:bidi="en-GB"/>
              </w:rPr>
              <w:t xml:space="preserve"> (166)</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lang w:bidi="en-GB"/>
              </w:rPr>
            </w:pPr>
            <w:r w:rsidRPr="00A00043">
              <w:rPr>
                <w:rFonts w:eastAsia="Verdana" w:cs="Verdana"/>
                <w:lang w:bidi="en-GB"/>
              </w:rPr>
              <w:t xml:space="preserve"> (75)</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lang w:bidi="en-GB"/>
              </w:rPr>
            </w:pPr>
            <w:r w:rsidRPr="00A00043">
              <w:rPr>
                <w:rFonts w:eastAsia="Verdana" w:cs="Verdana"/>
                <w:lang w:bidi="en-GB"/>
              </w:rPr>
              <w:t xml:space="preserve"> (69)</w:t>
            </w:r>
          </w:p>
        </w:tc>
        <w:tc>
          <w:tcPr>
            <w:tcW w:w="999"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lang w:bidi="en-GB"/>
              </w:rPr>
            </w:pPr>
            <w:r w:rsidRPr="00A00043">
              <w:rPr>
                <w:rFonts w:eastAsia="Verdana" w:cs="Verdana"/>
                <w:lang w:bidi="en-GB"/>
              </w:rPr>
              <w:t xml:space="preserve"> (647)</w:t>
            </w:r>
          </w:p>
        </w:tc>
      </w:tr>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Text7pItalicLeft"/>
              <w:rPr>
                <w:rFonts w:eastAsia="Verdana" w:cs="Verdana"/>
                <w:lang w:bidi="en-GB"/>
              </w:rPr>
            </w:pPr>
            <w:r w:rsidRPr="00A00043">
              <w:rPr>
                <w:rFonts w:eastAsia="Verdana" w:cs="Verdana"/>
                <w:lang w:bidi="en-GB"/>
              </w:rPr>
              <w:t>Other equity movements</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lang w:bidi="en-GB"/>
              </w:rPr>
            </w:pPr>
            <w:r w:rsidRPr="00A00043">
              <w:rPr>
                <w:rFonts w:eastAsia="Verdana" w:cs="Verdana"/>
                <w:lang w:bidi="en-GB"/>
              </w:rP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lang w:bidi="en-GB"/>
              </w:rPr>
            </w:pPr>
            <w:r w:rsidRPr="00A00043">
              <w:rPr>
                <w:rFonts w:eastAsia="Verdana" w:cs="Verdana"/>
                <w:lang w:bidi="en-GB"/>
              </w:rP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lang w:bidi="en-GB"/>
              </w:rPr>
            </w:pPr>
            <w:r w:rsidRPr="00A00043">
              <w:rPr>
                <w:rFonts w:eastAsia="Verdana" w:cs="Verdana"/>
                <w:lang w:bidi="en-GB"/>
              </w:rP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lang w:bidi="en-GB"/>
              </w:rPr>
            </w:pPr>
            <w:r w:rsidRPr="00A00043">
              <w:rPr>
                <w:rFonts w:eastAsia="Verdana" w:cs="Verdana"/>
                <w:lang w:bidi="en-GB"/>
              </w:rP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lang w:bidi="en-GB"/>
              </w:rPr>
            </w:pPr>
            <w:r w:rsidRPr="00A00043">
              <w:rPr>
                <w:rFonts w:eastAsia="Verdana" w:cs="Verdana"/>
                <w:lang w:bidi="en-GB"/>
              </w:rP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lang w:bidi="en-GB"/>
              </w:rPr>
            </w:pPr>
            <w:r w:rsidRPr="00A00043">
              <w:rPr>
                <w:rFonts w:eastAsia="Verdana" w:cs="Verdana"/>
                <w:lang w:bidi="en-GB"/>
              </w:rP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lang w:bidi="en-GB"/>
              </w:rPr>
            </w:pPr>
            <w:r w:rsidRPr="00A00043">
              <w:rPr>
                <w:rFonts w:eastAsia="Verdana" w:cs="Verdana"/>
                <w:lang w:bidi="en-GB"/>
              </w:rPr>
              <w:t xml:space="preserve"> 0</w:t>
            </w:r>
          </w:p>
        </w:tc>
        <w:tc>
          <w:tcPr>
            <w:tcW w:w="999"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B82250">
            <w:pPr>
              <w:pStyle w:val="Figures7pItalicRight025"/>
              <w:rPr>
                <w:rFonts w:eastAsia="Verdana" w:cs="Verdana"/>
                <w:lang w:bidi="en-GB"/>
              </w:rPr>
            </w:pPr>
            <w:r w:rsidRPr="00A00043">
              <w:rPr>
                <w:rFonts w:eastAsia="Verdana" w:cs="Verdana"/>
                <w:lang w:bidi="en-GB"/>
              </w:rPr>
              <w:t xml:space="preserve"> 0</w:t>
            </w:r>
          </w:p>
        </w:tc>
      </w:tr>
      <w:tr w:rsidR="00E7728E">
        <w:tc>
          <w:tcPr>
            <w:tcW w:w="2448" w:type="dxa"/>
            <w:tcBorders>
              <w:top w:val="nil"/>
              <w:left w:val="nil"/>
              <w:bottom w:val="nil"/>
              <w:right w:val="nil"/>
            </w:tcBorders>
            <w:shd w:val="clear" w:color="auto" w:fill="CCE1EA"/>
            <w:tcMar>
              <w:top w:w="0" w:type="dxa"/>
              <w:left w:w="0" w:type="dxa"/>
              <w:bottom w:w="0" w:type="dxa"/>
              <w:right w:w="0" w:type="dxa"/>
            </w:tcMar>
          </w:tcPr>
          <w:p w:rsidR="00F50689" w:rsidRPr="00A00043" w:rsidRDefault="005A36C4" w:rsidP="00F50689">
            <w:pPr>
              <w:pStyle w:val="Text7pBoldLeft"/>
              <w:rPr>
                <w:rFonts w:eastAsia="Verdana" w:cs="Verdana"/>
                <w:lang w:bidi="en-GB"/>
              </w:rPr>
            </w:pPr>
            <w:r w:rsidRPr="00A00043">
              <w:rPr>
                <w:rFonts w:eastAsia="Verdana" w:cs="Verdana"/>
                <w:lang w:bidi="en-GB"/>
              </w:rPr>
              <w:t>Participations at 31.12.2014</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Pr="00A00043" w:rsidRDefault="005A36C4" w:rsidP="00F50689">
            <w:pPr>
              <w:pStyle w:val="Figures7pBoldRight025"/>
              <w:rPr>
                <w:rFonts w:eastAsia="Verdana" w:cs="Verdana"/>
                <w:lang w:bidi="en-GB"/>
              </w:rPr>
            </w:pPr>
            <w:r w:rsidRPr="00A00043">
              <w:rPr>
                <w:rFonts w:eastAsia="Verdana" w:cs="Verdana"/>
                <w:lang w:bidi="en-GB"/>
              </w:rPr>
              <w:t xml:space="preserve"> 0</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Pr="00A00043" w:rsidRDefault="005A36C4" w:rsidP="00F50689">
            <w:pPr>
              <w:pStyle w:val="Figures7pBoldRight025"/>
              <w:rPr>
                <w:rFonts w:eastAsia="Verdana" w:cs="Verdana"/>
                <w:lang w:bidi="en-GB"/>
              </w:rPr>
            </w:pPr>
            <w:r w:rsidRPr="00A00043">
              <w:rPr>
                <w:rFonts w:eastAsia="Verdana" w:cs="Verdana"/>
                <w:lang w:bidi="en-GB"/>
              </w:rPr>
              <w:t xml:space="preserve"> 0</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Pr="00A00043" w:rsidRDefault="005A36C4" w:rsidP="00F50689">
            <w:pPr>
              <w:pStyle w:val="Figures7pBoldRight025"/>
              <w:rPr>
                <w:rFonts w:eastAsia="Verdana" w:cs="Verdana"/>
                <w:lang w:bidi="en-GB"/>
              </w:rPr>
            </w:pPr>
            <w:r w:rsidRPr="00A00043">
              <w:rPr>
                <w:rFonts w:eastAsia="Verdana" w:cs="Verdana"/>
                <w:lang w:bidi="en-GB"/>
              </w:rPr>
              <w:t xml:space="preserve"> 0</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Pr="00A00043" w:rsidRDefault="005A36C4" w:rsidP="00F50689">
            <w:pPr>
              <w:pStyle w:val="Figures7pBoldRight025"/>
              <w:rPr>
                <w:rFonts w:eastAsia="Verdana" w:cs="Verdana"/>
                <w:lang w:bidi="en-GB"/>
              </w:rPr>
            </w:pPr>
            <w:r w:rsidRPr="00A00043">
              <w:rPr>
                <w:rFonts w:eastAsia="Verdana" w:cs="Verdana"/>
                <w:lang w:bidi="en-GB"/>
              </w:rPr>
              <w:t xml:space="preserve"> 0</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Pr="00A00043" w:rsidRDefault="005A36C4" w:rsidP="00F50689">
            <w:pPr>
              <w:pStyle w:val="Figures7pBoldRight025"/>
              <w:rPr>
                <w:rFonts w:eastAsia="Verdana" w:cs="Verdana"/>
                <w:lang w:bidi="en-GB"/>
              </w:rPr>
            </w:pPr>
            <w:r w:rsidRPr="00A00043">
              <w:rPr>
                <w:rFonts w:eastAsia="Verdana" w:cs="Verdana"/>
                <w:lang w:bidi="en-GB"/>
              </w:rPr>
              <w:t xml:space="preserve"> 0</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Pr="00A00043" w:rsidRDefault="005A36C4" w:rsidP="00F50689">
            <w:pPr>
              <w:pStyle w:val="Figures7pBoldRight025"/>
              <w:rPr>
                <w:rFonts w:eastAsia="Verdana" w:cs="Verdana"/>
                <w:lang w:bidi="en-GB"/>
              </w:rPr>
            </w:pPr>
            <w:r w:rsidRPr="00A00043">
              <w:rPr>
                <w:rFonts w:eastAsia="Verdana" w:cs="Verdana"/>
                <w:lang w:bidi="en-GB"/>
              </w:rPr>
              <w:t xml:space="preserve"> 0</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Pr="00A00043" w:rsidRDefault="005A36C4" w:rsidP="00F50689">
            <w:pPr>
              <w:pStyle w:val="Figures7pBoldRight025"/>
              <w:rPr>
                <w:rFonts w:eastAsia="Verdana" w:cs="Verdana"/>
                <w:lang w:bidi="en-GB"/>
              </w:rPr>
            </w:pPr>
            <w:r w:rsidRPr="00A00043">
              <w:rPr>
                <w:rFonts w:eastAsia="Verdana" w:cs="Verdana"/>
                <w:lang w:bidi="en-GB"/>
              </w:rPr>
              <w:t xml:space="preserve"> 0</w:t>
            </w:r>
          </w:p>
        </w:tc>
        <w:tc>
          <w:tcPr>
            <w:tcW w:w="999" w:type="dxa"/>
            <w:tcBorders>
              <w:top w:val="nil"/>
              <w:left w:val="nil"/>
              <w:bottom w:val="nil"/>
              <w:right w:val="nil"/>
            </w:tcBorders>
            <w:shd w:val="clear" w:color="auto" w:fill="CCE1EA"/>
            <w:tcMar>
              <w:top w:w="0" w:type="dxa"/>
              <w:left w:w="0" w:type="dxa"/>
              <w:bottom w:w="0" w:type="dxa"/>
              <w:right w:w="0" w:type="dxa"/>
            </w:tcMar>
          </w:tcPr>
          <w:p w:rsidR="00F50689" w:rsidRPr="00A00043" w:rsidRDefault="005A36C4" w:rsidP="00B82250">
            <w:pPr>
              <w:pStyle w:val="Figures7pBoldRight025"/>
              <w:rPr>
                <w:rFonts w:eastAsia="Verdana" w:cs="Verdana"/>
                <w:lang w:bidi="en-GB"/>
              </w:rPr>
            </w:pPr>
            <w:r w:rsidRPr="00A00043">
              <w:rPr>
                <w:rFonts w:eastAsia="Verdana" w:cs="Verdana"/>
                <w:lang w:bidi="en-GB"/>
              </w:rPr>
              <w:t xml:space="preserve"> 0</w:t>
            </w:r>
          </w:p>
        </w:tc>
      </w:tr>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Text7pItalicLeft"/>
              <w:rPr>
                <w:rFonts w:eastAsia="Verdana" w:cs="Verdana"/>
                <w:lang w:bidi="en-GB"/>
              </w:rPr>
            </w:pPr>
            <w:r w:rsidRPr="00A00043">
              <w:rPr>
                <w:rFonts w:eastAsia="Verdana" w:cs="Verdana"/>
                <w:lang w:bidi="en-GB"/>
              </w:rPr>
              <w:t>Unrecognised share of loss</w:t>
            </w:r>
            <w:r w:rsidR="00B82250">
              <w:rPr>
                <w:rFonts w:eastAsia="Verdana" w:cs="Verdana"/>
                <w:lang w:bidi="en-GB"/>
              </w:rPr>
              <w:t>*</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lang w:bidi="en-GB"/>
              </w:rPr>
            </w:pPr>
            <w:r w:rsidRPr="00A00043">
              <w:rPr>
                <w:rFonts w:eastAsia="Verdana" w:cs="Verdana"/>
                <w:lang w:bidi="en-GB"/>
              </w:rPr>
              <w:t>–</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lang w:bidi="en-GB"/>
              </w:rPr>
            </w:pPr>
            <w:r w:rsidRPr="00A00043">
              <w:rPr>
                <w:rFonts w:eastAsia="Verdana" w:cs="Verdana"/>
                <w:lang w:bidi="en-GB"/>
              </w:rPr>
              <w:t xml:space="preserve"> (230)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lang w:bidi="en-GB"/>
              </w:rPr>
            </w:pPr>
            <w:r w:rsidRPr="00A00043">
              <w:rPr>
                <w:rFonts w:eastAsia="Verdana" w:cs="Verdana"/>
                <w:lang w:bidi="en-GB"/>
              </w:rPr>
              <w:t xml:space="preserve"> (36)</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lang w:bidi="en-GB"/>
              </w:rPr>
            </w:pPr>
            <w:r w:rsidRPr="00A00043">
              <w:rPr>
                <w:rFonts w:eastAsia="Verdana" w:cs="Verdana"/>
                <w:lang w:bidi="en-GB"/>
              </w:rPr>
              <w:t xml:space="preserve"> (99)</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lang w:bidi="en-GB"/>
              </w:rPr>
            </w:pPr>
            <w:r w:rsidRPr="00A00043">
              <w:rPr>
                <w:rFonts w:eastAsia="Verdana" w:cs="Verdana"/>
                <w:lang w:bidi="en-GB"/>
              </w:rPr>
              <w:t xml:space="preserve"> (73)</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lang w:bidi="en-GB"/>
              </w:rPr>
            </w:pPr>
            <w:r w:rsidRPr="00A00043">
              <w:rPr>
                <w:rFonts w:eastAsia="Verdana" w:cs="Verdana"/>
                <w:lang w:bidi="en-GB"/>
              </w:rPr>
              <w:t xml:space="preserve"> (40)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lang w:bidi="en-GB"/>
              </w:rPr>
            </w:pPr>
            <w:r w:rsidRPr="00A00043">
              <w:rPr>
                <w:rFonts w:eastAsia="Verdana" w:cs="Verdana"/>
                <w:lang w:bidi="en-GB"/>
              </w:rPr>
              <w:t xml:space="preserve"> (116)</w:t>
            </w:r>
          </w:p>
        </w:tc>
        <w:tc>
          <w:tcPr>
            <w:tcW w:w="999"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lang w:bidi="en-GB"/>
              </w:rPr>
            </w:pPr>
            <w:r w:rsidRPr="00A00043">
              <w:rPr>
                <w:rFonts w:eastAsia="Verdana" w:cs="Verdana"/>
                <w:lang w:bidi="en-GB"/>
              </w:rPr>
              <w:t xml:space="preserve"> (594)</w:t>
            </w:r>
          </w:p>
        </w:tc>
      </w:tr>
    </w:tbl>
    <w:p w:rsidR="00F50689" w:rsidRPr="00101459" w:rsidRDefault="005A36C4" w:rsidP="00101459">
      <w:pPr>
        <w:pStyle w:val="DGTextstand-alone"/>
        <w:spacing w:before="60"/>
        <w:rPr>
          <w:i/>
          <w:sz w:val="14"/>
        </w:rPr>
      </w:pPr>
      <w:r w:rsidRPr="00101459">
        <w:rPr>
          <w:i/>
          <w:sz w:val="14"/>
        </w:rPr>
        <w:t>* For a detailed explanation of unrecognised losses see note</w:t>
      </w:r>
      <w:r w:rsidRPr="00101459">
        <w:rPr>
          <w:b/>
          <w:i/>
          <w:sz w:val="14"/>
        </w:rPr>
        <w:t xml:space="preserve"> 1.5.4.</w:t>
      </w:r>
    </w:p>
    <w:p w:rsidR="00F50689" w:rsidRDefault="005A36C4" w:rsidP="00F50689">
      <w:pPr>
        <w:pStyle w:val="DGTextstand-alone"/>
      </w:pPr>
      <w:r>
        <w:t>The following carrying amounts are attributable to the Commission based on its percentage of participation:</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lang w:bidi="en-GB"/>
              </w:rPr>
            </w:pPr>
            <w:bookmarkStart w:id="65" w:name="DOC_TBL00011_1_1"/>
            <w:bookmarkEnd w:id="65"/>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lang w:bidi="en-GB"/>
              </w:rPr>
            </w:pPr>
            <w:r>
              <w:rPr>
                <w:rFonts w:eastAsia="Verdana" w:cs="Verdana"/>
                <w:lang w:bidi="en-GB"/>
              </w:rPr>
              <w:t>EUR millions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lang w:bidi="en-GB"/>
              </w:rPr>
            </w:pPr>
            <w:r>
              <w:rPr>
                <w:rFonts w:eastAsia="Verdana" w:cs="Verdana"/>
                <w:lang w:bidi="en-GB"/>
              </w:rP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lang w:bidi="en-GB"/>
              </w:rPr>
            </w:pPr>
            <w:r>
              <w:rPr>
                <w:rFonts w:eastAsia="Verdana" w:cs="Verdana"/>
                <w:lang w:bidi="en-GB"/>
              </w:rPr>
              <w:t>31.12.2013</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bidi="en-GB"/>
              </w:rPr>
            </w:pPr>
            <w:r>
              <w:rPr>
                <w:rFonts w:eastAsia="Verdana" w:cs="Verdana"/>
                <w:lang w:bidi="en-GB"/>
              </w:rPr>
              <w:t>Non-current assets</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250</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198</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bidi="en-GB"/>
              </w:rPr>
            </w:pPr>
            <w:r>
              <w:rPr>
                <w:rFonts w:eastAsia="Verdana" w:cs="Verdana"/>
                <w:lang w:bidi="en-GB"/>
              </w:rPr>
              <w:t>Current assets</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178</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63</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bidi="en-GB"/>
              </w:rPr>
            </w:pPr>
            <w:r>
              <w:rPr>
                <w:rFonts w:eastAsia="Verdana" w:cs="Verdana"/>
                <w:lang w:bidi="en-GB"/>
              </w:rPr>
              <w:t>Non-current liabilities</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bidi="en-GB"/>
              </w:rPr>
            </w:pPr>
            <w:r>
              <w:rPr>
                <w:rFonts w:eastAsia="Verdana" w:cs="Verdana"/>
                <w:lang w:bidi="en-GB"/>
              </w:rPr>
              <w:t>Current liabilities</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(813)</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(394)</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bidi="en-GB"/>
              </w:rPr>
            </w:pPr>
            <w:r>
              <w:rPr>
                <w:rFonts w:eastAsia="Verdana" w:cs="Verdana"/>
                <w:lang w:bidi="en-GB"/>
              </w:rPr>
              <w:t>Revenue</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2</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1</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bidi="en-GB"/>
              </w:rPr>
            </w:pPr>
            <w:r>
              <w:rPr>
                <w:rFonts w:eastAsia="Verdana" w:cs="Verdana"/>
                <w:lang w:bidi="en-GB"/>
              </w:rPr>
              <w:t>Expenses</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(666)</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(412)</w:t>
            </w:r>
          </w:p>
        </w:tc>
      </w:tr>
    </w:tbl>
    <w:p w:rsidR="00F50689" w:rsidRDefault="005A36C4" w:rsidP="00F50689">
      <w:pPr>
        <w:pStyle w:val="DGTextstand-alone"/>
        <w:spacing w:before="0"/>
        <w:rPr>
          <w:lang w:bidi="en-GB"/>
        </w:rPr>
      </w:pPr>
      <w:r>
        <w:rPr>
          <w:lang w:bidi="en-GB"/>
        </w:rPr>
        <w:t xml:space="preserve"> </w:t>
      </w:r>
    </w:p>
    <w:p w:rsidR="00F50689" w:rsidRDefault="005A36C4" w:rsidP="00F50689">
      <w:pPr>
        <w:pStyle w:val="HEADER5"/>
      </w:pPr>
      <w:r>
        <w:t>GALILEO JOINT UNDERTAKING IN LIQUIDATION</w:t>
      </w:r>
    </w:p>
    <w:p w:rsidR="00F50689" w:rsidRDefault="005A36C4" w:rsidP="00F50689">
      <w:pPr>
        <w:pStyle w:val="DGTextstand-alone"/>
      </w:pPr>
      <w:r>
        <w:t xml:space="preserve">The Galileo Joint Undertaking (GJU) was put into liquidation at the end of 2006 and the process is still on-going. The entity was inactive and still undergoing liquidation in 2014. </w:t>
      </w:r>
    </w:p>
    <w:p w:rsidR="00F50689" w:rsidRDefault="005A36C4" w:rsidP="00F50689">
      <w:pPr>
        <w:pStyle w:val="HEADER5"/>
      </w:pPr>
      <w:r>
        <w:t>SESAR JOINT UNDERTAKING</w:t>
      </w:r>
    </w:p>
    <w:p w:rsidR="00F50689" w:rsidRDefault="005A36C4" w:rsidP="00F50689">
      <w:pPr>
        <w:pStyle w:val="DGTextstand-alone"/>
      </w:pPr>
      <w:r>
        <w:t>At 31 December 2014, the Commission held 43.53</w:t>
      </w:r>
      <w:r w:rsidR="00823FE4">
        <w:t> </w:t>
      </w:r>
      <w:r>
        <w:t>% of the ownership participation in SESAR.</w:t>
      </w:r>
    </w:p>
    <w:p w:rsidR="00F50689" w:rsidRDefault="005A36C4" w:rsidP="00F50689">
      <w:pPr>
        <w:pStyle w:val="HEADER5"/>
      </w:pPr>
      <w:r>
        <w:t>ITER INTERNATIONAL FUSION ENERGY ORGANISATION (ITER)</w:t>
      </w:r>
    </w:p>
    <w:p w:rsidR="00F50689" w:rsidRDefault="005A36C4" w:rsidP="00F50689">
      <w:pPr>
        <w:pStyle w:val="DGTextstand-alone"/>
      </w:pPr>
      <w:r>
        <w:t>The EU (Euratom) contribution to ITER International is given through the Fusion for Energy Agency, including also the contributions from Member States and from Switzerland. The total contribution is legally considered as a Euratom contribution to ITER since the Member States and Switzerland do not have ownership interests in ITER. As the EU legally holds the participation in the joint venture ITER International, it must recognise the participation in its accounts. At 31 December</w:t>
      </w:r>
      <w:r w:rsidR="00823FE4">
        <w:t> </w:t>
      </w:r>
      <w:r>
        <w:t>2014, the Commission held 40.61</w:t>
      </w:r>
      <w:r w:rsidR="00116387">
        <w:t> </w:t>
      </w:r>
      <w:r>
        <w:t xml:space="preserve">% of the ownership participation in ITER. </w:t>
      </w:r>
    </w:p>
    <w:p w:rsidR="00F50689" w:rsidRDefault="005A36C4" w:rsidP="00F50689">
      <w:pPr>
        <w:pStyle w:val="HEADER5"/>
      </w:pPr>
      <w:r>
        <w:t>Joint Technology Initiatives</w:t>
      </w:r>
    </w:p>
    <w:p w:rsidR="00F50689" w:rsidRDefault="005A36C4" w:rsidP="00F50689">
      <w:pPr>
        <w:pStyle w:val="DGTextstand-alone"/>
      </w:pPr>
      <w:r>
        <w:t>Public private partnerships (PPPs) in the form of Joint Technology Initiatives (JTIs), which were implemented through Joint Undertakings within the meaning of Article 187 of the Treaty, have been created in order to implement the objectives of the Lisbon Growth and Jobs Agenda. The Clean Sky joint undertaking (JU), the IMI JU, the ECSEL JU (amalgamation of the former ARTEMIS &amp; ENIAC JUs) and the FCH JU are PPPs created in the form of JTIs. The ownership participation at year-end is as follows: 61.39 % in Clean Sky, 80.47</w:t>
      </w:r>
      <w:r w:rsidR="00116387">
        <w:t> </w:t>
      </w:r>
      <w:r>
        <w:t>% in IMI, 95.47</w:t>
      </w:r>
      <w:r w:rsidR="00116387">
        <w:t> </w:t>
      </w:r>
      <w:r>
        <w:t>% in ECSEL and 70.85</w:t>
      </w:r>
      <w:r w:rsidR="00116387">
        <w:t> </w:t>
      </w:r>
      <w:r>
        <w:t>% in FCH.</w:t>
      </w:r>
    </w:p>
    <w:p w:rsidR="00823FE4" w:rsidRDefault="00823FE4">
      <w:pPr>
        <w:rPr>
          <w:rFonts w:ascii="Verdana" w:hAnsi="Verdana"/>
          <w:color w:val="016794"/>
          <w:sz w:val="20"/>
          <w:szCs w:val="20"/>
        </w:rPr>
      </w:pPr>
      <w:r>
        <w:br w:type="page"/>
      </w:r>
    </w:p>
    <w:p w:rsidR="00F50689" w:rsidRDefault="005A36C4" w:rsidP="00F50689">
      <w:pPr>
        <w:pStyle w:val="HEADER3Part2"/>
      </w:pPr>
      <w:r>
        <w:t>Participations in associates</w:t>
      </w:r>
    </w:p>
    <w:p w:rsidR="00F50689" w:rsidRDefault="005A36C4" w:rsidP="00B82250">
      <w:pPr>
        <w:pStyle w:val="HEADER5"/>
        <w:spacing w:after="120"/>
      </w:pPr>
      <w:r>
        <w:t>European Investment Fund</w:t>
      </w:r>
    </w:p>
    <w:p w:rsidR="00F50689" w:rsidRDefault="005A36C4" w:rsidP="00F50689">
      <w:pPr>
        <w:pStyle w:val="DGTextstand-alone"/>
        <w:spacing w:before="0" w:after="0"/>
      </w:pPr>
      <w:r>
        <w:t xml:space="preserve">The participation of the Commission in the European Investment Fund (EIF) is treated as associate using the equity method of accounting. </w:t>
      </w:r>
      <w:r w:rsidRPr="00F3531D">
        <w:t xml:space="preserve">The EIF is the </w:t>
      </w:r>
      <w:r>
        <w:t>EU</w:t>
      </w:r>
      <w:r w:rsidRPr="00F3531D">
        <w:t xml:space="preserve">'s financial institution specialising in providing risk </w:t>
      </w:r>
      <w:r>
        <w:t>capital and guarantees to SMEs.</w:t>
      </w:r>
    </w:p>
    <w:p w:rsidR="00F50689" w:rsidRDefault="00F50689" w:rsidP="00F50689">
      <w:pPr>
        <w:pStyle w:val="DGTextstand-alone"/>
        <w:spacing w:before="0" w:after="0"/>
        <w:rPr>
          <w:lang w:bidi="en-G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rsidR="00E7728E">
        <w:tc>
          <w:tcPr>
            <w:tcW w:w="762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lang w:bidi="en-GB"/>
              </w:rPr>
            </w:pPr>
            <w:bookmarkStart w:id="66" w:name="DOC_TBL00012_1_1"/>
            <w:bookmarkEnd w:id="66"/>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lang w:bidi="en-GB"/>
              </w:rPr>
            </w:pPr>
            <w:r>
              <w:rPr>
                <w:rFonts w:eastAsia="Verdana" w:cs="Verdana"/>
                <w:lang w:bidi="en-GB"/>
              </w:rPr>
              <w:t>EUR millions</w:t>
            </w:r>
          </w:p>
        </w:tc>
      </w:tr>
      <w:tr w:rsidR="00E7728E">
        <w:tc>
          <w:tcPr>
            <w:tcW w:w="762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lang w:bidi="en-GB"/>
              </w:rPr>
            </w:pPr>
            <w:r>
              <w:rPr>
                <w:rFonts w:eastAsia="Verdana" w:cs="Verdana"/>
                <w:lang w:bidi="en-GB"/>
              </w:rPr>
              <w:t>EIF</w:t>
            </w:r>
          </w:p>
        </w:tc>
      </w:tr>
      <w:tr w:rsidR="00E7728E">
        <w:tc>
          <w:tcPr>
            <w:tcW w:w="7621" w:type="dxa"/>
            <w:tcBorders>
              <w:top w:val="nil"/>
              <w:left w:val="nil"/>
              <w:bottom w:val="nil"/>
              <w:right w:val="nil"/>
            </w:tcBorders>
            <w:shd w:val="clear" w:color="auto" w:fill="auto"/>
            <w:tcMar>
              <w:top w:w="0" w:type="dxa"/>
              <w:left w:w="0" w:type="dxa"/>
              <w:bottom w:w="0" w:type="dxa"/>
              <w:right w:w="0" w:type="dxa"/>
            </w:tcMar>
          </w:tcPr>
          <w:p w:rsidR="00F50689" w:rsidRDefault="005A36C4" w:rsidP="00A675FE">
            <w:pPr>
              <w:pStyle w:val="Text9pItalicLeft"/>
              <w:rPr>
                <w:rFonts w:eastAsia="Verdana" w:cs="Verdana"/>
                <w:lang w:bidi="en-GB"/>
              </w:rPr>
            </w:pPr>
            <w:r>
              <w:rPr>
                <w:rFonts w:eastAsia="Verdana" w:cs="Verdana"/>
                <w:lang w:bidi="en-GB"/>
              </w:rPr>
              <w:t>Participation at 31.12.2013</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349</w:t>
            </w:r>
          </w:p>
        </w:tc>
      </w:tr>
      <w:tr w:rsidR="00E7728E">
        <w:tc>
          <w:tcPr>
            <w:tcW w:w="7621" w:type="dxa"/>
            <w:tcBorders>
              <w:top w:val="nil"/>
              <w:left w:val="nil"/>
              <w:bottom w:val="nil"/>
              <w:right w:val="nil"/>
            </w:tcBorders>
            <w:shd w:val="clear" w:color="auto" w:fill="auto"/>
            <w:tcMar>
              <w:top w:w="0" w:type="dxa"/>
              <w:left w:w="0" w:type="dxa"/>
              <w:bottom w:w="0" w:type="dxa"/>
              <w:right w:w="0" w:type="dxa"/>
            </w:tcMar>
          </w:tcPr>
          <w:p w:rsidR="00F50689" w:rsidRDefault="005A36C4" w:rsidP="00A675FE">
            <w:pPr>
              <w:pStyle w:val="Text9pItalicLeft"/>
              <w:rPr>
                <w:rFonts w:eastAsia="Verdana" w:cs="Verdana"/>
                <w:lang w:bidi="en-GB"/>
              </w:rPr>
            </w:pPr>
            <w:r>
              <w:rPr>
                <w:rFonts w:eastAsia="Verdana" w:cs="Verdana"/>
                <w:lang w:bidi="en-GB"/>
              </w:rPr>
              <w:t>Contribution</w:t>
            </w:r>
            <w:r w:rsidR="00A675FE">
              <w:rPr>
                <w:rFonts w:eastAsia="Verdana" w:cs="Verdana"/>
                <w:lang w:bidi="en-GB"/>
              </w:rPr>
              <w:t>s</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38</w:t>
            </w:r>
          </w:p>
        </w:tc>
      </w:tr>
      <w:tr w:rsidR="00E7728E">
        <w:tc>
          <w:tcPr>
            <w:tcW w:w="76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bidi="en-GB"/>
              </w:rPr>
            </w:pPr>
            <w:r>
              <w:rPr>
                <w:rFonts w:eastAsia="Verdana" w:cs="Verdana"/>
                <w:lang w:bidi="en-GB"/>
              </w:rPr>
              <w:t>Share of net result</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7</w:t>
            </w:r>
          </w:p>
        </w:tc>
      </w:tr>
      <w:tr w:rsidR="00E7728E">
        <w:tc>
          <w:tcPr>
            <w:tcW w:w="76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bidi="en-GB"/>
              </w:rPr>
            </w:pPr>
            <w:r>
              <w:rPr>
                <w:rFonts w:eastAsia="Verdana" w:cs="Verdana"/>
                <w:lang w:bidi="en-GB"/>
              </w:rPr>
              <w:t>Other equity movements</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15</w:t>
            </w:r>
          </w:p>
        </w:tc>
      </w:tr>
      <w:tr w:rsidR="00E7728E">
        <w:tc>
          <w:tcPr>
            <w:tcW w:w="7621" w:type="dxa"/>
            <w:tcBorders>
              <w:top w:val="nil"/>
              <w:left w:val="nil"/>
              <w:bottom w:val="nil"/>
              <w:right w:val="nil"/>
            </w:tcBorders>
            <w:shd w:val="clear" w:color="auto" w:fill="CCE1EA"/>
            <w:tcMar>
              <w:top w:w="0" w:type="dxa"/>
              <w:left w:w="0" w:type="dxa"/>
              <w:bottom w:w="0" w:type="dxa"/>
              <w:right w:w="0" w:type="dxa"/>
            </w:tcMar>
          </w:tcPr>
          <w:p w:rsidR="00F50689" w:rsidRDefault="005A36C4" w:rsidP="00A675FE">
            <w:pPr>
              <w:pStyle w:val="Text9pBoldLeft"/>
              <w:rPr>
                <w:rFonts w:eastAsia="Verdana" w:cs="Verdana"/>
                <w:lang w:bidi="en-GB"/>
              </w:rPr>
            </w:pPr>
            <w:r>
              <w:rPr>
                <w:rFonts w:eastAsia="Verdana" w:cs="Verdana"/>
                <w:lang w:bidi="en-GB"/>
              </w:rPr>
              <w:t>Participation at 31.12.2014</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lang w:bidi="en-GB"/>
              </w:rPr>
            </w:pPr>
            <w:r>
              <w:rPr>
                <w:rFonts w:eastAsia="Verdana" w:cs="Verdana"/>
                <w:lang w:bidi="en-GB"/>
              </w:rPr>
              <w:t xml:space="preserve"> 409</w:t>
            </w:r>
          </w:p>
        </w:tc>
      </w:tr>
    </w:tbl>
    <w:p w:rsidR="00F50689" w:rsidRDefault="005A36C4" w:rsidP="00F50689">
      <w:pPr>
        <w:pStyle w:val="DGTextstand-alone"/>
      </w:pPr>
      <w:r>
        <w:t>The following carrying amounts are attributable to the Commission based on its percentage of participation:</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lang w:bidi="en-GB"/>
              </w:rPr>
            </w:pPr>
            <w:bookmarkStart w:id="67" w:name="DOC_TBL00013_1_1"/>
            <w:bookmarkEnd w:id="67"/>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lang w:bidi="en-GB"/>
              </w:rPr>
            </w:pPr>
            <w:r>
              <w:rPr>
                <w:rFonts w:eastAsia="Verdana" w:cs="Verdana"/>
                <w:lang w:bidi="en-GB"/>
              </w:rPr>
              <w:t>EUR millions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lang w:bidi="en-GB"/>
              </w:rPr>
            </w:pPr>
            <w:r>
              <w:rPr>
                <w:rFonts w:eastAsia="Verdana" w:cs="Verdana"/>
                <w:lang w:bidi="en-GB"/>
              </w:rP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lang w:bidi="en-GB"/>
              </w:rPr>
            </w:pPr>
            <w:r>
              <w:rPr>
                <w:rFonts w:eastAsia="Verdana" w:cs="Verdana"/>
                <w:lang w:bidi="en-GB"/>
              </w:rPr>
              <w:t>31.12.2013</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bidi="en-GB"/>
              </w:rPr>
            </w:pPr>
            <w:r>
              <w:rPr>
                <w:rFonts w:eastAsia="Verdana" w:cs="Verdana"/>
                <w:lang w:bidi="en-GB"/>
              </w:rPr>
              <w:t>Assets</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497</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499</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bidi="en-GB"/>
              </w:rPr>
            </w:pPr>
            <w:r>
              <w:rPr>
                <w:rFonts w:eastAsia="Verdana" w:cs="Verdana"/>
                <w:lang w:bidi="en-GB"/>
              </w:rPr>
              <w:t>Liabilities</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(87)</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(240)</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bidi="en-GB"/>
              </w:rPr>
            </w:pPr>
            <w:r>
              <w:rPr>
                <w:rFonts w:eastAsia="Verdana" w:cs="Verdana"/>
                <w:lang w:bidi="en-GB"/>
              </w:rPr>
              <w:t>Revenue</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38</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37</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bidi="en-GB"/>
              </w:rPr>
            </w:pPr>
            <w:r>
              <w:rPr>
                <w:rFonts w:eastAsia="Verdana" w:cs="Verdana"/>
                <w:lang w:bidi="en-GB"/>
              </w:rPr>
              <w:t>Surplus/(deficit)</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21</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(221)</w:t>
            </w:r>
          </w:p>
        </w:tc>
      </w:tr>
    </w:tbl>
    <w:p w:rsidR="00F50689" w:rsidRDefault="00F50689" w:rsidP="00F50689">
      <w:pPr>
        <w:pStyle w:val="DGTextstand-alone"/>
        <w:spacing w:before="0"/>
      </w:pPr>
    </w:p>
    <w:p w:rsidR="00F50689" w:rsidRDefault="005A36C4" w:rsidP="00F50689">
      <w:pPr>
        <w:pStyle w:val="DGTextstand-alone"/>
      </w:pPr>
      <w:r w:rsidRPr="00F3531D">
        <w:t>The Commission has paid in 20</w:t>
      </w:r>
      <w:r>
        <w:t> </w:t>
      </w:r>
      <w:r w:rsidRPr="00F3531D">
        <w:t>% of its participation, the balance being uncalled</w:t>
      </w:r>
      <w:r>
        <w:t>,</w:t>
      </w:r>
      <w:r w:rsidRPr="00F3531D">
        <w:t xml:space="preserve"> corresponding to an amount of EUR</w:t>
      </w:r>
      <w:r w:rsidR="00116387">
        <w:t> </w:t>
      </w:r>
      <w:r>
        <w:t>8</w:t>
      </w:r>
      <w:r w:rsidRPr="00F3531D">
        <w:t>0</w:t>
      </w:r>
      <w:r>
        <w:t>9</w:t>
      </w:r>
      <w:r w:rsidR="00116387">
        <w:t> </w:t>
      </w:r>
      <w:r w:rsidRPr="00F3531D">
        <w:t>million.</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E7728E" w:rsidTr="00F50689">
        <w:tc>
          <w:tcPr>
            <w:tcW w:w="563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lang w:bidi="en-GB"/>
              </w:rPr>
            </w:pPr>
            <w:bookmarkStart w:id="68" w:name="DOC_TBL00014_1_1"/>
            <w:bookmarkEnd w:id="68"/>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lang w:bidi="en-GB"/>
              </w:rPr>
            </w:pPr>
            <w:r>
              <w:rPr>
                <w:rFonts w:eastAsia="Verdana" w:cs="Verdana"/>
                <w:lang w:bidi="en-GB"/>
              </w:rPr>
              <w:t>EUR millions</w:t>
            </w:r>
          </w:p>
        </w:tc>
      </w:tr>
      <w:tr w:rsidR="00E7728E" w:rsidTr="00F50689">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lang w:bidi="en-GB"/>
              </w:rPr>
            </w:pPr>
            <w:r>
              <w:rPr>
                <w:rFonts w:eastAsia="Verdana" w:cs="Verdana"/>
                <w:lang w:bidi="en-GB"/>
              </w:rPr>
              <w:t>Total EIF capital</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lang w:bidi="en-GB"/>
              </w:rPr>
            </w:pPr>
            <w:r>
              <w:rPr>
                <w:rFonts w:eastAsia="Verdana" w:cs="Verdana"/>
                <w:lang w:bidi="en-GB"/>
              </w:rPr>
              <w:t>Commission subscription</w:t>
            </w:r>
          </w:p>
        </w:tc>
      </w:tr>
      <w:tr w:rsidR="00E7728E" w:rsidTr="00F50689">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bidi="en-GB"/>
              </w:rPr>
            </w:pPr>
            <w:r>
              <w:rPr>
                <w:rFonts w:eastAsia="Verdana" w:cs="Verdana"/>
                <w:lang w:bidi="en-GB"/>
              </w:rPr>
              <w:t>Total share capital</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4 161</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1 011</w:t>
            </w:r>
          </w:p>
        </w:tc>
      </w:tr>
      <w:tr w:rsidR="00E7728E" w:rsidTr="00F50689">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bidi="en-GB"/>
              </w:rPr>
            </w:pPr>
            <w:r>
              <w:rPr>
                <w:rFonts w:eastAsia="Verdana" w:cs="Verdana"/>
                <w:lang w:bidi="en-GB"/>
              </w:rPr>
              <w:t>Paid-in</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(832)</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(202)</w:t>
            </w:r>
          </w:p>
        </w:tc>
      </w:tr>
      <w:tr w:rsidR="00E7728E" w:rsidTr="00F50689">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eastAsia="Verdana" w:cs="Verdana"/>
                <w:lang w:bidi="en-GB"/>
              </w:rPr>
            </w:pPr>
            <w:r>
              <w:rPr>
                <w:rFonts w:eastAsia="Verdana" w:cs="Verdana"/>
                <w:lang w:bidi="en-GB"/>
              </w:rPr>
              <w:t>Uncalled</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lang w:bidi="en-GB"/>
              </w:rPr>
            </w:pPr>
            <w:r>
              <w:rPr>
                <w:rFonts w:eastAsia="Verdana" w:cs="Verdana"/>
                <w:lang w:bidi="en-GB"/>
              </w:rPr>
              <w:t>3 329</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lang w:bidi="en-GB"/>
              </w:rPr>
            </w:pPr>
            <w:r>
              <w:rPr>
                <w:rFonts w:eastAsia="Verdana" w:cs="Verdana"/>
                <w:lang w:bidi="en-GB"/>
              </w:rPr>
              <w:t xml:space="preserve"> 809</w:t>
            </w:r>
          </w:p>
        </w:tc>
      </w:tr>
    </w:tbl>
    <w:p w:rsidR="00F50689" w:rsidRPr="00F3531D" w:rsidRDefault="005A36C4" w:rsidP="00F50689">
      <w:pPr>
        <w:pStyle w:val="DGTextstand-alone"/>
        <w:spacing w:before="0"/>
        <w:sectPr w:rsidR="00F50689" w:rsidRPr="00F3531D" w:rsidSect="00F50689">
          <w:headerReference w:type="even" r:id="rId137"/>
          <w:headerReference w:type="default" r:id="rId138"/>
          <w:footerReference w:type="even" r:id="rId139"/>
          <w:footerReference w:type="default" r:id="rId140"/>
          <w:headerReference w:type="first" r:id="rId141"/>
          <w:footerReference w:type="first" r:id="rId142"/>
          <w:pgSz w:w="11906" w:h="16838"/>
          <w:pgMar w:top="1134" w:right="1134" w:bottom="1134" w:left="1134" w:header="709" w:footer="709" w:gutter="0"/>
          <w:cols w:space="708"/>
          <w:docGrid w:linePitch="360"/>
        </w:sectPr>
      </w:pPr>
      <w:r>
        <w:t xml:space="preserve"> </w:t>
      </w:r>
      <w:bookmarkEnd w:id="62"/>
    </w:p>
    <w:p w:rsidR="00F50689" w:rsidRPr="00F54103" w:rsidRDefault="005A36C4" w:rsidP="00F50689">
      <w:pPr>
        <w:pStyle w:val="HEADER2Part2"/>
      </w:pPr>
      <w:bookmarkStart w:id="69" w:name="_DMBM_2626"/>
      <w:r w:rsidRPr="00F54103">
        <w:t>FINANCIAL ASSETS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gridCol w:w="851"/>
        <w:gridCol w:w="1842"/>
        <w:gridCol w:w="1843"/>
      </w:tblGrid>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70" w:name="DOC_TBL00015_1_1"/>
            <w:bookmarkEnd w:id="70"/>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rPr>
                <w:rFonts w:cs="Verdana"/>
              </w:rPr>
              <w:t>EUR millions</w:t>
            </w:r>
          </w:p>
        </w:tc>
      </w:tr>
      <w:tr w:rsidR="00E7728E">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Note</w:t>
            </w:r>
          </w:p>
        </w:tc>
        <w:tc>
          <w:tcPr>
            <w:tcW w:w="184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31.12.2014</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31.12.2013</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rPr>
                <w:rFonts w:cs="Verdana"/>
              </w:rPr>
              <w:t>Non-current financial assets</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3"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Available for sale financial assets</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rPr>
                <w:rFonts w:eastAsia="Times New Roman" w:cs="Verdana"/>
              </w:rPr>
              <w:t>2.4.1</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6 550</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5 497</w:t>
            </w:r>
          </w:p>
        </w:tc>
      </w:tr>
      <w:tr w:rsidR="00E7728E">
        <w:trPr>
          <w:trHeight w:val="268"/>
        </w:trPr>
        <w:tc>
          <w:tcPr>
            <w:tcW w:w="521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Loans</w:t>
            </w:r>
          </w:p>
        </w:tc>
        <w:tc>
          <w:tcPr>
            <w:tcW w:w="85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rPr>
                <w:rFonts w:eastAsia="Times New Roman" w:cs="Verdana"/>
              </w:rPr>
              <w:t>2.4.2</w:t>
            </w:r>
          </w:p>
        </w:tc>
        <w:tc>
          <w:tcPr>
            <w:tcW w:w="1842"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49 888</w:t>
            </w:r>
          </w:p>
        </w:tc>
        <w:tc>
          <w:tcPr>
            <w:tcW w:w="1843"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54 347</w:t>
            </w:r>
          </w:p>
        </w:tc>
      </w:tr>
      <w:tr w:rsidR="00E7728E">
        <w:trPr>
          <w:trHeight w:val="268"/>
        </w:trPr>
        <w:tc>
          <w:tcPr>
            <w:tcW w:w="521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Total</w:t>
            </w:r>
          </w:p>
        </w:tc>
        <w:tc>
          <w:tcPr>
            <w:tcW w:w="85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F50689" w:rsidP="00F50689">
            <w:pPr>
              <w:pStyle w:val="Text9pItalicCentered"/>
              <w:rPr>
                <w:rFonts w:eastAsia="Times New Roman" w:cs="Verdana"/>
                <w:i w:val="0"/>
              </w:rPr>
            </w:pPr>
          </w:p>
        </w:tc>
        <w:tc>
          <w:tcPr>
            <w:tcW w:w="1842"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56 438</w:t>
            </w:r>
          </w:p>
        </w:tc>
        <w:tc>
          <w:tcPr>
            <w:tcW w:w="1843"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59 844</w:t>
            </w:r>
          </w:p>
        </w:tc>
      </w:tr>
      <w:tr w:rsidR="00E7728E">
        <w:trPr>
          <w:trHeight w:val="268"/>
        </w:trPr>
        <w:tc>
          <w:tcPr>
            <w:tcW w:w="5211"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rPr>
                <w:rFonts w:cs="Verdana"/>
              </w:rPr>
              <w:t>Current financial assets</w:t>
            </w:r>
          </w:p>
        </w:tc>
        <w:tc>
          <w:tcPr>
            <w:tcW w:w="851"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2"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3"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Available for sale financial assets</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rPr>
                <w:rFonts w:eastAsia="Times New Roman" w:cs="Verdana"/>
              </w:rPr>
              <w:t>2.4.1</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2 856</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2 373</w:t>
            </w:r>
          </w:p>
        </w:tc>
      </w:tr>
      <w:tr w:rsidR="00E7728E">
        <w:trPr>
          <w:trHeight w:val="268"/>
        </w:trPr>
        <w:tc>
          <w:tcPr>
            <w:tcW w:w="521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Loans</w:t>
            </w:r>
          </w:p>
        </w:tc>
        <w:tc>
          <w:tcPr>
            <w:tcW w:w="85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rPr>
                <w:rFonts w:eastAsia="Times New Roman" w:cs="Verdana"/>
              </w:rPr>
              <w:t>2.4.2</w:t>
            </w:r>
          </w:p>
        </w:tc>
        <w:tc>
          <w:tcPr>
            <w:tcW w:w="1842"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8 955</w:t>
            </w:r>
          </w:p>
        </w:tc>
        <w:tc>
          <w:tcPr>
            <w:tcW w:w="1843"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3 198</w:t>
            </w:r>
          </w:p>
        </w:tc>
      </w:tr>
      <w:tr w:rsidR="00E7728E">
        <w:trPr>
          <w:trHeight w:val="268"/>
        </w:trPr>
        <w:tc>
          <w:tcPr>
            <w:tcW w:w="5211"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Total</w:t>
            </w:r>
          </w:p>
        </w:tc>
        <w:tc>
          <w:tcPr>
            <w:tcW w:w="851"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11 811</w:t>
            </w:r>
          </w:p>
        </w:tc>
        <w:tc>
          <w:tcPr>
            <w:tcW w:w="1843"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5 571</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Total</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68 249</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65 415</w:t>
            </w:r>
          </w:p>
        </w:tc>
      </w:tr>
    </w:tbl>
    <w:p w:rsidR="00F50689" w:rsidRDefault="00F50689" w:rsidP="00F50689">
      <w:pPr>
        <w:pStyle w:val="DGTextstand-alone"/>
      </w:pPr>
    </w:p>
    <w:p w:rsidR="00F50689" w:rsidRDefault="00F50689" w:rsidP="00F50689">
      <w:pPr>
        <w:pStyle w:val="DGTextstand-alone"/>
      </w:pPr>
    </w:p>
    <w:p w:rsidR="00F50689" w:rsidRDefault="00F50689" w:rsidP="00F50689">
      <w:pPr>
        <w:pStyle w:val="DGTextstand-alone"/>
      </w:pPr>
    </w:p>
    <w:p w:rsidR="00F50689" w:rsidRDefault="00F50689" w:rsidP="00F50689">
      <w:pPr>
        <w:pStyle w:val="DGTextstand-alone"/>
      </w:pPr>
    </w:p>
    <w:p w:rsidR="00F50689" w:rsidRDefault="005A36C4" w:rsidP="00F50689">
      <w:pPr>
        <w:pStyle w:val="HEADER3Part2"/>
        <w:spacing w:after="0"/>
      </w:pPr>
      <w:r>
        <w:t>Available for sale financial assets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71" w:name="DOC_TBL00016_1_1"/>
            <w:bookmarkEnd w:id="71"/>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rPr>
                <w:rFonts w:cs="Verdana"/>
              </w:rPr>
              <w:t>EUR millions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31.12.2013</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BUFI investments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3 068</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1 910</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Guarantee Fund for external actions*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1 825</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1 773</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ECSC in Liquidation</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1 699</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1 696</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Risk Sharing Finance Facility (RSFF)</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842</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1 197</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Horizon 2020</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514</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ETF Start up</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399</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339</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European Bank for Reconstruction and Development (EBRD)</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188</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188</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Loan Guarantee Instrument for TEN-T projects (LGTT)</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186</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121</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Risk Capital Operations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145</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124</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Project Bond Initiative</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125</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67</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European Fund for South East Europe</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117</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116</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Other available for sale financial assets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298</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339</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9 406</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7 870</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Non-current</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6 550</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5 497</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Current</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2 856</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2 373</w:t>
            </w:r>
          </w:p>
        </w:tc>
      </w:tr>
    </w:tbl>
    <w:p w:rsidR="00F50689" w:rsidRPr="00101459" w:rsidRDefault="005A36C4" w:rsidP="00101459">
      <w:pPr>
        <w:pStyle w:val="Textstand-alone"/>
        <w:tabs>
          <w:tab w:val="left" w:pos="284"/>
        </w:tabs>
        <w:spacing w:before="60"/>
        <w:ind w:left="284" w:hanging="284"/>
        <w:rPr>
          <w:i/>
          <w:sz w:val="14"/>
        </w:rPr>
      </w:pPr>
      <w:r w:rsidRPr="00101459">
        <w:rPr>
          <w:i/>
          <w:sz w:val="14"/>
        </w:rPr>
        <w:t>*</w:t>
      </w:r>
      <w:r w:rsidRPr="00101459">
        <w:rPr>
          <w:i/>
          <w:sz w:val="14"/>
        </w:rPr>
        <w:tab/>
        <w:t>The Guarantee Fund for external actions holds EFSM bonds (EUR</w:t>
      </w:r>
      <w:r w:rsidR="00116387" w:rsidRPr="00101459">
        <w:rPr>
          <w:i/>
          <w:sz w:val="14"/>
        </w:rPr>
        <w:t> </w:t>
      </w:r>
      <w:r w:rsidRPr="00101459">
        <w:rPr>
          <w:i/>
          <w:sz w:val="14"/>
        </w:rPr>
        <w:t>20</w:t>
      </w:r>
      <w:r w:rsidR="00116387" w:rsidRPr="00101459">
        <w:rPr>
          <w:i/>
          <w:sz w:val="14"/>
        </w:rPr>
        <w:t> </w:t>
      </w:r>
      <w:r w:rsidRPr="00101459">
        <w:rPr>
          <w:i/>
          <w:sz w:val="14"/>
        </w:rPr>
        <w:t>million) issued by the Commission, so these have been eliminated. As it is a long-term instrument there is a significant non-current part of the available for sale financial assets, being EUR 1 489 million.</w:t>
      </w:r>
    </w:p>
    <w:p w:rsidR="00F50689" w:rsidRDefault="005A36C4" w:rsidP="00F50689">
      <w:pPr>
        <w:pStyle w:val="Textstand-alone"/>
      </w:pPr>
      <w:r w:rsidRPr="006C7C17">
        <w:t xml:space="preserve">The EU holds available for sale </w:t>
      </w:r>
      <w:r>
        <w:t>financial assets</w:t>
      </w:r>
      <w:r w:rsidRPr="006C7C17">
        <w:t xml:space="preserve"> mainly in the form of guarantee instruments and equity instruments. The increase as compared to 2013 is mainly due to more than EUR</w:t>
      </w:r>
      <w:r w:rsidR="00116387">
        <w:t> </w:t>
      </w:r>
      <w:r w:rsidRPr="006C7C17">
        <w:t>2</w:t>
      </w:r>
      <w:r w:rsidR="00116387">
        <w:t> </w:t>
      </w:r>
      <w:r w:rsidRPr="006C7C17">
        <w:t xml:space="preserve">billion of new fines </w:t>
      </w:r>
      <w:r>
        <w:t xml:space="preserve">being </w:t>
      </w:r>
      <w:r w:rsidRPr="006C7C17">
        <w:t>imposed in 2014 and invested in the BUFI fund, less open fine cases settled during 2014. Additionally, Horizon 2020, which is the eighth phase of the Framework Programmes for Research and Technological Development ('FP8'), began in 2014 and had assets of over half a billion euros at year-end.</w:t>
      </w:r>
    </w:p>
    <w:p w:rsidR="00F50689" w:rsidRDefault="005A36C4" w:rsidP="00F50689">
      <w:pPr>
        <w:pStyle w:val="Textstand-alone"/>
        <w:spacing w:after="0"/>
      </w:pPr>
      <w:r>
        <w:t>Fair value hierarchy of available for sale financial assets: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72" w:name="DOC_TBL00017_1_1"/>
            <w:bookmarkEnd w:id="72"/>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rPr>
                <w:rFonts w:cs="Verdana"/>
              </w:rPr>
              <w:t>EUR millions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31.12.2013</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Level 1: Quoted prices in active markets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8 183</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6 669</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Level 2: Observable inputs other than quoted prices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76</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76</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Level 3: Valuation techniques with inputs not based on observable market data</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1 147</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1 126</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9 406</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7 870</w:t>
            </w:r>
          </w:p>
        </w:tc>
      </w:tr>
    </w:tbl>
    <w:p w:rsidR="00F50689" w:rsidRDefault="005A36C4" w:rsidP="00F50689">
      <w:pPr>
        <w:pStyle w:val="Textstand-alone"/>
      </w:pPr>
      <w:r>
        <w:t>During the period there were no transfers between the above mentioned fair value measurement levels.</w:t>
      </w:r>
    </w:p>
    <w:p w:rsidR="00F50689" w:rsidRDefault="005A36C4" w:rsidP="00F50689">
      <w:pPr>
        <w:pStyle w:val="Textstand-alone"/>
        <w:spacing w:after="0"/>
      </w:pPr>
      <w:r>
        <w:t>Reconciliation of financial assets measured using valuation techniques with inputs not based on observable market data (level 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1"/>
        <w:gridCol w:w="2126"/>
      </w:tblGrid>
      <w:tr w:rsidR="00E7728E">
        <w:tc>
          <w:tcPr>
            <w:tcW w:w="7621"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73" w:name="DOC_TBL00018_1_1"/>
            <w:bookmarkEnd w:id="73"/>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rPr>
                <w:rFonts w:cs="Verdana"/>
              </w:rPr>
              <w:t>EUR millions</w:t>
            </w:r>
          </w:p>
        </w:tc>
      </w:tr>
      <w:tr w:rsidR="00E7728E">
        <w:tc>
          <w:tcPr>
            <w:tcW w:w="762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Right025"/>
              <w:rPr>
                <w:rFonts w:cs="Verdana"/>
              </w:rPr>
            </w:pP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Opening balance at 31.12.2013</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1 126</w:t>
            </w: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Purchases and sales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(57)</w:t>
            </w: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 xml:space="preserve">Gains or losses for the period </w:t>
            </w:r>
            <w:r w:rsidR="00A675FE">
              <w:rPr>
                <w:rFonts w:cs="Verdana"/>
              </w:rPr>
              <w:t xml:space="preserve">recognised </w:t>
            </w:r>
            <w:r>
              <w:rPr>
                <w:rFonts w:cs="Verdana"/>
              </w:rPr>
              <w:t>in surplus or deficit</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w:t>
            </w: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 xml:space="preserve">Gains or losses </w:t>
            </w:r>
            <w:r w:rsidR="00A675FE">
              <w:rPr>
                <w:rFonts w:cs="Verdana"/>
              </w:rPr>
              <w:t xml:space="preserve">recognised </w:t>
            </w:r>
            <w:r>
              <w:rPr>
                <w:rFonts w:cs="Verdana"/>
              </w:rPr>
              <w:t>in net assets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81</w:t>
            </w: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 xml:space="preserve">Transfers into level 3 </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 xml:space="preserve">Transfers out of level 3 </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Other</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w:t>
            </w:r>
          </w:p>
        </w:tc>
      </w:tr>
      <w:tr w:rsidR="00E7728E">
        <w:tc>
          <w:tcPr>
            <w:tcW w:w="762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Closing balance at 31.12.2014</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1 147</w:t>
            </w:r>
          </w:p>
        </w:tc>
      </w:tr>
    </w:tbl>
    <w:p w:rsidR="00F50689" w:rsidRDefault="005A36C4" w:rsidP="00F50689">
      <w:pPr>
        <w:pStyle w:val="Textstand-alone"/>
        <w:spacing w:before="0"/>
        <w:rPr>
          <w:lang w:bidi="en-GB"/>
        </w:rPr>
      </w:pPr>
      <w:r>
        <w:rPr>
          <w:lang w:bidi="en-GB"/>
        </w:rPr>
        <w:t xml:space="preserve"> </w:t>
      </w:r>
    </w:p>
    <w:p w:rsidR="00F50689" w:rsidRDefault="005A36C4" w:rsidP="00F50689">
      <w:pPr>
        <w:pStyle w:val="HEADER5"/>
      </w:pPr>
      <w:r>
        <w:t>European Bank for Reconstruction and Development</w:t>
      </w:r>
    </w:p>
    <w:p w:rsidR="00F50689" w:rsidRDefault="005A36C4" w:rsidP="00F50689">
      <w:pPr>
        <w:pStyle w:val="Textstand-alone"/>
        <w:spacing w:after="0"/>
      </w:pPr>
      <w:r>
        <w:t>As the European Bank for Reconstruction and Development (EBRD) is not quoted on any stock exchange and in view of the contractual restrictions included in the EBRD’s articles of incorporation relating, amongst others, to the sale of participating interests, capped at acquisition cost and only authorised to existing shareholders, the Commission's shareholding is valued at cost less any write-down for impairment.</w:t>
      </w:r>
    </w:p>
    <w:p w:rsidR="00823FE4" w:rsidRDefault="00823FE4">
      <w:pPr>
        <w:rPr>
          <w:rFonts w:ascii="Verdana" w:hAnsi="Verdana"/>
          <w:noProof/>
          <w:sz w:val="18"/>
          <w:szCs w:val="18"/>
          <w:lang w:eastAsia="en-US"/>
        </w:rPr>
      </w:pPr>
      <w:r>
        <w:br w:type="page"/>
      </w:r>
    </w:p>
    <w:p w:rsidR="00A675FE" w:rsidRDefault="00A675FE" w:rsidP="00F50689">
      <w:pPr>
        <w:pStyle w:val="Textstand-alone"/>
        <w:spacing w:after="0"/>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74" w:name="DOC_TBL00019_1_1"/>
            <w:bookmarkEnd w:id="74"/>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rPr>
                <w:rFonts w:cs="Verdana"/>
              </w:rPr>
              <w:t>EUR millions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Total EBRD capital</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Commission subscription</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Total Share Capital</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29 674</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900</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Paid-in</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(6 202)</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(188)</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Uncalled</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23 472</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 xml:space="preserve"> 712</w:t>
            </w:r>
          </w:p>
        </w:tc>
      </w:tr>
    </w:tbl>
    <w:p w:rsidR="00F50689" w:rsidRDefault="005A36C4" w:rsidP="00F50689">
      <w:pPr>
        <w:pStyle w:val="Textstand-alone"/>
        <w:spacing w:before="0"/>
        <w:rPr>
          <w:lang w:bidi="en-GB"/>
        </w:rPr>
      </w:pPr>
      <w:r>
        <w:rPr>
          <w:lang w:bidi="en-GB"/>
        </w:rPr>
        <w:t xml:space="preserve"> </w:t>
      </w:r>
    </w:p>
    <w:p w:rsidR="00F50689" w:rsidRDefault="005A36C4" w:rsidP="00F50689">
      <w:pPr>
        <w:pStyle w:val="HEADER3Part2"/>
        <w:spacing w:before="0" w:after="0"/>
      </w:pPr>
      <w:r>
        <w:t>Loans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75" w:name="DOC_TBL00020_1_1"/>
            <w:bookmarkEnd w:id="75"/>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rPr>
                <w:rFonts w:cs="Verdana"/>
              </w:rPr>
              <w:t>EUR millions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31.12.2013</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Non-current</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49 888</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54 347</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Current</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8 955</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3 198</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58 843</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57 545</w:t>
            </w:r>
          </w:p>
        </w:tc>
      </w:tr>
    </w:tbl>
    <w:p w:rsidR="00F50689" w:rsidRDefault="005A36C4" w:rsidP="00F50689">
      <w:pPr>
        <w:pStyle w:val="Textstand-alone"/>
      </w:pPr>
      <w:r w:rsidRPr="006C7C17">
        <w:t>This heading includes loans granted from borr</w:t>
      </w:r>
      <w:r>
        <w:t>owed funds (EUR 58 509 million) as well as</w:t>
      </w:r>
      <w:r w:rsidRPr="006C7C17">
        <w:t xml:space="preserve"> loans </w:t>
      </w:r>
      <w:r>
        <w:t xml:space="preserve">granted </w:t>
      </w:r>
      <w:r w:rsidRPr="006C7C17">
        <w:t xml:space="preserve">from the budget, i.e. loans with special conditions and ECSC </w:t>
      </w:r>
      <w:r>
        <w:t xml:space="preserve">in Liquidation </w:t>
      </w:r>
      <w:r w:rsidRPr="006C7C17">
        <w:t>housing loans (EUR 139 million)</w:t>
      </w:r>
      <w:r>
        <w:t>. Also included are</w:t>
      </w:r>
      <w:r w:rsidRPr="006C7C17">
        <w:t xml:space="preserve"> short-term deposits (EUR</w:t>
      </w:r>
      <w:r>
        <w:t> </w:t>
      </w:r>
      <w:r w:rsidRPr="006C7C17">
        <w:t>19</w:t>
      </w:r>
      <w:r>
        <w:t>5 </w:t>
      </w:r>
      <w:r w:rsidRPr="006C7C17">
        <w:t>million)</w:t>
      </w:r>
      <w:r>
        <w:t>, which are categorised as loans</w:t>
      </w:r>
      <w:r w:rsidRPr="006C7C17">
        <w:t>.</w:t>
      </w:r>
      <w:r>
        <w:t xml:space="preserve"> </w:t>
      </w:r>
    </w:p>
    <w:p w:rsidR="00F50689" w:rsidRDefault="005A36C4" w:rsidP="00F50689">
      <w:pPr>
        <w:pStyle w:val="HEADER5"/>
      </w:pPr>
      <w:r>
        <w:t>Loans granted from borrowed funds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077"/>
        <w:gridCol w:w="1077"/>
        <w:gridCol w:w="1078"/>
        <w:gridCol w:w="1077"/>
        <w:gridCol w:w="1078"/>
        <w:gridCol w:w="1417"/>
      </w:tblGrid>
      <w:tr w:rsidR="00E7728E">
        <w:trPr>
          <w:cantSplit/>
        </w:trPr>
        <w:tc>
          <w:tcPr>
            <w:tcW w:w="2943"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76" w:name="DOC_TBL00021_1_1"/>
            <w:bookmarkEnd w:id="76"/>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07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07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rPr>
                <w:rFonts w:cs="Verdana"/>
              </w:rPr>
              <w:t>EUR millions</w:t>
            </w:r>
          </w:p>
        </w:tc>
      </w:tr>
      <w:tr w:rsidR="00E7728E">
        <w:trPr>
          <w:cantSplit/>
          <w:trHeight w:val="247"/>
        </w:trPr>
        <w:tc>
          <w:tcPr>
            <w:tcW w:w="2943"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9pNormalLeft"/>
              <w:rPr>
                <w:rFonts w:cs="Verdana"/>
              </w:rPr>
            </w:pPr>
          </w:p>
        </w:tc>
        <w:tc>
          <w:tcPr>
            <w:tcW w:w="107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rPr>
                <w:rFonts w:cs="Verdana"/>
              </w:rPr>
              <w:t>MFA</w:t>
            </w:r>
          </w:p>
        </w:tc>
        <w:tc>
          <w:tcPr>
            <w:tcW w:w="107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rPr>
                <w:rFonts w:cs="Verdana"/>
              </w:rPr>
              <w:t>Euratom</w:t>
            </w:r>
          </w:p>
        </w:tc>
        <w:tc>
          <w:tcPr>
            <w:tcW w:w="107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rPr>
                <w:rFonts w:cs="Verdana"/>
              </w:rPr>
              <w:t>BOP</w:t>
            </w:r>
          </w:p>
        </w:tc>
        <w:tc>
          <w:tcPr>
            <w:tcW w:w="107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rPr>
                <w:rFonts w:cs="Verdana"/>
              </w:rPr>
              <w:t>EFSM</w:t>
            </w:r>
          </w:p>
        </w:tc>
        <w:tc>
          <w:tcPr>
            <w:tcW w:w="107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rPr>
                <w:rFonts w:cs="Verdana"/>
              </w:rPr>
              <w:t xml:space="preserve">ECSC in </w:t>
            </w:r>
            <w:proofErr w:type="spellStart"/>
            <w:r>
              <w:rPr>
                <w:rFonts w:cs="Verdana"/>
              </w:rPr>
              <w:t>Liqui</w:t>
            </w:r>
            <w:proofErr w:type="spellEnd"/>
            <w:r>
              <w:rPr>
                <w:rFonts w:cs="Verdana"/>
              </w:rPr>
              <w:t xml:space="preserve">-     </w:t>
            </w:r>
            <w:proofErr w:type="spellStart"/>
            <w:r>
              <w:rPr>
                <w:rFonts w:cs="Verdana"/>
              </w:rPr>
              <w:t>dation</w:t>
            </w:r>
            <w:proofErr w:type="spellEnd"/>
          </w:p>
        </w:tc>
        <w:tc>
          <w:tcPr>
            <w:tcW w:w="141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rPr>
                <w:rFonts w:cs="Verdana"/>
              </w:rPr>
              <w:t>Total</w:t>
            </w:r>
          </w:p>
        </w:tc>
      </w:tr>
      <w:tr w:rsidR="00E7728E">
        <w:trPr>
          <w:cantSplit/>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Total at 31.12.2013</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569</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387</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11 623</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44 468</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211</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57 258</w:t>
            </w:r>
          </w:p>
        </w:tc>
      </w:tr>
      <w:tr w:rsidR="00E7728E">
        <w:trPr>
          <w:cantSplit/>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New loans</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1 360</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3 000</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4 360</w:t>
            </w:r>
          </w:p>
        </w:tc>
      </w:tr>
      <w:tr w:rsidR="00E7728E">
        <w:trPr>
          <w:cantSplit/>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Repayments</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(96)</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(39)</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(3 000)</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(3 135)</w:t>
            </w:r>
          </w:p>
        </w:tc>
      </w:tr>
      <w:tr w:rsidR="00E7728E">
        <w:trPr>
          <w:cantSplit/>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Exchange differences</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15</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16</w:t>
            </w:r>
          </w:p>
        </w:tc>
      </w:tr>
      <w:tr w:rsidR="00E7728E">
        <w:trPr>
          <w:cantSplit/>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Changes in carrying amount</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9</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(33)</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39</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(5)</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10</w:t>
            </w:r>
          </w:p>
        </w:tc>
      </w:tr>
      <w:tr w:rsidR="00E7728E">
        <w:trPr>
          <w:cantSplit/>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Impairment</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r>
      <w:tr w:rsidR="00E7728E">
        <w:trPr>
          <w:cantSplit/>
          <w:trHeight w:val="247"/>
        </w:trPr>
        <w:tc>
          <w:tcPr>
            <w:tcW w:w="29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Total at 31.12.2014</w:t>
            </w:r>
          </w:p>
        </w:tc>
        <w:tc>
          <w:tcPr>
            <w:tcW w:w="107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1 842</w:t>
            </w:r>
          </w:p>
        </w:tc>
        <w:tc>
          <w:tcPr>
            <w:tcW w:w="107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 xml:space="preserve"> 349</w:t>
            </w:r>
          </w:p>
        </w:tc>
        <w:tc>
          <w:tcPr>
            <w:tcW w:w="107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8 590</w:t>
            </w:r>
          </w:p>
        </w:tc>
        <w:tc>
          <w:tcPr>
            <w:tcW w:w="107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47 507</w:t>
            </w:r>
          </w:p>
        </w:tc>
        <w:tc>
          <w:tcPr>
            <w:tcW w:w="107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 xml:space="preserve"> 221</w:t>
            </w:r>
          </w:p>
        </w:tc>
        <w:tc>
          <w:tcPr>
            <w:tcW w:w="141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58 509</w:t>
            </w:r>
          </w:p>
        </w:tc>
      </w:tr>
      <w:tr w:rsidR="00E7728E">
        <w:trPr>
          <w:cantSplit/>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Non-current</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1 762</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299</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5 700</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41 800</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211</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49 772</w:t>
            </w:r>
          </w:p>
        </w:tc>
      </w:tr>
      <w:tr w:rsidR="00E7728E">
        <w:trPr>
          <w:cantSplit/>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Current</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80</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50</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2 890</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5 707</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10</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8 737</w:t>
            </w:r>
          </w:p>
        </w:tc>
      </w:tr>
    </w:tbl>
    <w:p w:rsidR="00F50689" w:rsidRDefault="005A36C4" w:rsidP="00F50689">
      <w:pPr>
        <w:pStyle w:val="Textstand-alone"/>
      </w:pPr>
      <w:r w:rsidRPr="006C7C17">
        <w:rPr>
          <w:szCs w:val="22"/>
        </w:rPr>
        <w:t xml:space="preserve">The current/non-current presentation of the loans on the Commission's balance sheet (e.g. EFSM, BOP, </w:t>
      </w:r>
      <w:r>
        <w:rPr>
          <w:szCs w:val="22"/>
        </w:rPr>
        <w:t>Euratom</w:t>
      </w:r>
      <w:r w:rsidRPr="006C7C17">
        <w:rPr>
          <w:szCs w:val="22"/>
        </w:rPr>
        <w:t xml:space="preserve">, MFA) has been </w:t>
      </w:r>
      <w:r>
        <w:rPr>
          <w:szCs w:val="22"/>
        </w:rPr>
        <w:t>improv</w:t>
      </w:r>
      <w:r w:rsidRPr="006C7C17">
        <w:rPr>
          <w:szCs w:val="22"/>
        </w:rPr>
        <w:t xml:space="preserve">ed from the notion of looking solely at the final maturity of the loan to the notion of looking at the re-payments due at year-end. </w:t>
      </w:r>
      <w:r w:rsidRPr="00873DBC">
        <w:t>Guarantees from third-parties of EUR</w:t>
      </w:r>
      <w:r w:rsidR="00B82250">
        <w:t> </w:t>
      </w:r>
      <w:r w:rsidRPr="00873DBC">
        <w:t>349</w:t>
      </w:r>
      <w:r w:rsidR="00B82250">
        <w:t> </w:t>
      </w:r>
      <w:r w:rsidRPr="00873DBC">
        <w:t>million (2013: EUR</w:t>
      </w:r>
      <w:r w:rsidR="00B82250">
        <w:t> </w:t>
      </w:r>
      <w:r w:rsidRPr="00873DBC">
        <w:t>387</w:t>
      </w:r>
      <w:r w:rsidR="00B82250">
        <w:t> </w:t>
      </w:r>
      <w:r w:rsidRPr="00873DBC">
        <w:t xml:space="preserve">million) have been received covering Euratom loans. At 31.12.2014, EUR 250 million relating to a loan facility agreement under MFA assistance were granted to Ukraine but not yet disbursed. </w:t>
      </w:r>
    </w:p>
    <w:p w:rsidR="00B82250" w:rsidRPr="00873DBC" w:rsidRDefault="00B82250" w:rsidP="00F50689">
      <w:pPr>
        <w:pStyle w:val="Textstand-alone"/>
      </w:pPr>
    </w:p>
    <w:p w:rsidR="00F50689" w:rsidRPr="00B754EF" w:rsidRDefault="005A36C4" w:rsidP="00A675FE">
      <w:pPr>
        <w:pStyle w:val="HEADER5"/>
        <w:spacing w:after="120"/>
      </w:pPr>
      <w:r w:rsidRPr="00B754EF">
        <w:t>Loans effective interest rates (expressed as a range of interest rates)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2977"/>
        <w:gridCol w:w="2093"/>
      </w:tblGrid>
      <w:tr w:rsidR="00E7728E" w:rsidTr="00A675FE">
        <w:tc>
          <w:tcPr>
            <w:tcW w:w="4678"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bookmarkStart w:id="77" w:name="DOC_TBL00022_1_1"/>
            <w:bookmarkEnd w:id="77"/>
          </w:p>
        </w:tc>
        <w:tc>
          <w:tcPr>
            <w:tcW w:w="297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31.12.2014</w:t>
            </w:r>
          </w:p>
        </w:tc>
        <w:tc>
          <w:tcPr>
            <w:tcW w:w="209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31.12.2013</w:t>
            </w:r>
          </w:p>
        </w:tc>
      </w:tr>
      <w:tr w:rsidR="00E7728E" w:rsidTr="00A675FE">
        <w:tc>
          <w:tcPr>
            <w:tcW w:w="467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Macro Financial Assistance (MFA)</w:t>
            </w:r>
          </w:p>
        </w:tc>
        <w:tc>
          <w:tcPr>
            <w:tcW w:w="2977"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0.181</w:t>
            </w:r>
            <w:r w:rsidR="00A675FE">
              <w:rPr>
                <w:rFonts w:cs="Verdana"/>
              </w:rPr>
              <w:t xml:space="preserve"> </w:t>
            </w:r>
            <w:r>
              <w:rPr>
                <w:rFonts w:cs="Verdana"/>
              </w:rPr>
              <w:t>%-4.54</w:t>
            </w:r>
            <w:r w:rsidR="00A675FE">
              <w:rPr>
                <w:rFonts w:cs="Verdana"/>
              </w:rPr>
              <w:t xml:space="preserve"> </w:t>
            </w:r>
            <w:r>
              <w:rPr>
                <w:rFonts w:cs="Verdana"/>
              </w:rPr>
              <w:t>%</w:t>
            </w:r>
          </w:p>
        </w:tc>
        <w:tc>
          <w:tcPr>
            <w:tcW w:w="2093"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0.27</w:t>
            </w:r>
            <w:r w:rsidR="00A675FE">
              <w:rPr>
                <w:rFonts w:cs="Verdana"/>
              </w:rPr>
              <w:t xml:space="preserve"> </w:t>
            </w:r>
            <w:r>
              <w:rPr>
                <w:rFonts w:cs="Verdana"/>
              </w:rPr>
              <w:t>%-4.54</w:t>
            </w:r>
            <w:r w:rsidR="00A675FE">
              <w:rPr>
                <w:rFonts w:cs="Verdana"/>
              </w:rPr>
              <w:t xml:space="preserve"> </w:t>
            </w:r>
            <w:r>
              <w:rPr>
                <w:rFonts w:cs="Verdana"/>
              </w:rPr>
              <w:t>%</w:t>
            </w:r>
          </w:p>
        </w:tc>
      </w:tr>
      <w:tr w:rsidR="00E7728E" w:rsidTr="00A675FE">
        <w:tc>
          <w:tcPr>
            <w:tcW w:w="4678"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Euratom</w:t>
            </w:r>
          </w:p>
        </w:tc>
        <w:tc>
          <w:tcPr>
            <w:tcW w:w="2977"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0.26</w:t>
            </w:r>
            <w:r w:rsidR="00A675FE">
              <w:rPr>
                <w:rFonts w:cs="Verdana"/>
              </w:rPr>
              <w:t xml:space="preserve"> </w:t>
            </w:r>
            <w:r>
              <w:rPr>
                <w:rFonts w:cs="Verdana"/>
              </w:rPr>
              <w:t>%-5.76</w:t>
            </w:r>
            <w:r w:rsidR="00A675FE">
              <w:rPr>
                <w:rFonts w:cs="Verdana"/>
              </w:rPr>
              <w:t xml:space="preserve"> </w:t>
            </w:r>
            <w:r>
              <w:rPr>
                <w:rFonts w:cs="Verdana"/>
              </w:rPr>
              <w:t>%</w:t>
            </w:r>
          </w:p>
        </w:tc>
        <w:tc>
          <w:tcPr>
            <w:tcW w:w="2093"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0.34</w:t>
            </w:r>
            <w:r w:rsidR="00A675FE">
              <w:rPr>
                <w:rFonts w:cs="Verdana"/>
              </w:rPr>
              <w:t xml:space="preserve"> </w:t>
            </w:r>
            <w:r>
              <w:rPr>
                <w:rFonts w:cs="Verdana"/>
              </w:rPr>
              <w:t>%-5.76</w:t>
            </w:r>
            <w:r w:rsidR="00A675FE">
              <w:rPr>
                <w:rFonts w:cs="Verdana"/>
              </w:rPr>
              <w:t xml:space="preserve"> </w:t>
            </w:r>
            <w:r>
              <w:rPr>
                <w:rFonts w:cs="Verdana"/>
              </w:rPr>
              <w:t>%</w:t>
            </w:r>
          </w:p>
        </w:tc>
      </w:tr>
      <w:tr w:rsidR="00E7728E" w:rsidTr="00A675FE">
        <w:tc>
          <w:tcPr>
            <w:tcW w:w="4678"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Balance of Payment (BOP)</w:t>
            </w:r>
          </w:p>
        </w:tc>
        <w:tc>
          <w:tcPr>
            <w:tcW w:w="2977"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2.375</w:t>
            </w:r>
            <w:r w:rsidR="00A675FE">
              <w:rPr>
                <w:rFonts w:cs="Verdana"/>
              </w:rPr>
              <w:t xml:space="preserve"> </w:t>
            </w:r>
            <w:r>
              <w:rPr>
                <w:rFonts w:cs="Verdana"/>
              </w:rPr>
              <w:t>%-3.625</w:t>
            </w:r>
            <w:r w:rsidR="00A675FE">
              <w:rPr>
                <w:rFonts w:cs="Verdana"/>
              </w:rPr>
              <w:t xml:space="preserve"> </w:t>
            </w:r>
            <w:r>
              <w:rPr>
                <w:rFonts w:cs="Verdana"/>
              </w:rPr>
              <w:t>%</w:t>
            </w:r>
          </w:p>
        </w:tc>
        <w:tc>
          <w:tcPr>
            <w:tcW w:w="2093"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2.375</w:t>
            </w:r>
            <w:r w:rsidR="00A675FE">
              <w:rPr>
                <w:rFonts w:cs="Verdana"/>
              </w:rPr>
              <w:t xml:space="preserve"> </w:t>
            </w:r>
            <w:r>
              <w:rPr>
                <w:rFonts w:cs="Verdana"/>
              </w:rPr>
              <w:t>%-3.625</w:t>
            </w:r>
            <w:r w:rsidR="00A675FE">
              <w:rPr>
                <w:rFonts w:cs="Verdana"/>
              </w:rPr>
              <w:t xml:space="preserve"> </w:t>
            </w:r>
            <w:r>
              <w:rPr>
                <w:rFonts w:cs="Verdana"/>
              </w:rPr>
              <w:t>%</w:t>
            </w:r>
          </w:p>
        </w:tc>
      </w:tr>
      <w:tr w:rsidR="00E7728E" w:rsidTr="00A675FE">
        <w:tc>
          <w:tcPr>
            <w:tcW w:w="4678"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European Financial Stability Mechanism (EFSM)</w:t>
            </w:r>
          </w:p>
        </w:tc>
        <w:tc>
          <w:tcPr>
            <w:tcW w:w="2977"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1.875</w:t>
            </w:r>
            <w:r w:rsidR="00A675FE">
              <w:rPr>
                <w:rFonts w:cs="Verdana"/>
              </w:rPr>
              <w:t xml:space="preserve"> </w:t>
            </w:r>
            <w:r>
              <w:rPr>
                <w:rFonts w:cs="Verdana"/>
              </w:rPr>
              <w:t>%-3.750</w:t>
            </w:r>
            <w:r w:rsidR="00A675FE">
              <w:rPr>
                <w:rFonts w:cs="Verdana"/>
              </w:rPr>
              <w:t xml:space="preserve"> </w:t>
            </w:r>
            <w:r>
              <w:rPr>
                <w:rFonts w:cs="Verdana"/>
              </w:rPr>
              <w:t>%</w:t>
            </w:r>
          </w:p>
        </w:tc>
        <w:tc>
          <w:tcPr>
            <w:tcW w:w="2093"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2.375</w:t>
            </w:r>
            <w:r w:rsidR="00A675FE">
              <w:rPr>
                <w:rFonts w:cs="Verdana"/>
              </w:rPr>
              <w:t xml:space="preserve"> </w:t>
            </w:r>
            <w:r>
              <w:rPr>
                <w:rFonts w:cs="Verdana"/>
              </w:rPr>
              <w:t>%-3.750</w:t>
            </w:r>
            <w:r w:rsidR="00A675FE">
              <w:rPr>
                <w:rFonts w:cs="Verdana"/>
              </w:rPr>
              <w:t xml:space="preserve"> </w:t>
            </w:r>
            <w:r>
              <w:rPr>
                <w:rFonts w:cs="Verdana"/>
              </w:rPr>
              <w:t>%</w:t>
            </w:r>
          </w:p>
        </w:tc>
      </w:tr>
      <w:tr w:rsidR="00E7728E" w:rsidTr="00A675FE">
        <w:tc>
          <w:tcPr>
            <w:tcW w:w="4678" w:type="dxa"/>
            <w:tcBorders>
              <w:top w:val="single" w:sz="4" w:space="0" w:color="016794"/>
              <w:left w:val="nil"/>
              <w:bottom w:val="nil"/>
              <w:right w:val="nil"/>
            </w:tcBorders>
            <w:tcMar>
              <w:top w:w="0" w:type="dxa"/>
              <w:left w:w="0" w:type="dxa"/>
              <w:bottom w:w="0" w:type="dxa"/>
              <w:right w:w="0" w:type="dxa"/>
            </w:tcMar>
          </w:tcPr>
          <w:p w:rsidR="00F50689" w:rsidRDefault="005A36C4" w:rsidP="00116387">
            <w:pPr>
              <w:pStyle w:val="Text9pItalicLeft"/>
              <w:rPr>
                <w:rFonts w:cs="Verdana"/>
              </w:rPr>
            </w:pPr>
            <w:r>
              <w:rPr>
                <w:rFonts w:cs="Verdana"/>
              </w:rPr>
              <w:t xml:space="preserve">ECSC in </w:t>
            </w:r>
            <w:r w:rsidR="00116387">
              <w:rPr>
                <w:rFonts w:cs="Verdana"/>
              </w:rPr>
              <w:t>L</w:t>
            </w:r>
            <w:r>
              <w:rPr>
                <w:rFonts w:cs="Verdana"/>
              </w:rPr>
              <w:t>iquidation</w:t>
            </w:r>
          </w:p>
        </w:tc>
        <w:tc>
          <w:tcPr>
            <w:tcW w:w="2977"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5.2354</w:t>
            </w:r>
            <w:r w:rsidR="00A675FE">
              <w:rPr>
                <w:rFonts w:cs="Verdana"/>
              </w:rPr>
              <w:t xml:space="preserve"> </w:t>
            </w:r>
            <w:r>
              <w:rPr>
                <w:rFonts w:cs="Verdana"/>
              </w:rPr>
              <w:t>%-5.8103</w:t>
            </w:r>
            <w:r w:rsidR="00A675FE">
              <w:rPr>
                <w:rFonts w:cs="Verdana"/>
              </w:rPr>
              <w:t xml:space="preserve"> </w:t>
            </w:r>
            <w:r>
              <w:rPr>
                <w:rFonts w:cs="Verdana"/>
              </w:rPr>
              <w:t>%</w:t>
            </w:r>
          </w:p>
        </w:tc>
        <w:tc>
          <w:tcPr>
            <w:tcW w:w="2093"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5.2354</w:t>
            </w:r>
            <w:r w:rsidR="00A675FE">
              <w:rPr>
                <w:rFonts w:cs="Verdana"/>
              </w:rPr>
              <w:t xml:space="preserve"> </w:t>
            </w:r>
            <w:r>
              <w:rPr>
                <w:rFonts w:cs="Verdana"/>
              </w:rPr>
              <w:t>%-5.8103</w:t>
            </w:r>
            <w:r w:rsidR="00A675FE">
              <w:rPr>
                <w:rFonts w:cs="Verdana"/>
              </w:rPr>
              <w:t xml:space="preserve"> </w:t>
            </w:r>
            <w:r>
              <w:rPr>
                <w:rFonts w:cs="Verdana"/>
              </w:rPr>
              <w:t>%</w:t>
            </w:r>
          </w:p>
        </w:tc>
      </w:tr>
    </w:tbl>
    <w:p w:rsidR="00F50689" w:rsidRPr="00045485" w:rsidRDefault="005A36C4" w:rsidP="00F50689">
      <w:pPr>
        <w:pStyle w:val="Textstand-alone"/>
        <w:spacing w:before="0"/>
        <w:sectPr w:rsidR="00F50689" w:rsidRPr="00045485" w:rsidSect="00F50689">
          <w:headerReference w:type="even" r:id="rId143"/>
          <w:headerReference w:type="default" r:id="rId144"/>
          <w:footerReference w:type="even" r:id="rId145"/>
          <w:footerReference w:type="default" r:id="rId146"/>
          <w:headerReference w:type="first" r:id="rId147"/>
          <w:footerReference w:type="first" r:id="rId148"/>
          <w:type w:val="continuous"/>
          <w:pgSz w:w="11906" w:h="16838"/>
          <w:pgMar w:top="1134" w:right="1134" w:bottom="1134" w:left="1134" w:header="709" w:footer="709" w:gutter="0"/>
          <w:cols w:space="708"/>
          <w:docGrid w:linePitch="360"/>
        </w:sectPr>
      </w:pPr>
      <w:r>
        <w:t xml:space="preserve"> </w:t>
      </w:r>
      <w:bookmarkEnd w:id="69"/>
    </w:p>
    <w:p w:rsidR="00F50689" w:rsidRPr="001007FE" w:rsidRDefault="005A36C4" w:rsidP="00F50689">
      <w:pPr>
        <w:pStyle w:val="HEADER2Part2"/>
      </w:pPr>
      <w:bookmarkStart w:id="78" w:name="_DMBM_2627"/>
      <w:r w:rsidRPr="001007FE">
        <w:t>PRE-FINANCING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gridCol w:w="851"/>
        <w:gridCol w:w="1842"/>
        <w:gridCol w:w="1843"/>
      </w:tblGrid>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79" w:name="DOC_TBL00023_1_1"/>
            <w:bookmarkEnd w:id="79"/>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rPr>
                <w:rFonts w:cs="Verdana"/>
              </w:rPr>
              <w:t>EUR millions</w:t>
            </w:r>
          </w:p>
        </w:tc>
      </w:tr>
      <w:tr w:rsidR="00E7728E">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Note</w:t>
            </w:r>
          </w:p>
        </w:tc>
        <w:tc>
          <w:tcPr>
            <w:tcW w:w="184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31.12.2014</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31.12.2013</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rPr>
                <w:rFonts w:cs="Verdana"/>
              </w:rPr>
              <w:t>Non-current pre-financing</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3"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Pre-financing</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rPr>
                <w:rFonts w:eastAsia="Times New Roman" w:cs="Verdana"/>
              </w:rPr>
              <w:t>2.5.1</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15 980</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34 819</w:t>
            </w:r>
          </w:p>
        </w:tc>
      </w:tr>
      <w:tr w:rsidR="00E7728E">
        <w:trPr>
          <w:trHeight w:val="268"/>
        </w:trPr>
        <w:tc>
          <w:tcPr>
            <w:tcW w:w="521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Other advances to Member States</w:t>
            </w:r>
          </w:p>
        </w:tc>
        <w:tc>
          <w:tcPr>
            <w:tcW w:w="85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rPr>
                <w:rFonts w:eastAsia="Times New Roman" w:cs="Verdana"/>
              </w:rPr>
              <w:t>2.5.2</w:t>
            </w:r>
          </w:p>
        </w:tc>
        <w:tc>
          <w:tcPr>
            <w:tcW w:w="1842"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2 378</w:t>
            </w:r>
          </w:p>
        </w:tc>
        <w:tc>
          <w:tcPr>
            <w:tcW w:w="1843"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3 253</w:t>
            </w:r>
          </w:p>
        </w:tc>
      </w:tr>
      <w:tr w:rsidR="00E7728E">
        <w:trPr>
          <w:trHeight w:val="268"/>
        </w:trPr>
        <w:tc>
          <w:tcPr>
            <w:tcW w:w="521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Total</w:t>
            </w:r>
          </w:p>
        </w:tc>
        <w:tc>
          <w:tcPr>
            <w:tcW w:w="85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F50689" w:rsidP="00F50689">
            <w:pPr>
              <w:pStyle w:val="Text9pItalicCentered"/>
              <w:rPr>
                <w:rFonts w:eastAsia="Times New Roman" w:cs="Verdana"/>
                <w:i w:val="0"/>
              </w:rPr>
            </w:pPr>
          </w:p>
        </w:tc>
        <w:tc>
          <w:tcPr>
            <w:tcW w:w="1842"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18 358</w:t>
            </w:r>
          </w:p>
        </w:tc>
        <w:tc>
          <w:tcPr>
            <w:tcW w:w="1843"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38 072</w:t>
            </w:r>
          </w:p>
        </w:tc>
      </w:tr>
      <w:tr w:rsidR="00E7728E">
        <w:trPr>
          <w:trHeight w:val="268"/>
        </w:trPr>
        <w:tc>
          <w:tcPr>
            <w:tcW w:w="5211"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rPr>
                <w:rFonts w:cs="Verdana"/>
              </w:rPr>
              <w:t>Current pre-financing</w:t>
            </w:r>
          </w:p>
        </w:tc>
        <w:tc>
          <w:tcPr>
            <w:tcW w:w="851"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2"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3"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Pre-financing</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rPr>
                <w:rFonts w:eastAsia="Times New Roman" w:cs="Verdana"/>
              </w:rPr>
              <w:t>2.5.1</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29 222</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16 403</w:t>
            </w:r>
          </w:p>
        </w:tc>
      </w:tr>
      <w:tr w:rsidR="00E7728E">
        <w:trPr>
          <w:trHeight w:val="268"/>
        </w:trPr>
        <w:tc>
          <w:tcPr>
            <w:tcW w:w="521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Other advances to Member States</w:t>
            </w:r>
          </w:p>
        </w:tc>
        <w:tc>
          <w:tcPr>
            <w:tcW w:w="85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rPr>
                <w:rFonts w:eastAsia="Times New Roman" w:cs="Verdana"/>
              </w:rPr>
              <w:t>2.5.2</w:t>
            </w:r>
          </w:p>
        </w:tc>
        <w:tc>
          <w:tcPr>
            <w:tcW w:w="1842"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5 015</w:t>
            </w:r>
          </w:p>
        </w:tc>
        <w:tc>
          <w:tcPr>
            <w:tcW w:w="1843"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4 963</w:t>
            </w:r>
          </w:p>
        </w:tc>
      </w:tr>
      <w:tr w:rsidR="00E7728E">
        <w:trPr>
          <w:trHeight w:val="268"/>
        </w:trPr>
        <w:tc>
          <w:tcPr>
            <w:tcW w:w="5211"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Total</w:t>
            </w:r>
          </w:p>
        </w:tc>
        <w:tc>
          <w:tcPr>
            <w:tcW w:w="851"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34 237</w:t>
            </w:r>
          </w:p>
        </w:tc>
        <w:tc>
          <w:tcPr>
            <w:tcW w:w="1843"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21 367</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Total</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52 595</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59 439</w:t>
            </w:r>
          </w:p>
        </w:tc>
      </w:tr>
    </w:tbl>
    <w:p w:rsidR="00F50689" w:rsidRDefault="005A36C4" w:rsidP="00F50689">
      <w:pPr>
        <w:pStyle w:val="Textstand-alone"/>
        <w:spacing w:after="0"/>
      </w:pPr>
      <w:r>
        <w:t>Pre-financing represents a large portion of the EU's total assets, and thus receives proper and regular attention. It should be noted that the level of pre-financing amounts in the various programmes must be sufficient to ensure the necessary float for the beneficiary to start the project, while also safeguarding the financial interests of the EU and taking into consideration legal, operational and cost-effectiveness constraints. All these elements have been given due consideration by the Commission in an effort to improve the follow-up of pre-financing.</w:t>
      </w:r>
    </w:p>
    <w:p w:rsidR="00F50689" w:rsidRDefault="005A36C4" w:rsidP="00F50689">
      <w:pPr>
        <w:pStyle w:val="HEADER3Part2"/>
      </w:pPr>
      <w:r>
        <w:t>Pre-financing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077"/>
        <w:gridCol w:w="1077"/>
        <w:gridCol w:w="1248"/>
        <w:gridCol w:w="993"/>
        <w:gridCol w:w="1134"/>
        <w:gridCol w:w="1275"/>
      </w:tblGrid>
      <w:tr w:rsidR="00E7728E">
        <w:tc>
          <w:tcPr>
            <w:tcW w:w="2943"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80" w:name="DOC_TBL00024_1_1"/>
            <w:bookmarkEnd w:id="80"/>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24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134"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rPr>
                <w:rFonts w:cs="Verdana"/>
              </w:rPr>
              <w:t>EUR millions</w:t>
            </w:r>
          </w:p>
        </w:tc>
      </w:tr>
      <w:tr w:rsidR="00E7728E">
        <w:trPr>
          <w:trHeight w:val="247"/>
        </w:trPr>
        <w:tc>
          <w:tcPr>
            <w:tcW w:w="2943"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9pNormalLeft"/>
              <w:rPr>
                <w:rFonts w:cs="Verdana"/>
              </w:rPr>
            </w:pPr>
          </w:p>
        </w:tc>
        <w:tc>
          <w:tcPr>
            <w:tcW w:w="107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rPr>
                <w:rFonts w:cs="Verdana"/>
              </w:rPr>
              <w:t>Gross amount</w:t>
            </w:r>
          </w:p>
        </w:tc>
        <w:tc>
          <w:tcPr>
            <w:tcW w:w="107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rPr>
                <w:rFonts w:cs="Verdana"/>
              </w:rPr>
              <w:t>Cleared via cut-off</w:t>
            </w:r>
          </w:p>
        </w:tc>
        <w:tc>
          <w:tcPr>
            <w:tcW w:w="124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rPr>
                <w:rFonts w:cs="Verdana"/>
              </w:rPr>
              <w:t>Net amount at 31.12.2014</w:t>
            </w:r>
          </w:p>
        </w:tc>
        <w:tc>
          <w:tcPr>
            <w:tcW w:w="99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rPr>
                <w:rFonts w:cs="Verdana"/>
              </w:rPr>
              <w:t>Gross amount</w:t>
            </w:r>
          </w:p>
        </w:tc>
        <w:tc>
          <w:tcPr>
            <w:tcW w:w="1134"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rPr>
                <w:rFonts w:cs="Verdana"/>
              </w:rPr>
              <w:t>Cleared via cut-off</w:t>
            </w:r>
          </w:p>
        </w:tc>
        <w:tc>
          <w:tcPr>
            <w:tcW w:w="127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rPr>
                <w:rFonts w:cs="Verdana"/>
              </w:rPr>
              <w:t>Net amount at 31.12.2013</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rPr>
                <w:rFonts w:cs="Verdana"/>
              </w:rPr>
              <w:t>Shared Management</w:t>
            </w:r>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1248" w:type="dxa"/>
            <w:tcBorders>
              <w:top w:val="nil"/>
              <w:left w:val="nil"/>
              <w:bottom w:val="nil"/>
              <w:right w:val="single" w:sz="4" w:space="0" w:color="016794"/>
            </w:tcBorders>
            <w:tcMar>
              <w:top w:w="0" w:type="dxa"/>
              <w:left w:w="0" w:type="dxa"/>
              <w:bottom w:w="0" w:type="dxa"/>
              <w:right w:w="0" w:type="dxa"/>
            </w:tcMar>
          </w:tcPr>
          <w:p w:rsidR="00F50689" w:rsidRDefault="00F50689" w:rsidP="00F50689">
            <w:pPr>
              <w:pStyle w:val="Figures9pItalicRight025"/>
              <w:rPr>
                <w:rFonts w:cs="Verdana"/>
                <w:i w:val="0"/>
              </w:rPr>
            </w:pPr>
          </w:p>
        </w:tc>
        <w:tc>
          <w:tcPr>
            <w:tcW w:w="993" w:type="dxa"/>
            <w:tcBorders>
              <w:top w:val="nil"/>
              <w:left w:val="single" w:sz="4" w:space="0" w:color="016794"/>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1134"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127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rPr>
                <w:rFonts w:cs="Verdana"/>
              </w:rPr>
              <w:t>EAFRD &amp; other rural development instruments</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5 644</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(2 115)</w:t>
            </w:r>
          </w:p>
        </w:tc>
        <w:tc>
          <w:tcPr>
            <w:tcW w:w="1248" w:type="dxa"/>
            <w:tcBorders>
              <w:top w:val="nil"/>
              <w:left w:val="nil"/>
              <w:bottom w:val="nil"/>
              <w:right w:val="single" w:sz="4" w:space="0" w:color="016794"/>
            </w:tcBorders>
            <w:tcMar>
              <w:top w:w="0" w:type="dxa"/>
              <w:left w:w="0" w:type="dxa"/>
              <w:bottom w:w="0" w:type="dxa"/>
              <w:right w:w="0" w:type="dxa"/>
            </w:tcMar>
          </w:tcPr>
          <w:p w:rsidR="00F50689" w:rsidRDefault="005A36C4" w:rsidP="00F50689">
            <w:pPr>
              <w:pStyle w:val="Figures9pItalicRight025"/>
              <w:rPr>
                <w:rFonts w:cs="Verdana"/>
              </w:rPr>
            </w:pPr>
            <w:r>
              <w:rPr>
                <w:rFonts w:cs="Verdana"/>
              </w:rPr>
              <w:t>3 529</w:t>
            </w:r>
          </w:p>
        </w:tc>
        <w:tc>
          <w:tcPr>
            <w:tcW w:w="993" w:type="dxa"/>
            <w:tcBorders>
              <w:top w:val="nil"/>
              <w:left w:val="single" w:sz="4" w:space="0" w:color="016794"/>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6 359</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(1 032)</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5 327</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rPr>
                <w:rFonts w:cs="Verdana"/>
              </w:rPr>
              <w:t>ERDF &amp; CF</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24 934</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(2 182)</w:t>
            </w:r>
          </w:p>
        </w:tc>
        <w:tc>
          <w:tcPr>
            <w:tcW w:w="1248" w:type="dxa"/>
            <w:tcBorders>
              <w:top w:val="nil"/>
              <w:left w:val="nil"/>
              <w:bottom w:val="nil"/>
              <w:right w:val="single" w:sz="4" w:space="0" w:color="016794"/>
            </w:tcBorders>
            <w:tcMar>
              <w:top w:w="0" w:type="dxa"/>
              <w:left w:w="0" w:type="dxa"/>
              <w:bottom w:w="0" w:type="dxa"/>
              <w:right w:w="0" w:type="dxa"/>
            </w:tcMar>
          </w:tcPr>
          <w:p w:rsidR="00F50689" w:rsidRDefault="005A36C4" w:rsidP="00F50689">
            <w:pPr>
              <w:pStyle w:val="Figures9pItalicRight025"/>
              <w:rPr>
                <w:rFonts w:cs="Verdana"/>
              </w:rPr>
            </w:pPr>
            <w:r>
              <w:rPr>
                <w:rFonts w:cs="Verdana"/>
              </w:rPr>
              <w:t>22 752</w:t>
            </w:r>
          </w:p>
        </w:tc>
        <w:tc>
          <w:tcPr>
            <w:tcW w:w="993" w:type="dxa"/>
            <w:tcBorders>
              <w:top w:val="nil"/>
              <w:left w:val="single" w:sz="4" w:space="0" w:color="016794"/>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25 701</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(2 164)</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23 537</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rPr>
                <w:rFonts w:cs="Verdana"/>
              </w:rPr>
              <w:t>ESF</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6 884</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(953)</w:t>
            </w:r>
          </w:p>
        </w:tc>
        <w:tc>
          <w:tcPr>
            <w:tcW w:w="1248" w:type="dxa"/>
            <w:tcBorders>
              <w:top w:val="nil"/>
              <w:left w:val="nil"/>
              <w:bottom w:val="nil"/>
              <w:right w:val="single" w:sz="4" w:space="0" w:color="016794"/>
            </w:tcBorders>
            <w:tcMar>
              <w:top w:w="0" w:type="dxa"/>
              <w:left w:w="0" w:type="dxa"/>
              <w:bottom w:w="0" w:type="dxa"/>
              <w:right w:w="0" w:type="dxa"/>
            </w:tcMar>
          </w:tcPr>
          <w:p w:rsidR="00F50689" w:rsidRDefault="005A36C4" w:rsidP="00F50689">
            <w:pPr>
              <w:pStyle w:val="Figures9pItalicRight025"/>
              <w:rPr>
                <w:rFonts w:cs="Verdana"/>
              </w:rPr>
            </w:pPr>
            <w:r>
              <w:rPr>
                <w:rFonts w:cs="Verdana"/>
              </w:rPr>
              <w:t>5 931</w:t>
            </w:r>
          </w:p>
        </w:tc>
        <w:tc>
          <w:tcPr>
            <w:tcW w:w="993" w:type="dxa"/>
            <w:tcBorders>
              <w:top w:val="nil"/>
              <w:left w:val="single" w:sz="4" w:space="0" w:color="016794"/>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6 857</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(492)</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6 365</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rPr>
                <w:rFonts w:cs="Verdana"/>
              </w:rPr>
              <w:t>Other</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4 626</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(2 535)</w:t>
            </w:r>
          </w:p>
        </w:tc>
        <w:tc>
          <w:tcPr>
            <w:tcW w:w="1248" w:type="dxa"/>
            <w:tcBorders>
              <w:top w:val="nil"/>
              <w:left w:val="nil"/>
              <w:bottom w:val="nil"/>
              <w:right w:val="single" w:sz="4" w:space="0" w:color="016794"/>
            </w:tcBorders>
            <w:tcMar>
              <w:top w:w="0" w:type="dxa"/>
              <w:left w:w="0" w:type="dxa"/>
              <w:bottom w:w="0" w:type="dxa"/>
              <w:right w:w="0" w:type="dxa"/>
            </w:tcMar>
          </w:tcPr>
          <w:p w:rsidR="00F50689" w:rsidRDefault="005A36C4" w:rsidP="00F50689">
            <w:pPr>
              <w:pStyle w:val="Figures9pItalicRight025"/>
              <w:rPr>
                <w:rFonts w:cs="Verdana"/>
              </w:rPr>
            </w:pPr>
            <w:r>
              <w:rPr>
                <w:rFonts w:cs="Verdana"/>
              </w:rPr>
              <w:t>2 091</w:t>
            </w:r>
          </w:p>
        </w:tc>
        <w:tc>
          <w:tcPr>
            <w:tcW w:w="993" w:type="dxa"/>
            <w:tcBorders>
              <w:top w:val="nil"/>
              <w:left w:val="single" w:sz="4" w:space="0" w:color="016794"/>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4 191</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(2 054)</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2 137</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rPr>
                <w:rFonts w:cs="Verdana"/>
              </w:rPr>
              <w:t>Direct Management</w:t>
            </w:r>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1248" w:type="dxa"/>
            <w:tcBorders>
              <w:top w:val="nil"/>
              <w:left w:val="nil"/>
              <w:bottom w:val="nil"/>
              <w:right w:val="single" w:sz="4" w:space="0" w:color="016794"/>
            </w:tcBorders>
            <w:tcMar>
              <w:top w:w="0" w:type="dxa"/>
              <w:left w:w="0" w:type="dxa"/>
              <w:bottom w:w="0" w:type="dxa"/>
              <w:right w:w="0" w:type="dxa"/>
            </w:tcMar>
          </w:tcPr>
          <w:p w:rsidR="00F50689" w:rsidRDefault="00F50689" w:rsidP="00F50689">
            <w:pPr>
              <w:pStyle w:val="Figures9pItalicRight025"/>
              <w:rPr>
                <w:rFonts w:cs="Verdana"/>
                <w:i w:val="0"/>
              </w:rPr>
            </w:pPr>
          </w:p>
        </w:tc>
        <w:tc>
          <w:tcPr>
            <w:tcW w:w="993" w:type="dxa"/>
            <w:tcBorders>
              <w:top w:val="nil"/>
              <w:left w:val="single" w:sz="4" w:space="0" w:color="016794"/>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1134"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127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200"/>
              <w:rPr>
                <w:rFonts w:cs="Verdana"/>
              </w:rPr>
            </w:pPr>
            <w:r>
              <w:rPr>
                <w:rFonts w:cs="Verdana"/>
              </w:rPr>
              <w:t xml:space="preserve">Implemented by: </w:t>
            </w:r>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248" w:type="dxa"/>
            <w:tcBorders>
              <w:top w:val="nil"/>
              <w:left w:val="nil"/>
              <w:bottom w:val="nil"/>
              <w:right w:val="single" w:sz="4" w:space="0" w:color="016794"/>
            </w:tcBorders>
            <w:tcMar>
              <w:top w:w="0" w:type="dxa"/>
              <w:left w:w="0" w:type="dxa"/>
              <w:bottom w:w="0" w:type="dxa"/>
              <w:right w:w="0" w:type="dxa"/>
            </w:tcMar>
          </w:tcPr>
          <w:p w:rsidR="00F50689" w:rsidRDefault="00F50689" w:rsidP="00F50689">
            <w:pPr>
              <w:pStyle w:val="Figures9pItalicRight025"/>
              <w:rPr>
                <w:rFonts w:cs="Verdana"/>
              </w:rPr>
            </w:pPr>
          </w:p>
        </w:tc>
        <w:tc>
          <w:tcPr>
            <w:tcW w:w="993" w:type="dxa"/>
            <w:tcBorders>
              <w:top w:val="nil"/>
              <w:left w:val="single" w:sz="4" w:space="0" w:color="016794"/>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34"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27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rPr>
                <w:rFonts w:cs="Verdana"/>
              </w:rPr>
              <w:t>Commission</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13 173</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(10 215)</w:t>
            </w:r>
          </w:p>
        </w:tc>
        <w:tc>
          <w:tcPr>
            <w:tcW w:w="1248" w:type="dxa"/>
            <w:tcBorders>
              <w:top w:val="nil"/>
              <w:left w:val="nil"/>
              <w:bottom w:val="nil"/>
              <w:right w:val="single" w:sz="4" w:space="0" w:color="016794"/>
            </w:tcBorders>
            <w:tcMar>
              <w:top w:w="0" w:type="dxa"/>
              <w:left w:w="0" w:type="dxa"/>
              <w:bottom w:w="0" w:type="dxa"/>
              <w:right w:w="0" w:type="dxa"/>
            </w:tcMar>
          </w:tcPr>
          <w:p w:rsidR="00F50689" w:rsidRDefault="005A36C4" w:rsidP="00F50689">
            <w:pPr>
              <w:pStyle w:val="Figures9pItalicRight025"/>
              <w:rPr>
                <w:rFonts w:cs="Verdana"/>
              </w:rPr>
            </w:pPr>
            <w:r>
              <w:rPr>
                <w:rFonts w:cs="Verdana"/>
              </w:rPr>
              <w:t>2 958</w:t>
            </w:r>
          </w:p>
        </w:tc>
        <w:tc>
          <w:tcPr>
            <w:tcW w:w="993" w:type="dxa"/>
            <w:tcBorders>
              <w:top w:val="nil"/>
              <w:left w:val="single" w:sz="4" w:space="0" w:color="016794"/>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14 841</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(9 459)</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5 382</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rPr>
                <w:rFonts w:cs="Verdana"/>
              </w:rPr>
              <w:t>EU executive agencies</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9 079</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(6 618)</w:t>
            </w:r>
          </w:p>
        </w:tc>
        <w:tc>
          <w:tcPr>
            <w:tcW w:w="1248" w:type="dxa"/>
            <w:tcBorders>
              <w:top w:val="nil"/>
              <w:left w:val="nil"/>
              <w:bottom w:val="nil"/>
              <w:right w:val="single" w:sz="4" w:space="0" w:color="016794"/>
            </w:tcBorders>
            <w:tcMar>
              <w:top w:w="0" w:type="dxa"/>
              <w:left w:w="0" w:type="dxa"/>
              <w:bottom w:w="0" w:type="dxa"/>
              <w:right w:w="0" w:type="dxa"/>
            </w:tcMar>
          </w:tcPr>
          <w:p w:rsidR="00F50689" w:rsidRDefault="005A36C4" w:rsidP="00F50689">
            <w:pPr>
              <w:pStyle w:val="Figures9pItalicRight025"/>
              <w:rPr>
                <w:rFonts w:cs="Verdana"/>
              </w:rPr>
            </w:pPr>
            <w:r>
              <w:rPr>
                <w:rFonts w:cs="Verdana"/>
              </w:rPr>
              <w:t>2 461</w:t>
            </w:r>
          </w:p>
        </w:tc>
        <w:tc>
          <w:tcPr>
            <w:tcW w:w="993" w:type="dxa"/>
            <w:tcBorders>
              <w:top w:val="nil"/>
              <w:left w:val="single" w:sz="4" w:space="0" w:color="016794"/>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8 558</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(5 108)</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3 450</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rPr>
                <w:rFonts w:cs="Verdana"/>
              </w:rPr>
              <w:t>Indirect Management</w:t>
            </w:r>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1248" w:type="dxa"/>
            <w:tcBorders>
              <w:top w:val="nil"/>
              <w:left w:val="nil"/>
              <w:bottom w:val="nil"/>
              <w:right w:val="single" w:sz="4" w:space="0" w:color="016794"/>
            </w:tcBorders>
            <w:tcMar>
              <w:top w:w="0" w:type="dxa"/>
              <w:left w:w="0" w:type="dxa"/>
              <w:bottom w:w="0" w:type="dxa"/>
              <w:right w:w="0" w:type="dxa"/>
            </w:tcMar>
          </w:tcPr>
          <w:p w:rsidR="00F50689" w:rsidRDefault="00F50689" w:rsidP="00F50689">
            <w:pPr>
              <w:pStyle w:val="Figures9pItalicRight025"/>
              <w:rPr>
                <w:rFonts w:cs="Verdana"/>
                <w:i w:val="0"/>
              </w:rPr>
            </w:pPr>
          </w:p>
        </w:tc>
        <w:tc>
          <w:tcPr>
            <w:tcW w:w="993" w:type="dxa"/>
            <w:tcBorders>
              <w:top w:val="nil"/>
              <w:left w:val="single" w:sz="4" w:space="0" w:color="016794"/>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1134"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127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200"/>
              <w:rPr>
                <w:rFonts w:cs="Verdana"/>
              </w:rPr>
            </w:pPr>
            <w:r>
              <w:rPr>
                <w:rFonts w:cs="Verdana"/>
              </w:rPr>
              <w:t>Implemented by:</w:t>
            </w:r>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248" w:type="dxa"/>
            <w:tcBorders>
              <w:top w:val="nil"/>
              <w:left w:val="nil"/>
              <w:bottom w:val="nil"/>
              <w:right w:val="single" w:sz="4" w:space="0" w:color="016794"/>
            </w:tcBorders>
            <w:tcMar>
              <w:top w:w="0" w:type="dxa"/>
              <w:left w:w="0" w:type="dxa"/>
              <w:bottom w:w="0" w:type="dxa"/>
              <w:right w:w="0" w:type="dxa"/>
            </w:tcMar>
          </w:tcPr>
          <w:p w:rsidR="00F50689" w:rsidRDefault="00F50689" w:rsidP="00F50689">
            <w:pPr>
              <w:pStyle w:val="Figures9pItalicRight025"/>
              <w:rPr>
                <w:rFonts w:cs="Verdana"/>
              </w:rPr>
            </w:pPr>
          </w:p>
        </w:tc>
        <w:tc>
          <w:tcPr>
            <w:tcW w:w="993" w:type="dxa"/>
            <w:tcBorders>
              <w:top w:val="nil"/>
              <w:left w:val="single" w:sz="4" w:space="0" w:color="016794"/>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34"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27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rPr>
                <w:rFonts w:cs="Verdana"/>
              </w:rPr>
              <w:t>Other EU agencies &amp; bodies</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548</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(98)</w:t>
            </w:r>
          </w:p>
        </w:tc>
        <w:tc>
          <w:tcPr>
            <w:tcW w:w="1248" w:type="dxa"/>
            <w:tcBorders>
              <w:top w:val="nil"/>
              <w:left w:val="nil"/>
              <w:bottom w:val="nil"/>
              <w:right w:val="single" w:sz="4" w:space="0" w:color="016794"/>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450</w:t>
            </w:r>
          </w:p>
        </w:tc>
        <w:tc>
          <w:tcPr>
            <w:tcW w:w="993" w:type="dxa"/>
            <w:tcBorders>
              <w:top w:val="nil"/>
              <w:left w:val="single" w:sz="4" w:space="0" w:color="016794"/>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412</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(21)</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391</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rPr>
                <w:rFonts w:cs="Verdana"/>
              </w:rPr>
              <w:t>Third countries</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1 981</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(1 169)</w:t>
            </w:r>
          </w:p>
        </w:tc>
        <w:tc>
          <w:tcPr>
            <w:tcW w:w="1248" w:type="dxa"/>
            <w:tcBorders>
              <w:top w:val="nil"/>
              <w:left w:val="nil"/>
              <w:bottom w:val="nil"/>
              <w:right w:val="single" w:sz="4" w:space="0" w:color="016794"/>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812</w:t>
            </w:r>
          </w:p>
        </w:tc>
        <w:tc>
          <w:tcPr>
            <w:tcW w:w="993" w:type="dxa"/>
            <w:tcBorders>
              <w:top w:val="nil"/>
              <w:left w:val="single" w:sz="4" w:space="0" w:color="016794"/>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1 678</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(782)</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896</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rPr>
                <w:rFonts w:cs="Verdana"/>
              </w:rPr>
              <w:t>International organisations</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6 236</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(3 476)</w:t>
            </w:r>
          </w:p>
        </w:tc>
        <w:tc>
          <w:tcPr>
            <w:tcW w:w="1248" w:type="dxa"/>
            <w:tcBorders>
              <w:top w:val="nil"/>
              <w:left w:val="nil"/>
              <w:bottom w:val="nil"/>
              <w:right w:val="single" w:sz="4" w:space="0" w:color="016794"/>
            </w:tcBorders>
            <w:tcMar>
              <w:top w:w="0" w:type="dxa"/>
              <w:left w:w="0" w:type="dxa"/>
              <w:bottom w:w="0" w:type="dxa"/>
              <w:right w:w="0" w:type="dxa"/>
            </w:tcMar>
          </w:tcPr>
          <w:p w:rsidR="00F50689" w:rsidRDefault="005A36C4" w:rsidP="00F50689">
            <w:pPr>
              <w:pStyle w:val="Figures9pItalicRight025"/>
              <w:rPr>
                <w:rFonts w:cs="Verdana"/>
              </w:rPr>
            </w:pPr>
            <w:r>
              <w:rPr>
                <w:rFonts w:cs="Verdana"/>
              </w:rPr>
              <w:t>2 760</w:t>
            </w:r>
          </w:p>
        </w:tc>
        <w:tc>
          <w:tcPr>
            <w:tcW w:w="993" w:type="dxa"/>
            <w:tcBorders>
              <w:top w:val="nil"/>
              <w:left w:val="single" w:sz="4" w:space="0" w:color="016794"/>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4 172</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(2 460)</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1 712</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rPr>
                <w:rFonts w:cs="Verdana"/>
              </w:rPr>
              <w:t>Other entities</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4 370</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(2 910)</w:t>
            </w:r>
          </w:p>
        </w:tc>
        <w:tc>
          <w:tcPr>
            <w:tcW w:w="1248" w:type="dxa"/>
            <w:tcBorders>
              <w:top w:val="nil"/>
              <w:left w:val="nil"/>
              <w:bottom w:val="nil"/>
              <w:right w:val="single" w:sz="4" w:space="0" w:color="016794"/>
            </w:tcBorders>
            <w:tcMar>
              <w:top w:w="0" w:type="dxa"/>
              <w:left w:w="0" w:type="dxa"/>
              <w:bottom w:w="0" w:type="dxa"/>
              <w:right w:w="0" w:type="dxa"/>
            </w:tcMar>
          </w:tcPr>
          <w:p w:rsidR="00F50689" w:rsidRDefault="005A36C4" w:rsidP="00F50689">
            <w:pPr>
              <w:pStyle w:val="Figures9pItalicRight025"/>
              <w:rPr>
                <w:rFonts w:cs="Verdana"/>
              </w:rPr>
            </w:pPr>
            <w:r>
              <w:rPr>
                <w:rFonts w:cs="Verdana"/>
              </w:rPr>
              <w:t>1 460</w:t>
            </w:r>
          </w:p>
        </w:tc>
        <w:tc>
          <w:tcPr>
            <w:tcW w:w="993" w:type="dxa"/>
            <w:tcBorders>
              <w:top w:val="nil"/>
              <w:left w:val="single" w:sz="4" w:space="0" w:color="016794"/>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5 503</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(3 478)</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2 025</w:t>
            </w:r>
          </w:p>
        </w:tc>
      </w:tr>
      <w:tr w:rsidR="00E7728E">
        <w:trPr>
          <w:trHeight w:val="247"/>
        </w:trPr>
        <w:tc>
          <w:tcPr>
            <w:tcW w:w="29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Total</w:t>
            </w:r>
          </w:p>
        </w:tc>
        <w:tc>
          <w:tcPr>
            <w:tcW w:w="107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77 474</w:t>
            </w:r>
          </w:p>
        </w:tc>
        <w:tc>
          <w:tcPr>
            <w:tcW w:w="107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(32 273)</w:t>
            </w:r>
          </w:p>
        </w:tc>
        <w:tc>
          <w:tcPr>
            <w:tcW w:w="1248" w:type="dxa"/>
            <w:tcBorders>
              <w:top w:val="nil"/>
              <w:left w:val="nil"/>
              <w:bottom w:val="nil"/>
              <w:right w:val="single" w:sz="4" w:space="0" w:color="016794"/>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45 202</w:t>
            </w:r>
          </w:p>
        </w:tc>
        <w:tc>
          <w:tcPr>
            <w:tcW w:w="993" w:type="dxa"/>
            <w:tcBorders>
              <w:top w:val="nil"/>
              <w:left w:val="single" w:sz="4" w:space="0" w:color="016794"/>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78 272</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(27 050)</w:t>
            </w:r>
          </w:p>
        </w:tc>
        <w:tc>
          <w:tcPr>
            <w:tcW w:w="127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51 222</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Non-current</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15 980</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248" w:type="dxa"/>
            <w:tcBorders>
              <w:top w:val="nil"/>
              <w:left w:val="nil"/>
              <w:bottom w:val="nil"/>
              <w:right w:val="single" w:sz="4" w:space="0" w:color="016794"/>
            </w:tcBorders>
            <w:tcMar>
              <w:top w:w="0" w:type="dxa"/>
              <w:left w:w="0" w:type="dxa"/>
              <w:bottom w:w="0" w:type="dxa"/>
              <w:right w:w="0" w:type="dxa"/>
            </w:tcMar>
          </w:tcPr>
          <w:p w:rsidR="00F50689" w:rsidRDefault="005A36C4" w:rsidP="00F50689">
            <w:pPr>
              <w:pStyle w:val="Figures9pItalicRight025"/>
              <w:rPr>
                <w:rFonts w:cs="Verdana"/>
              </w:rPr>
            </w:pPr>
            <w:r>
              <w:rPr>
                <w:rFonts w:cs="Verdana"/>
              </w:rPr>
              <w:t>15 980</w:t>
            </w:r>
          </w:p>
        </w:tc>
        <w:tc>
          <w:tcPr>
            <w:tcW w:w="993" w:type="dxa"/>
            <w:tcBorders>
              <w:top w:val="nil"/>
              <w:left w:val="single" w:sz="4" w:space="0" w:color="016794"/>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34 819</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34 819</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Current</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61 495</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(32 273)</w:t>
            </w:r>
          </w:p>
        </w:tc>
        <w:tc>
          <w:tcPr>
            <w:tcW w:w="1248" w:type="dxa"/>
            <w:tcBorders>
              <w:top w:val="nil"/>
              <w:left w:val="nil"/>
              <w:bottom w:val="nil"/>
              <w:right w:val="single" w:sz="4" w:space="0" w:color="016794"/>
            </w:tcBorders>
            <w:tcMar>
              <w:top w:w="0" w:type="dxa"/>
              <w:left w:w="0" w:type="dxa"/>
              <w:bottom w:w="0" w:type="dxa"/>
              <w:right w:w="0" w:type="dxa"/>
            </w:tcMar>
          </w:tcPr>
          <w:p w:rsidR="00F50689" w:rsidRDefault="005A36C4" w:rsidP="00F50689">
            <w:pPr>
              <w:pStyle w:val="Figures9pItalicRight025"/>
              <w:rPr>
                <w:rFonts w:cs="Verdana"/>
              </w:rPr>
            </w:pPr>
            <w:r>
              <w:rPr>
                <w:rFonts w:cs="Verdana"/>
              </w:rPr>
              <w:t>29 222</w:t>
            </w:r>
          </w:p>
        </w:tc>
        <w:tc>
          <w:tcPr>
            <w:tcW w:w="993" w:type="dxa"/>
            <w:tcBorders>
              <w:top w:val="nil"/>
              <w:left w:val="single" w:sz="4" w:space="0" w:color="016794"/>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43 453</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(27 050)</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16 403</w:t>
            </w:r>
          </w:p>
        </w:tc>
      </w:tr>
    </w:tbl>
    <w:p w:rsidR="00F50689" w:rsidRDefault="005A36C4" w:rsidP="00F50689">
      <w:pPr>
        <w:pStyle w:val="Textstand-alone"/>
        <w:spacing w:before="0" w:after="0"/>
        <w:rPr>
          <w:lang w:bidi="en-GB"/>
        </w:rPr>
      </w:pPr>
      <w:r>
        <w:rPr>
          <w:lang w:bidi="en-GB"/>
        </w:rPr>
        <w:t xml:space="preserve"> </w:t>
      </w:r>
    </w:p>
    <w:p w:rsidR="00F50689" w:rsidRPr="00A675FE" w:rsidRDefault="005A36C4" w:rsidP="00F50689">
      <w:pPr>
        <w:pStyle w:val="Textstand-alone"/>
      </w:pPr>
      <w:r w:rsidRPr="00A675FE">
        <w:t xml:space="preserve">The decrease in total pre-financing noted under shared management and direct management is attributed primarily to the closure of programing period 2007-2013 and the gradual set-up of programs under the period 2014-2020. Pre-financing related to the old programs is decreasing due to the acceptance of costs, while lower level of advances have been paid out concerning the new programming period. </w:t>
      </w:r>
    </w:p>
    <w:p w:rsidR="00F50689" w:rsidRPr="00A675FE" w:rsidRDefault="005A36C4" w:rsidP="00F50689">
      <w:pPr>
        <w:pStyle w:val="Textstand-alone"/>
      </w:pPr>
      <w:r w:rsidRPr="00A675FE">
        <w:t>For structural funds this transition between programming periods also explains the movement between current and non-current balances. New pre-financing paid concerning the programming period 2014-2020 is tipically booked as non-current; these advances are still limited in amount (due to the late adoption of new programs). The programming period 2007-2013 is in its closing phase and thus more amounts become due within twelve months.</w:t>
      </w:r>
    </w:p>
    <w:p w:rsidR="00F50689" w:rsidRPr="00A675FE" w:rsidRDefault="005A36C4" w:rsidP="00F50689">
      <w:pPr>
        <w:pStyle w:val="HEADER5"/>
      </w:pPr>
      <w:r w:rsidRPr="00A675FE">
        <w:t>Guarantees received in respect of pre-financing</w:t>
      </w:r>
    </w:p>
    <w:p w:rsidR="00F50689" w:rsidRPr="00A675FE" w:rsidRDefault="005A36C4" w:rsidP="00F50689">
      <w:pPr>
        <w:pStyle w:val="Textstand-alone"/>
      </w:pPr>
      <w:r w:rsidRPr="00A675FE">
        <w:t>These are guarantees that the Commission requests from beneficiaries that are not Member States, in certain cases when paying out advance payments (pre-financing). There are two values to disclose for this type of guarantee, the “nominal” and the “on-going” values. For the “nominal” value, the generating event is linked to the existence of the guarantee. For the “on-going” value, the guarantee’s generating event is the pre-financing payment and/or subsequent clearings. At 31</w:t>
      </w:r>
      <w:r w:rsidR="00116387">
        <w:t> </w:t>
      </w:r>
      <w:r w:rsidRPr="00A675FE">
        <w:t>December</w:t>
      </w:r>
      <w:r w:rsidR="00116387">
        <w:t> </w:t>
      </w:r>
      <w:r w:rsidRPr="00A675FE">
        <w:t>2014 the "nominal" value of guarantees received in respect of pre-financing amounted to EUR</w:t>
      </w:r>
      <w:r w:rsidR="00116387">
        <w:t> </w:t>
      </w:r>
      <w:r w:rsidRPr="00A675FE">
        <w:t>957</w:t>
      </w:r>
      <w:r w:rsidR="00116387">
        <w:t> </w:t>
      </w:r>
      <w:r w:rsidRPr="00A675FE">
        <w:t>million while the "on-going" value of those guarantees was EUR 605 million (2013: EUR 1 124 million and EUR 887 million respectively).</w:t>
      </w:r>
    </w:p>
    <w:p w:rsidR="00F50689" w:rsidRPr="00A675FE" w:rsidRDefault="005A36C4" w:rsidP="00F50689">
      <w:pPr>
        <w:jc w:val="both"/>
        <w:rPr>
          <w:rFonts w:ascii="Verdana" w:hAnsi="Verdana"/>
          <w:sz w:val="18"/>
          <w:szCs w:val="18"/>
        </w:rPr>
      </w:pPr>
      <w:r w:rsidRPr="00A675FE">
        <w:rPr>
          <w:rFonts w:ascii="Verdana" w:hAnsi="Verdana"/>
          <w:sz w:val="18"/>
        </w:rPr>
        <w:t>Certain pre-financing amounts paid out under the 7th Research Framework Programme for research and technological development (FP7) and under Horizon 2020 are effectively covered by a Participants Guarantee Fund (PGF).</w:t>
      </w:r>
      <w:r w:rsidRPr="00A675FE">
        <w:rPr>
          <w:sz w:val="18"/>
        </w:rPr>
        <w:t xml:space="preserve"> </w:t>
      </w:r>
      <w:r w:rsidRPr="00A675FE">
        <w:rPr>
          <w:rFonts w:ascii="Verdana" w:hAnsi="Verdana"/>
          <w:sz w:val="18"/>
          <w:szCs w:val="18"/>
        </w:rPr>
        <w:t xml:space="preserve">The PGF is a mutual benefit instrument set up to cover the risks relating to non-payment of amounts by the beneficiaries during the implementation of the indirect actions of FP7 and Horizon 2020. All participants of indirect actions receiving a grant from the EU contribute 5 % of the total contribution to the PGF's capital. </w:t>
      </w:r>
    </w:p>
    <w:p w:rsidR="00F50689" w:rsidRPr="00A675FE" w:rsidRDefault="005A36C4" w:rsidP="00F50689">
      <w:pPr>
        <w:jc w:val="both"/>
        <w:rPr>
          <w:rFonts w:ascii="Verdana" w:hAnsi="Verdana"/>
          <w:sz w:val="18"/>
          <w:szCs w:val="18"/>
        </w:rPr>
      </w:pPr>
      <w:r w:rsidRPr="00A675FE">
        <w:rPr>
          <w:rFonts w:ascii="Verdana" w:hAnsi="Verdana"/>
          <w:sz w:val="18"/>
          <w:szCs w:val="18"/>
        </w:rPr>
        <w:t>At 31</w:t>
      </w:r>
      <w:r w:rsidR="00116387">
        <w:rPr>
          <w:rFonts w:ascii="Verdana" w:hAnsi="Verdana"/>
          <w:sz w:val="18"/>
          <w:szCs w:val="18"/>
        </w:rPr>
        <w:t> </w:t>
      </w:r>
      <w:r w:rsidRPr="00A675FE">
        <w:rPr>
          <w:rFonts w:ascii="Verdana" w:hAnsi="Verdana"/>
          <w:sz w:val="18"/>
          <w:szCs w:val="18"/>
        </w:rPr>
        <w:t>December</w:t>
      </w:r>
      <w:r w:rsidR="00116387">
        <w:rPr>
          <w:rFonts w:ascii="Verdana" w:hAnsi="Verdana"/>
          <w:sz w:val="18"/>
          <w:szCs w:val="18"/>
        </w:rPr>
        <w:t> </w:t>
      </w:r>
      <w:r w:rsidRPr="00A675FE">
        <w:rPr>
          <w:rFonts w:ascii="Verdana" w:hAnsi="Verdana"/>
          <w:sz w:val="18"/>
          <w:szCs w:val="18"/>
        </w:rPr>
        <w:t xml:space="preserve">2014 pre-financing amounts covered by the PGF totalled EUR 1.8 billion (2013: EUR 4.5 billion). The decrease relates to the fact that 2014 was the last year for signing FP7 projects with </w:t>
      </w:r>
      <w:proofErr w:type="gramStart"/>
      <w:r w:rsidRPr="00A675FE">
        <w:rPr>
          <w:rFonts w:ascii="Verdana" w:hAnsi="Verdana"/>
          <w:sz w:val="18"/>
          <w:szCs w:val="18"/>
        </w:rPr>
        <w:t>less</w:t>
      </w:r>
      <w:proofErr w:type="gramEnd"/>
      <w:r w:rsidRPr="00A675FE">
        <w:rPr>
          <w:rFonts w:ascii="Verdana" w:hAnsi="Verdana"/>
          <w:sz w:val="18"/>
          <w:szCs w:val="18"/>
        </w:rPr>
        <w:t xml:space="preserve"> funds available for new projects. The EU (represented by the Commission) acts as an executive agent of the participants of the PGF, but the fund is owned by the participants. </w:t>
      </w:r>
    </w:p>
    <w:p w:rsidR="00F50689" w:rsidRPr="00A675FE" w:rsidRDefault="005A36C4" w:rsidP="00F50689">
      <w:pPr>
        <w:pStyle w:val="Textstand-alone"/>
        <w:spacing w:after="0"/>
      </w:pPr>
      <w:r w:rsidRPr="00A675FE">
        <w:t>At year-end, the PGF had total assets of EUR 1 640 million (2013: EUR 1 658 million). The assets of the PGF also include financial assets that are managed by the Directorate-General for Economic and Financial Affairs. As the PGF is a separate entity the assets of the fund are not consolidated in these EU annual accounts.</w:t>
      </w:r>
    </w:p>
    <w:p w:rsidR="00F50689" w:rsidRPr="00A675FE" w:rsidRDefault="005A36C4" w:rsidP="00F50689">
      <w:pPr>
        <w:pStyle w:val="HEADER3Part2"/>
      </w:pPr>
      <w:r w:rsidRPr="00A675FE">
        <w:t>Other advances to Member States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rsidRPr="00A675FE">
        <w:tc>
          <w:tcPr>
            <w:tcW w:w="5637" w:type="dxa"/>
            <w:tcBorders>
              <w:top w:val="nil"/>
              <w:left w:val="nil"/>
              <w:bottom w:val="nil"/>
              <w:right w:val="nil"/>
            </w:tcBorders>
            <w:tcMar>
              <w:top w:w="0" w:type="dxa"/>
              <w:left w:w="0" w:type="dxa"/>
              <w:bottom w:w="0" w:type="dxa"/>
              <w:right w:w="0" w:type="dxa"/>
            </w:tcMar>
          </w:tcPr>
          <w:p w:rsidR="00F50689" w:rsidRPr="00A675FE" w:rsidRDefault="00F50689" w:rsidP="00F50689">
            <w:pPr>
              <w:pStyle w:val="Text8pItalicLeft"/>
              <w:rPr>
                <w:rFonts w:cs="Verdana"/>
                <w:color w:val="FFFFFF"/>
              </w:rPr>
            </w:pPr>
            <w:bookmarkStart w:id="81" w:name="DOC_TBL00025_1_1"/>
            <w:bookmarkEnd w:id="81"/>
          </w:p>
        </w:tc>
        <w:tc>
          <w:tcPr>
            <w:tcW w:w="2126" w:type="dxa"/>
            <w:tcBorders>
              <w:top w:val="nil"/>
              <w:left w:val="nil"/>
              <w:bottom w:val="nil"/>
              <w:right w:val="nil"/>
            </w:tcBorders>
            <w:tcMar>
              <w:top w:w="0" w:type="dxa"/>
              <w:left w:w="0" w:type="dxa"/>
              <w:bottom w:w="0" w:type="dxa"/>
              <w:right w:w="0" w:type="dxa"/>
            </w:tcMar>
          </w:tcPr>
          <w:p w:rsidR="00F50689" w:rsidRPr="00A675FE"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Pr="00A675FE" w:rsidRDefault="005A36C4" w:rsidP="00F50689">
            <w:pPr>
              <w:pStyle w:val="Text8pItalicRight025EUR"/>
              <w:rPr>
                <w:rFonts w:cs="Verdana"/>
              </w:rPr>
            </w:pPr>
            <w:r w:rsidRPr="00A675FE">
              <w:rPr>
                <w:rFonts w:cs="Verdana"/>
              </w:rPr>
              <w:t>EUR millions</w:t>
            </w:r>
          </w:p>
        </w:tc>
      </w:tr>
      <w:tr w:rsidR="00E7728E" w:rsidRPr="00A675FE">
        <w:tc>
          <w:tcPr>
            <w:tcW w:w="5637" w:type="dxa"/>
            <w:tcBorders>
              <w:top w:val="nil"/>
              <w:left w:val="nil"/>
              <w:bottom w:val="nil"/>
              <w:right w:val="nil"/>
            </w:tcBorders>
            <w:shd w:val="clear" w:color="auto" w:fill="016794"/>
            <w:tcMar>
              <w:top w:w="0" w:type="dxa"/>
              <w:left w:w="0" w:type="dxa"/>
              <w:bottom w:w="0" w:type="dxa"/>
              <w:right w:w="0" w:type="dxa"/>
            </w:tcMar>
          </w:tcPr>
          <w:p w:rsidR="00F50689" w:rsidRPr="00A675FE"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Pr="00A675FE" w:rsidRDefault="005A36C4" w:rsidP="00F50689">
            <w:pPr>
              <w:pStyle w:val="Heading10pNormalRight025"/>
              <w:rPr>
                <w:rFonts w:cs="Verdana"/>
              </w:rPr>
            </w:pPr>
            <w:r w:rsidRPr="00A675FE">
              <w:rPr>
                <w:rFonts w:cs="Verdana"/>
              </w:rP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Pr="00A675FE" w:rsidRDefault="005A36C4" w:rsidP="00F50689">
            <w:pPr>
              <w:pStyle w:val="Heading10pNormalRight025"/>
              <w:rPr>
                <w:rFonts w:cs="Verdana"/>
              </w:rPr>
            </w:pPr>
            <w:r w:rsidRPr="00A675FE">
              <w:rPr>
                <w:rFonts w:cs="Verdana"/>
              </w:rPr>
              <w:t>31.12.2013</w:t>
            </w:r>
          </w:p>
        </w:tc>
      </w:tr>
      <w:tr w:rsidR="00E7728E" w:rsidRPr="00A675FE">
        <w:tc>
          <w:tcPr>
            <w:tcW w:w="5637" w:type="dxa"/>
            <w:tcBorders>
              <w:top w:val="nil"/>
              <w:left w:val="nil"/>
              <w:bottom w:val="nil"/>
              <w:right w:val="nil"/>
            </w:tcBorders>
            <w:tcMar>
              <w:top w:w="0" w:type="dxa"/>
              <w:left w:w="0" w:type="dxa"/>
              <w:bottom w:w="0" w:type="dxa"/>
              <w:right w:w="0" w:type="dxa"/>
            </w:tcMar>
          </w:tcPr>
          <w:p w:rsidR="00F50689" w:rsidRPr="00A675FE" w:rsidRDefault="005A36C4" w:rsidP="00F50689">
            <w:pPr>
              <w:pStyle w:val="Text9pBoldLeft"/>
              <w:rPr>
                <w:rFonts w:cs="Verdana"/>
              </w:rPr>
            </w:pPr>
            <w:r w:rsidRPr="00A675FE">
              <w:rPr>
                <w:rFonts w:cs="Verdana"/>
              </w:rPr>
              <w:t>Advances to Member States for financial instruments under shared management</w:t>
            </w:r>
          </w:p>
        </w:tc>
        <w:tc>
          <w:tcPr>
            <w:tcW w:w="2126" w:type="dxa"/>
            <w:tcBorders>
              <w:top w:val="nil"/>
              <w:left w:val="nil"/>
              <w:bottom w:val="nil"/>
              <w:right w:val="nil"/>
            </w:tcBorders>
            <w:tcMar>
              <w:top w:w="0" w:type="dxa"/>
              <w:left w:w="0" w:type="dxa"/>
              <w:bottom w:w="0" w:type="dxa"/>
              <w:right w:w="0" w:type="dxa"/>
            </w:tcMar>
          </w:tcPr>
          <w:p w:rsidR="00F50689" w:rsidRPr="00A675FE" w:rsidRDefault="00F50689" w:rsidP="00F50689">
            <w:pPr>
              <w:pStyle w:val="Figures9pBoldRight025"/>
              <w:rPr>
                <w:rFonts w:cs="Verdana"/>
              </w:rPr>
            </w:pPr>
          </w:p>
        </w:tc>
        <w:tc>
          <w:tcPr>
            <w:tcW w:w="1985" w:type="dxa"/>
            <w:tcBorders>
              <w:top w:val="nil"/>
              <w:left w:val="nil"/>
              <w:bottom w:val="nil"/>
              <w:right w:val="nil"/>
            </w:tcBorders>
            <w:tcMar>
              <w:top w:w="0" w:type="dxa"/>
              <w:left w:w="0" w:type="dxa"/>
              <w:bottom w:w="0" w:type="dxa"/>
              <w:right w:w="0" w:type="dxa"/>
            </w:tcMar>
          </w:tcPr>
          <w:p w:rsidR="00F50689" w:rsidRPr="00A675FE" w:rsidRDefault="00F50689" w:rsidP="00F50689">
            <w:pPr>
              <w:pStyle w:val="Figures9pBoldRight025"/>
              <w:rPr>
                <w:rFonts w:cs="Verdana"/>
              </w:rPr>
            </w:pPr>
          </w:p>
        </w:tc>
      </w:tr>
      <w:tr w:rsidR="00E7728E" w:rsidRPr="00A675FE">
        <w:tc>
          <w:tcPr>
            <w:tcW w:w="5637" w:type="dxa"/>
            <w:tcBorders>
              <w:top w:val="nil"/>
              <w:left w:val="nil"/>
              <w:bottom w:val="nil"/>
              <w:right w:val="nil"/>
            </w:tcBorders>
            <w:tcMar>
              <w:top w:w="0" w:type="dxa"/>
              <w:left w:w="0" w:type="dxa"/>
              <w:bottom w:w="0" w:type="dxa"/>
              <w:right w:w="0" w:type="dxa"/>
            </w:tcMar>
          </w:tcPr>
          <w:p w:rsidR="00F50689" w:rsidRPr="00A675FE" w:rsidRDefault="005A36C4" w:rsidP="00F50689">
            <w:pPr>
              <w:pStyle w:val="Text9pItalicLeft"/>
              <w:rPr>
                <w:rFonts w:cs="Verdana"/>
              </w:rPr>
            </w:pPr>
            <w:r w:rsidRPr="00A675FE">
              <w:rPr>
                <w:rFonts w:cs="Verdana"/>
              </w:rPr>
              <w:t>Non-current</w:t>
            </w:r>
          </w:p>
        </w:tc>
        <w:tc>
          <w:tcPr>
            <w:tcW w:w="2126" w:type="dxa"/>
            <w:tcBorders>
              <w:top w:val="nil"/>
              <w:left w:val="nil"/>
              <w:bottom w:val="nil"/>
              <w:right w:val="nil"/>
            </w:tcBorders>
            <w:tcMar>
              <w:top w:w="0" w:type="dxa"/>
              <w:left w:w="0" w:type="dxa"/>
              <w:bottom w:w="0" w:type="dxa"/>
              <w:right w:w="0" w:type="dxa"/>
            </w:tcMar>
          </w:tcPr>
          <w:p w:rsidR="00F50689" w:rsidRPr="00A675FE" w:rsidRDefault="005A36C4" w:rsidP="00F50689">
            <w:pPr>
              <w:pStyle w:val="Figures9pItalicRight025"/>
              <w:rPr>
                <w:rFonts w:cs="Verdana"/>
              </w:rPr>
            </w:pPr>
            <w:r w:rsidRPr="00A675FE">
              <w:rPr>
                <w:rFonts w:cs="Verdana"/>
              </w:rPr>
              <w:t>2 090</w:t>
            </w:r>
          </w:p>
        </w:tc>
        <w:tc>
          <w:tcPr>
            <w:tcW w:w="1985" w:type="dxa"/>
            <w:tcBorders>
              <w:top w:val="nil"/>
              <w:left w:val="nil"/>
              <w:bottom w:val="nil"/>
              <w:right w:val="nil"/>
            </w:tcBorders>
            <w:tcMar>
              <w:top w:w="0" w:type="dxa"/>
              <w:left w:w="0" w:type="dxa"/>
              <w:bottom w:w="0" w:type="dxa"/>
              <w:right w:w="0" w:type="dxa"/>
            </w:tcMar>
          </w:tcPr>
          <w:p w:rsidR="00F50689" w:rsidRPr="00A675FE" w:rsidRDefault="005A36C4" w:rsidP="00F50689">
            <w:pPr>
              <w:pStyle w:val="Figures9pItalicRight025"/>
              <w:rPr>
                <w:rFonts w:cs="Verdana"/>
              </w:rPr>
            </w:pPr>
            <w:r w:rsidRPr="00A675FE">
              <w:rPr>
                <w:rFonts w:cs="Verdana"/>
              </w:rPr>
              <w:t>2 118</w:t>
            </w:r>
          </w:p>
        </w:tc>
      </w:tr>
      <w:tr w:rsidR="00E7728E" w:rsidRPr="00A675FE">
        <w:tc>
          <w:tcPr>
            <w:tcW w:w="5637" w:type="dxa"/>
            <w:tcBorders>
              <w:top w:val="nil"/>
              <w:left w:val="nil"/>
              <w:bottom w:val="single" w:sz="4" w:space="0" w:color="016794"/>
              <w:right w:val="nil"/>
            </w:tcBorders>
            <w:tcMar>
              <w:top w:w="0" w:type="dxa"/>
              <w:left w:w="0" w:type="dxa"/>
              <w:bottom w:w="0" w:type="dxa"/>
              <w:right w:w="0" w:type="dxa"/>
            </w:tcMar>
          </w:tcPr>
          <w:p w:rsidR="00F50689" w:rsidRPr="00A675FE" w:rsidRDefault="005A36C4" w:rsidP="00F50689">
            <w:pPr>
              <w:pStyle w:val="Text9pItalicLeft"/>
              <w:rPr>
                <w:rFonts w:cs="Verdana"/>
              </w:rPr>
            </w:pPr>
            <w:r w:rsidRPr="00A675FE">
              <w:rPr>
                <w:rFonts w:cs="Verdana"/>
              </w:rPr>
              <w:t>Current</w:t>
            </w:r>
          </w:p>
        </w:tc>
        <w:tc>
          <w:tcPr>
            <w:tcW w:w="2126" w:type="dxa"/>
            <w:tcBorders>
              <w:top w:val="nil"/>
              <w:left w:val="nil"/>
              <w:bottom w:val="single" w:sz="4" w:space="0" w:color="016794"/>
              <w:right w:val="nil"/>
            </w:tcBorders>
            <w:tcMar>
              <w:top w:w="0" w:type="dxa"/>
              <w:left w:w="0" w:type="dxa"/>
              <w:bottom w:w="0" w:type="dxa"/>
              <w:right w:w="0" w:type="dxa"/>
            </w:tcMar>
          </w:tcPr>
          <w:p w:rsidR="00F50689" w:rsidRPr="00A675FE" w:rsidRDefault="005A36C4" w:rsidP="00F50689">
            <w:pPr>
              <w:pStyle w:val="Figures9pItalicRight025"/>
              <w:rPr>
                <w:rFonts w:cs="Verdana"/>
              </w:rPr>
            </w:pPr>
            <w:r w:rsidRPr="00A675FE">
              <w:rPr>
                <w:rFonts w:cs="Verdana"/>
              </w:rPr>
              <w:t>1 733</w:t>
            </w:r>
          </w:p>
        </w:tc>
        <w:tc>
          <w:tcPr>
            <w:tcW w:w="1985" w:type="dxa"/>
            <w:tcBorders>
              <w:top w:val="nil"/>
              <w:left w:val="nil"/>
              <w:bottom w:val="single" w:sz="4" w:space="0" w:color="016794"/>
              <w:right w:val="nil"/>
            </w:tcBorders>
            <w:tcMar>
              <w:top w:w="0" w:type="dxa"/>
              <w:left w:w="0" w:type="dxa"/>
              <w:bottom w:w="0" w:type="dxa"/>
              <w:right w:w="0" w:type="dxa"/>
            </w:tcMar>
          </w:tcPr>
          <w:p w:rsidR="00F50689" w:rsidRPr="00A675FE" w:rsidRDefault="005A36C4" w:rsidP="00F50689">
            <w:pPr>
              <w:pStyle w:val="Figures9pItalicRight025"/>
              <w:rPr>
                <w:rFonts w:cs="Verdana"/>
              </w:rPr>
            </w:pPr>
            <w:r w:rsidRPr="00A675FE">
              <w:rPr>
                <w:rFonts w:cs="Verdana"/>
              </w:rPr>
              <w:t>2 118</w:t>
            </w:r>
          </w:p>
        </w:tc>
      </w:tr>
      <w:tr w:rsidR="00E7728E" w:rsidRPr="00A675FE">
        <w:tc>
          <w:tcPr>
            <w:tcW w:w="5637" w:type="dxa"/>
            <w:tcBorders>
              <w:top w:val="single" w:sz="4" w:space="0" w:color="016794"/>
              <w:left w:val="nil"/>
              <w:bottom w:val="single" w:sz="4" w:space="0" w:color="016794"/>
              <w:right w:val="nil"/>
            </w:tcBorders>
            <w:tcMar>
              <w:top w:w="0" w:type="dxa"/>
              <w:left w:w="0" w:type="dxa"/>
              <w:bottom w:w="0" w:type="dxa"/>
              <w:right w:w="0" w:type="dxa"/>
            </w:tcMar>
          </w:tcPr>
          <w:p w:rsidR="00F50689" w:rsidRPr="00A675FE" w:rsidRDefault="005A36C4" w:rsidP="00F50689">
            <w:pPr>
              <w:pStyle w:val="Text9pItalicLeft"/>
              <w:rPr>
                <w:rFonts w:cs="Verdana"/>
              </w:rPr>
            </w:pPr>
            <w:r w:rsidRPr="00A675FE">
              <w:rPr>
                <w:rFonts w:cs="Verdana"/>
              </w:rPr>
              <w:t>Total</w:t>
            </w:r>
          </w:p>
        </w:tc>
        <w:tc>
          <w:tcPr>
            <w:tcW w:w="2126" w:type="dxa"/>
            <w:tcBorders>
              <w:top w:val="single" w:sz="4" w:space="0" w:color="016794"/>
              <w:left w:val="nil"/>
              <w:bottom w:val="single" w:sz="4" w:space="0" w:color="016794"/>
              <w:right w:val="nil"/>
            </w:tcBorders>
            <w:tcMar>
              <w:top w:w="0" w:type="dxa"/>
              <w:left w:w="0" w:type="dxa"/>
              <w:bottom w:w="0" w:type="dxa"/>
              <w:right w:w="0" w:type="dxa"/>
            </w:tcMar>
          </w:tcPr>
          <w:p w:rsidR="00F50689" w:rsidRPr="00A675FE" w:rsidRDefault="005A36C4" w:rsidP="00F50689">
            <w:pPr>
              <w:pStyle w:val="Figures9pItalicBoldRight025"/>
              <w:rPr>
                <w:rFonts w:cs="Verdana"/>
                <w:i w:val="0"/>
              </w:rPr>
            </w:pPr>
            <w:r w:rsidRPr="00A675FE">
              <w:rPr>
                <w:rFonts w:cs="Verdana"/>
                <w:i w:val="0"/>
              </w:rPr>
              <w:t>3 823</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F50689" w:rsidRPr="00A675FE" w:rsidRDefault="005A36C4" w:rsidP="00F50689">
            <w:pPr>
              <w:pStyle w:val="Figures9pItalicBoldRight025"/>
              <w:rPr>
                <w:rFonts w:cs="Verdana"/>
                <w:i w:val="0"/>
              </w:rPr>
            </w:pPr>
            <w:r w:rsidRPr="00A675FE">
              <w:rPr>
                <w:rFonts w:cs="Verdana"/>
                <w:i w:val="0"/>
              </w:rPr>
              <w:t>4 236</w:t>
            </w:r>
          </w:p>
        </w:tc>
      </w:tr>
      <w:tr w:rsidR="00E7728E" w:rsidRPr="00A675FE">
        <w:tc>
          <w:tcPr>
            <w:tcW w:w="5637" w:type="dxa"/>
            <w:tcBorders>
              <w:top w:val="single" w:sz="4" w:space="0" w:color="016794"/>
              <w:left w:val="nil"/>
              <w:bottom w:val="nil"/>
              <w:right w:val="nil"/>
            </w:tcBorders>
            <w:tcMar>
              <w:top w:w="0" w:type="dxa"/>
              <w:left w:w="0" w:type="dxa"/>
              <w:bottom w:w="0" w:type="dxa"/>
              <w:right w:w="0" w:type="dxa"/>
            </w:tcMar>
          </w:tcPr>
          <w:p w:rsidR="00F50689" w:rsidRPr="00A675FE" w:rsidRDefault="005A36C4" w:rsidP="00F50689">
            <w:pPr>
              <w:pStyle w:val="Text9pBoldLeft"/>
              <w:rPr>
                <w:rFonts w:cs="Verdana"/>
              </w:rPr>
            </w:pPr>
            <w:r w:rsidRPr="00A675FE">
              <w:rPr>
                <w:rFonts w:cs="Verdana"/>
              </w:rPr>
              <w:t>Aid Schemes</w:t>
            </w:r>
          </w:p>
        </w:tc>
        <w:tc>
          <w:tcPr>
            <w:tcW w:w="2126" w:type="dxa"/>
            <w:tcBorders>
              <w:top w:val="single" w:sz="4" w:space="0" w:color="016794"/>
              <w:left w:val="nil"/>
              <w:bottom w:val="nil"/>
              <w:right w:val="nil"/>
            </w:tcBorders>
            <w:tcMar>
              <w:top w:w="0" w:type="dxa"/>
              <w:left w:w="0" w:type="dxa"/>
              <w:bottom w:w="0" w:type="dxa"/>
              <w:right w:w="0" w:type="dxa"/>
            </w:tcMar>
          </w:tcPr>
          <w:p w:rsidR="00F50689" w:rsidRPr="00A675FE" w:rsidRDefault="00F50689" w:rsidP="00F50689">
            <w:pPr>
              <w:pStyle w:val="Figures9pBoldRight025"/>
              <w:rPr>
                <w:rFonts w:cs="Verdana"/>
              </w:rPr>
            </w:pPr>
          </w:p>
        </w:tc>
        <w:tc>
          <w:tcPr>
            <w:tcW w:w="1985" w:type="dxa"/>
            <w:tcBorders>
              <w:top w:val="single" w:sz="4" w:space="0" w:color="016794"/>
              <w:left w:val="nil"/>
              <w:bottom w:val="nil"/>
              <w:right w:val="nil"/>
            </w:tcBorders>
            <w:tcMar>
              <w:top w:w="0" w:type="dxa"/>
              <w:left w:w="0" w:type="dxa"/>
              <w:bottom w:w="0" w:type="dxa"/>
              <w:right w:w="0" w:type="dxa"/>
            </w:tcMar>
          </w:tcPr>
          <w:p w:rsidR="00F50689" w:rsidRPr="00A675FE" w:rsidRDefault="00F50689" w:rsidP="00F50689">
            <w:pPr>
              <w:pStyle w:val="Figures9pBoldRight025"/>
              <w:rPr>
                <w:rFonts w:cs="Verdana"/>
              </w:rPr>
            </w:pPr>
          </w:p>
        </w:tc>
      </w:tr>
      <w:tr w:rsidR="00E7728E" w:rsidRPr="00A675FE">
        <w:tc>
          <w:tcPr>
            <w:tcW w:w="5637" w:type="dxa"/>
            <w:tcBorders>
              <w:top w:val="nil"/>
              <w:left w:val="nil"/>
              <w:bottom w:val="nil"/>
              <w:right w:val="nil"/>
            </w:tcBorders>
            <w:tcMar>
              <w:top w:w="0" w:type="dxa"/>
              <w:left w:w="0" w:type="dxa"/>
              <w:bottom w:w="0" w:type="dxa"/>
              <w:right w:w="0" w:type="dxa"/>
            </w:tcMar>
          </w:tcPr>
          <w:p w:rsidR="00F50689" w:rsidRPr="00A675FE" w:rsidRDefault="005A36C4" w:rsidP="00F50689">
            <w:pPr>
              <w:pStyle w:val="Text9pItalicLeft"/>
              <w:rPr>
                <w:rFonts w:cs="Verdana"/>
              </w:rPr>
            </w:pPr>
            <w:r w:rsidRPr="00A675FE">
              <w:rPr>
                <w:rFonts w:cs="Verdana"/>
              </w:rPr>
              <w:t>Non-current</w:t>
            </w:r>
          </w:p>
        </w:tc>
        <w:tc>
          <w:tcPr>
            <w:tcW w:w="2126" w:type="dxa"/>
            <w:tcBorders>
              <w:top w:val="nil"/>
              <w:left w:val="nil"/>
              <w:bottom w:val="nil"/>
              <w:right w:val="nil"/>
            </w:tcBorders>
            <w:tcMar>
              <w:top w:w="0" w:type="dxa"/>
              <w:left w:w="0" w:type="dxa"/>
              <w:bottom w:w="0" w:type="dxa"/>
              <w:right w:w="0" w:type="dxa"/>
            </w:tcMar>
          </w:tcPr>
          <w:p w:rsidR="00F50689" w:rsidRPr="00A675FE" w:rsidRDefault="005A36C4" w:rsidP="00F50689">
            <w:pPr>
              <w:pStyle w:val="Figures9pItalicRight025"/>
              <w:rPr>
                <w:rFonts w:cs="Verdana"/>
              </w:rPr>
            </w:pPr>
            <w:r w:rsidRPr="00A675FE">
              <w:rPr>
                <w:rFonts w:cs="Verdana"/>
              </w:rPr>
              <w:t xml:space="preserve"> 288</w:t>
            </w:r>
          </w:p>
        </w:tc>
        <w:tc>
          <w:tcPr>
            <w:tcW w:w="1985" w:type="dxa"/>
            <w:tcBorders>
              <w:top w:val="nil"/>
              <w:left w:val="nil"/>
              <w:bottom w:val="nil"/>
              <w:right w:val="nil"/>
            </w:tcBorders>
            <w:tcMar>
              <w:top w:w="0" w:type="dxa"/>
              <w:left w:w="0" w:type="dxa"/>
              <w:bottom w:w="0" w:type="dxa"/>
              <w:right w:w="0" w:type="dxa"/>
            </w:tcMar>
          </w:tcPr>
          <w:p w:rsidR="00F50689" w:rsidRPr="00A675FE" w:rsidRDefault="005A36C4" w:rsidP="00F50689">
            <w:pPr>
              <w:pStyle w:val="Figures9pItalicRight025"/>
              <w:rPr>
                <w:rFonts w:cs="Verdana"/>
              </w:rPr>
            </w:pPr>
            <w:r w:rsidRPr="00A675FE">
              <w:rPr>
                <w:rFonts w:cs="Verdana"/>
              </w:rPr>
              <w:t>1 135</w:t>
            </w:r>
          </w:p>
        </w:tc>
      </w:tr>
      <w:tr w:rsidR="00E7728E" w:rsidRPr="00A675FE">
        <w:tc>
          <w:tcPr>
            <w:tcW w:w="5637" w:type="dxa"/>
            <w:tcBorders>
              <w:top w:val="nil"/>
              <w:left w:val="nil"/>
              <w:bottom w:val="single" w:sz="4" w:space="0" w:color="016794"/>
              <w:right w:val="nil"/>
            </w:tcBorders>
            <w:tcMar>
              <w:top w:w="0" w:type="dxa"/>
              <w:left w:w="0" w:type="dxa"/>
              <w:bottom w:w="0" w:type="dxa"/>
              <w:right w:w="0" w:type="dxa"/>
            </w:tcMar>
          </w:tcPr>
          <w:p w:rsidR="00F50689" w:rsidRPr="00A675FE" w:rsidRDefault="005A36C4" w:rsidP="00F50689">
            <w:pPr>
              <w:pStyle w:val="Text9pItalicLeft"/>
              <w:rPr>
                <w:rFonts w:cs="Verdana"/>
              </w:rPr>
            </w:pPr>
            <w:r w:rsidRPr="00A675FE">
              <w:rPr>
                <w:rFonts w:cs="Verdana"/>
              </w:rPr>
              <w:t>Current</w:t>
            </w:r>
          </w:p>
        </w:tc>
        <w:tc>
          <w:tcPr>
            <w:tcW w:w="2126" w:type="dxa"/>
            <w:tcBorders>
              <w:top w:val="nil"/>
              <w:left w:val="nil"/>
              <w:bottom w:val="single" w:sz="4" w:space="0" w:color="016794"/>
              <w:right w:val="nil"/>
            </w:tcBorders>
            <w:tcMar>
              <w:top w:w="0" w:type="dxa"/>
              <w:left w:w="0" w:type="dxa"/>
              <w:bottom w:w="0" w:type="dxa"/>
              <w:right w:w="0" w:type="dxa"/>
            </w:tcMar>
          </w:tcPr>
          <w:p w:rsidR="00F50689" w:rsidRPr="00A675FE" w:rsidRDefault="005A36C4" w:rsidP="00F50689">
            <w:pPr>
              <w:pStyle w:val="Figures9pItalicRight025"/>
              <w:rPr>
                <w:rFonts w:cs="Verdana"/>
              </w:rPr>
            </w:pPr>
            <w:r w:rsidRPr="00A675FE">
              <w:rPr>
                <w:rFonts w:cs="Verdana"/>
              </w:rPr>
              <w:t>3 282</w:t>
            </w:r>
          </w:p>
        </w:tc>
        <w:tc>
          <w:tcPr>
            <w:tcW w:w="1985" w:type="dxa"/>
            <w:tcBorders>
              <w:top w:val="nil"/>
              <w:left w:val="nil"/>
              <w:bottom w:val="single" w:sz="4" w:space="0" w:color="016794"/>
              <w:right w:val="nil"/>
            </w:tcBorders>
            <w:tcMar>
              <w:top w:w="0" w:type="dxa"/>
              <w:left w:w="0" w:type="dxa"/>
              <w:bottom w:w="0" w:type="dxa"/>
              <w:right w:w="0" w:type="dxa"/>
            </w:tcMar>
          </w:tcPr>
          <w:p w:rsidR="00F50689" w:rsidRPr="00A675FE" w:rsidRDefault="005A36C4" w:rsidP="00F50689">
            <w:pPr>
              <w:pStyle w:val="Figures9pItalicRight025"/>
              <w:rPr>
                <w:rFonts w:cs="Verdana"/>
              </w:rPr>
            </w:pPr>
            <w:r w:rsidRPr="00A675FE">
              <w:rPr>
                <w:rFonts w:cs="Verdana"/>
              </w:rPr>
              <w:t>2 845</w:t>
            </w:r>
          </w:p>
        </w:tc>
      </w:tr>
      <w:tr w:rsidR="00E7728E" w:rsidRPr="00A675FE">
        <w:tc>
          <w:tcPr>
            <w:tcW w:w="5637" w:type="dxa"/>
            <w:tcBorders>
              <w:top w:val="single" w:sz="4" w:space="0" w:color="016794"/>
              <w:left w:val="nil"/>
              <w:bottom w:val="nil"/>
              <w:right w:val="nil"/>
            </w:tcBorders>
            <w:tcMar>
              <w:top w:w="0" w:type="dxa"/>
              <w:left w:w="0" w:type="dxa"/>
              <w:bottom w:w="0" w:type="dxa"/>
              <w:right w:w="0" w:type="dxa"/>
            </w:tcMar>
          </w:tcPr>
          <w:p w:rsidR="00F50689" w:rsidRPr="00A675FE" w:rsidRDefault="005A36C4" w:rsidP="00F50689">
            <w:pPr>
              <w:pStyle w:val="Text9pItalicLeft"/>
              <w:rPr>
                <w:rFonts w:cs="Verdana"/>
              </w:rPr>
            </w:pPr>
            <w:r w:rsidRPr="00A675FE">
              <w:rPr>
                <w:rFonts w:cs="Verdana"/>
              </w:rPr>
              <w:t>Total</w:t>
            </w:r>
          </w:p>
        </w:tc>
        <w:tc>
          <w:tcPr>
            <w:tcW w:w="2126" w:type="dxa"/>
            <w:tcBorders>
              <w:top w:val="single" w:sz="4" w:space="0" w:color="016794"/>
              <w:left w:val="nil"/>
              <w:bottom w:val="nil"/>
              <w:right w:val="nil"/>
            </w:tcBorders>
            <w:tcMar>
              <w:top w:w="0" w:type="dxa"/>
              <w:left w:w="0" w:type="dxa"/>
              <w:bottom w:w="0" w:type="dxa"/>
              <w:right w:w="0" w:type="dxa"/>
            </w:tcMar>
          </w:tcPr>
          <w:p w:rsidR="00F50689" w:rsidRPr="00A675FE" w:rsidRDefault="005A36C4" w:rsidP="00F50689">
            <w:pPr>
              <w:pStyle w:val="Figures9pItalicBoldRight025"/>
              <w:rPr>
                <w:rFonts w:cs="Verdana"/>
                <w:i w:val="0"/>
              </w:rPr>
            </w:pPr>
            <w:r w:rsidRPr="00A675FE">
              <w:rPr>
                <w:rFonts w:cs="Verdana"/>
                <w:i w:val="0"/>
              </w:rPr>
              <w:t>3 570</w:t>
            </w:r>
          </w:p>
        </w:tc>
        <w:tc>
          <w:tcPr>
            <w:tcW w:w="1985" w:type="dxa"/>
            <w:tcBorders>
              <w:top w:val="single" w:sz="4" w:space="0" w:color="016794"/>
              <w:left w:val="nil"/>
              <w:bottom w:val="nil"/>
              <w:right w:val="nil"/>
            </w:tcBorders>
            <w:tcMar>
              <w:top w:w="0" w:type="dxa"/>
              <w:left w:w="0" w:type="dxa"/>
              <w:bottom w:w="0" w:type="dxa"/>
              <w:right w:w="0" w:type="dxa"/>
            </w:tcMar>
          </w:tcPr>
          <w:p w:rsidR="00F50689" w:rsidRPr="00A675FE" w:rsidRDefault="005A36C4" w:rsidP="00F50689">
            <w:pPr>
              <w:pStyle w:val="Figures9pItalicBoldRight025"/>
              <w:rPr>
                <w:rFonts w:cs="Verdana"/>
                <w:i w:val="0"/>
              </w:rPr>
            </w:pPr>
            <w:r w:rsidRPr="00A675FE">
              <w:rPr>
                <w:rFonts w:cs="Verdana"/>
                <w:i w:val="0"/>
              </w:rPr>
              <w:t>3 981</w:t>
            </w:r>
          </w:p>
        </w:tc>
      </w:tr>
      <w:tr w:rsidR="00E7728E" w:rsidRPr="00A675FE">
        <w:tc>
          <w:tcPr>
            <w:tcW w:w="5637" w:type="dxa"/>
            <w:tcBorders>
              <w:top w:val="nil"/>
              <w:left w:val="nil"/>
              <w:bottom w:val="nil"/>
              <w:right w:val="nil"/>
            </w:tcBorders>
            <w:shd w:val="clear" w:color="auto" w:fill="CCE1EA"/>
            <w:tcMar>
              <w:top w:w="0" w:type="dxa"/>
              <w:left w:w="0" w:type="dxa"/>
              <w:bottom w:w="0" w:type="dxa"/>
              <w:right w:w="0" w:type="dxa"/>
            </w:tcMar>
          </w:tcPr>
          <w:p w:rsidR="00F50689" w:rsidRPr="00A675FE" w:rsidRDefault="005A36C4" w:rsidP="00F50689">
            <w:pPr>
              <w:pStyle w:val="Text9pBoldLeft"/>
              <w:rPr>
                <w:rFonts w:cs="Verdana"/>
              </w:rPr>
            </w:pPr>
            <w:r w:rsidRPr="00A675FE">
              <w:rPr>
                <w:rFonts w:cs="Verdana"/>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Pr="00A675FE" w:rsidRDefault="005A36C4" w:rsidP="00F50689">
            <w:pPr>
              <w:pStyle w:val="Figures9pBoldRight025"/>
              <w:rPr>
                <w:rFonts w:cs="Verdana"/>
              </w:rPr>
            </w:pPr>
            <w:r w:rsidRPr="00A675FE">
              <w:rPr>
                <w:rFonts w:cs="Verdana"/>
              </w:rPr>
              <w:t>7 393</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Pr="00A675FE" w:rsidRDefault="005A36C4" w:rsidP="00F50689">
            <w:pPr>
              <w:pStyle w:val="Figures9pBoldRight025"/>
              <w:rPr>
                <w:rFonts w:cs="Verdana"/>
              </w:rPr>
            </w:pPr>
            <w:r w:rsidRPr="00A675FE">
              <w:rPr>
                <w:rFonts w:cs="Verdana"/>
              </w:rPr>
              <w:t>8 216</w:t>
            </w:r>
          </w:p>
        </w:tc>
      </w:tr>
    </w:tbl>
    <w:p w:rsidR="00F50689" w:rsidRDefault="005A36C4" w:rsidP="00F50689">
      <w:pPr>
        <w:pStyle w:val="Textstand-alone"/>
      </w:pPr>
      <w:r w:rsidRPr="00A675FE">
        <w:t xml:space="preserve">Under the framework of the structural funds programmes 2007-2013 and also under the European Agricultural Fund for Rural Development, advance payments can be made from the EU budget to Member States so as to contribute to financial instruments (be it in the form of loans, equity investments or guarantees) set up and managed under the responsibility of the Member States (i.e. shared management). Monies that are unused by these instruments at year-end are the property of the EU (as with all pre-financing) and are thus treated as an asset on the EU’s balance sheet. However, the basic legal acts do not oblige the Member States to provide periodic reports to the Commission on the use made of these advances, and in some cases not even identify them in the statements of expenditure submitted to the Commission. Information reported by Member States on unused amounts at end 2014 is not available in time for inclusion in these accounts. Thus, on the basis of information received from Member States on unused amounts as at 31 December 2013 and disbursements </w:t>
      </w:r>
      <w:r w:rsidR="00BB1B4E" w:rsidRPr="00A675FE">
        <w:t xml:space="preserve">made </w:t>
      </w:r>
      <w:r w:rsidRPr="00A675FE">
        <w:t>during 2014, an estimation is made at year-end of the value of this asset. Furthermore, this estimation is now based on an extension of the implementation period for these instruments from 31</w:t>
      </w:r>
      <w:r w:rsidR="00116387">
        <w:t> </w:t>
      </w:r>
      <w:r w:rsidRPr="00A675FE">
        <w:t>December</w:t>
      </w:r>
      <w:r w:rsidR="00116387">
        <w:t> </w:t>
      </w:r>
      <w:r w:rsidRPr="00A675FE">
        <w:t>2015 to 31</w:t>
      </w:r>
      <w:r w:rsidR="00116387">
        <w:t> </w:t>
      </w:r>
      <w:r w:rsidRPr="00A675FE">
        <w:t>March</w:t>
      </w:r>
      <w:r w:rsidR="00116387">
        <w:t> </w:t>
      </w:r>
      <w:r w:rsidRPr="00A675FE">
        <w:t>2017. The outstanding balance for these instruments at year-end is estimated on the assumption that funds will be used in full and evenly over the remaining period of operation. At the end of this period the Commission will examine</w:t>
      </w:r>
      <w:r w:rsidR="00BB1B4E" w:rsidRPr="00A675FE">
        <w:t xml:space="preserve"> the</w:t>
      </w:r>
      <w:r w:rsidRPr="00A675FE">
        <w:t xml:space="preserve"> actual use of funds and will reflect in the accounts amounts that have not been used.</w:t>
      </w:r>
    </w:p>
    <w:p w:rsidR="00F50689" w:rsidRDefault="005A36C4" w:rsidP="00F50689">
      <w:pPr>
        <w:pStyle w:val="Textstand-alone"/>
      </w:pPr>
      <w:r>
        <w:t>The total contribution requested by Member States to the Commission concerning these instruments was EUR 10 904 million, of which EUR</w:t>
      </w:r>
      <w:r w:rsidR="00116387">
        <w:t> </w:t>
      </w:r>
      <w:r>
        <w:t>1</w:t>
      </w:r>
      <w:r w:rsidR="00116387">
        <w:t> </w:t>
      </w:r>
      <w:r>
        <w:t>088</w:t>
      </w:r>
      <w:r w:rsidR="00116387">
        <w:t> </w:t>
      </w:r>
      <w:r>
        <w:t>million remained unpaid at year end. In 2014, no amounts relating to the 2014-2020 programming period have been paid.</w:t>
      </w:r>
    </w:p>
    <w:p w:rsidR="00F50689" w:rsidRDefault="005A36C4" w:rsidP="00F50689">
      <w:pPr>
        <w:pStyle w:val="Textstand-alone"/>
        <w:spacing w:after="0"/>
      </w:pPr>
      <w:r>
        <w:t>Similar to the above, advances paid by the Member States for various aid schemes (state aid, market measures of EAGF) that were not used at year end are recorded as assets on the Commission's balance sheet. The Commission has estimated the value of these advances based on information provided by the Member States; the resulting amounts are included under the Aid Schemes sub-headings above.</w:t>
      </w:r>
    </w:p>
    <w:p w:rsidR="00F50689" w:rsidRPr="00BC5A0F" w:rsidRDefault="005A36C4" w:rsidP="00F50689">
      <w:pPr>
        <w:pStyle w:val="Textstand-alone"/>
        <w:spacing w:before="0"/>
        <w:sectPr w:rsidR="00F50689" w:rsidRPr="00BC5A0F" w:rsidSect="00F50689">
          <w:headerReference w:type="even" r:id="rId149"/>
          <w:headerReference w:type="default" r:id="rId150"/>
          <w:footerReference w:type="even" r:id="rId151"/>
          <w:footerReference w:type="default" r:id="rId152"/>
          <w:headerReference w:type="first" r:id="rId153"/>
          <w:footerReference w:type="first" r:id="rId154"/>
          <w:pgSz w:w="11906" w:h="16838"/>
          <w:pgMar w:top="1134" w:right="1134" w:bottom="1134" w:left="1134" w:header="709" w:footer="709" w:gutter="0"/>
          <w:cols w:space="708"/>
          <w:docGrid w:linePitch="360"/>
        </w:sectPr>
      </w:pPr>
      <w:r>
        <w:t xml:space="preserve"> </w:t>
      </w:r>
      <w:bookmarkEnd w:id="78"/>
    </w:p>
    <w:p w:rsidR="00F50689" w:rsidRPr="00AB6C89" w:rsidRDefault="005A36C4" w:rsidP="00F50689">
      <w:pPr>
        <w:pStyle w:val="HEADER2Part2"/>
        <w:spacing w:after="0"/>
      </w:pPr>
      <w:bookmarkStart w:id="82" w:name="_DMBM_2628"/>
      <w:r w:rsidRPr="00AB6C89">
        <w:t>EXCHANGE RECEIVABLES AND NON-EXCHANGE RECOVERABLES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gridCol w:w="851"/>
        <w:gridCol w:w="1842"/>
        <w:gridCol w:w="1843"/>
      </w:tblGrid>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83" w:name="DOC_TBL00026_1_1"/>
            <w:bookmarkEnd w:id="83"/>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rPr>
                <w:rFonts w:cs="Verdana"/>
              </w:rPr>
              <w:t>EUR millions</w:t>
            </w:r>
          </w:p>
        </w:tc>
      </w:tr>
      <w:tr w:rsidR="00E7728E">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Note</w:t>
            </w:r>
          </w:p>
        </w:tc>
        <w:tc>
          <w:tcPr>
            <w:tcW w:w="184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31.12.2014</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31.12.2013</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rPr>
                <w:rFonts w:cs="Verdana"/>
              </w:rPr>
              <w:t>Non-current</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3"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Recoverables from non-exchange transactions</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rPr>
                <w:rFonts w:eastAsia="Times New Roman" w:cs="Verdana"/>
              </w:rPr>
              <w:t>2.6.1</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1 158</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478</w:t>
            </w:r>
          </w:p>
        </w:tc>
      </w:tr>
      <w:tr w:rsidR="00E7728E">
        <w:trPr>
          <w:trHeight w:val="268"/>
        </w:trPr>
        <w:tc>
          <w:tcPr>
            <w:tcW w:w="521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Receivables from exchange transactions</w:t>
            </w:r>
          </w:p>
        </w:tc>
        <w:tc>
          <w:tcPr>
            <w:tcW w:w="85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rPr>
                <w:rFonts w:eastAsia="Times New Roman" w:cs="Verdana"/>
              </w:rPr>
              <w:t>2.6.2</w:t>
            </w:r>
          </w:p>
        </w:tc>
        <w:tc>
          <w:tcPr>
            <w:tcW w:w="1842"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40</w:t>
            </w:r>
          </w:p>
        </w:tc>
        <w:tc>
          <w:tcPr>
            <w:tcW w:w="1843"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20</w:t>
            </w:r>
          </w:p>
        </w:tc>
      </w:tr>
      <w:tr w:rsidR="00E7728E">
        <w:trPr>
          <w:trHeight w:val="268"/>
        </w:trPr>
        <w:tc>
          <w:tcPr>
            <w:tcW w:w="521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Total</w:t>
            </w:r>
          </w:p>
        </w:tc>
        <w:tc>
          <w:tcPr>
            <w:tcW w:w="85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F50689" w:rsidP="00F50689">
            <w:pPr>
              <w:pStyle w:val="Text9pItalicCentered"/>
              <w:rPr>
                <w:rFonts w:eastAsia="Times New Roman" w:cs="Verdana"/>
                <w:i w:val="0"/>
              </w:rPr>
            </w:pPr>
          </w:p>
        </w:tc>
        <w:tc>
          <w:tcPr>
            <w:tcW w:w="1842"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1 198</w:t>
            </w:r>
          </w:p>
        </w:tc>
        <w:tc>
          <w:tcPr>
            <w:tcW w:w="1843"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 xml:space="preserve"> 498</w:t>
            </w:r>
          </w:p>
        </w:tc>
      </w:tr>
      <w:tr w:rsidR="00E7728E">
        <w:trPr>
          <w:trHeight w:val="268"/>
        </w:trPr>
        <w:tc>
          <w:tcPr>
            <w:tcW w:w="5211"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rPr>
                <w:rFonts w:cs="Verdana"/>
              </w:rPr>
              <w:t>Current</w:t>
            </w:r>
          </w:p>
        </w:tc>
        <w:tc>
          <w:tcPr>
            <w:tcW w:w="851"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2"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3"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Recoverables from non-exchange transactions</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rPr>
                <w:rFonts w:eastAsia="Times New Roman" w:cs="Verdana"/>
              </w:rPr>
              <w:t>2.6.1</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13 828</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12 478</w:t>
            </w:r>
          </w:p>
        </w:tc>
      </w:tr>
      <w:tr w:rsidR="00E7728E">
        <w:trPr>
          <w:trHeight w:val="268"/>
        </w:trPr>
        <w:tc>
          <w:tcPr>
            <w:tcW w:w="521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Receivables from exchange transactions</w:t>
            </w:r>
          </w:p>
        </w:tc>
        <w:tc>
          <w:tcPr>
            <w:tcW w:w="85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rPr>
                <w:rFonts w:eastAsia="Times New Roman" w:cs="Verdana"/>
              </w:rPr>
              <w:t>2.6.2</w:t>
            </w:r>
          </w:p>
        </w:tc>
        <w:tc>
          <w:tcPr>
            <w:tcW w:w="1842"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551</w:t>
            </w:r>
          </w:p>
        </w:tc>
        <w:tc>
          <w:tcPr>
            <w:tcW w:w="1843"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704</w:t>
            </w:r>
          </w:p>
        </w:tc>
      </w:tr>
      <w:tr w:rsidR="00E7728E">
        <w:trPr>
          <w:trHeight w:val="268"/>
        </w:trPr>
        <w:tc>
          <w:tcPr>
            <w:tcW w:w="5211"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Total</w:t>
            </w:r>
          </w:p>
        </w:tc>
        <w:tc>
          <w:tcPr>
            <w:tcW w:w="851"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14 380</w:t>
            </w:r>
          </w:p>
        </w:tc>
        <w:tc>
          <w:tcPr>
            <w:tcW w:w="1843"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13 182</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Total</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15 578</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13 680</w:t>
            </w:r>
          </w:p>
        </w:tc>
      </w:tr>
    </w:tbl>
    <w:p w:rsidR="00F50689" w:rsidRPr="007A13F2" w:rsidRDefault="005A36C4" w:rsidP="00F50689">
      <w:pPr>
        <w:pStyle w:val="HEADER3Part2"/>
      </w:pPr>
      <w:proofErr w:type="spellStart"/>
      <w:r w:rsidRPr="007A13F2">
        <w:t>Recoverables</w:t>
      </w:r>
      <w:proofErr w:type="spellEnd"/>
      <w:r w:rsidRPr="007A13F2">
        <w:t xml:space="preserve"> from non-exchange transactions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gridCol w:w="851"/>
        <w:gridCol w:w="1842"/>
        <w:gridCol w:w="1843"/>
      </w:tblGrid>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84" w:name="DOC_TBL00027_1_1"/>
            <w:bookmarkEnd w:id="84"/>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rPr>
                <w:rFonts w:cs="Verdana"/>
              </w:rPr>
              <w:t>EUR millions</w:t>
            </w:r>
          </w:p>
        </w:tc>
      </w:tr>
      <w:tr w:rsidR="00E7728E">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Note</w:t>
            </w:r>
          </w:p>
        </w:tc>
        <w:tc>
          <w:tcPr>
            <w:tcW w:w="184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31.12.2014</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31.12.2013</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rPr>
                <w:rFonts w:cs="Verdana"/>
              </w:rPr>
              <w:t>Non-current</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3"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Member States</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rPr>
                <w:rFonts w:eastAsia="Times New Roman" w:cs="Verdana"/>
              </w:rPr>
              <w:t>2.6.1.1</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305</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478</w:t>
            </w:r>
          </w:p>
        </w:tc>
      </w:tr>
      <w:tr w:rsidR="00E7728E">
        <w:trPr>
          <w:trHeight w:val="268"/>
        </w:trPr>
        <w:tc>
          <w:tcPr>
            <w:tcW w:w="521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Accrued income and deferred charges</w:t>
            </w:r>
          </w:p>
        </w:tc>
        <w:tc>
          <w:tcPr>
            <w:tcW w:w="85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rPr>
                <w:rFonts w:eastAsia="Times New Roman" w:cs="Verdana"/>
              </w:rPr>
              <w:t>2.6.1.3</w:t>
            </w:r>
          </w:p>
        </w:tc>
        <w:tc>
          <w:tcPr>
            <w:tcW w:w="1842"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853</w:t>
            </w:r>
          </w:p>
        </w:tc>
        <w:tc>
          <w:tcPr>
            <w:tcW w:w="1843"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r>
      <w:tr w:rsidR="00E7728E">
        <w:trPr>
          <w:trHeight w:val="268"/>
        </w:trPr>
        <w:tc>
          <w:tcPr>
            <w:tcW w:w="521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Total</w:t>
            </w:r>
          </w:p>
        </w:tc>
        <w:tc>
          <w:tcPr>
            <w:tcW w:w="85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F50689" w:rsidP="00F50689">
            <w:pPr>
              <w:pStyle w:val="Text9pItalicCentered"/>
              <w:rPr>
                <w:rFonts w:eastAsia="Times New Roman" w:cs="Verdana"/>
                <w:i w:val="0"/>
              </w:rPr>
            </w:pPr>
          </w:p>
        </w:tc>
        <w:tc>
          <w:tcPr>
            <w:tcW w:w="1842"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1 158</w:t>
            </w:r>
          </w:p>
        </w:tc>
        <w:tc>
          <w:tcPr>
            <w:tcW w:w="1843"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 xml:space="preserve"> 478</w:t>
            </w:r>
          </w:p>
        </w:tc>
      </w:tr>
      <w:tr w:rsidR="00E7728E">
        <w:trPr>
          <w:trHeight w:val="268"/>
        </w:trPr>
        <w:tc>
          <w:tcPr>
            <w:tcW w:w="5211"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rPr>
                <w:rFonts w:cs="Verdana"/>
              </w:rPr>
              <w:t>Current</w:t>
            </w:r>
          </w:p>
        </w:tc>
        <w:tc>
          <w:tcPr>
            <w:tcW w:w="851"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2"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3"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Member States</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rPr>
                <w:rFonts w:eastAsia="Times New Roman" w:cs="Verdana"/>
              </w:rPr>
              <w:t>2.6.1.1</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10 679</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5 574</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Fines</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rPr>
                <w:rFonts w:eastAsia="Times New Roman" w:cs="Verdana"/>
              </w:rPr>
              <w:t>2.6.1.2</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2 270</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4 071</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Accrued income and deferred charges</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rPr>
                <w:rFonts w:eastAsia="Times New Roman" w:cs="Verdana"/>
              </w:rPr>
              <w:t>2.6.1.3</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832</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2 741</w:t>
            </w:r>
          </w:p>
        </w:tc>
      </w:tr>
      <w:tr w:rsidR="00E7728E">
        <w:trPr>
          <w:trHeight w:val="268"/>
        </w:trPr>
        <w:tc>
          <w:tcPr>
            <w:tcW w:w="521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Other recoverables</w:t>
            </w:r>
          </w:p>
        </w:tc>
        <w:tc>
          <w:tcPr>
            <w:tcW w:w="851" w:type="dxa"/>
            <w:tcBorders>
              <w:top w:val="nil"/>
              <w:left w:val="nil"/>
              <w:bottom w:val="single" w:sz="4" w:space="0" w:color="016794"/>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48</w:t>
            </w:r>
          </w:p>
        </w:tc>
        <w:tc>
          <w:tcPr>
            <w:tcW w:w="1843"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92</w:t>
            </w:r>
          </w:p>
        </w:tc>
      </w:tr>
      <w:tr w:rsidR="00E7728E">
        <w:trPr>
          <w:trHeight w:val="268"/>
        </w:trPr>
        <w:tc>
          <w:tcPr>
            <w:tcW w:w="5211"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Total</w:t>
            </w:r>
          </w:p>
        </w:tc>
        <w:tc>
          <w:tcPr>
            <w:tcW w:w="851"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13 828</w:t>
            </w:r>
          </w:p>
        </w:tc>
        <w:tc>
          <w:tcPr>
            <w:tcW w:w="1843"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12 478</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Total</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14 987</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12 957</w:t>
            </w:r>
          </w:p>
        </w:tc>
      </w:tr>
    </w:tbl>
    <w:p w:rsidR="00F50689" w:rsidRDefault="00F50689" w:rsidP="00F50689">
      <w:pPr>
        <w:pStyle w:val="DGTextstand-alone"/>
      </w:pPr>
    </w:p>
    <w:p w:rsidR="00F50689" w:rsidRDefault="005A36C4">
      <w:pPr>
        <w:rPr>
          <w:rFonts w:ascii="Verdana" w:hAnsi="Verdana"/>
          <w:color w:val="016794"/>
          <w:sz w:val="18"/>
          <w:szCs w:val="18"/>
        </w:rPr>
      </w:pPr>
      <w:r>
        <w:br w:type="page"/>
      </w:r>
    </w:p>
    <w:p w:rsidR="00F50689" w:rsidRPr="007A13F2" w:rsidRDefault="005A36C4" w:rsidP="00F50689">
      <w:pPr>
        <w:pStyle w:val="HEADER4Part2"/>
      </w:pPr>
      <w:proofErr w:type="spellStart"/>
      <w:r w:rsidRPr="007A13F2">
        <w:t>Recoverables</w:t>
      </w:r>
      <w:proofErr w:type="spellEnd"/>
      <w:r w:rsidRPr="007A13F2">
        <w:t xml:space="preserve"> from Member States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85" w:name="DOC_TBL00028_1_1"/>
            <w:bookmarkEnd w:id="85"/>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rPr>
                <w:rFonts w:cs="Verdana"/>
              </w:rPr>
              <w:t>EUR millions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31.12.2013</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Established in the A account</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2 789</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47</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Established in the separate account</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1 617</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1 228</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Own resources to be received</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5 413</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3 054</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Impairment</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(1 144)</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(743)</w:t>
            </w:r>
          </w:p>
        </w:tc>
      </w:tr>
      <w:tr w:rsidR="00E7728E">
        <w:tc>
          <w:tcPr>
            <w:tcW w:w="5637"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Other</w:t>
            </w:r>
          </w:p>
        </w:tc>
        <w:tc>
          <w:tcPr>
            <w:tcW w:w="2126"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12</w:t>
            </w:r>
          </w:p>
        </w:tc>
        <w:tc>
          <w:tcPr>
            <w:tcW w:w="1985"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6</w:t>
            </w:r>
          </w:p>
        </w:tc>
      </w:tr>
      <w:tr w:rsidR="00E7728E">
        <w:tc>
          <w:tcPr>
            <w:tcW w:w="5637"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BoldLeft"/>
              <w:rPr>
                <w:rFonts w:cs="Verdana"/>
              </w:rPr>
            </w:pPr>
            <w:r>
              <w:rPr>
                <w:rFonts w:cs="Verdana"/>
              </w:rPr>
              <w:t>Own resources recoverables</w:t>
            </w:r>
          </w:p>
        </w:tc>
        <w:tc>
          <w:tcPr>
            <w:tcW w:w="2126"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b/>
                <w:i w:val="0"/>
              </w:rPr>
            </w:pPr>
            <w:r>
              <w:rPr>
                <w:rFonts w:cs="Verdana"/>
                <w:b/>
                <w:i w:val="0"/>
              </w:rPr>
              <w:t>8 686</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b/>
                <w:i w:val="0"/>
              </w:rPr>
            </w:pPr>
            <w:r>
              <w:rPr>
                <w:rFonts w:cs="Verdana"/>
                <w:b/>
                <w:i w:val="0"/>
              </w:rPr>
              <w:t>3 592</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European Agricultural Guarantee Fund (EAGF)</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2 250</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2 294</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European Agricultural Fund for Rural Development (EAFRD)</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52</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82</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Temporary Rural Development Instrument (TRDI)</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27</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45</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Special Accession Programme for Agriculture and Rural Development (SAPARD)</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166</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155</w:t>
            </w:r>
          </w:p>
        </w:tc>
      </w:tr>
      <w:tr w:rsidR="00E7728E">
        <w:tc>
          <w:tcPr>
            <w:tcW w:w="5637"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Impairment</w:t>
            </w:r>
          </w:p>
        </w:tc>
        <w:tc>
          <w:tcPr>
            <w:tcW w:w="2126"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(840)</w:t>
            </w:r>
          </w:p>
        </w:tc>
        <w:tc>
          <w:tcPr>
            <w:tcW w:w="1985"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(819)</w:t>
            </w:r>
          </w:p>
        </w:tc>
      </w:tr>
      <w:tr w:rsidR="00E7728E">
        <w:tc>
          <w:tcPr>
            <w:tcW w:w="5637"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BoldLeft"/>
              <w:rPr>
                <w:rFonts w:cs="Verdana"/>
              </w:rPr>
            </w:pPr>
            <w:r>
              <w:rPr>
                <w:rFonts w:cs="Verdana"/>
              </w:rPr>
              <w:t>EAGF and rural development recoverables</w:t>
            </w:r>
          </w:p>
        </w:tc>
        <w:tc>
          <w:tcPr>
            <w:tcW w:w="2126"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b/>
                <w:i w:val="0"/>
              </w:rPr>
            </w:pPr>
            <w:r>
              <w:rPr>
                <w:rFonts w:cs="Verdana"/>
                <w:b/>
                <w:i w:val="0"/>
              </w:rPr>
              <w:t>1 655</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b/>
                <w:i w:val="0"/>
              </w:rPr>
            </w:pPr>
            <w:r>
              <w:rPr>
                <w:rFonts w:cs="Verdana"/>
                <w:b/>
                <w:i w:val="0"/>
              </w:rPr>
              <w:t>1 757</w:t>
            </w:r>
          </w:p>
        </w:tc>
      </w:tr>
      <w:tr w:rsidR="00E7728E">
        <w:tc>
          <w:tcPr>
            <w:tcW w:w="5637"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BoldLeft"/>
              <w:rPr>
                <w:rFonts w:cs="Verdana"/>
              </w:rPr>
            </w:pPr>
            <w:r>
              <w:rPr>
                <w:rFonts w:cs="Verdana"/>
              </w:rPr>
              <w:t>Pre-financing recovery expected</w:t>
            </w:r>
          </w:p>
        </w:tc>
        <w:tc>
          <w:tcPr>
            <w:tcW w:w="2126"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b/>
                <w:i w:val="0"/>
              </w:rPr>
            </w:pPr>
            <w:r>
              <w:rPr>
                <w:rFonts w:cs="Verdana"/>
                <w:b/>
                <w:i w:val="0"/>
              </w:rPr>
              <w:t xml:space="preserve"> 437</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b/>
                <w:i w:val="0"/>
              </w:rPr>
            </w:pPr>
            <w:r>
              <w:rPr>
                <w:rFonts w:cs="Verdana"/>
                <w:b/>
                <w:i w:val="0"/>
              </w:rPr>
              <w:t xml:space="preserve"> 542</w:t>
            </w:r>
          </w:p>
        </w:tc>
      </w:tr>
      <w:tr w:rsidR="00E7728E">
        <w:tc>
          <w:tcPr>
            <w:tcW w:w="5637"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BoldLeft"/>
              <w:rPr>
                <w:rFonts w:cs="Verdana"/>
              </w:rPr>
            </w:pPr>
            <w:r>
              <w:rPr>
                <w:rFonts w:cs="Verdana"/>
              </w:rPr>
              <w:t>VAT paid and recoverable</w:t>
            </w:r>
          </w:p>
        </w:tc>
        <w:tc>
          <w:tcPr>
            <w:tcW w:w="2126"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b/>
                <w:i w:val="0"/>
              </w:rPr>
            </w:pPr>
            <w:r>
              <w:rPr>
                <w:rFonts w:cs="Verdana"/>
                <w:b/>
                <w:i w:val="0"/>
              </w:rPr>
              <w:t xml:space="preserve"> 44</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b/>
                <w:i w:val="0"/>
              </w:rPr>
            </w:pPr>
            <w:r>
              <w:rPr>
                <w:rFonts w:cs="Verdana"/>
                <w:b/>
                <w:i w:val="0"/>
              </w:rPr>
              <w:t xml:space="preserve"> 68</w:t>
            </w:r>
          </w:p>
        </w:tc>
      </w:tr>
      <w:tr w:rsidR="00E7728E">
        <w:tc>
          <w:tcPr>
            <w:tcW w:w="5637"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rPr>
                <w:rFonts w:cs="Verdana"/>
              </w:rPr>
              <w:t>Other recoverables from Member States</w:t>
            </w:r>
          </w:p>
        </w:tc>
        <w:tc>
          <w:tcPr>
            <w:tcW w:w="2126"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 xml:space="preserve"> 161</w:t>
            </w:r>
          </w:p>
        </w:tc>
        <w:tc>
          <w:tcPr>
            <w:tcW w:w="1985"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 xml:space="preserve"> 94</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10 984</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6 053</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Non-current</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305</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478</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Current</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10 679</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5 574</w:t>
            </w:r>
          </w:p>
        </w:tc>
      </w:tr>
    </w:tbl>
    <w:p w:rsidR="00F50689" w:rsidRDefault="005A36C4" w:rsidP="00F50689">
      <w:pPr>
        <w:pStyle w:val="Textstand-alone"/>
      </w:pPr>
      <w:r>
        <w:t>The non-current amounts due from Member States relate to non-executed conformity clearance decisions for the European Agricultural Guarantee Fund (EAGF) and the European Agricultural Fund for Rural Development (EAFRD) to be implemented in annual instalments and/or deferrals.</w:t>
      </w:r>
    </w:p>
    <w:p w:rsidR="00F50689" w:rsidRPr="00F47CA4" w:rsidRDefault="005A36C4" w:rsidP="00F50689">
      <w:pPr>
        <w:pStyle w:val="Textstand-alone"/>
        <w:rPr>
          <w:b/>
        </w:rPr>
      </w:pPr>
      <w:r w:rsidRPr="00F47CA4">
        <w:rPr>
          <w:b/>
        </w:rPr>
        <w:t>Own resource</w:t>
      </w:r>
      <w:r>
        <w:rPr>
          <w:b/>
        </w:rPr>
        <w:t>s</w:t>
      </w:r>
      <w:r w:rsidRPr="00F47CA4">
        <w:rPr>
          <w:b/>
        </w:rPr>
        <w:t xml:space="preserve"> recoverables</w:t>
      </w:r>
    </w:p>
    <w:p w:rsidR="00F50689" w:rsidRDefault="005A36C4" w:rsidP="00F50689">
      <w:pPr>
        <w:pStyle w:val="Textstand-alone"/>
      </w:pPr>
      <w:r>
        <w:t>The significant increase of recoverables established in the A account is explained by EUR 2 756 million of custom duties and sugar levies of November and December that were recognised as accrued income in previous years.</w:t>
      </w:r>
    </w:p>
    <w:p w:rsidR="00F50689" w:rsidRDefault="005A36C4" w:rsidP="00F50689">
      <w:pPr>
        <w:pStyle w:val="Textstand-alone"/>
      </w:pPr>
      <w:r>
        <w:t>The amount of own resources to be received relates to the Amending Budgets No 2 to 7/2014 adopted on 17 December 2014. According to Article 10 of Council Regulation 1150/2000 of 22 May 2000 (OJ L 130, 31.5.2000, p. 1) the entries corresponding to the readjustments of own resources contributions were carried out on the first working day of February 2015. The adjustments to Member States’ national EU budget contributions based on VAT and GNI take place every year on the first working day of December. The adjustment in 2014 included major revisions for GNI dating back to 2002. Thus the adjustment was unprecedented in size, totalling EUR 9.5 billion across all EU Member States.</w:t>
      </w:r>
    </w:p>
    <w:p w:rsidR="00F50689" w:rsidRDefault="005A36C4" w:rsidP="00F50689">
      <w:pPr>
        <w:pStyle w:val="Textstand-alone"/>
      </w:pPr>
      <w:r>
        <w:t>In order to address this exceptional situation, the Council adopted on 18 December 2014 a Commission proposal allowing Member States to defer payment, interest free, under strict conditions, up to 1 September 2015. Accordingly, 6 Member States opted to pay their adjustments in 2015. The deferred payment amounts to EUR 5.4 billion, as included in the above table.</w:t>
      </w:r>
    </w:p>
    <w:p w:rsidR="00F50689" w:rsidRDefault="005A36C4" w:rsidP="00F50689">
      <w:pPr>
        <w:pStyle w:val="Textstand-alone"/>
        <w:rPr>
          <w:b/>
        </w:rPr>
      </w:pPr>
      <w:r w:rsidRPr="00127B7C">
        <w:rPr>
          <w:b/>
        </w:rPr>
        <w:t>EAGF and Rural Development rec</w:t>
      </w:r>
      <w:r>
        <w:rPr>
          <w:b/>
        </w:rPr>
        <w:t>overables</w:t>
      </w:r>
    </w:p>
    <w:p w:rsidR="00F50689" w:rsidRDefault="005A36C4" w:rsidP="00F50689">
      <w:pPr>
        <w:pStyle w:val="Textstand-alone"/>
      </w:pPr>
      <w:r w:rsidRPr="00127B7C">
        <w:t xml:space="preserve">This item primarily covers the </w:t>
      </w:r>
      <w:r>
        <w:t>amounts owed by Member States at 31 December, as declared and certified by the Member States at 15 October. An estimation is made for the recoverables arising after this declaration and up to 31 December. The Commision also estimates a write-down for the amounts owed by beneficiaries that are unlikely to be recovered. The fact that such an adjustment is made does not mean that the Commission is waiving future recovery of these amounts. A deduction of 20 % is also included in the adjustment, and corresponds to what Member States are allowed to retain to cover administrative costs.</w:t>
      </w:r>
    </w:p>
    <w:p w:rsidR="00F50689" w:rsidRDefault="00F50689" w:rsidP="00F50689">
      <w:pPr>
        <w:pStyle w:val="Textstand-alone"/>
      </w:pPr>
    </w:p>
    <w:p w:rsidR="00F50689" w:rsidRDefault="00F50689" w:rsidP="00F50689">
      <w:pPr>
        <w:pStyle w:val="Textstand-alone"/>
      </w:pPr>
    </w:p>
    <w:p w:rsidR="004F7F0A" w:rsidRDefault="004F7F0A">
      <w:pPr>
        <w:rPr>
          <w:rFonts w:ascii="Verdana" w:hAnsi="Verdana"/>
          <w:color w:val="016794"/>
          <w:sz w:val="18"/>
          <w:szCs w:val="18"/>
        </w:rPr>
      </w:pPr>
      <w:r>
        <w:br w:type="page"/>
      </w:r>
    </w:p>
    <w:p w:rsidR="00F50689" w:rsidRPr="007A13F2" w:rsidRDefault="005A36C4" w:rsidP="00F50689">
      <w:pPr>
        <w:pStyle w:val="HEADER4Part2"/>
      </w:pPr>
      <w:r w:rsidRPr="007A13F2">
        <w:t>Fines</w:t>
      </w:r>
    </w:p>
    <w:p w:rsidR="00F50689" w:rsidRPr="000C68CF" w:rsidRDefault="005A36C4" w:rsidP="00F50689">
      <w:pPr>
        <w:pStyle w:val="Textstand-alone"/>
        <w:rPr>
          <w:color w:val="000000" w:themeColor="text1"/>
        </w:rPr>
      </w:pPr>
      <w:r>
        <w:t xml:space="preserve">This concerns amounts to be recovered relating to fines issued by the Commission of EUR 2 424 million (2013: EUR 4 310 million) less a write-down of EUR 155 million (2013: EUR 239 million). Guarantees totalling EUR 1 916 million were received for the fines outstanding at year-end (2013: EUR 3 244 million). It should be noted that EUR 183 million of these receivables were due for payment </w:t>
      </w:r>
      <w:r w:rsidRPr="000C68CF">
        <w:rPr>
          <w:color w:val="000000" w:themeColor="text1"/>
        </w:rPr>
        <w:t>after 31</w:t>
      </w:r>
      <w:r>
        <w:rPr>
          <w:color w:val="000000" w:themeColor="text1"/>
        </w:rPr>
        <w:t> </w:t>
      </w:r>
      <w:r w:rsidRPr="000C68CF">
        <w:rPr>
          <w:color w:val="000000" w:themeColor="text1"/>
        </w:rPr>
        <w:t>December</w:t>
      </w:r>
      <w:r>
        <w:rPr>
          <w:color w:val="000000" w:themeColor="text1"/>
        </w:rPr>
        <w:t> </w:t>
      </w:r>
      <w:r w:rsidRPr="000C68CF">
        <w:rPr>
          <w:color w:val="000000" w:themeColor="text1"/>
        </w:rPr>
        <w:t>2014.</w:t>
      </w:r>
    </w:p>
    <w:p w:rsidR="00F50689" w:rsidRDefault="005A36C4" w:rsidP="00F50689">
      <w:pPr>
        <w:pStyle w:val="Textstand-alone"/>
      </w:pPr>
      <w:r w:rsidRPr="000C68CF">
        <w:rPr>
          <w:color w:val="000000" w:themeColor="text1"/>
        </w:rPr>
        <w:t xml:space="preserve">The decrease in the balance of the open fines at year end is due to the fact that fines </w:t>
      </w:r>
      <w:r>
        <w:rPr>
          <w:color w:val="000000" w:themeColor="text1"/>
        </w:rPr>
        <w:t>totalling</w:t>
      </w:r>
      <w:r w:rsidRPr="000C68CF">
        <w:rPr>
          <w:color w:val="000000" w:themeColor="text1"/>
        </w:rPr>
        <w:t xml:space="preserve"> EUR 4.1 billion became definitive and </w:t>
      </w:r>
      <w:r>
        <w:rPr>
          <w:color w:val="000000" w:themeColor="text1"/>
        </w:rPr>
        <w:t xml:space="preserve">so were </w:t>
      </w:r>
      <w:r w:rsidRPr="000C68CF">
        <w:rPr>
          <w:color w:val="000000" w:themeColor="text1"/>
        </w:rPr>
        <w:t xml:space="preserve">transferred to the budget </w:t>
      </w:r>
      <w:r>
        <w:rPr>
          <w:color w:val="000000" w:themeColor="text1"/>
        </w:rPr>
        <w:t>during</w:t>
      </w:r>
      <w:r w:rsidRPr="000C68CF">
        <w:rPr>
          <w:color w:val="000000" w:themeColor="text1"/>
        </w:rPr>
        <w:t xml:space="preserve"> 2014. </w:t>
      </w:r>
    </w:p>
    <w:p w:rsidR="00F50689" w:rsidRPr="007A13F2" w:rsidRDefault="005A36C4" w:rsidP="00FF6CE7">
      <w:pPr>
        <w:pStyle w:val="HEADER4Part2"/>
      </w:pPr>
      <w:r w:rsidRPr="007A13F2">
        <w:t>Accrued income and deferred charges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86" w:name="DOC_TBL00029_1_1"/>
            <w:bookmarkEnd w:id="86"/>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rPr>
                <w:rFonts w:cs="Verdana"/>
              </w:rPr>
              <w:t>EUR millions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31.12.2013</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Own resources accrued income</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2 424</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Cohesion, Agriculture &amp; Rural Development Funds: financial corrections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1 502</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31</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Other accrued income</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83</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201</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Impairment on accrued income</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Deferred charges relating to non-exchange transactions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101</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85</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1 686</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2 741</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Non-current</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853</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Current</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832</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2 741</w:t>
            </w:r>
          </w:p>
        </w:tc>
      </w:tr>
    </w:tbl>
    <w:p w:rsidR="00F50689" w:rsidRDefault="005A36C4" w:rsidP="00F50689">
      <w:pPr>
        <w:pStyle w:val="Textstand-alone"/>
      </w:pPr>
      <w:r>
        <w:t xml:space="preserve">It should be noted that the own resources accrued income, mainly custom duties of November and </w:t>
      </w:r>
      <w:r w:rsidRPr="002672A6">
        <w:t>December</w:t>
      </w:r>
      <w:r>
        <w:t>,</w:t>
      </w:r>
      <w:r w:rsidRPr="002672A6">
        <w:t xml:space="preserve"> are now disclosed under</w:t>
      </w:r>
      <w:r>
        <w:t xml:space="preserve"> current recoverables.</w:t>
      </w:r>
    </w:p>
    <w:p w:rsidR="00F50689" w:rsidRPr="007A13F2" w:rsidRDefault="005A36C4" w:rsidP="00F50689">
      <w:pPr>
        <w:pStyle w:val="HEADER3Part2"/>
      </w:pPr>
      <w:r w:rsidRPr="007A13F2">
        <w:t>Receivables from exchange transactions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87" w:name="DOC_TBL00030_1_1"/>
            <w:bookmarkEnd w:id="87"/>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rPr>
                <w:rFonts w:cs="Verdana"/>
              </w:rPr>
              <w:t>EUR millions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31.12.2013</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rPr>
                <w:rFonts w:cs="Verdana"/>
              </w:rPr>
              <w:t>Non-current</w:t>
            </w:r>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Figures9pBoldRight025"/>
              <w:rPr>
                <w:rFonts w:cs="Verdana"/>
              </w:rPr>
            </w:pPr>
          </w:p>
        </w:tc>
        <w:tc>
          <w:tcPr>
            <w:tcW w:w="1985" w:type="dxa"/>
            <w:tcBorders>
              <w:top w:val="nil"/>
              <w:left w:val="nil"/>
              <w:bottom w:val="nil"/>
              <w:right w:val="nil"/>
            </w:tcBorders>
            <w:tcMar>
              <w:top w:w="0" w:type="dxa"/>
              <w:left w:w="0" w:type="dxa"/>
              <w:bottom w:w="0" w:type="dxa"/>
              <w:right w:w="0" w:type="dxa"/>
            </w:tcMar>
          </w:tcPr>
          <w:p w:rsidR="00F50689" w:rsidRDefault="00F50689" w:rsidP="00F50689">
            <w:pPr>
              <w:pStyle w:val="Figures9pBoldRight025"/>
              <w:rPr>
                <w:rFonts w:cs="Verdana"/>
              </w:rPr>
            </w:pPr>
          </w:p>
        </w:tc>
      </w:tr>
      <w:tr w:rsidR="00E7728E">
        <w:tc>
          <w:tcPr>
            <w:tcW w:w="5637"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Other receivables</w:t>
            </w:r>
          </w:p>
        </w:tc>
        <w:tc>
          <w:tcPr>
            <w:tcW w:w="2126"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40</w:t>
            </w:r>
          </w:p>
        </w:tc>
        <w:tc>
          <w:tcPr>
            <w:tcW w:w="1985"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20</w:t>
            </w:r>
          </w:p>
        </w:tc>
      </w:tr>
      <w:tr w:rsidR="00E7728E">
        <w:tc>
          <w:tcPr>
            <w:tcW w:w="5637" w:type="dxa"/>
            <w:tcBorders>
              <w:top w:val="single" w:sz="4" w:space="0" w:color="016794"/>
              <w:left w:val="nil"/>
              <w:bottom w:val="single" w:sz="4" w:space="0" w:color="016794"/>
              <w:right w:val="nil"/>
            </w:tcBorders>
            <w:tcMar>
              <w:top w:w="0" w:type="dxa"/>
              <w:left w:w="0" w:type="dxa"/>
              <w:bottom w:w="0" w:type="dxa"/>
              <w:right w:w="0" w:type="dxa"/>
            </w:tcMar>
          </w:tcPr>
          <w:p w:rsidR="00F50689" w:rsidRPr="00A675FE" w:rsidRDefault="005A36C4" w:rsidP="00F50689">
            <w:pPr>
              <w:pStyle w:val="Text9pNormalLeft"/>
              <w:rPr>
                <w:rFonts w:cs="Verdana"/>
                <w:i/>
              </w:rPr>
            </w:pPr>
            <w:r w:rsidRPr="00A675FE">
              <w:rPr>
                <w:rFonts w:cs="Verdana"/>
                <w:i/>
              </w:rPr>
              <w:t>Total</w:t>
            </w:r>
          </w:p>
        </w:tc>
        <w:tc>
          <w:tcPr>
            <w:tcW w:w="2126"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b/>
                <w:i w:val="0"/>
              </w:rPr>
            </w:pPr>
            <w:r>
              <w:rPr>
                <w:rFonts w:cs="Verdana"/>
                <w:b/>
                <w:i w:val="0"/>
              </w:rPr>
              <w:t xml:space="preserve"> 40</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b/>
                <w:i w:val="0"/>
              </w:rPr>
            </w:pPr>
            <w:r>
              <w:rPr>
                <w:rFonts w:cs="Verdana"/>
                <w:b/>
                <w:i w:val="0"/>
              </w:rPr>
              <w:t xml:space="preserve"> 20</w:t>
            </w:r>
          </w:p>
        </w:tc>
      </w:tr>
      <w:tr w:rsidR="00E7728E">
        <w:tc>
          <w:tcPr>
            <w:tcW w:w="5637"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rPr>
                <w:rFonts w:cs="Verdana"/>
              </w:rPr>
              <w:t>Current</w:t>
            </w:r>
          </w:p>
        </w:tc>
        <w:tc>
          <w:tcPr>
            <w:tcW w:w="2126"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BoldRight025"/>
              <w:rPr>
                <w:rFonts w:cs="Verdana"/>
              </w:rPr>
            </w:pPr>
          </w:p>
        </w:tc>
        <w:tc>
          <w:tcPr>
            <w:tcW w:w="1985"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BoldRight025"/>
              <w:rPr>
                <w:rFonts w:cs="Verdana"/>
              </w:rPr>
            </w:pP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Customers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211</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381</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Impairment on receivables from customers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(103)</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(100)</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Deferred charges relating to exchange transactions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219</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352</w:t>
            </w:r>
          </w:p>
        </w:tc>
      </w:tr>
      <w:tr w:rsidR="00E7728E">
        <w:tc>
          <w:tcPr>
            <w:tcW w:w="5637"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Other</w:t>
            </w:r>
          </w:p>
        </w:tc>
        <w:tc>
          <w:tcPr>
            <w:tcW w:w="2126"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224</w:t>
            </w:r>
          </w:p>
        </w:tc>
        <w:tc>
          <w:tcPr>
            <w:tcW w:w="1985"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71</w:t>
            </w:r>
          </w:p>
        </w:tc>
      </w:tr>
      <w:tr w:rsidR="00E7728E">
        <w:tc>
          <w:tcPr>
            <w:tcW w:w="5637" w:type="dxa"/>
            <w:tcBorders>
              <w:top w:val="single" w:sz="4" w:space="0" w:color="016794"/>
              <w:left w:val="nil"/>
              <w:bottom w:val="nil"/>
              <w:right w:val="nil"/>
            </w:tcBorders>
            <w:tcMar>
              <w:top w:w="0" w:type="dxa"/>
              <w:left w:w="0" w:type="dxa"/>
              <w:bottom w:w="0" w:type="dxa"/>
              <w:right w:w="0" w:type="dxa"/>
            </w:tcMar>
          </w:tcPr>
          <w:p w:rsidR="00F50689" w:rsidRPr="00A675FE" w:rsidRDefault="005A36C4" w:rsidP="00F50689">
            <w:pPr>
              <w:pStyle w:val="Text9pNormalLeft"/>
              <w:rPr>
                <w:rFonts w:cs="Verdana"/>
                <w:i/>
              </w:rPr>
            </w:pPr>
            <w:r w:rsidRPr="00A675FE">
              <w:rPr>
                <w:rFonts w:cs="Verdana"/>
                <w:i/>
              </w:rPr>
              <w:t>Total</w:t>
            </w:r>
          </w:p>
        </w:tc>
        <w:tc>
          <w:tcPr>
            <w:tcW w:w="2126"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b/>
                <w:i w:val="0"/>
              </w:rPr>
            </w:pPr>
            <w:r>
              <w:rPr>
                <w:rFonts w:cs="Verdana"/>
                <w:b/>
                <w:i w:val="0"/>
              </w:rPr>
              <w:t xml:space="preserve"> 551</w:t>
            </w:r>
          </w:p>
        </w:tc>
        <w:tc>
          <w:tcPr>
            <w:tcW w:w="1985"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b/>
                <w:i w:val="0"/>
              </w:rPr>
            </w:pPr>
            <w:r>
              <w:rPr>
                <w:rFonts w:cs="Verdana"/>
                <w:b/>
                <w:i w:val="0"/>
              </w:rPr>
              <w:t xml:space="preserve"> 704</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 xml:space="preserve"> 591</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 xml:space="preserve"> 724</w:t>
            </w:r>
          </w:p>
        </w:tc>
      </w:tr>
    </w:tbl>
    <w:p w:rsidR="00F50689" w:rsidRDefault="005A36C4" w:rsidP="00F50689">
      <w:pPr>
        <w:pStyle w:val="Textstand-alone"/>
        <w:spacing w:before="0" w:after="0"/>
        <w:sectPr w:rsidR="00F50689" w:rsidSect="00F50689">
          <w:headerReference w:type="even" r:id="rId155"/>
          <w:headerReference w:type="default" r:id="rId156"/>
          <w:footerReference w:type="even" r:id="rId157"/>
          <w:footerReference w:type="default" r:id="rId158"/>
          <w:headerReference w:type="first" r:id="rId159"/>
          <w:footerReference w:type="first" r:id="rId160"/>
          <w:type w:val="continuous"/>
          <w:pgSz w:w="11906" w:h="16838"/>
          <w:pgMar w:top="1134" w:right="1134" w:bottom="1134" w:left="1134" w:header="709" w:footer="709" w:gutter="0"/>
          <w:cols w:space="708"/>
          <w:docGrid w:linePitch="360"/>
        </w:sectPr>
      </w:pPr>
      <w:r>
        <w:t xml:space="preserve"> </w:t>
      </w:r>
      <w:bookmarkEnd w:id="82"/>
    </w:p>
    <w:p w:rsidR="00F50689" w:rsidRDefault="005A36C4" w:rsidP="00F50689">
      <w:pPr>
        <w:pStyle w:val="HEADER2Part2"/>
        <w:spacing w:after="0"/>
        <w:rPr>
          <w:lang w:val="fr-BE"/>
        </w:rPr>
      </w:pPr>
      <w:bookmarkStart w:id="88" w:name="_DMBM_2629"/>
      <w:proofErr w:type="gramStart"/>
      <w:r>
        <w:rPr>
          <w:lang w:val="fr-BE"/>
        </w:rPr>
        <w:t>INVENTORIES</w:t>
      </w:r>
      <w:proofErr w:type="gramEnd"/>
    </w:p>
    <w:p w:rsidR="00F50689" w:rsidRPr="00F404F5" w:rsidRDefault="005A36C4" w:rsidP="00F50689">
      <w:pPr>
        <w:pStyle w:val="DGTextstand-alone"/>
        <w:spacing w:before="0" w:after="0"/>
      </w:pPr>
      <w:r>
        <w:t xml:space="preserve">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lang w:val="fr-BE" w:bidi="en-GB"/>
              </w:rPr>
            </w:pPr>
            <w:bookmarkStart w:id="89" w:name="DOC_TBL00031_1_1"/>
            <w:bookmarkEnd w:id="89"/>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Heading10pNormalCentered"/>
              <w:rPr>
                <w:rFonts w:eastAsia="Verdana" w:cs="Verdana"/>
                <w:color w:val="auto"/>
                <w:lang w:val="fr-BE"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lang w:val="fr-BE" w:bidi="en-GB"/>
              </w:rPr>
            </w:pPr>
            <w:r>
              <w:rPr>
                <w:rFonts w:eastAsia="Verdana" w:cs="Verdana"/>
                <w:lang w:val="fr-BE" w:bidi="en-GB"/>
              </w:rPr>
              <w:t>EUR millions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lang w:val="fr-BE" w:bidi="en-GB"/>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lang w:val="fr-BE" w:bidi="en-GB"/>
              </w:rPr>
            </w:pPr>
            <w:r>
              <w:rPr>
                <w:rFonts w:eastAsia="Verdana" w:cs="Verdana"/>
                <w:lang w:val="fr-BE" w:bidi="en-GB"/>
              </w:rP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lang w:val="fr-BE" w:bidi="en-GB"/>
              </w:rPr>
            </w:pPr>
            <w:r>
              <w:rPr>
                <w:rFonts w:eastAsia="Verdana" w:cs="Verdana"/>
                <w:lang w:val="fr-BE" w:bidi="en-GB"/>
              </w:rPr>
              <w:t>31.12.2013</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val="fr-BE" w:bidi="en-GB"/>
              </w:rPr>
            </w:pPr>
            <w:r>
              <w:rPr>
                <w:rFonts w:eastAsia="Verdana" w:cs="Verdana"/>
                <w:lang w:val="fr-BE" w:bidi="en-GB"/>
              </w:rPr>
              <w:t>Scientific materials</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 xml:space="preserve"> 66</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 xml:space="preserve"> 81</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val="fr-BE" w:bidi="en-GB"/>
              </w:rPr>
            </w:pPr>
            <w:r>
              <w:rPr>
                <w:rFonts w:eastAsia="Verdana" w:cs="Verdana"/>
                <w:lang w:val="fr-BE" w:bidi="en-GB"/>
              </w:rPr>
              <w:t>Other</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 xml:space="preserve"> 62</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 xml:space="preserve"> 47</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eastAsia="Verdana" w:cs="Verdana"/>
                <w:lang w:val="fr-BE" w:bidi="en-GB"/>
              </w:rPr>
            </w:pPr>
            <w:r>
              <w:rPr>
                <w:rFonts w:eastAsia="Verdana" w:cs="Verdana"/>
                <w:lang w:val="fr-BE" w:bidi="en-GB"/>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lang w:val="fr-BE" w:bidi="en-GB"/>
              </w:rPr>
            </w:pPr>
            <w:r>
              <w:rPr>
                <w:rFonts w:eastAsia="Verdana" w:cs="Verdana"/>
                <w:lang w:val="fr-BE" w:bidi="en-GB"/>
              </w:rPr>
              <w:t xml:space="preserve"> 128</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lang w:val="fr-BE" w:bidi="en-GB"/>
              </w:rPr>
            </w:pPr>
            <w:r>
              <w:rPr>
                <w:rFonts w:eastAsia="Verdana" w:cs="Verdana"/>
                <w:lang w:val="fr-BE" w:bidi="en-GB"/>
              </w:rPr>
              <w:t xml:space="preserve"> 128</w:t>
            </w:r>
          </w:p>
        </w:tc>
      </w:tr>
    </w:tbl>
    <w:p w:rsidR="00F50689" w:rsidRPr="0018243A" w:rsidRDefault="005A36C4" w:rsidP="00F50689">
      <w:pPr>
        <w:pStyle w:val="Textstand-alone"/>
        <w:spacing w:before="0" w:after="0"/>
        <w:rPr>
          <w:lang w:val="fr-BE"/>
        </w:rPr>
        <w:sectPr w:rsidR="00F50689" w:rsidRPr="0018243A" w:rsidSect="00F50689">
          <w:headerReference w:type="even" r:id="rId161"/>
          <w:headerReference w:type="default" r:id="rId162"/>
          <w:footerReference w:type="even" r:id="rId163"/>
          <w:footerReference w:type="default" r:id="rId164"/>
          <w:headerReference w:type="first" r:id="rId165"/>
          <w:footerReference w:type="first" r:id="rId166"/>
          <w:type w:val="continuous"/>
          <w:pgSz w:w="11906" w:h="16838"/>
          <w:pgMar w:top="1134" w:right="1134" w:bottom="1134" w:left="1134" w:header="709" w:footer="709" w:gutter="0"/>
          <w:cols w:space="708"/>
          <w:docGrid w:linePitch="360"/>
        </w:sectPr>
      </w:pPr>
      <w:r>
        <w:rPr>
          <w:lang w:val="fr-BE"/>
        </w:rPr>
        <w:t xml:space="preserve"> </w:t>
      </w:r>
      <w:bookmarkEnd w:id="88"/>
    </w:p>
    <w:p w:rsidR="00F50689" w:rsidRPr="00624F4F" w:rsidRDefault="005A36C4" w:rsidP="00F50689">
      <w:pPr>
        <w:pStyle w:val="HEADER2Part2"/>
      </w:pPr>
      <w:bookmarkStart w:id="90" w:name="_DMBM_2630"/>
      <w:r w:rsidRPr="00624F4F">
        <w:t>CASH AND CASH EQUIVALENTS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gridCol w:w="851"/>
        <w:gridCol w:w="1842"/>
        <w:gridCol w:w="1843"/>
      </w:tblGrid>
      <w:tr w:rsidR="00E7728E">
        <w:trPr>
          <w:cantSplit/>
          <w:trHeight w:val="268"/>
        </w:trPr>
        <w:tc>
          <w:tcPr>
            <w:tcW w:w="5211"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91" w:name="DOC_TBL00032_1_1"/>
            <w:bookmarkEnd w:id="91"/>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rPr>
                <w:rFonts w:cs="Verdana"/>
              </w:rPr>
              <w:t>EUR millions</w:t>
            </w:r>
          </w:p>
        </w:tc>
      </w:tr>
      <w:tr w:rsidR="00E7728E">
        <w:trPr>
          <w:cantSplit/>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Note</w:t>
            </w:r>
          </w:p>
        </w:tc>
        <w:tc>
          <w:tcPr>
            <w:tcW w:w="184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31.12.2014</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31.12.2013</w:t>
            </w:r>
          </w:p>
        </w:tc>
      </w:tr>
      <w:tr w:rsidR="00E7728E">
        <w:trPr>
          <w:cantSplit/>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Accounts with Treasuries and Central Banks</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11 840</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2 505</w:t>
            </w:r>
          </w:p>
        </w:tc>
      </w:tr>
      <w:tr w:rsidR="00E7728E">
        <w:trPr>
          <w:cantSplit/>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Current accounts</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303</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168</w:t>
            </w:r>
          </w:p>
        </w:tc>
      </w:tr>
      <w:tr w:rsidR="00E7728E">
        <w:trPr>
          <w:cantSplit/>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Imprest accounts</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4</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4</w:t>
            </w:r>
          </w:p>
        </w:tc>
      </w:tr>
      <w:tr w:rsidR="00E7728E">
        <w:trPr>
          <w:cantSplit/>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Transfers (cash in transit)</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w:t>
            </w:r>
          </w:p>
        </w:tc>
      </w:tr>
      <w:tr w:rsidR="00E7728E">
        <w:trPr>
          <w:cantSplit/>
          <w:trHeight w:val="268"/>
        </w:trPr>
        <w:tc>
          <w:tcPr>
            <w:tcW w:w="521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Other term deposits</w:t>
            </w:r>
          </w:p>
        </w:tc>
        <w:tc>
          <w:tcPr>
            <w:tcW w:w="851" w:type="dxa"/>
            <w:tcBorders>
              <w:top w:val="nil"/>
              <w:left w:val="nil"/>
              <w:bottom w:val="single" w:sz="4" w:space="0" w:color="016794"/>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28</w:t>
            </w:r>
          </w:p>
        </w:tc>
        <w:tc>
          <w:tcPr>
            <w:tcW w:w="1843"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29</w:t>
            </w:r>
          </w:p>
        </w:tc>
      </w:tr>
      <w:tr w:rsidR="00E7728E">
        <w:trPr>
          <w:cantSplit/>
          <w:trHeight w:val="268"/>
        </w:trPr>
        <w:tc>
          <w:tcPr>
            <w:tcW w:w="521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B82250">
            <w:pPr>
              <w:pStyle w:val="Text9pBoldLeft"/>
              <w:rPr>
                <w:rFonts w:cs="Verdana"/>
              </w:rPr>
            </w:pPr>
            <w:r>
              <w:rPr>
                <w:rFonts w:cs="Verdana"/>
              </w:rPr>
              <w:t xml:space="preserve">Bank accounts for budget implementation </w:t>
            </w:r>
            <w:r w:rsidR="00B82250">
              <w:rPr>
                <w:rFonts w:cs="Verdana"/>
              </w:rPr>
              <w:t>and</w:t>
            </w:r>
            <w:r>
              <w:rPr>
                <w:rFonts w:cs="Verdana"/>
              </w:rPr>
              <w:t xml:space="preserve"> other term deposits</w:t>
            </w:r>
          </w:p>
        </w:tc>
        <w:tc>
          <w:tcPr>
            <w:tcW w:w="85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rPr>
                <w:rFonts w:eastAsia="Times New Roman" w:cs="Verdana"/>
              </w:rPr>
              <w:t>2.8.1</w:t>
            </w:r>
          </w:p>
        </w:tc>
        <w:tc>
          <w:tcPr>
            <w:tcW w:w="1842"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12 174</w:t>
            </w:r>
          </w:p>
        </w:tc>
        <w:tc>
          <w:tcPr>
            <w:tcW w:w="1843"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2 705</w:t>
            </w:r>
          </w:p>
        </w:tc>
      </w:tr>
      <w:tr w:rsidR="00E7728E">
        <w:trPr>
          <w:cantSplit/>
          <w:trHeight w:val="268"/>
        </w:trPr>
        <w:tc>
          <w:tcPr>
            <w:tcW w:w="521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BoldLeft"/>
              <w:rPr>
                <w:rFonts w:cs="Verdana"/>
              </w:rPr>
            </w:pPr>
            <w:r>
              <w:rPr>
                <w:rFonts w:cs="Verdana"/>
              </w:rPr>
              <w:t>Cash belonging to financial instruments</w:t>
            </w:r>
          </w:p>
        </w:tc>
        <w:tc>
          <w:tcPr>
            <w:tcW w:w="85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rPr>
                <w:rFonts w:eastAsia="Times New Roman" w:cs="Verdana"/>
              </w:rPr>
              <w:t>2.8.2</w:t>
            </w:r>
          </w:p>
        </w:tc>
        <w:tc>
          <w:tcPr>
            <w:tcW w:w="1842"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1 275</w:t>
            </w:r>
          </w:p>
        </w:tc>
        <w:tc>
          <w:tcPr>
            <w:tcW w:w="1843"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1 406</w:t>
            </w:r>
          </w:p>
        </w:tc>
      </w:tr>
      <w:tr w:rsidR="00E7728E">
        <w:trPr>
          <w:cantSplit/>
          <w:trHeight w:val="268"/>
        </w:trPr>
        <w:tc>
          <w:tcPr>
            <w:tcW w:w="521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BoldLeft"/>
              <w:rPr>
                <w:rFonts w:cs="Verdana"/>
              </w:rPr>
            </w:pPr>
            <w:r>
              <w:rPr>
                <w:rFonts w:cs="Verdana"/>
              </w:rPr>
              <w:t>Cash relating to fines</w:t>
            </w:r>
          </w:p>
        </w:tc>
        <w:tc>
          <w:tcPr>
            <w:tcW w:w="85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rPr>
                <w:rFonts w:eastAsia="Times New Roman" w:cs="Verdana"/>
              </w:rPr>
              <w:t>2.8.3</w:t>
            </w:r>
          </w:p>
        </w:tc>
        <w:tc>
          <w:tcPr>
            <w:tcW w:w="1842"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2 738</w:t>
            </w:r>
          </w:p>
        </w:tc>
        <w:tc>
          <w:tcPr>
            <w:tcW w:w="1843"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4 165</w:t>
            </w:r>
          </w:p>
        </w:tc>
      </w:tr>
      <w:tr w:rsidR="00E7728E">
        <w:trPr>
          <w:cantSplit/>
          <w:trHeight w:val="268"/>
        </w:trPr>
        <w:tc>
          <w:tcPr>
            <w:tcW w:w="5211" w:type="dxa"/>
            <w:tcBorders>
              <w:top w:val="single" w:sz="4" w:space="0" w:color="016794"/>
              <w:left w:val="nil"/>
              <w:bottom w:val="nil"/>
              <w:right w:val="nil"/>
            </w:tcBorders>
            <w:tcMar>
              <w:top w:w="0" w:type="dxa"/>
              <w:left w:w="0" w:type="dxa"/>
              <w:bottom w:w="0" w:type="dxa"/>
              <w:right w:w="0" w:type="dxa"/>
            </w:tcMar>
          </w:tcPr>
          <w:p w:rsidR="00F50689" w:rsidRDefault="005A36C4" w:rsidP="00B82250">
            <w:pPr>
              <w:pStyle w:val="Text9pBoldLeft"/>
              <w:rPr>
                <w:rFonts w:cs="Verdana"/>
              </w:rPr>
            </w:pPr>
            <w:r>
              <w:rPr>
                <w:rFonts w:cs="Verdana"/>
              </w:rPr>
              <w:t xml:space="preserve">Cash relating to other institutions, agencies </w:t>
            </w:r>
            <w:r w:rsidR="00B82250">
              <w:rPr>
                <w:rFonts w:cs="Verdana"/>
              </w:rPr>
              <w:t>and</w:t>
            </w:r>
            <w:r>
              <w:rPr>
                <w:rFonts w:cs="Verdana"/>
              </w:rPr>
              <w:t xml:space="preserve"> bodies</w:t>
            </w:r>
          </w:p>
        </w:tc>
        <w:tc>
          <w:tcPr>
            <w:tcW w:w="851"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b/>
                <w:i w:val="0"/>
              </w:rPr>
            </w:pPr>
            <w:r>
              <w:rPr>
                <w:rFonts w:cs="Verdana"/>
                <w:b/>
                <w:i w:val="0"/>
              </w:rPr>
              <w:t>1 358</w:t>
            </w:r>
          </w:p>
        </w:tc>
        <w:tc>
          <w:tcPr>
            <w:tcW w:w="1843"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b/>
                <w:i w:val="0"/>
              </w:rPr>
            </w:pPr>
            <w:r>
              <w:rPr>
                <w:rFonts w:cs="Verdana"/>
                <w:b/>
                <w:i w:val="0"/>
              </w:rPr>
              <w:t>1 234</w:t>
            </w:r>
          </w:p>
        </w:tc>
      </w:tr>
      <w:tr w:rsidR="00E7728E">
        <w:trPr>
          <w:cantSplit/>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Total</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17 545</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9 510</w:t>
            </w:r>
          </w:p>
        </w:tc>
      </w:tr>
    </w:tbl>
    <w:p w:rsidR="00F50689" w:rsidRPr="00624F4F" w:rsidRDefault="005A36C4" w:rsidP="00F50689">
      <w:pPr>
        <w:pStyle w:val="HEADER3Part2"/>
      </w:pPr>
      <w:r w:rsidRPr="00624F4F">
        <w:t>Bank accounts for budget implementation and other term deposits</w:t>
      </w:r>
    </w:p>
    <w:p w:rsidR="00F50689" w:rsidRDefault="005A36C4" w:rsidP="00F50689">
      <w:pPr>
        <w:pStyle w:val="Textstand-alone"/>
      </w:pPr>
      <w:r w:rsidRPr="002B2FF8">
        <w:t>This heading covers the funds which the Commission keeps in its accounts in each Member State and EFTA country (treasury or central bank), as we</w:t>
      </w:r>
      <w:r>
        <w:t>l</w:t>
      </w:r>
      <w:r w:rsidRPr="002B2FF8">
        <w:t>l as in commercial bank current accounts, i</w:t>
      </w:r>
      <w:r>
        <w:t>mprest accounts and petty cash.</w:t>
      </w:r>
    </w:p>
    <w:p w:rsidR="00F50689" w:rsidRDefault="005A36C4" w:rsidP="00F50689">
      <w:pPr>
        <w:pStyle w:val="Textstand-alone"/>
      </w:pPr>
      <w:r w:rsidRPr="007F643A">
        <w:t>The high balance at the end of 2014 is mainly due to own resource</w:t>
      </w:r>
      <w:r>
        <w:t>s</w:t>
      </w:r>
      <w:r w:rsidRPr="007F643A">
        <w:t xml:space="preserve"> contributions related to VAT and GNI balances paid by Member States in December 2014, as well as the amending budget</w:t>
      </w:r>
      <w:r>
        <w:t>s</w:t>
      </w:r>
      <w:r w:rsidRPr="007F643A">
        <w:t xml:space="preserve"> reducing the Member States</w:t>
      </w:r>
      <w:r>
        <w:t>'</w:t>
      </w:r>
      <w:r w:rsidRPr="007F643A">
        <w:t xml:space="preserve"> contributions, which w</w:t>
      </w:r>
      <w:r>
        <w:t>ere</w:t>
      </w:r>
      <w:r w:rsidRPr="007F643A">
        <w:t xml:space="preserve"> adopted in December 2014 and returned to Member States via amending budgets in early 2015.</w:t>
      </w:r>
    </w:p>
    <w:p w:rsidR="00F50689" w:rsidRPr="00624F4F" w:rsidRDefault="005A36C4" w:rsidP="00F50689">
      <w:pPr>
        <w:pStyle w:val="HEADER3Part2"/>
      </w:pPr>
      <w:r w:rsidRPr="00624F4F">
        <w:t>Cash belonging to financial instruments</w:t>
      </w:r>
    </w:p>
    <w:p w:rsidR="00F50689" w:rsidRDefault="005A36C4" w:rsidP="00F50689">
      <w:pPr>
        <w:pStyle w:val="Textstand-alone"/>
      </w:pPr>
      <w:r>
        <w:t>Amounts shown under this heading primarily concern cash equivalents managed by fiduciaries on behalf of the Commission for the purpose of implementing particular financial instrument programmes funded by the EU budget. The cash belonging to financial instruments can only be used in the programme concerned.</w:t>
      </w:r>
    </w:p>
    <w:p w:rsidR="00F50689" w:rsidRPr="00624F4F" w:rsidRDefault="005A36C4" w:rsidP="00F50689">
      <w:pPr>
        <w:pStyle w:val="HEADER3Part2"/>
      </w:pPr>
      <w:r w:rsidRPr="00624F4F">
        <w:t>Cash relating to fines</w:t>
      </w:r>
    </w:p>
    <w:p w:rsidR="00F50689" w:rsidRDefault="005A36C4" w:rsidP="00F50689">
      <w:pPr>
        <w:pStyle w:val="Textstand-alone"/>
      </w:pPr>
      <w:r>
        <w:t xml:space="preserve">This is cash received in connection with fines issued by the Commission for which the case is still open. These amounts are kept in specific deposit accounts that are not used for any other activities. Where an appeal has been lodged or where it is unknown if an appeal will be made by the other party, the underlying amount is shown as contingent liability in note </w:t>
      </w:r>
      <w:r>
        <w:rPr>
          <w:b/>
        </w:rPr>
        <w:t>5.2</w:t>
      </w:r>
      <w:r>
        <w:t>.</w:t>
      </w:r>
    </w:p>
    <w:p w:rsidR="00F50689" w:rsidRDefault="005A36C4" w:rsidP="00F50689">
      <w:pPr>
        <w:pStyle w:val="Textstand-alone"/>
        <w:spacing w:after="0"/>
      </w:pPr>
      <w:r>
        <w:t xml:space="preserve">The decrease in this balance is due to the fact that since 2010, all provisionally cashed fines are managed by the Commission in a specifically created fund (BUFI) and invested in financial instruments categorised as available for sale (see note </w:t>
      </w:r>
      <w:r>
        <w:rPr>
          <w:b/>
        </w:rPr>
        <w:t>2.4.1</w:t>
      </w:r>
      <w:r>
        <w:t>).</w:t>
      </w:r>
    </w:p>
    <w:p w:rsidR="00F50689" w:rsidRPr="00A9244D" w:rsidRDefault="005A36C4" w:rsidP="00F50689">
      <w:pPr>
        <w:pStyle w:val="Textstand-alone"/>
        <w:spacing w:before="0"/>
        <w:sectPr w:rsidR="00F50689" w:rsidRPr="00A9244D" w:rsidSect="00F50689">
          <w:headerReference w:type="even" r:id="rId167"/>
          <w:headerReference w:type="default" r:id="rId168"/>
          <w:footerReference w:type="even" r:id="rId169"/>
          <w:footerReference w:type="default" r:id="rId170"/>
          <w:headerReference w:type="first" r:id="rId171"/>
          <w:footerReference w:type="first" r:id="rId172"/>
          <w:pgSz w:w="11906" w:h="16838"/>
          <w:pgMar w:top="1134" w:right="1134" w:bottom="1134" w:left="1134" w:header="709" w:footer="709" w:gutter="0"/>
          <w:cols w:space="708"/>
          <w:docGrid w:linePitch="360"/>
        </w:sectPr>
      </w:pPr>
      <w:r>
        <w:t xml:space="preserve"> </w:t>
      </w:r>
      <w:bookmarkEnd w:id="90"/>
    </w:p>
    <w:p w:rsidR="00F50689" w:rsidRDefault="005A36C4" w:rsidP="00F50689">
      <w:pPr>
        <w:pStyle w:val="HEADERTABLE"/>
        <w:spacing w:after="0"/>
        <w:rPr>
          <w:lang w:val="fr-BE"/>
        </w:rPr>
      </w:pPr>
      <w:bookmarkStart w:id="92" w:name="_DMBM_2631"/>
      <w:r>
        <w:rPr>
          <w:lang w:val="fr-BE"/>
        </w:rPr>
        <w:t>LIABILITIES</w:t>
      </w:r>
    </w:p>
    <w:p w:rsidR="00F50689" w:rsidRPr="00A15F0C" w:rsidRDefault="005A36C4" w:rsidP="00F50689">
      <w:pPr>
        <w:pStyle w:val="Textstand-alone"/>
        <w:spacing w:before="0" w:after="0"/>
        <w:rPr>
          <w:lang w:val="fr-BE"/>
        </w:rPr>
        <w:sectPr w:rsidR="00F50689" w:rsidRPr="00A15F0C" w:rsidSect="00F50689">
          <w:headerReference w:type="even" r:id="rId173"/>
          <w:headerReference w:type="default" r:id="rId174"/>
          <w:footerReference w:type="even" r:id="rId175"/>
          <w:footerReference w:type="default" r:id="rId176"/>
          <w:headerReference w:type="first" r:id="rId177"/>
          <w:footerReference w:type="first" r:id="rId178"/>
          <w:pgSz w:w="11906" w:h="16838"/>
          <w:pgMar w:top="1134" w:right="1134" w:bottom="1134" w:left="1134" w:header="709" w:footer="709" w:gutter="0"/>
          <w:cols w:space="708"/>
          <w:docGrid w:linePitch="360"/>
        </w:sectPr>
      </w:pPr>
      <w:r>
        <w:rPr>
          <w:lang w:val="fr-BE"/>
        </w:rPr>
        <w:t xml:space="preserve"> </w:t>
      </w:r>
      <w:bookmarkEnd w:id="92"/>
    </w:p>
    <w:p w:rsidR="00F50689" w:rsidRDefault="005A36C4" w:rsidP="00F50689">
      <w:pPr>
        <w:pStyle w:val="HEADER2Part2"/>
        <w:spacing w:before="0" w:after="0"/>
      </w:pPr>
      <w:bookmarkStart w:id="93" w:name="_DMBM_2632"/>
      <w:r w:rsidRPr="00A22181">
        <w:t>PENSION AND OTHER EMPLOYEE BENEFITS</w:t>
      </w:r>
    </w:p>
    <w:p w:rsidR="00F50689" w:rsidRDefault="005A36C4" w:rsidP="00F50689">
      <w:pPr>
        <w:pStyle w:val="DGTextstand-alone"/>
        <w:spacing w:before="0" w:after="0"/>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gridCol w:w="851"/>
        <w:gridCol w:w="1842"/>
        <w:gridCol w:w="1843"/>
      </w:tblGrid>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94" w:name="DOC_TBL00033_1_1"/>
            <w:bookmarkEnd w:id="94"/>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rPr>
                <w:rFonts w:cs="Verdana"/>
              </w:rPr>
              <w:t>EUR millions</w:t>
            </w:r>
          </w:p>
        </w:tc>
      </w:tr>
      <w:tr w:rsidR="00E7728E">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Note</w:t>
            </w:r>
          </w:p>
        </w:tc>
        <w:tc>
          <w:tcPr>
            <w:tcW w:w="184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31.12.2014</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31.12.2013</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 xml:space="preserve">Pensions – staff </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rPr>
                <w:rFonts w:eastAsia="Times New Roman" w:cs="Verdana"/>
              </w:rPr>
              <w:t>2.9.1</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50 897</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40 933</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Pensions – other</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rPr>
                <w:rFonts w:eastAsia="Times New Roman" w:cs="Verdana"/>
              </w:rPr>
              <w:t>2.9.2</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1 322</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1 016</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Joint Sickness Insurance Scheme</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rPr>
                <w:rFonts w:eastAsia="Times New Roman" w:cs="Verdana"/>
              </w:rPr>
              <w:t>2.9.3</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6 396</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4 869</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Total</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58 616</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46 818</w:t>
            </w:r>
          </w:p>
        </w:tc>
      </w:tr>
    </w:tbl>
    <w:p w:rsidR="00F50689" w:rsidRPr="0068029E" w:rsidRDefault="005A36C4" w:rsidP="00F50689">
      <w:pPr>
        <w:pStyle w:val="Textstand-alone"/>
      </w:pPr>
      <w:r w:rsidRPr="0068029E">
        <w:t>The significant increase in the employee benefits liability is explained by the sizeable decrease in the discount rate applied, resulting in a large actuarial loss for the year (net EUR</w:t>
      </w:r>
      <w:r>
        <w:t> </w:t>
      </w:r>
      <w:r w:rsidRPr="0068029E">
        <w:t>9</w:t>
      </w:r>
      <w:r>
        <w:t>.2 </w:t>
      </w:r>
      <w:r w:rsidRPr="0068029E">
        <w:t>billion).</w:t>
      </w:r>
    </w:p>
    <w:p w:rsidR="00F50689" w:rsidRPr="0068029E" w:rsidRDefault="005A36C4" w:rsidP="00F50689">
      <w:pPr>
        <w:pStyle w:val="Textstand-alone"/>
      </w:pPr>
      <w:r w:rsidRPr="0068029E">
        <w:t>As shown below, the real discount rate has decreased dramatically from 1.8</w:t>
      </w:r>
      <w:r>
        <w:t> </w:t>
      </w:r>
      <w:r w:rsidRPr="0068029E">
        <w:t>% to 0.7</w:t>
      </w:r>
      <w:r>
        <w:t> </w:t>
      </w:r>
      <w:r w:rsidRPr="0068029E">
        <w:t xml:space="preserve">%, refelecting the underlying economic conditions. This change alone accounts for almost all of the increase in the liability since changes in other variables (such as new members, service cost and interest cost) were in line with the previous year's figures. Such actuarial fluctuations must be expected based on the, internationally applied, accounting rules in place and the current economic environment – should interest rates increase, a reverse impact would be expected. </w:t>
      </w:r>
    </w:p>
    <w:p w:rsidR="00F50689" w:rsidRDefault="005A36C4" w:rsidP="00F50689">
      <w:pPr>
        <w:pStyle w:val="Textstand-alone"/>
      </w:pPr>
      <w:r w:rsidRPr="0068029E">
        <w:t xml:space="preserve">Furthermore, as this is an actuarial estimate of the value of the total liability at one point in time, 31 December 2014, and is based on various assumptions valid at this time, </w:t>
      </w:r>
      <w:r>
        <w:t>this l</w:t>
      </w:r>
      <w:r w:rsidRPr="0068029E">
        <w:t>oss do</w:t>
      </w:r>
      <w:r>
        <w:t>es</w:t>
      </w:r>
      <w:r w:rsidRPr="0068029E">
        <w:t xml:space="preserve"> not indicate actual charges to the EU budget. Nor does t</w:t>
      </w:r>
      <w:r>
        <w:t>his valuation</w:t>
      </w:r>
      <w:r w:rsidRPr="0068029E">
        <w:t xml:space="preserve"> impact the amounts to be paid to pensioners from the EU budget in the immediate coming years – these payments are already estimated in the MFF 2014-2020 and will be implemented via the annual budgetary process.</w:t>
      </w:r>
    </w:p>
    <w:p w:rsidR="00F50689" w:rsidRPr="00402941" w:rsidRDefault="005A36C4" w:rsidP="00F50689">
      <w:pPr>
        <w:pStyle w:val="HEADER3Part2"/>
      </w:pPr>
      <w:r w:rsidRPr="00402941">
        <w:t>Pensions – staff</w:t>
      </w:r>
    </w:p>
    <w:p w:rsidR="00F50689" w:rsidRDefault="005A36C4" w:rsidP="00F50689">
      <w:pPr>
        <w:pStyle w:val="Textstand-alone"/>
      </w:pPr>
      <w:r>
        <w:t>In accordance with Article 83 of the Staff Regulations, the payment of the benefits provided for in the staff pension scheme (PSEO: Pension Scheme of European Officials) constitutes a charge to the EU's budget. The scheme is not funded, but the Member States guarantee the payment of these benefits collectively according to the scale fixed for the financing of this expense. In addition, officials contribute one third to the long-term financing of this scheme via a compulsory contribution from their salaries.</w:t>
      </w:r>
    </w:p>
    <w:p w:rsidR="00F50689" w:rsidRDefault="005A36C4" w:rsidP="00F50689">
      <w:pPr>
        <w:pStyle w:val="Textstand-alone"/>
      </w:pPr>
      <w:r>
        <w:t>The liabilities of the pension scheme were assessed on the basis of the number of staff and retired staff at 31</w:t>
      </w:r>
      <w:r w:rsidR="00823FE4">
        <w:t> </w:t>
      </w:r>
      <w:r>
        <w:t>December</w:t>
      </w:r>
      <w:r w:rsidR="00823FE4">
        <w:t> </w:t>
      </w:r>
      <w:r>
        <w:t>2014 and on the rules of the Staff Regulations applicable at this date. This valuation was carried out in accordance with the methodology of IPSAS 25 (and therefore also EU accounting rule 12). The method used to calculate this liability is the projected unit credit method. The main actuarial assumptions for the staff pension liability used in the valuation were as follows: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bookmarkStart w:id="95" w:name="DOC_TBL00041_1_1"/>
            <w:bookmarkEnd w:id="95"/>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31.12.2013</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 xml:space="preserve">Nominal discount rate </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2.0</w:t>
            </w:r>
            <w:r w:rsidR="00BB1B4E">
              <w:rPr>
                <w:rFonts w:cs="Verdana"/>
              </w:rPr>
              <w:t xml:space="preserve"> </w:t>
            </w:r>
            <w:r>
              <w:rPr>
                <w:rFonts w:cs="Verdana"/>
              </w:rPr>
              <w:t>%</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3.7</w:t>
            </w:r>
            <w:r w:rsidR="00BB1B4E">
              <w:rPr>
                <w:rFonts w:cs="Verdana"/>
              </w:rPr>
              <w:t xml:space="preserve"> </w:t>
            </w:r>
            <w:r>
              <w:rPr>
                <w:rFonts w:cs="Verdana"/>
              </w:rPr>
              <w:t>%</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 xml:space="preserve">Expected inflation rate </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1.3</w:t>
            </w:r>
            <w:r w:rsidR="00BB1B4E">
              <w:rPr>
                <w:rFonts w:cs="Verdana"/>
              </w:rPr>
              <w:t xml:space="preserve"> </w:t>
            </w:r>
            <w:r>
              <w:rPr>
                <w:rFonts w:cs="Verdana"/>
              </w:rPr>
              <w:t>%</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1.9</w:t>
            </w:r>
            <w:r w:rsidR="00BB1B4E">
              <w:rPr>
                <w:rFonts w:cs="Verdana"/>
              </w:rPr>
              <w:t xml:space="preserve"> </w:t>
            </w:r>
            <w:r>
              <w:rPr>
                <w:rFonts w:cs="Verdana"/>
              </w:rPr>
              <w:t>%</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Real discount rate</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0.7</w:t>
            </w:r>
            <w:r w:rsidR="00BB1B4E">
              <w:rPr>
                <w:rFonts w:cs="Verdana"/>
              </w:rPr>
              <w:t xml:space="preserve"> </w:t>
            </w:r>
            <w:r>
              <w:rPr>
                <w:rFonts w:cs="Verdana"/>
              </w:rPr>
              <w:t>%</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1.8</w:t>
            </w:r>
            <w:r w:rsidR="00BB1B4E">
              <w:rPr>
                <w:rFonts w:cs="Verdana"/>
              </w:rPr>
              <w:t xml:space="preserve"> </w:t>
            </w:r>
            <w:r>
              <w:rPr>
                <w:rFonts w:cs="Verdana"/>
              </w:rPr>
              <w:t>%</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Probability of marriage: man/woman</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81</w:t>
            </w:r>
            <w:r w:rsidR="00BB1B4E">
              <w:rPr>
                <w:rFonts w:cs="Verdana"/>
              </w:rPr>
              <w:t xml:space="preserve"> </w:t>
            </w:r>
            <w:r>
              <w:rPr>
                <w:rFonts w:cs="Verdana"/>
              </w:rPr>
              <w:t>%/49</w:t>
            </w:r>
            <w:r w:rsidR="00BB1B4E">
              <w:rPr>
                <w:rFonts w:cs="Verdana"/>
              </w:rPr>
              <w:t xml:space="preserve"> </w:t>
            </w:r>
            <w:r>
              <w:rPr>
                <w:rFonts w:cs="Verdana"/>
              </w:rPr>
              <w:t>%</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81</w:t>
            </w:r>
            <w:r w:rsidR="00BB1B4E">
              <w:rPr>
                <w:rFonts w:cs="Verdana"/>
              </w:rPr>
              <w:t xml:space="preserve"> </w:t>
            </w:r>
            <w:r>
              <w:rPr>
                <w:rFonts w:cs="Verdana"/>
              </w:rPr>
              <w:t>%/49</w:t>
            </w:r>
            <w:r w:rsidR="00BB1B4E">
              <w:rPr>
                <w:rFonts w:cs="Verdana"/>
              </w:rPr>
              <w:t xml:space="preserve"> </w:t>
            </w:r>
            <w:r>
              <w:rPr>
                <w:rFonts w:cs="Verdana"/>
              </w:rPr>
              <w:t>%</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General salary growth/pension revaluation</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(0.2)</w:t>
            </w:r>
            <w:r w:rsidR="00BB1B4E">
              <w:rPr>
                <w:rFonts w:cs="Verdana"/>
              </w:rPr>
              <w:t xml:space="preserve"> </w:t>
            </w:r>
            <w:r>
              <w:rPr>
                <w:rFonts w:cs="Verdana"/>
              </w:rPr>
              <w:t>%</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(0.2)</w:t>
            </w:r>
            <w:r w:rsidR="00BB1B4E">
              <w:rPr>
                <w:rFonts w:cs="Verdana"/>
              </w:rPr>
              <w:t xml:space="preserve"> </w:t>
            </w:r>
            <w:r>
              <w:rPr>
                <w:rFonts w:cs="Verdana"/>
              </w:rPr>
              <w:t>%</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International Civil Servants Life Table (ICSLT)</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ICSLT 2013</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ICSLT 2013</w:t>
            </w:r>
          </w:p>
        </w:tc>
      </w:tr>
    </w:tbl>
    <w:p w:rsidR="00F50689" w:rsidRPr="00402941" w:rsidRDefault="005A36C4" w:rsidP="00F50689">
      <w:pPr>
        <w:pStyle w:val="HEADER3Part2"/>
      </w:pPr>
      <w:r w:rsidRPr="00402941">
        <w:t>Pensions – Others</w:t>
      </w:r>
    </w:p>
    <w:p w:rsidR="00F50689" w:rsidRDefault="005A36C4" w:rsidP="00F50689">
      <w:pPr>
        <w:pStyle w:val="Textstand-alone"/>
      </w:pPr>
      <w:r>
        <w:t>This refers to the liability relating to the pension obligations towards Members and former Members of the Commission, the Court of Justice (and General Court) and the Court of Auditors, the Secretaries General of the Council, the Ombudsman, the European Data Protection Supervisor, and the European Union Civil Service Tribunal. Also included under this heading is a liability relating to the pensions of Members of the European Parliament.</w:t>
      </w:r>
    </w:p>
    <w:p w:rsidR="00F50689" w:rsidRDefault="00F50689" w:rsidP="00F50689">
      <w:pPr>
        <w:pStyle w:val="Textstand-alone"/>
      </w:pPr>
    </w:p>
    <w:p w:rsidR="00F50689" w:rsidRPr="00402941" w:rsidRDefault="005A36C4" w:rsidP="00F50689">
      <w:pPr>
        <w:pStyle w:val="HEADER3Part2"/>
      </w:pPr>
      <w:r w:rsidRPr="00402941">
        <w:t>Joint Sickness Insurance Scheme</w:t>
      </w:r>
    </w:p>
    <w:p w:rsidR="00F50689" w:rsidRDefault="005A36C4" w:rsidP="00F50689">
      <w:pPr>
        <w:pStyle w:val="Textstand-alone"/>
      </w:pPr>
      <w:r>
        <w:t xml:space="preserve">A valuation is also made for the estimated liability that the EU has regarding the Joint Sickness Insurance Scheme in relation to its retired staff. The discount rate and the general salary growth used in the </w:t>
      </w:r>
      <w:r w:rsidRPr="00945E7C">
        <w:t>calculation are consistent with those</w:t>
      </w:r>
      <w:r>
        <w:t xml:space="preserve"> used in the staff pension </w:t>
      </w:r>
      <w:r w:rsidRPr="0068029E">
        <w:t xml:space="preserve">valuation, thus the </w:t>
      </w:r>
      <w:r>
        <w:t xml:space="preserve">reasons for the </w:t>
      </w:r>
      <w:r w:rsidRPr="0068029E">
        <w:t>movements in the liability are similar to those of the staff pension liability.</w:t>
      </w:r>
    </w:p>
    <w:p w:rsidR="00F50689" w:rsidRDefault="005A36C4" w:rsidP="00BB1B4E">
      <w:pPr>
        <w:pStyle w:val="HEADER5"/>
      </w:pPr>
      <w:r>
        <w:t>Movements in employee benefits liabilities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7"/>
        <w:gridCol w:w="2551"/>
        <w:gridCol w:w="2552"/>
        <w:gridCol w:w="1417"/>
      </w:tblGrid>
      <w:tr w:rsidR="00E7728E">
        <w:tc>
          <w:tcPr>
            <w:tcW w:w="322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96" w:name="DOC_TBL00034_1_1"/>
            <w:bookmarkEnd w:id="96"/>
          </w:p>
        </w:tc>
        <w:tc>
          <w:tcPr>
            <w:tcW w:w="2551" w:type="dxa"/>
            <w:tcBorders>
              <w:top w:val="nil"/>
              <w:left w:val="nil"/>
              <w:bottom w:val="nil"/>
              <w:right w:val="nil"/>
            </w:tcBorders>
            <w:tcMar>
              <w:top w:w="0" w:type="dxa"/>
              <w:left w:w="0" w:type="dxa"/>
              <w:bottom w:w="0" w:type="dxa"/>
              <w:right w:w="0" w:type="dxa"/>
            </w:tcMar>
          </w:tcPr>
          <w:p w:rsidR="00F50689" w:rsidRDefault="00F50689" w:rsidP="00F50689">
            <w:pPr>
              <w:rPr>
                <w:rFonts w:cs="Calibri"/>
              </w:rPr>
            </w:pPr>
          </w:p>
        </w:tc>
        <w:tc>
          <w:tcPr>
            <w:tcW w:w="2552" w:type="dxa"/>
            <w:tcBorders>
              <w:top w:val="nil"/>
              <w:left w:val="nil"/>
              <w:bottom w:val="nil"/>
              <w:right w:val="nil"/>
            </w:tcBorders>
            <w:tcMar>
              <w:top w:w="0" w:type="dxa"/>
              <w:left w:w="0" w:type="dxa"/>
              <w:bottom w:w="0" w:type="dxa"/>
              <w:right w:w="0" w:type="dxa"/>
            </w:tcMar>
          </w:tcPr>
          <w:p w:rsidR="00F50689" w:rsidRDefault="00F50689" w:rsidP="00F50689">
            <w:pPr>
              <w:rPr>
                <w:rFonts w:cs="Calibri"/>
              </w:rPr>
            </w:pP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rPr>
                <w:rFonts w:cs="Verdana"/>
              </w:rPr>
              <w:t>EUR millions</w:t>
            </w:r>
          </w:p>
        </w:tc>
      </w:tr>
      <w:tr w:rsidR="00E7728E">
        <w:tc>
          <w:tcPr>
            <w:tcW w:w="322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55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Pensions - staff</w:t>
            </w:r>
          </w:p>
        </w:tc>
        <w:tc>
          <w:tcPr>
            <w:tcW w:w="255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Pensions - other</w:t>
            </w:r>
          </w:p>
        </w:tc>
        <w:tc>
          <w:tcPr>
            <w:tcW w:w="141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Joint Sickness Insurance Scheme</w:t>
            </w:r>
          </w:p>
        </w:tc>
      </w:tr>
      <w:tr w:rsidR="00E7728E">
        <w:tc>
          <w:tcPr>
            <w:tcW w:w="322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Gross liability at 31.12.2013</w:t>
            </w:r>
          </w:p>
        </w:tc>
        <w:tc>
          <w:tcPr>
            <w:tcW w:w="255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45 947</w:t>
            </w:r>
          </w:p>
        </w:tc>
        <w:tc>
          <w:tcPr>
            <w:tcW w:w="25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1 289</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5 133</w:t>
            </w:r>
          </w:p>
        </w:tc>
      </w:tr>
      <w:tr w:rsidR="00E7728E">
        <w:tc>
          <w:tcPr>
            <w:tcW w:w="322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 xml:space="preserve">Service/normal cost </w:t>
            </w:r>
          </w:p>
        </w:tc>
        <w:tc>
          <w:tcPr>
            <w:tcW w:w="255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2 153</w:t>
            </w:r>
          </w:p>
        </w:tc>
        <w:tc>
          <w:tcPr>
            <w:tcW w:w="25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62</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r>
      <w:tr w:rsidR="00E7728E">
        <w:tc>
          <w:tcPr>
            <w:tcW w:w="322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Interest cost</w:t>
            </w:r>
          </w:p>
        </w:tc>
        <w:tc>
          <w:tcPr>
            <w:tcW w:w="255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1 683</w:t>
            </w:r>
          </w:p>
        </w:tc>
        <w:tc>
          <w:tcPr>
            <w:tcW w:w="25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44</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49</w:t>
            </w:r>
          </w:p>
        </w:tc>
      </w:tr>
      <w:tr w:rsidR="00E7728E">
        <w:tc>
          <w:tcPr>
            <w:tcW w:w="322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Benefits paid</w:t>
            </w:r>
          </w:p>
        </w:tc>
        <w:tc>
          <w:tcPr>
            <w:tcW w:w="255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(1 368)</w:t>
            </w:r>
          </w:p>
        </w:tc>
        <w:tc>
          <w:tcPr>
            <w:tcW w:w="25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(47)</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(68)</w:t>
            </w:r>
          </w:p>
        </w:tc>
      </w:tr>
      <w:tr w:rsidR="00E7728E">
        <w:tc>
          <w:tcPr>
            <w:tcW w:w="322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Actuarial losses*</w:t>
            </w:r>
          </w:p>
        </w:tc>
        <w:tc>
          <w:tcPr>
            <w:tcW w:w="255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8 255</w:t>
            </w:r>
          </w:p>
        </w:tc>
        <w:tc>
          <w:tcPr>
            <w:tcW w:w="25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191</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1 554</w:t>
            </w:r>
          </w:p>
        </w:tc>
      </w:tr>
      <w:tr w:rsidR="00E7728E">
        <w:tc>
          <w:tcPr>
            <w:tcW w:w="3227"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Change due to newcomers</w:t>
            </w:r>
          </w:p>
        </w:tc>
        <w:tc>
          <w:tcPr>
            <w:tcW w:w="255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461</w:t>
            </w:r>
          </w:p>
        </w:tc>
        <w:tc>
          <w:tcPr>
            <w:tcW w:w="2552"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67</w:t>
            </w:r>
          </w:p>
        </w:tc>
        <w:tc>
          <w:tcPr>
            <w:tcW w:w="1417"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r>
      <w:tr w:rsidR="00E7728E">
        <w:tc>
          <w:tcPr>
            <w:tcW w:w="3227"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BoldLeft"/>
              <w:rPr>
                <w:rFonts w:cs="Verdana"/>
              </w:rPr>
            </w:pPr>
            <w:r>
              <w:rPr>
                <w:rFonts w:cs="Verdana"/>
              </w:rPr>
              <w:t>Gross liability at 31.12.2014</w:t>
            </w:r>
          </w:p>
        </w:tc>
        <w:tc>
          <w:tcPr>
            <w:tcW w:w="255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57 131</w:t>
            </w:r>
          </w:p>
        </w:tc>
        <w:tc>
          <w:tcPr>
            <w:tcW w:w="2552"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1 606</w:t>
            </w:r>
          </w:p>
        </w:tc>
        <w:tc>
          <w:tcPr>
            <w:tcW w:w="1417"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6 668</w:t>
            </w:r>
          </w:p>
        </w:tc>
      </w:tr>
      <w:tr w:rsidR="00E7728E">
        <w:tc>
          <w:tcPr>
            <w:tcW w:w="3227"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Correction coefficients applied to pensions</w:t>
            </w:r>
          </w:p>
        </w:tc>
        <w:tc>
          <w:tcPr>
            <w:tcW w:w="2551"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1 371</w:t>
            </w:r>
          </w:p>
        </w:tc>
        <w:tc>
          <w:tcPr>
            <w:tcW w:w="2552"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N/A</w:t>
            </w:r>
          </w:p>
        </w:tc>
        <w:tc>
          <w:tcPr>
            <w:tcW w:w="1417"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N/A</w:t>
            </w:r>
          </w:p>
        </w:tc>
      </w:tr>
      <w:tr w:rsidR="00E7728E">
        <w:tc>
          <w:tcPr>
            <w:tcW w:w="322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Deduction of taxes on pensions</w:t>
            </w:r>
          </w:p>
        </w:tc>
        <w:tc>
          <w:tcPr>
            <w:tcW w:w="255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(7 605)</w:t>
            </w:r>
          </w:p>
        </w:tc>
        <w:tc>
          <w:tcPr>
            <w:tcW w:w="25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(119)</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N/A</w:t>
            </w:r>
          </w:p>
        </w:tc>
      </w:tr>
      <w:tr w:rsidR="00E7728E">
        <w:tc>
          <w:tcPr>
            <w:tcW w:w="322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Plan assets</w:t>
            </w:r>
          </w:p>
        </w:tc>
        <w:tc>
          <w:tcPr>
            <w:tcW w:w="255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N/A</w:t>
            </w:r>
          </w:p>
        </w:tc>
        <w:tc>
          <w:tcPr>
            <w:tcW w:w="25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(165)</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(272)</w:t>
            </w:r>
          </w:p>
        </w:tc>
      </w:tr>
      <w:tr w:rsidR="00E7728E">
        <w:tc>
          <w:tcPr>
            <w:tcW w:w="322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Net liability at 31.12.2014</w:t>
            </w:r>
          </w:p>
        </w:tc>
        <w:tc>
          <w:tcPr>
            <w:tcW w:w="25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50 897</w:t>
            </w:r>
          </w:p>
        </w:tc>
        <w:tc>
          <w:tcPr>
            <w:tcW w:w="255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1 322</w:t>
            </w:r>
          </w:p>
        </w:tc>
        <w:tc>
          <w:tcPr>
            <w:tcW w:w="141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6 396</w:t>
            </w:r>
          </w:p>
        </w:tc>
      </w:tr>
    </w:tbl>
    <w:p w:rsidR="00F50689" w:rsidRPr="00101459" w:rsidRDefault="005A36C4" w:rsidP="00101459">
      <w:pPr>
        <w:pStyle w:val="Textstand-alone"/>
        <w:spacing w:before="60" w:after="0"/>
        <w:rPr>
          <w:i/>
          <w:sz w:val="14"/>
          <w:lang w:bidi="en-GB"/>
        </w:rPr>
      </w:pPr>
      <w:r w:rsidRPr="00101459">
        <w:rPr>
          <w:i/>
          <w:sz w:val="14"/>
          <w:lang w:bidi="en-GB"/>
        </w:rPr>
        <w:t>* Gross actuarial losses before taxes and correction coefficients.</w:t>
      </w:r>
    </w:p>
    <w:p w:rsidR="00F50689" w:rsidRDefault="00F50689" w:rsidP="00F50689">
      <w:pPr>
        <w:pStyle w:val="Textstand-alone"/>
        <w:spacing w:before="0" w:after="0"/>
        <w:rPr>
          <w:lang w:bidi="en-GB"/>
        </w:rPr>
      </w:pPr>
    </w:p>
    <w:p w:rsidR="00F50689" w:rsidRDefault="005A36C4" w:rsidP="00BB1B4E">
      <w:pPr>
        <w:pStyle w:val="HEADER5"/>
      </w:pPr>
      <w:r>
        <w:t>5 year trend of pension and other employee benefits liability</w:t>
      </w:r>
    </w:p>
    <w:p w:rsidR="00F50689" w:rsidRDefault="00F50689" w:rsidP="00F50689">
      <w:pPr>
        <w:pStyle w:val="Textstand-alone"/>
        <w:spacing w:before="0" w:after="0"/>
        <w:rPr>
          <w:lang w:bidi="en-G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1"/>
        <w:gridCol w:w="1305"/>
        <w:gridCol w:w="1306"/>
        <w:gridCol w:w="1305"/>
        <w:gridCol w:w="1305"/>
        <w:gridCol w:w="1535"/>
      </w:tblGrid>
      <w:tr w:rsidR="00E7728E">
        <w:tc>
          <w:tcPr>
            <w:tcW w:w="3210"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97" w:name="DOC_TBL00035_1_1"/>
            <w:bookmarkEnd w:id="97"/>
          </w:p>
        </w:tc>
        <w:tc>
          <w:tcPr>
            <w:tcW w:w="1270"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306"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273"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129"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rPr>
                <w:rFonts w:cs="Verdana"/>
              </w:rPr>
              <w:t>EUR millions</w:t>
            </w:r>
          </w:p>
        </w:tc>
      </w:tr>
      <w:tr w:rsidR="00E7728E">
        <w:tc>
          <w:tcPr>
            <w:tcW w:w="321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127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31.12.2010</w:t>
            </w:r>
          </w:p>
        </w:tc>
        <w:tc>
          <w:tcPr>
            <w:tcW w:w="130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31.12.2011</w:t>
            </w:r>
          </w:p>
        </w:tc>
        <w:tc>
          <w:tcPr>
            <w:tcW w:w="127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31.12.2012</w:t>
            </w:r>
          </w:p>
        </w:tc>
        <w:tc>
          <w:tcPr>
            <w:tcW w:w="112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31.12.2013</w:t>
            </w:r>
          </w:p>
        </w:tc>
        <w:tc>
          <w:tcPr>
            <w:tcW w:w="155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31.12.2014</w:t>
            </w:r>
          </w:p>
        </w:tc>
      </w:tr>
      <w:tr w:rsidR="00E7728E">
        <w:tc>
          <w:tcPr>
            <w:tcW w:w="3210"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Employee benefits liability</w:t>
            </w:r>
          </w:p>
        </w:tc>
        <w:tc>
          <w:tcPr>
            <w:tcW w:w="1270"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37 172</w:t>
            </w:r>
          </w:p>
        </w:tc>
        <w:tc>
          <w:tcPr>
            <w:tcW w:w="130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34 835</w:t>
            </w:r>
          </w:p>
        </w:tc>
        <w:tc>
          <w:tcPr>
            <w:tcW w:w="127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42 503</w:t>
            </w:r>
          </w:p>
        </w:tc>
        <w:tc>
          <w:tcPr>
            <w:tcW w:w="11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46 818</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58 616</w:t>
            </w:r>
          </w:p>
        </w:tc>
      </w:tr>
    </w:tbl>
    <w:p w:rsidR="00F50689" w:rsidRDefault="00F50689" w:rsidP="00F50689">
      <w:pPr>
        <w:pStyle w:val="Textstand-alone"/>
        <w:spacing w:before="0" w:after="0"/>
        <w:rPr>
          <w:lang w:bidi="en-GB"/>
        </w:rPr>
      </w:pPr>
    </w:p>
    <w:p w:rsidR="00F50689" w:rsidRDefault="00F50689" w:rsidP="00F50689">
      <w:pPr>
        <w:pStyle w:val="Textstand-alone"/>
        <w:spacing w:before="0" w:after="0"/>
        <w:rPr>
          <w:lang w:bidi="en-GB"/>
        </w:rPr>
      </w:pPr>
    </w:p>
    <w:p w:rsidR="00F50689" w:rsidRDefault="005A36C4" w:rsidP="00F50689">
      <w:pPr>
        <w:pStyle w:val="Textstand-alone"/>
        <w:spacing w:before="0" w:after="0"/>
        <w:rPr>
          <w:lang w:bidi="en-GB"/>
        </w:rPr>
        <w:sectPr w:rsidR="00F50689" w:rsidSect="00F50689">
          <w:headerReference w:type="even" r:id="rId179"/>
          <w:headerReference w:type="default" r:id="rId180"/>
          <w:footerReference w:type="even" r:id="rId181"/>
          <w:footerReference w:type="default" r:id="rId182"/>
          <w:headerReference w:type="first" r:id="rId183"/>
          <w:footerReference w:type="first" r:id="rId184"/>
          <w:type w:val="continuous"/>
          <w:pgSz w:w="11906" w:h="16838"/>
          <w:pgMar w:top="1134" w:right="1134" w:bottom="1134" w:left="1134" w:header="709" w:footer="709" w:gutter="0"/>
          <w:cols w:space="708"/>
          <w:docGrid w:linePitch="360"/>
        </w:sectPr>
      </w:pPr>
      <w:r>
        <w:rPr>
          <w:lang w:bidi="en-GB"/>
        </w:rPr>
        <w:t xml:space="preserve"> </w:t>
      </w:r>
      <w:bookmarkEnd w:id="93"/>
    </w:p>
    <w:p w:rsidR="00F50689" w:rsidRDefault="005A36C4" w:rsidP="00F50689">
      <w:pPr>
        <w:pStyle w:val="HEADER2Part2"/>
        <w:spacing w:after="0"/>
        <w:rPr>
          <w:lang w:val="fr-BE"/>
        </w:rPr>
      </w:pPr>
      <w:bookmarkStart w:id="98" w:name="_DMBM_2633"/>
      <w:r>
        <w:rPr>
          <w:lang w:val="fr-BE"/>
        </w:rPr>
        <w:t>PROVISIONS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276"/>
        <w:gridCol w:w="1134"/>
        <w:gridCol w:w="1134"/>
        <w:gridCol w:w="1134"/>
        <w:gridCol w:w="992"/>
        <w:gridCol w:w="1276"/>
        <w:gridCol w:w="1417"/>
      </w:tblGrid>
      <w:tr w:rsidR="00E7728E">
        <w:trPr>
          <w:trHeight w:val="274"/>
        </w:trPr>
        <w:tc>
          <w:tcPr>
            <w:tcW w:w="1384"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99" w:name="DOC_TBL00036_1_1"/>
            <w:bookmarkEnd w:id="99"/>
          </w:p>
        </w:tc>
        <w:tc>
          <w:tcPr>
            <w:tcW w:w="1276"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134"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134"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134"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276"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rPr>
                <w:rFonts w:cs="Verdana"/>
              </w:rPr>
              <w:t>EUR millions</w:t>
            </w:r>
          </w:p>
        </w:tc>
      </w:tr>
      <w:tr w:rsidR="00E7728E">
        <w:tc>
          <w:tcPr>
            <w:tcW w:w="1384"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127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rPr>
                <w:rFonts w:cs="Verdana"/>
              </w:rPr>
              <w:t>Amount at 31.12.2013</w:t>
            </w:r>
          </w:p>
        </w:tc>
        <w:tc>
          <w:tcPr>
            <w:tcW w:w="1134"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rPr>
                <w:rFonts w:cs="Verdana"/>
              </w:rPr>
              <w:t>Additional provisions</w:t>
            </w:r>
          </w:p>
        </w:tc>
        <w:tc>
          <w:tcPr>
            <w:tcW w:w="1134"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rPr>
                <w:rFonts w:cs="Verdana"/>
              </w:rPr>
              <w:t>Unused amounts reversed</w:t>
            </w:r>
          </w:p>
        </w:tc>
        <w:tc>
          <w:tcPr>
            <w:tcW w:w="1134"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rPr>
                <w:rFonts w:cs="Verdana"/>
              </w:rPr>
              <w:t>Amounts used</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rPr>
                <w:rFonts w:cs="Verdana"/>
              </w:rPr>
              <w:t>Transfer to current</w:t>
            </w:r>
          </w:p>
        </w:tc>
        <w:tc>
          <w:tcPr>
            <w:tcW w:w="127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rPr>
                <w:rFonts w:cs="Verdana"/>
              </w:rPr>
              <w:t>Change in estimation</w:t>
            </w:r>
          </w:p>
        </w:tc>
        <w:tc>
          <w:tcPr>
            <w:tcW w:w="141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rPr>
                <w:rFonts w:cs="Verdana"/>
              </w:rPr>
              <w:t>Amount at 31.12.2014</w:t>
            </w:r>
          </w:p>
        </w:tc>
      </w:tr>
      <w:tr w:rsidR="00E7728E">
        <w:tc>
          <w:tcPr>
            <w:tcW w:w="138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Legal cases</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487</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567</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(97)</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(229)</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0</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728</w:t>
            </w:r>
          </w:p>
        </w:tc>
      </w:tr>
      <w:tr w:rsidR="00E7728E">
        <w:tc>
          <w:tcPr>
            <w:tcW w:w="138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Nuclear site dismantling</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963</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(31)</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159</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1 091</w:t>
            </w:r>
          </w:p>
        </w:tc>
      </w:tr>
      <w:tr w:rsidR="00E7728E">
        <w:tc>
          <w:tcPr>
            <w:tcW w:w="138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Financial</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282</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117</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(0)</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(76)</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9</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332</w:t>
            </w:r>
          </w:p>
        </w:tc>
      </w:tr>
      <w:tr w:rsidR="00E7728E">
        <w:tc>
          <w:tcPr>
            <w:tcW w:w="138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Fines</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30</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30</w:t>
            </w:r>
          </w:p>
        </w:tc>
      </w:tr>
      <w:tr w:rsidR="00E7728E">
        <w:tc>
          <w:tcPr>
            <w:tcW w:w="138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Other</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135</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94</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(53)</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(73)</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(0)</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102</w:t>
            </w:r>
          </w:p>
        </w:tc>
      </w:tr>
      <w:tr w:rsidR="00E7728E">
        <w:tc>
          <w:tcPr>
            <w:tcW w:w="1384"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Text9pBoldLeft"/>
              <w:rPr>
                <w:rFonts w:cs="Verdana"/>
              </w:rPr>
            </w:pPr>
            <w:r>
              <w:rPr>
                <w:rFonts w:cs="Verdana"/>
              </w:rPr>
              <w:t>Total</w:t>
            </w:r>
          </w:p>
        </w:tc>
        <w:tc>
          <w:tcPr>
            <w:tcW w:w="1276"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rPr>
                <w:rFonts w:cs="Verdana"/>
              </w:rPr>
              <w:t>1 867</w:t>
            </w:r>
          </w:p>
        </w:tc>
        <w:tc>
          <w:tcPr>
            <w:tcW w:w="1134"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rPr>
                <w:rFonts w:cs="Verdana"/>
              </w:rPr>
              <w:t xml:space="preserve"> 807</w:t>
            </w:r>
          </w:p>
        </w:tc>
        <w:tc>
          <w:tcPr>
            <w:tcW w:w="1134"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rPr>
                <w:rFonts w:cs="Verdana"/>
              </w:rPr>
              <w:t xml:space="preserve"> (150)</w:t>
            </w:r>
          </w:p>
        </w:tc>
        <w:tc>
          <w:tcPr>
            <w:tcW w:w="1134"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rPr>
                <w:rFonts w:cs="Verdana"/>
              </w:rPr>
              <w:t xml:space="preserve"> (409)</w:t>
            </w:r>
          </w:p>
        </w:tc>
        <w:tc>
          <w:tcPr>
            <w:tcW w:w="992"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rPr>
                <w:rFonts w:cs="Verdana"/>
              </w:rPr>
              <w:t>–</w:t>
            </w:r>
          </w:p>
        </w:tc>
        <w:tc>
          <w:tcPr>
            <w:tcW w:w="1276"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rPr>
                <w:rFonts w:cs="Verdana"/>
              </w:rPr>
              <w:t xml:space="preserve"> 168</w:t>
            </w:r>
          </w:p>
        </w:tc>
        <w:tc>
          <w:tcPr>
            <w:tcW w:w="1417"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rPr>
                <w:rFonts w:cs="Verdana"/>
              </w:rPr>
              <w:t>2 282</w:t>
            </w:r>
          </w:p>
        </w:tc>
      </w:tr>
      <w:tr w:rsidR="00E7728E">
        <w:tc>
          <w:tcPr>
            <w:tcW w:w="138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Non-current</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1 323</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241</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(93)</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(28)</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(69)</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164</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1 537</w:t>
            </w:r>
          </w:p>
        </w:tc>
      </w:tr>
      <w:tr w:rsidR="00E7728E">
        <w:tc>
          <w:tcPr>
            <w:tcW w:w="138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Current</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545</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566</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(57)</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(381)</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69</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4</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745</w:t>
            </w:r>
          </w:p>
        </w:tc>
      </w:tr>
    </w:tbl>
    <w:p w:rsidR="00F50689" w:rsidRDefault="005A36C4" w:rsidP="00F50689">
      <w:pPr>
        <w:pStyle w:val="DGTextstand-alone"/>
        <w:spacing w:before="0" w:after="0"/>
        <w:rPr>
          <w:lang w:val="fr-BE" w:bidi="en-GB"/>
        </w:rPr>
      </w:pPr>
      <w:r>
        <w:rPr>
          <w:lang w:val="fr-BE" w:bidi="en-GB"/>
        </w:rPr>
        <w:t xml:space="preserve"> </w:t>
      </w:r>
    </w:p>
    <w:p w:rsidR="00BB1B4E" w:rsidRDefault="00BB1B4E" w:rsidP="00F50689">
      <w:pPr>
        <w:pStyle w:val="HEADER5"/>
        <w:rPr>
          <w:lang w:val="fr-BE"/>
        </w:rPr>
      </w:pPr>
    </w:p>
    <w:p w:rsidR="00F50689" w:rsidRDefault="005A36C4" w:rsidP="00F50689">
      <w:pPr>
        <w:pStyle w:val="HEADER5"/>
        <w:rPr>
          <w:lang w:val="fr-BE"/>
        </w:rPr>
      </w:pPr>
      <w:proofErr w:type="spellStart"/>
      <w:r>
        <w:rPr>
          <w:lang w:val="fr-BE"/>
        </w:rPr>
        <w:t>Legal</w:t>
      </w:r>
      <w:proofErr w:type="spellEnd"/>
      <w:r>
        <w:rPr>
          <w:lang w:val="fr-BE"/>
        </w:rPr>
        <w:t xml:space="preserve"> cases</w:t>
      </w:r>
    </w:p>
    <w:p w:rsidR="00F50689" w:rsidRDefault="005A36C4" w:rsidP="00F50689">
      <w:pPr>
        <w:pStyle w:val="Textstand-alone"/>
      </w:pPr>
      <w:r w:rsidRPr="00BB1B4E">
        <w:t xml:space="preserve">This is the estimate of amounts that will probably have to be paid out after the year-end in relation to a number of on-going legal cases. The increase in the provision is due primarily to lost legal cases relating to the ERDF. This significant increase was only partly compensated by unused amounts concerning the settlement of a traditional own resources case concerning sugar levies – see also note </w:t>
      </w:r>
      <w:r w:rsidRPr="00BB1B4E">
        <w:rPr>
          <w:b/>
        </w:rPr>
        <w:t>3.2</w:t>
      </w:r>
      <w:r w:rsidRPr="00BB1B4E">
        <w:t>.</w:t>
      </w:r>
    </w:p>
    <w:p w:rsidR="00BB1B4E" w:rsidRDefault="00BB1B4E">
      <w:pPr>
        <w:rPr>
          <w:rFonts w:ascii="Verdana" w:hAnsi="Verdana"/>
          <w:b/>
          <w:color w:val="016794"/>
          <w:sz w:val="18"/>
          <w:szCs w:val="18"/>
        </w:rPr>
      </w:pPr>
      <w:r>
        <w:br w:type="page"/>
      </w:r>
    </w:p>
    <w:p w:rsidR="00F50689" w:rsidRDefault="005A36C4" w:rsidP="00F50689">
      <w:pPr>
        <w:pStyle w:val="HEADER5"/>
      </w:pPr>
      <w:r>
        <w:t>Nuclear site dismantlement</w:t>
      </w:r>
    </w:p>
    <w:p w:rsidR="00F50689" w:rsidRDefault="005A36C4" w:rsidP="00F50689">
      <w:pPr>
        <w:pStyle w:val="Textstand-alone"/>
      </w:pPr>
      <w:r w:rsidRPr="00AC7F77">
        <w:t>In 2012 a consortium of independent experts updated their 2008 study on the estimated costs of the decommissioning of the Joint Research Centre (JRC) nuclear facilities and waste management programme. Their estimate of EUR</w:t>
      </w:r>
      <w:r w:rsidR="004F7F0A">
        <w:t> </w:t>
      </w:r>
      <w:r w:rsidRPr="00AC7F77">
        <w:t>989</w:t>
      </w:r>
      <w:r w:rsidR="004F7F0A">
        <w:t> </w:t>
      </w:r>
      <w:r w:rsidRPr="00AC7F77">
        <w:t>million (previously EUR</w:t>
      </w:r>
      <w:r w:rsidR="004F7F0A">
        <w:t> </w:t>
      </w:r>
      <w:r w:rsidRPr="00AC7F77">
        <w:t>1</w:t>
      </w:r>
      <w:r w:rsidR="004F7F0A">
        <w:t> </w:t>
      </w:r>
      <w:r w:rsidRPr="00AC7F77">
        <w:t>222</w:t>
      </w:r>
      <w:r w:rsidR="004F7F0A">
        <w:t> </w:t>
      </w:r>
      <w:r w:rsidRPr="00AC7F77">
        <w:t>million) was taken as the basis for this provision. In 2014 that basis for the provision was again updated as per the "2014 updated JRC Strategy on Decommissioning and Waste Management"</w:t>
      </w:r>
      <w:r>
        <w:t xml:space="preserve"> (D&amp;WM)</w:t>
      </w:r>
      <w:r w:rsidRPr="00AC7F77">
        <w:t>. It represents the follow up of the comments raised by the Review of the JRC D&amp;WM programme made by external experts. In accordance with EU accounting rules, this provision is indexed for inflation and then discounted to its net present value (using the Euro zero-coupon swap curve). At 31</w:t>
      </w:r>
      <w:r w:rsidR="004F7F0A">
        <w:t> </w:t>
      </w:r>
      <w:r w:rsidRPr="00AC7F77">
        <w:t>December</w:t>
      </w:r>
      <w:r w:rsidR="004F7F0A">
        <w:t> </w:t>
      </w:r>
      <w:r w:rsidRPr="00AC7F77">
        <w:t xml:space="preserve">2014, this results in </w:t>
      </w:r>
      <w:r>
        <w:t>a</w:t>
      </w:r>
      <w:r w:rsidRPr="00AC7F77">
        <w:t xml:space="preserve"> provision of EUR</w:t>
      </w:r>
      <w:r>
        <w:t> </w:t>
      </w:r>
      <w:r w:rsidRPr="00AC7F77">
        <w:t>1</w:t>
      </w:r>
      <w:r>
        <w:t> </w:t>
      </w:r>
      <w:r w:rsidRPr="00AC7F77">
        <w:t>091</w:t>
      </w:r>
      <w:r>
        <w:t> </w:t>
      </w:r>
      <w:r w:rsidRPr="00AC7F77">
        <w:t>million, split between amounts expected to be used in 2015 (EUR</w:t>
      </w:r>
      <w:r w:rsidR="004F7F0A">
        <w:t> </w:t>
      </w:r>
      <w:r w:rsidRPr="00AC7F77">
        <w:t>27</w:t>
      </w:r>
      <w:r w:rsidR="004F7F0A">
        <w:t> </w:t>
      </w:r>
      <w:r w:rsidRPr="00AC7F77">
        <w:t>million) and afterwards (EUR</w:t>
      </w:r>
      <w:r>
        <w:t> </w:t>
      </w:r>
      <w:r w:rsidRPr="00AC7F77">
        <w:t>1</w:t>
      </w:r>
      <w:r>
        <w:t> </w:t>
      </w:r>
      <w:r w:rsidRPr="00AC7F77">
        <w:t>064</w:t>
      </w:r>
      <w:r>
        <w:t> </w:t>
      </w:r>
      <w:r w:rsidRPr="00AC7F77">
        <w:t>million).</w:t>
      </w:r>
    </w:p>
    <w:p w:rsidR="00F50689" w:rsidRDefault="005A36C4" w:rsidP="00F50689">
      <w:pPr>
        <w:pStyle w:val="Textstand-alone"/>
      </w:pPr>
      <w:r>
        <w:t>In view of the estimated duration of this programme (around 20 years), it should be pointed out that there is some uncertainty about this estimate, and the final cost could be different from the amounts currently recorded.</w:t>
      </w:r>
    </w:p>
    <w:p w:rsidR="00F50689" w:rsidRDefault="005A36C4" w:rsidP="00F50689">
      <w:pPr>
        <w:pStyle w:val="HEADER5"/>
      </w:pPr>
      <w:r>
        <w:t>Financial provisions</w:t>
      </w:r>
    </w:p>
    <w:p w:rsidR="00BB1B4E" w:rsidRDefault="005A36C4" w:rsidP="00F50689">
      <w:pPr>
        <w:pStyle w:val="Textstand-alone"/>
        <w:spacing w:after="0"/>
      </w:pPr>
      <w:r>
        <w:t>These concern mainly provisions which represent the estimated losses that will be incurred in relation to the guarantees given by the different financial instruments, where the European Investment Fund (EIF) and the European Investment Bank (EIB) are empowered to issue guarantees in their own name but on behalf of and at the risk of the Commission. The financial risk linked to the drawn and undrawn guarantees is, however, capped. Non-current financial provisions are discounted to their net present value (using the Euro Swap annual rate).</w:t>
      </w:r>
    </w:p>
    <w:p w:rsidR="00F50689" w:rsidRPr="00FD56B3" w:rsidRDefault="005A36C4" w:rsidP="00F50689">
      <w:pPr>
        <w:pStyle w:val="Textstand-alone"/>
        <w:spacing w:after="0"/>
        <w:sectPr w:rsidR="00F50689" w:rsidRPr="00FD56B3" w:rsidSect="00F50689">
          <w:headerReference w:type="even" r:id="rId185"/>
          <w:headerReference w:type="default" r:id="rId186"/>
          <w:footerReference w:type="even" r:id="rId187"/>
          <w:footerReference w:type="default" r:id="rId188"/>
          <w:headerReference w:type="first" r:id="rId189"/>
          <w:footerReference w:type="first" r:id="rId190"/>
          <w:type w:val="continuous"/>
          <w:pgSz w:w="11906" w:h="16838"/>
          <w:pgMar w:top="1134" w:right="1134" w:bottom="1134" w:left="1134" w:header="709" w:footer="709" w:gutter="0"/>
          <w:cols w:space="708"/>
          <w:docGrid w:linePitch="360"/>
        </w:sectPr>
      </w:pPr>
      <w:r>
        <w:t xml:space="preserve">  </w:t>
      </w:r>
      <w:bookmarkEnd w:id="98"/>
    </w:p>
    <w:p w:rsidR="00F50689" w:rsidRPr="00352097" w:rsidRDefault="005A36C4" w:rsidP="00F50689">
      <w:pPr>
        <w:pStyle w:val="HEADER2Part2"/>
      </w:pPr>
      <w:bookmarkStart w:id="100" w:name="_DMBM_2634"/>
      <w:r w:rsidRPr="00352097">
        <w:t>FINANCIAL LIABILITIES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gridCol w:w="851"/>
        <w:gridCol w:w="1842"/>
        <w:gridCol w:w="1843"/>
      </w:tblGrid>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01" w:name="DOC_TBL00037_1_1"/>
            <w:bookmarkEnd w:id="101"/>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rPr>
                <w:rFonts w:cs="Verdana"/>
              </w:rPr>
              <w:t>EUR millions</w:t>
            </w:r>
          </w:p>
        </w:tc>
      </w:tr>
      <w:tr w:rsidR="00E7728E">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Note</w:t>
            </w:r>
          </w:p>
        </w:tc>
        <w:tc>
          <w:tcPr>
            <w:tcW w:w="184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31.12.2014</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31.12.2013</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rPr>
                <w:rFonts w:cs="Verdana"/>
              </w:rPr>
              <w:t>Non-current financial liabilities</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3"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Borrowings</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rPr>
                <w:rFonts w:eastAsia="Times New Roman" w:cs="Verdana"/>
              </w:rPr>
              <w:t>2.11.1</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49 743</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54 153</w:t>
            </w:r>
          </w:p>
        </w:tc>
      </w:tr>
      <w:tr w:rsidR="00E7728E">
        <w:trPr>
          <w:trHeight w:val="268"/>
        </w:trPr>
        <w:tc>
          <w:tcPr>
            <w:tcW w:w="521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Other financial liabilities</w:t>
            </w:r>
          </w:p>
        </w:tc>
        <w:tc>
          <w:tcPr>
            <w:tcW w:w="85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rPr>
                <w:rFonts w:eastAsia="Times New Roman" w:cs="Verdana"/>
              </w:rPr>
              <w:t>2.11.2</w:t>
            </w:r>
          </w:p>
        </w:tc>
        <w:tc>
          <w:tcPr>
            <w:tcW w:w="1842"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2 108</w:t>
            </w:r>
          </w:p>
        </w:tc>
        <w:tc>
          <w:tcPr>
            <w:tcW w:w="1843"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2 216</w:t>
            </w:r>
          </w:p>
        </w:tc>
      </w:tr>
      <w:tr w:rsidR="00E7728E">
        <w:trPr>
          <w:trHeight w:val="268"/>
        </w:trPr>
        <w:tc>
          <w:tcPr>
            <w:tcW w:w="521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Total</w:t>
            </w:r>
          </w:p>
        </w:tc>
        <w:tc>
          <w:tcPr>
            <w:tcW w:w="85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F50689" w:rsidP="00F50689">
            <w:pPr>
              <w:pStyle w:val="Text9pItalicCentered"/>
              <w:rPr>
                <w:rFonts w:eastAsia="Times New Roman" w:cs="Verdana"/>
                <w:i w:val="0"/>
              </w:rPr>
            </w:pPr>
          </w:p>
        </w:tc>
        <w:tc>
          <w:tcPr>
            <w:tcW w:w="1842"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51 851</w:t>
            </w:r>
          </w:p>
        </w:tc>
        <w:tc>
          <w:tcPr>
            <w:tcW w:w="1843"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56 369</w:t>
            </w:r>
          </w:p>
        </w:tc>
      </w:tr>
      <w:tr w:rsidR="00E7728E">
        <w:trPr>
          <w:trHeight w:val="268"/>
        </w:trPr>
        <w:tc>
          <w:tcPr>
            <w:tcW w:w="5211"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rPr>
                <w:rFonts w:cs="Verdana"/>
              </w:rPr>
              <w:t>Current financial liabilities</w:t>
            </w:r>
          </w:p>
        </w:tc>
        <w:tc>
          <w:tcPr>
            <w:tcW w:w="851"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2"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3"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Borrowings</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rPr>
                <w:rFonts w:eastAsia="Times New Roman" w:cs="Verdana"/>
              </w:rPr>
              <w:t>2.11.1</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8 727</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3 065</w:t>
            </w:r>
          </w:p>
        </w:tc>
      </w:tr>
      <w:tr w:rsidR="00E7728E">
        <w:trPr>
          <w:trHeight w:val="268"/>
        </w:trPr>
        <w:tc>
          <w:tcPr>
            <w:tcW w:w="521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Other financial liabilities</w:t>
            </w:r>
          </w:p>
        </w:tc>
        <w:tc>
          <w:tcPr>
            <w:tcW w:w="85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rPr>
                <w:rFonts w:eastAsia="Times New Roman" w:cs="Verdana"/>
              </w:rPr>
              <w:t>2.11.2</w:t>
            </w:r>
          </w:p>
        </w:tc>
        <w:tc>
          <w:tcPr>
            <w:tcW w:w="1842"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101</w:t>
            </w:r>
          </w:p>
        </w:tc>
        <w:tc>
          <w:tcPr>
            <w:tcW w:w="1843"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99</w:t>
            </w:r>
          </w:p>
        </w:tc>
      </w:tr>
      <w:tr w:rsidR="00E7728E">
        <w:trPr>
          <w:trHeight w:val="268"/>
        </w:trPr>
        <w:tc>
          <w:tcPr>
            <w:tcW w:w="5211"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Total</w:t>
            </w:r>
          </w:p>
        </w:tc>
        <w:tc>
          <w:tcPr>
            <w:tcW w:w="851"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8 828</w:t>
            </w:r>
          </w:p>
        </w:tc>
        <w:tc>
          <w:tcPr>
            <w:tcW w:w="1843"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3 163</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Total</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60 680</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59 533</w:t>
            </w:r>
          </w:p>
        </w:tc>
      </w:tr>
    </w:tbl>
    <w:p w:rsidR="00F50689" w:rsidRPr="00352097" w:rsidRDefault="005A36C4" w:rsidP="00F50689">
      <w:pPr>
        <w:pStyle w:val="HEADER3Part2"/>
      </w:pPr>
      <w:r w:rsidRPr="00352097">
        <w:t>Borrowings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02" w:name="DOC_TBL00038_1_1"/>
            <w:bookmarkEnd w:id="102"/>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rPr>
                <w:rFonts w:cs="Verdana"/>
              </w:rPr>
              <w:t>EUR millions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31.12.2013</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Borrowings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58 491</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57 237</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Elimination</w:t>
            </w:r>
            <w:r w:rsidR="00945E7C">
              <w:rPr>
                <w:rFonts w:cs="Verdana"/>
              </w:rPr>
              <w:t>:</w:t>
            </w:r>
            <w:r>
              <w:rPr>
                <w:rFonts w:cs="Verdana"/>
              </w:rPr>
              <w:t xml:space="preserve"> Guarantee Fund for external actions*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(20)</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(20)</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58 470</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57 218</w:t>
            </w:r>
          </w:p>
        </w:tc>
      </w:tr>
    </w:tbl>
    <w:p w:rsidR="00F50689" w:rsidRPr="00101459" w:rsidRDefault="005A36C4" w:rsidP="00F50689">
      <w:pPr>
        <w:pStyle w:val="Textstand-alone"/>
        <w:spacing w:before="60"/>
        <w:rPr>
          <w:i/>
          <w:sz w:val="14"/>
        </w:rPr>
      </w:pPr>
      <w:r w:rsidRPr="00101459">
        <w:rPr>
          <w:i/>
          <w:sz w:val="14"/>
        </w:rPr>
        <w:t>*</w:t>
      </w:r>
      <w:r w:rsidR="00101459" w:rsidRPr="00101459">
        <w:rPr>
          <w:i/>
          <w:sz w:val="14"/>
        </w:rPr>
        <w:t xml:space="preserve"> </w:t>
      </w:r>
      <w:r w:rsidRPr="00101459">
        <w:rPr>
          <w:i/>
          <w:sz w:val="14"/>
        </w:rPr>
        <w:t>The Guarantee Fund for external actions holds EFSM bonds issued by the Commission, so these need to be eliminated.</w:t>
      </w:r>
    </w:p>
    <w:p w:rsidR="00BB1B4E" w:rsidRDefault="00BB1B4E">
      <w:pPr>
        <w:rPr>
          <w:rFonts w:ascii="Verdana" w:hAnsi="Verdana"/>
          <w:b/>
          <w:color w:val="016794"/>
          <w:sz w:val="18"/>
          <w:szCs w:val="18"/>
        </w:rPr>
      </w:pPr>
      <w:r>
        <w:br w:type="page"/>
      </w:r>
    </w:p>
    <w:p w:rsidR="00F50689" w:rsidRDefault="005A36C4" w:rsidP="00F50689">
      <w:pPr>
        <w:pStyle w:val="HEADER5"/>
      </w:pPr>
      <w:r>
        <w:t>Borrowings by financial instrument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077"/>
        <w:gridCol w:w="1077"/>
        <w:gridCol w:w="1078"/>
        <w:gridCol w:w="1077"/>
        <w:gridCol w:w="1078"/>
        <w:gridCol w:w="1417"/>
      </w:tblGrid>
      <w:tr w:rsidR="00E7728E">
        <w:tc>
          <w:tcPr>
            <w:tcW w:w="2943"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03" w:name="DOC_TBL00039_1_1"/>
            <w:bookmarkEnd w:id="103"/>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07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07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rPr>
                <w:rFonts w:cs="Verdana"/>
              </w:rPr>
              <w:t>EUR millions</w:t>
            </w:r>
          </w:p>
        </w:tc>
      </w:tr>
      <w:tr w:rsidR="00E7728E">
        <w:trPr>
          <w:trHeight w:val="247"/>
        </w:trPr>
        <w:tc>
          <w:tcPr>
            <w:tcW w:w="2943"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9pNormalLeft"/>
              <w:rPr>
                <w:rFonts w:cs="Verdana"/>
              </w:rPr>
            </w:pPr>
          </w:p>
        </w:tc>
        <w:tc>
          <w:tcPr>
            <w:tcW w:w="107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rPr>
                <w:rFonts w:cs="Verdana"/>
              </w:rPr>
              <w:t>MFA</w:t>
            </w:r>
          </w:p>
        </w:tc>
        <w:tc>
          <w:tcPr>
            <w:tcW w:w="107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rPr>
                <w:rFonts w:cs="Verdana"/>
              </w:rPr>
              <w:t>Euratom</w:t>
            </w:r>
          </w:p>
        </w:tc>
        <w:tc>
          <w:tcPr>
            <w:tcW w:w="107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rPr>
                <w:rFonts w:cs="Verdana"/>
              </w:rPr>
              <w:t>BOP</w:t>
            </w:r>
          </w:p>
        </w:tc>
        <w:tc>
          <w:tcPr>
            <w:tcW w:w="107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rPr>
                <w:rFonts w:cs="Verdana"/>
              </w:rPr>
              <w:t>EFSM</w:t>
            </w:r>
          </w:p>
        </w:tc>
        <w:tc>
          <w:tcPr>
            <w:tcW w:w="107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rPr>
                <w:rFonts w:cs="Verdana"/>
              </w:rPr>
              <w:t xml:space="preserve">ECSC in Liquid-     </w:t>
            </w:r>
            <w:proofErr w:type="spellStart"/>
            <w:r>
              <w:rPr>
                <w:rFonts w:cs="Verdana"/>
              </w:rPr>
              <w:t>dation</w:t>
            </w:r>
            <w:proofErr w:type="spellEnd"/>
          </w:p>
        </w:tc>
        <w:tc>
          <w:tcPr>
            <w:tcW w:w="141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rPr>
                <w:rFonts w:cs="Verdana"/>
              </w:rPr>
              <w:t>Total</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Total at 31.12.2013</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569</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387</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11 623</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44 468</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190</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57 237</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New borrowings</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1 360</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3 000</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4 360</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Repayments</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(96)</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(39)</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(3 000)</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(3 135)</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Exchange differences</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14</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15</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Changes in carrying amounts</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9</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(33)</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39</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14</w:t>
            </w:r>
          </w:p>
        </w:tc>
      </w:tr>
      <w:tr w:rsidR="00E7728E">
        <w:trPr>
          <w:trHeight w:val="247"/>
        </w:trPr>
        <w:tc>
          <w:tcPr>
            <w:tcW w:w="29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Total at 31.12.2014</w:t>
            </w:r>
          </w:p>
        </w:tc>
        <w:tc>
          <w:tcPr>
            <w:tcW w:w="107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1 842</w:t>
            </w:r>
          </w:p>
        </w:tc>
        <w:tc>
          <w:tcPr>
            <w:tcW w:w="107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 xml:space="preserve"> 349</w:t>
            </w:r>
          </w:p>
        </w:tc>
        <w:tc>
          <w:tcPr>
            <w:tcW w:w="107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8 590</w:t>
            </w:r>
          </w:p>
        </w:tc>
        <w:tc>
          <w:tcPr>
            <w:tcW w:w="107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47 507</w:t>
            </w:r>
          </w:p>
        </w:tc>
        <w:tc>
          <w:tcPr>
            <w:tcW w:w="107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 xml:space="preserve"> 203</w:t>
            </w:r>
          </w:p>
        </w:tc>
        <w:tc>
          <w:tcPr>
            <w:tcW w:w="141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58 491</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Non-current</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1 762</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299</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5 700</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41 800</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193</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49 754</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Current</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80</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50</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2 890</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5 707</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10</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8 737</w:t>
            </w:r>
          </w:p>
        </w:tc>
      </w:tr>
    </w:tbl>
    <w:p w:rsidR="00F50689" w:rsidRDefault="005A36C4" w:rsidP="00F50689">
      <w:pPr>
        <w:pStyle w:val="Textstand-alone"/>
      </w:pPr>
      <w:r>
        <w:t xml:space="preserve">Borrowings also include debts evidenced by certificates amounting </w:t>
      </w:r>
      <w:r w:rsidRPr="000D5707">
        <w:t>to EUR</w:t>
      </w:r>
      <w:r>
        <w:t> </w:t>
      </w:r>
      <w:r w:rsidRPr="000D5707">
        <w:t>58</w:t>
      </w:r>
      <w:r>
        <w:t> </w:t>
      </w:r>
      <w:r w:rsidRPr="000D5707">
        <w:t>261</w:t>
      </w:r>
      <w:r>
        <w:t> </w:t>
      </w:r>
      <w:r w:rsidRPr="000D5707">
        <w:t>million (2013: EUR 56 981 million). The changes in carrying amount correspond to the change in accrued interests</w:t>
      </w:r>
      <w:r>
        <w:t>.</w:t>
      </w:r>
    </w:p>
    <w:p w:rsidR="00F50689" w:rsidRDefault="005A36C4" w:rsidP="00F50689">
      <w:pPr>
        <w:pStyle w:val="Textstand-alone"/>
      </w:pPr>
      <w:r>
        <w:t>The current/non-current presentation of the borrowings on the Commission's balance sheet (e.g. MFA, Euratom, BOP and EFSM ) has been improved from the notion of looking solely at the final maturity of the loan to the notion of looking at the re-payments due at year-end.</w:t>
      </w:r>
    </w:p>
    <w:p w:rsidR="00F50689" w:rsidRDefault="005A36C4" w:rsidP="00BB1B4E">
      <w:pPr>
        <w:pStyle w:val="HEADER5"/>
        <w:spacing w:after="120"/>
      </w:pPr>
      <w:r>
        <w:t>Borrowings effective interest rates (expressed as a range of interest rates)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bookmarkStart w:id="104" w:name="DOC_TBL00040_1_1"/>
            <w:bookmarkEnd w:id="104"/>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31.12.2013</w:t>
            </w:r>
          </w:p>
        </w:tc>
      </w:tr>
      <w:tr w:rsidR="00E7728E">
        <w:tc>
          <w:tcPr>
            <w:tcW w:w="5637"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Macro Financial Assistance (MFA)</w:t>
            </w:r>
          </w:p>
        </w:tc>
        <w:tc>
          <w:tcPr>
            <w:tcW w:w="2126"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0.181</w:t>
            </w:r>
            <w:r w:rsidR="00BB1B4E">
              <w:rPr>
                <w:rFonts w:cs="Verdana"/>
              </w:rPr>
              <w:t xml:space="preserve"> </w:t>
            </w:r>
            <w:r>
              <w:rPr>
                <w:rFonts w:cs="Verdana"/>
              </w:rPr>
              <w:t>%-4.54</w:t>
            </w:r>
            <w:r w:rsidR="00BB1B4E">
              <w:rPr>
                <w:rFonts w:cs="Verdana"/>
              </w:rPr>
              <w:t xml:space="preserve"> </w:t>
            </w:r>
            <w:r>
              <w:rPr>
                <w:rFonts w:cs="Verdana"/>
              </w:rPr>
              <w:t>%</w:t>
            </w:r>
          </w:p>
        </w:tc>
        <w:tc>
          <w:tcPr>
            <w:tcW w:w="1985"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0.27</w:t>
            </w:r>
            <w:r w:rsidR="00BB1B4E">
              <w:rPr>
                <w:rFonts w:cs="Verdana"/>
              </w:rPr>
              <w:t xml:space="preserve"> </w:t>
            </w:r>
            <w:r>
              <w:rPr>
                <w:rFonts w:cs="Verdana"/>
              </w:rPr>
              <w:t>%-4.54</w:t>
            </w:r>
            <w:r w:rsidR="00BB1B4E">
              <w:rPr>
                <w:rFonts w:cs="Verdana"/>
              </w:rPr>
              <w:t xml:space="preserve"> </w:t>
            </w:r>
            <w:r>
              <w:rPr>
                <w:rFonts w:cs="Verdana"/>
              </w:rPr>
              <w:t>%</w:t>
            </w:r>
          </w:p>
        </w:tc>
      </w:tr>
      <w:tr w:rsidR="00E7728E">
        <w:tc>
          <w:tcPr>
            <w:tcW w:w="5637"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Euratom</w:t>
            </w:r>
          </w:p>
        </w:tc>
        <w:tc>
          <w:tcPr>
            <w:tcW w:w="2126"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0.138</w:t>
            </w:r>
            <w:r w:rsidR="00BB1B4E">
              <w:rPr>
                <w:rFonts w:cs="Verdana"/>
              </w:rPr>
              <w:t xml:space="preserve"> </w:t>
            </w:r>
            <w:r>
              <w:rPr>
                <w:rFonts w:cs="Verdana"/>
              </w:rPr>
              <w:t>%-5.6775</w:t>
            </w:r>
            <w:r w:rsidR="00BB1B4E">
              <w:rPr>
                <w:rFonts w:cs="Verdana"/>
              </w:rPr>
              <w:t xml:space="preserve"> </w:t>
            </w:r>
            <w:r>
              <w:rPr>
                <w:rFonts w:cs="Verdana"/>
              </w:rPr>
              <w:t>%</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0.291</w:t>
            </w:r>
            <w:r w:rsidR="00BB1B4E">
              <w:rPr>
                <w:rFonts w:cs="Verdana"/>
              </w:rPr>
              <w:t xml:space="preserve"> </w:t>
            </w:r>
            <w:r>
              <w:rPr>
                <w:rFonts w:cs="Verdana"/>
              </w:rPr>
              <w:t>%-5.6775</w:t>
            </w:r>
            <w:r w:rsidR="00BB1B4E">
              <w:rPr>
                <w:rFonts w:cs="Verdana"/>
              </w:rPr>
              <w:t xml:space="preserve"> </w:t>
            </w:r>
            <w:r>
              <w:rPr>
                <w:rFonts w:cs="Verdana"/>
              </w:rPr>
              <w:t>%</w:t>
            </w:r>
          </w:p>
        </w:tc>
      </w:tr>
      <w:tr w:rsidR="00E7728E">
        <w:tc>
          <w:tcPr>
            <w:tcW w:w="5637"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Balance of Payment (BOP)</w:t>
            </w:r>
          </w:p>
        </w:tc>
        <w:tc>
          <w:tcPr>
            <w:tcW w:w="2126"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2.375</w:t>
            </w:r>
            <w:r w:rsidR="00BB1B4E">
              <w:rPr>
                <w:rFonts w:cs="Verdana"/>
              </w:rPr>
              <w:t xml:space="preserve"> </w:t>
            </w:r>
            <w:r>
              <w:rPr>
                <w:rFonts w:cs="Verdana"/>
              </w:rPr>
              <w:t>%-3.625</w:t>
            </w:r>
            <w:r w:rsidR="00BB1B4E">
              <w:rPr>
                <w:rFonts w:cs="Verdana"/>
              </w:rPr>
              <w:t xml:space="preserve"> </w:t>
            </w:r>
            <w:r>
              <w:rPr>
                <w:rFonts w:cs="Verdana"/>
              </w:rPr>
              <w:t>%</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2.375</w:t>
            </w:r>
            <w:r w:rsidR="00BB1B4E">
              <w:rPr>
                <w:rFonts w:cs="Verdana"/>
              </w:rPr>
              <w:t xml:space="preserve"> </w:t>
            </w:r>
            <w:r>
              <w:rPr>
                <w:rFonts w:cs="Verdana"/>
              </w:rPr>
              <w:t>%-3.625</w:t>
            </w:r>
            <w:r w:rsidR="00BB1B4E">
              <w:rPr>
                <w:rFonts w:cs="Verdana"/>
              </w:rPr>
              <w:t xml:space="preserve"> </w:t>
            </w:r>
            <w:r>
              <w:rPr>
                <w:rFonts w:cs="Verdana"/>
              </w:rPr>
              <w:t>%</w:t>
            </w:r>
          </w:p>
        </w:tc>
      </w:tr>
      <w:tr w:rsidR="00E7728E">
        <w:tc>
          <w:tcPr>
            <w:tcW w:w="5637"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European Financial Stability Mechanism (EFSM)</w:t>
            </w:r>
          </w:p>
        </w:tc>
        <w:tc>
          <w:tcPr>
            <w:tcW w:w="2126"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1.875</w:t>
            </w:r>
            <w:r w:rsidR="00BB1B4E">
              <w:rPr>
                <w:rFonts w:cs="Verdana"/>
              </w:rPr>
              <w:t xml:space="preserve"> </w:t>
            </w:r>
            <w:r>
              <w:rPr>
                <w:rFonts w:cs="Verdana"/>
              </w:rPr>
              <w:t>%-3.750</w:t>
            </w:r>
            <w:r w:rsidR="00BB1B4E">
              <w:rPr>
                <w:rFonts w:cs="Verdana"/>
              </w:rPr>
              <w:t xml:space="preserve"> </w:t>
            </w:r>
            <w:r>
              <w:rPr>
                <w:rFonts w:cs="Verdana"/>
              </w:rPr>
              <w:t>%</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2.375</w:t>
            </w:r>
            <w:r w:rsidR="00BB1B4E">
              <w:rPr>
                <w:rFonts w:cs="Verdana"/>
              </w:rPr>
              <w:t xml:space="preserve"> </w:t>
            </w:r>
            <w:r>
              <w:rPr>
                <w:rFonts w:cs="Verdana"/>
              </w:rPr>
              <w:t>%-3.750</w:t>
            </w:r>
            <w:r w:rsidR="00BB1B4E">
              <w:rPr>
                <w:rFonts w:cs="Verdana"/>
              </w:rPr>
              <w:t xml:space="preserve"> </w:t>
            </w:r>
            <w:r>
              <w:rPr>
                <w:rFonts w:cs="Verdana"/>
              </w:rPr>
              <w:t>%</w:t>
            </w:r>
          </w:p>
        </w:tc>
      </w:tr>
      <w:tr w:rsidR="00E7728E">
        <w:tc>
          <w:tcPr>
            <w:tcW w:w="5637" w:type="dxa"/>
            <w:tcBorders>
              <w:top w:val="single" w:sz="4" w:space="0" w:color="016794"/>
              <w:left w:val="nil"/>
              <w:bottom w:val="nil"/>
              <w:right w:val="nil"/>
            </w:tcBorders>
            <w:tcMar>
              <w:top w:w="0" w:type="dxa"/>
              <w:left w:w="0" w:type="dxa"/>
              <w:bottom w:w="0" w:type="dxa"/>
              <w:right w:w="0" w:type="dxa"/>
            </w:tcMar>
          </w:tcPr>
          <w:p w:rsidR="00F50689" w:rsidRDefault="005A36C4" w:rsidP="00945E7C">
            <w:pPr>
              <w:pStyle w:val="Text9pItalicLeft"/>
              <w:rPr>
                <w:rFonts w:cs="Verdana"/>
              </w:rPr>
            </w:pPr>
            <w:r>
              <w:rPr>
                <w:rFonts w:cs="Verdana"/>
              </w:rPr>
              <w:t xml:space="preserve">ECSC in </w:t>
            </w:r>
            <w:r w:rsidR="00945E7C">
              <w:rPr>
                <w:rFonts w:cs="Verdana"/>
              </w:rPr>
              <w:t>L</w:t>
            </w:r>
            <w:r>
              <w:rPr>
                <w:rFonts w:cs="Verdana"/>
              </w:rPr>
              <w:t>iquidation</w:t>
            </w:r>
          </w:p>
        </w:tc>
        <w:tc>
          <w:tcPr>
            <w:tcW w:w="2126"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6.92</w:t>
            </w:r>
            <w:r w:rsidR="00BB1B4E">
              <w:rPr>
                <w:rFonts w:cs="Verdana"/>
              </w:rPr>
              <w:t xml:space="preserve"> </w:t>
            </w:r>
            <w:r>
              <w:rPr>
                <w:rFonts w:cs="Verdana"/>
              </w:rPr>
              <w:t>%-9.78</w:t>
            </w:r>
            <w:r w:rsidR="00BB1B4E">
              <w:rPr>
                <w:rFonts w:cs="Verdana"/>
              </w:rPr>
              <w:t xml:space="preserve"> </w:t>
            </w:r>
            <w:r>
              <w:rPr>
                <w:rFonts w:cs="Verdana"/>
              </w:rPr>
              <w:t>%</w:t>
            </w:r>
          </w:p>
        </w:tc>
        <w:tc>
          <w:tcPr>
            <w:tcW w:w="1985"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6.92</w:t>
            </w:r>
            <w:r w:rsidR="00BB1B4E">
              <w:rPr>
                <w:rFonts w:cs="Verdana"/>
              </w:rPr>
              <w:t xml:space="preserve"> </w:t>
            </w:r>
            <w:r>
              <w:rPr>
                <w:rFonts w:cs="Verdana"/>
              </w:rPr>
              <w:t>%-9.78</w:t>
            </w:r>
            <w:r w:rsidR="00BB1B4E">
              <w:rPr>
                <w:rFonts w:cs="Verdana"/>
              </w:rPr>
              <w:t xml:space="preserve"> </w:t>
            </w:r>
            <w:r>
              <w:rPr>
                <w:rFonts w:cs="Verdana"/>
              </w:rPr>
              <w:t>%</w:t>
            </w:r>
          </w:p>
        </w:tc>
      </w:tr>
    </w:tbl>
    <w:p w:rsidR="00F50689" w:rsidRDefault="005A36C4" w:rsidP="00F50689">
      <w:pPr>
        <w:pStyle w:val="Textstand-alone"/>
        <w:spacing w:before="0"/>
      </w:pPr>
      <w:r>
        <w:t xml:space="preserve"> </w:t>
      </w:r>
    </w:p>
    <w:p w:rsidR="00F50689" w:rsidRPr="00352097" w:rsidRDefault="005A36C4" w:rsidP="00F50689">
      <w:pPr>
        <w:pStyle w:val="HEADER3Part2"/>
      </w:pPr>
      <w:r w:rsidRPr="00352097">
        <w:t>Other financial liabilities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05" w:name="DOC_TBL00042_1_1"/>
            <w:bookmarkEnd w:id="105"/>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rPr>
                <w:rFonts w:cs="Verdana"/>
              </w:rPr>
              <w:t>EUR millions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31.12.2013</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rPr>
                <w:rFonts w:cs="Verdana"/>
              </w:rPr>
              <w:t>Non-current</w:t>
            </w:r>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Figures9pBoldRight025"/>
              <w:rPr>
                <w:rFonts w:cs="Verdana"/>
              </w:rPr>
            </w:pPr>
          </w:p>
        </w:tc>
        <w:tc>
          <w:tcPr>
            <w:tcW w:w="1985" w:type="dxa"/>
            <w:tcBorders>
              <w:top w:val="nil"/>
              <w:left w:val="nil"/>
              <w:bottom w:val="nil"/>
              <w:right w:val="nil"/>
            </w:tcBorders>
            <w:tcMar>
              <w:top w:w="0" w:type="dxa"/>
              <w:left w:w="0" w:type="dxa"/>
              <w:bottom w:w="0" w:type="dxa"/>
              <w:right w:w="0" w:type="dxa"/>
            </w:tcMar>
          </w:tcPr>
          <w:p w:rsidR="00F50689" w:rsidRDefault="00F50689" w:rsidP="00F50689">
            <w:pPr>
              <w:pStyle w:val="Figures9pBoldRight025"/>
              <w:rPr>
                <w:rFonts w:cs="Verdana"/>
              </w:rPr>
            </w:pP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Finance lease liabilities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1 674</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1 756</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Buildings paid for in instalments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371</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369</w:t>
            </w:r>
          </w:p>
        </w:tc>
      </w:tr>
      <w:tr w:rsidR="00E7728E">
        <w:tc>
          <w:tcPr>
            <w:tcW w:w="5637"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Other</w:t>
            </w:r>
          </w:p>
        </w:tc>
        <w:tc>
          <w:tcPr>
            <w:tcW w:w="2126"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63</w:t>
            </w:r>
          </w:p>
        </w:tc>
        <w:tc>
          <w:tcPr>
            <w:tcW w:w="1985"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91</w:t>
            </w:r>
          </w:p>
        </w:tc>
      </w:tr>
      <w:tr w:rsidR="00E7728E">
        <w:tc>
          <w:tcPr>
            <w:tcW w:w="5637" w:type="dxa"/>
            <w:tcBorders>
              <w:top w:val="single" w:sz="4" w:space="0" w:color="016794"/>
              <w:left w:val="nil"/>
              <w:bottom w:val="single" w:sz="4" w:space="0" w:color="016794"/>
              <w:right w:val="nil"/>
            </w:tcBorders>
            <w:tcMar>
              <w:top w:w="0" w:type="dxa"/>
              <w:left w:w="0" w:type="dxa"/>
              <w:bottom w:w="0" w:type="dxa"/>
              <w:right w:w="0" w:type="dxa"/>
            </w:tcMar>
          </w:tcPr>
          <w:p w:rsidR="00F50689" w:rsidRPr="00945E7C" w:rsidRDefault="005A36C4" w:rsidP="00F50689">
            <w:pPr>
              <w:pStyle w:val="Text9pNormalLeft"/>
              <w:rPr>
                <w:rFonts w:cs="Verdana"/>
                <w:i/>
              </w:rPr>
            </w:pPr>
            <w:r w:rsidRPr="00945E7C">
              <w:rPr>
                <w:rFonts w:cs="Verdana"/>
                <w:i/>
              </w:rPr>
              <w:t>Total</w:t>
            </w:r>
          </w:p>
        </w:tc>
        <w:tc>
          <w:tcPr>
            <w:tcW w:w="2126"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b/>
                <w:i w:val="0"/>
              </w:rPr>
            </w:pPr>
            <w:r>
              <w:rPr>
                <w:rFonts w:cs="Verdana"/>
                <w:b/>
                <w:i w:val="0"/>
              </w:rPr>
              <w:t>2 108</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b/>
                <w:i w:val="0"/>
              </w:rPr>
            </w:pPr>
            <w:r>
              <w:rPr>
                <w:rFonts w:cs="Verdana"/>
                <w:b/>
                <w:i w:val="0"/>
              </w:rPr>
              <w:t>2 216</w:t>
            </w:r>
          </w:p>
        </w:tc>
      </w:tr>
      <w:tr w:rsidR="00E7728E">
        <w:tc>
          <w:tcPr>
            <w:tcW w:w="5637"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rPr>
                <w:rFonts w:cs="Verdana"/>
              </w:rPr>
              <w:t>Current</w:t>
            </w:r>
          </w:p>
        </w:tc>
        <w:tc>
          <w:tcPr>
            <w:tcW w:w="2126"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BoldRight025"/>
              <w:rPr>
                <w:rFonts w:cs="Verdana"/>
              </w:rPr>
            </w:pPr>
          </w:p>
        </w:tc>
        <w:tc>
          <w:tcPr>
            <w:tcW w:w="1985"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BoldRight025"/>
              <w:rPr>
                <w:rFonts w:cs="Verdana"/>
              </w:rPr>
            </w:pP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Finance lease liabilities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81</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82</w:t>
            </w:r>
          </w:p>
        </w:tc>
      </w:tr>
      <w:tr w:rsidR="00E7728E">
        <w:tc>
          <w:tcPr>
            <w:tcW w:w="5637" w:type="dxa"/>
            <w:tcBorders>
              <w:top w:val="nil"/>
              <w:left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Buildings paid for in instalments</w:t>
            </w:r>
          </w:p>
        </w:tc>
        <w:tc>
          <w:tcPr>
            <w:tcW w:w="2126" w:type="dxa"/>
            <w:tcBorders>
              <w:top w:val="nil"/>
              <w:left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20</w:t>
            </w:r>
          </w:p>
        </w:tc>
        <w:tc>
          <w:tcPr>
            <w:tcW w:w="1985" w:type="dxa"/>
            <w:tcBorders>
              <w:top w:val="nil"/>
              <w:left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17</w:t>
            </w:r>
          </w:p>
        </w:tc>
      </w:tr>
      <w:tr w:rsidR="00E7728E">
        <w:tc>
          <w:tcPr>
            <w:tcW w:w="5637" w:type="dxa"/>
            <w:tcBorders>
              <w:top w:val="single" w:sz="4" w:space="0" w:color="016794"/>
              <w:left w:val="nil"/>
              <w:bottom w:val="nil"/>
              <w:right w:val="nil"/>
            </w:tcBorders>
            <w:tcMar>
              <w:top w:w="0" w:type="dxa"/>
              <w:left w:w="0" w:type="dxa"/>
              <w:bottom w:w="0" w:type="dxa"/>
              <w:right w:w="0" w:type="dxa"/>
            </w:tcMar>
          </w:tcPr>
          <w:p w:rsidR="00F50689" w:rsidRPr="00945E7C" w:rsidRDefault="005A36C4" w:rsidP="00F50689">
            <w:pPr>
              <w:pStyle w:val="Text9pNormalLeft"/>
              <w:rPr>
                <w:rFonts w:cs="Verdana"/>
                <w:i/>
              </w:rPr>
            </w:pPr>
            <w:r w:rsidRPr="00945E7C">
              <w:rPr>
                <w:rFonts w:cs="Verdana"/>
                <w:i/>
              </w:rPr>
              <w:t>Total</w:t>
            </w:r>
          </w:p>
        </w:tc>
        <w:tc>
          <w:tcPr>
            <w:tcW w:w="2126"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b/>
                <w:i w:val="0"/>
              </w:rPr>
            </w:pPr>
            <w:r>
              <w:rPr>
                <w:rFonts w:cs="Verdana"/>
                <w:b/>
                <w:i w:val="0"/>
              </w:rPr>
              <w:t xml:space="preserve"> 101</w:t>
            </w:r>
          </w:p>
        </w:tc>
        <w:tc>
          <w:tcPr>
            <w:tcW w:w="1985"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b/>
                <w:i w:val="0"/>
              </w:rPr>
            </w:pPr>
            <w:r>
              <w:rPr>
                <w:rFonts w:cs="Verdana"/>
                <w:b/>
                <w:i w:val="0"/>
              </w:rPr>
              <w:t xml:space="preserve"> 99</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2 209</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2 315</w:t>
            </w:r>
          </w:p>
        </w:tc>
      </w:tr>
    </w:tbl>
    <w:p w:rsidR="00F50689" w:rsidRDefault="005A36C4" w:rsidP="00BB1B4E">
      <w:pPr>
        <w:pStyle w:val="HEADER5"/>
        <w:spacing w:before="360"/>
      </w:pPr>
      <w:r>
        <w:t>Finance lease liabilities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452"/>
        <w:gridCol w:w="1453"/>
        <w:gridCol w:w="1453"/>
        <w:gridCol w:w="1453"/>
      </w:tblGrid>
      <w:tr w:rsidR="00E7728E">
        <w:tc>
          <w:tcPr>
            <w:tcW w:w="3936" w:type="dxa"/>
            <w:tcBorders>
              <w:top w:val="nil"/>
              <w:left w:val="nil"/>
              <w:bottom w:val="nil"/>
              <w:right w:val="nil"/>
            </w:tcBorders>
            <w:shd w:val="clear" w:color="auto" w:fill="FFFFFF"/>
            <w:tcMar>
              <w:top w:w="0" w:type="dxa"/>
              <w:left w:w="0" w:type="dxa"/>
              <w:bottom w:w="0" w:type="dxa"/>
              <w:right w:w="0" w:type="dxa"/>
            </w:tcMar>
          </w:tcPr>
          <w:p w:rsidR="00F50689" w:rsidRDefault="00F50689" w:rsidP="00F50689">
            <w:pPr>
              <w:pStyle w:val="Heading10pNormalCentered"/>
              <w:jc w:val="left"/>
              <w:rPr>
                <w:rFonts w:eastAsia="Times New Roman" w:cs="Verdana"/>
                <w:i/>
              </w:rPr>
            </w:pPr>
            <w:bookmarkStart w:id="106" w:name="DOC_TBL00043_1_1"/>
            <w:bookmarkEnd w:id="106"/>
          </w:p>
        </w:tc>
        <w:tc>
          <w:tcPr>
            <w:tcW w:w="1452" w:type="dxa"/>
            <w:tcBorders>
              <w:top w:val="nil"/>
              <w:left w:val="nil"/>
              <w:bottom w:val="nil"/>
              <w:right w:val="nil"/>
            </w:tcBorders>
            <w:shd w:val="clear" w:color="auto" w:fill="FFFFFF"/>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453" w:type="dxa"/>
            <w:tcBorders>
              <w:top w:val="nil"/>
              <w:left w:val="nil"/>
              <w:bottom w:val="nil"/>
              <w:right w:val="nil"/>
            </w:tcBorders>
            <w:shd w:val="clear" w:color="auto" w:fill="FFFFFF"/>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453" w:type="dxa"/>
            <w:tcBorders>
              <w:top w:val="nil"/>
              <w:left w:val="nil"/>
              <w:bottom w:val="nil"/>
              <w:right w:val="nil"/>
            </w:tcBorders>
            <w:shd w:val="clear" w:color="auto" w:fill="FFFFFF"/>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453" w:type="dxa"/>
            <w:tcBorders>
              <w:top w:val="nil"/>
              <w:left w:val="nil"/>
              <w:bottom w:val="nil"/>
              <w:right w:val="nil"/>
            </w:tcBorders>
            <w:shd w:val="clear" w:color="auto" w:fill="FFFFFF"/>
            <w:tcMar>
              <w:top w:w="0" w:type="dxa"/>
              <w:left w:w="0" w:type="dxa"/>
              <w:bottom w:w="0" w:type="dxa"/>
              <w:right w:w="0" w:type="dxa"/>
            </w:tcMar>
          </w:tcPr>
          <w:p w:rsidR="00F50689" w:rsidRDefault="005A36C4" w:rsidP="00F50689">
            <w:pPr>
              <w:pStyle w:val="Text8pItalicRight025EUR"/>
              <w:rPr>
                <w:rFonts w:cs="Verdana"/>
              </w:rPr>
            </w:pPr>
            <w:r>
              <w:rPr>
                <w:rFonts w:cs="Verdana"/>
              </w:rPr>
              <w:t>EUR millions</w:t>
            </w:r>
          </w:p>
        </w:tc>
      </w:tr>
      <w:tr w:rsidR="00E7728E">
        <w:tc>
          <w:tcPr>
            <w:tcW w:w="3936" w:type="dxa"/>
            <w:tcBorders>
              <w:top w:val="nil"/>
              <w:left w:val="nil"/>
              <w:bottom w:val="nil"/>
              <w:right w:val="nil"/>
            </w:tcBorders>
            <w:shd w:val="clear" w:color="auto" w:fill="016794"/>
            <w:tcMar>
              <w:top w:w="0" w:type="dxa"/>
              <w:left w:w="0" w:type="dxa"/>
              <w:bottom w:w="0" w:type="dxa"/>
              <w:right w:w="0" w:type="dxa"/>
            </w:tcMar>
          </w:tcPr>
          <w:p w:rsidR="00F50689" w:rsidRDefault="00F50689" w:rsidP="00BB1B4E">
            <w:pPr>
              <w:pStyle w:val="Heading10pNormalCentered"/>
              <w:jc w:val="left"/>
              <w:rPr>
                <w:rFonts w:eastAsia="Times New Roman" w:cs="Verdana"/>
              </w:rPr>
            </w:pPr>
          </w:p>
        </w:tc>
        <w:tc>
          <w:tcPr>
            <w:tcW w:w="5811" w:type="dxa"/>
            <w:gridSpan w:val="4"/>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Centered"/>
              <w:rPr>
                <w:rFonts w:eastAsia="Times New Roman" w:cs="Verdana"/>
              </w:rPr>
            </w:pPr>
            <w:r>
              <w:rPr>
                <w:rFonts w:eastAsia="Times New Roman" w:cs="Verdana"/>
              </w:rPr>
              <w:t>Future amounts to be paid</w:t>
            </w:r>
          </w:p>
        </w:tc>
      </w:tr>
      <w:tr w:rsidR="00E7728E">
        <w:tc>
          <w:tcPr>
            <w:tcW w:w="3936" w:type="dxa"/>
            <w:tcBorders>
              <w:top w:val="nil"/>
              <w:left w:val="nil"/>
              <w:bottom w:val="nil"/>
              <w:right w:val="nil"/>
            </w:tcBorders>
            <w:shd w:val="clear" w:color="auto" w:fill="016794"/>
            <w:tcMar>
              <w:top w:w="0" w:type="dxa"/>
              <w:left w:w="0" w:type="dxa"/>
              <w:bottom w:w="0" w:type="dxa"/>
              <w:right w:w="0" w:type="dxa"/>
            </w:tcMar>
            <w:vAlign w:val="bottom"/>
          </w:tcPr>
          <w:p w:rsidR="00F50689" w:rsidRDefault="00F50689" w:rsidP="00F50689">
            <w:pPr>
              <w:pStyle w:val="Heading10pNormalCentered"/>
              <w:rPr>
                <w:rFonts w:eastAsia="Times New Roman" w:cs="Verdana"/>
              </w:rPr>
            </w:pPr>
          </w:p>
        </w:tc>
        <w:tc>
          <w:tcPr>
            <w:tcW w:w="145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1"/>
              <w:rPr>
                <w:rFonts w:cs="Verdana"/>
              </w:rPr>
            </w:pPr>
            <w:r>
              <w:rPr>
                <w:rFonts w:cs="Verdana"/>
              </w:rPr>
              <w:t>&lt; 1 year</w:t>
            </w:r>
          </w:p>
        </w:tc>
        <w:tc>
          <w:tcPr>
            <w:tcW w:w="1453"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1"/>
              <w:rPr>
                <w:rFonts w:cs="Verdana"/>
              </w:rPr>
            </w:pPr>
            <w:r>
              <w:rPr>
                <w:rFonts w:cs="Verdana"/>
              </w:rPr>
              <w:t>1-5 years</w:t>
            </w:r>
          </w:p>
        </w:tc>
        <w:tc>
          <w:tcPr>
            <w:tcW w:w="1453"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1"/>
              <w:rPr>
                <w:rFonts w:cs="Verdana"/>
              </w:rPr>
            </w:pPr>
            <w:r>
              <w:rPr>
                <w:rFonts w:cs="Verdana"/>
              </w:rPr>
              <w:t>&gt; 5 years</w:t>
            </w:r>
          </w:p>
        </w:tc>
        <w:tc>
          <w:tcPr>
            <w:tcW w:w="1453"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1"/>
              <w:rPr>
                <w:rFonts w:cs="Verdana"/>
              </w:rPr>
            </w:pPr>
            <w:r>
              <w:rPr>
                <w:rFonts w:cs="Verdana"/>
              </w:rPr>
              <w:t>Total Liability</w:t>
            </w:r>
          </w:p>
        </w:tc>
      </w:tr>
      <w:tr w:rsidR="00E7728E">
        <w:tc>
          <w:tcPr>
            <w:tcW w:w="3936"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Land and buildings</w:t>
            </w:r>
          </w:p>
        </w:tc>
        <w:tc>
          <w:tcPr>
            <w:tcW w:w="14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75</w:t>
            </w:r>
          </w:p>
        </w:tc>
        <w:tc>
          <w:tcPr>
            <w:tcW w:w="145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358</w:t>
            </w:r>
          </w:p>
        </w:tc>
        <w:tc>
          <w:tcPr>
            <w:tcW w:w="145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1 309</w:t>
            </w:r>
          </w:p>
        </w:tc>
        <w:tc>
          <w:tcPr>
            <w:tcW w:w="145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1 742</w:t>
            </w:r>
          </w:p>
        </w:tc>
      </w:tr>
      <w:tr w:rsidR="00E7728E">
        <w:tc>
          <w:tcPr>
            <w:tcW w:w="3936"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Other tangible assets</w:t>
            </w:r>
          </w:p>
        </w:tc>
        <w:tc>
          <w:tcPr>
            <w:tcW w:w="14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6</w:t>
            </w:r>
          </w:p>
        </w:tc>
        <w:tc>
          <w:tcPr>
            <w:tcW w:w="145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8</w:t>
            </w:r>
          </w:p>
        </w:tc>
        <w:tc>
          <w:tcPr>
            <w:tcW w:w="145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45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14</w:t>
            </w:r>
          </w:p>
        </w:tc>
      </w:tr>
      <w:tr w:rsidR="00E7728E">
        <w:tc>
          <w:tcPr>
            <w:tcW w:w="393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Total at 31.12.2014</w:t>
            </w:r>
          </w:p>
        </w:tc>
        <w:tc>
          <w:tcPr>
            <w:tcW w:w="145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 xml:space="preserve"> 81</w:t>
            </w:r>
          </w:p>
        </w:tc>
        <w:tc>
          <w:tcPr>
            <w:tcW w:w="145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 xml:space="preserve"> 366</w:t>
            </w:r>
          </w:p>
        </w:tc>
        <w:tc>
          <w:tcPr>
            <w:tcW w:w="145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1 309</w:t>
            </w:r>
          </w:p>
        </w:tc>
        <w:tc>
          <w:tcPr>
            <w:tcW w:w="145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1 755</w:t>
            </w:r>
          </w:p>
        </w:tc>
      </w:tr>
      <w:tr w:rsidR="00E7728E">
        <w:tc>
          <w:tcPr>
            <w:tcW w:w="3936"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Interest element</w:t>
            </w:r>
          </w:p>
        </w:tc>
        <w:tc>
          <w:tcPr>
            <w:tcW w:w="14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70</w:t>
            </w:r>
          </w:p>
        </w:tc>
        <w:tc>
          <w:tcPr>
            <w:tcW w:w="145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272</w:t>
            </w:r>
          </w:p>
        </w:tc>
        <w:tc>
          <w:tcPr>
            <w:tcW w:w="145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392</w:t>
            </w:r>
          </w:p>
        </w:tc>
        <w:tc>
          <w:tcPr>
            <w:tcW w:w="145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734</w:t>
            </w:r>
          </w:p>
        </w:tc>
      </w:tr>
      <w:tr w:rsidR="00E7728E">
        <w:tc>
          <w:tcPr>
            <w:tcW w:w="393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Total future minimum lease payments at 31.12.2014</w:t>
            </w:r>
          </w:p>
        </w:tc>
        <w:tc>
          <w:tcPr>
            <w:tcW w:w="145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 xml:space="preserve"> 151</w:t>
            </w:r>
          </w:p>
        </w:tc>
        <w:tc>
          <w:tcPr>
            <w:tcW w:w="145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 xml:space="preserve"> 638</w:t>
            </w:r>
          </w:p>
        </w:tc>
        <w:tc>
          <w:tcPr>
            <w:tcW w:w="145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1 700</w:t>
            </w:r>
          </w:p>
        </w:tc>
        <w:tc>
          <w:tcPr>
            <w:tcW w:w="145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2 489</w:t>
            </w:r>
          </w:p>
        </w:tc>
      </w:tr>
      <w:tr w:rsidR="00E7728E">
        <w:tc>
          <w:tcPr>
            <w:tcW w:w="3936"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Total future minimum lease payments at 31.12.2013</w:t>
            </w:r>
          </w:p>
        </w:tc>
        <w:tc>
          <w:tcPr>
            <w:tcW w:w="14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171</w:t>
            </w:r>
          </w:p>
        </w:tc>
        <w:tc>
          <w:tcPr>
            <w:tcW w:w="145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672</w:t>
            </w:r>
          </w:p>
        </w:tc>
        <w:tc>
          <w:tcPr>
            <w:tcW w:w="145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1 884</w:t>
            </w:r>
          </w:p>
        </w:tc>
        <w:tc>
          <w:tcPr>
            <w:tcW w:w="145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2 727</w:t>
            </w:r>
          </w:p>
        </w:tc>
      </w:tr>
    </w:tbl>
    <w:p w:rsidR="00F50689" w:rsidRPr="00424943" w:rsidRDefault="005A36C4" w:rsidP="00F50689">
      <w:pPr>
        <w:pStyle w:val="Textstand-alone"/>
        <w:spacing w:before="0" w:after="0"/>
        <w:sectPr w:rsidR="00F50689" w:rsidRPr="00424943" w:rsidSect="00F50689">
          <w:headerReference w:type="even" r:id="rId191"/>
          <w:headerReference w:type="default" r:id="rId192"/>
          <w:footerReference w:type="even" r:id="rId193"/>
          <w:footerReference w:type="default" r:id="rId194"/>
          <w:headerReference w:type="first" r:id="rId195"/>
          <w:footerReference w:type="first" r:id="rId196"/>
          <w:type w:val="continuous"/>
          <w:pgSz w:w="11906" w:h="16838"/>
          <w:pgMar w:top="1134" w:right="1134" w:bottom="1134" w:left="1134" w:header="709" w:footer="709" w:gutter="0"/>
          <w:cols w:space="708"/>
          <w:docGrid w:linePitch="360"/>
        </w:sectPr>
      </w:pPr>
      <w:r>
        <w:t xml:space="preserve"> </w:t>
      </w:r>
      <w:bookmarkEnd w:id="100"/>
    </w:p>
    <w:p w:rsidR="00F50689" w:rsidRDefault="005A36C4" w:rsidP="00F50689">
      <w:pPr>
        <w:pStyle w:val="HEADER2Part2"/>
        <w:spacing w:after="0"/>
        <w:rPr>
          <w:lang w:val="fr-BE"/>
        </w:rPr>
      </w:pPr>
      <w:bookmarkStart w:id="107" w:name="_DMBM_2635"/>
      <w:r>
        <w:rPr>
          <w:lang w:val="fr-BE"/>
        </w:rPr>
        <w:t>PAYABLES</w:t>
      </w:r>
    </w:p>
    <w:tbl>
      <w:tblPr>
        <w:tblW w:w="9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9"/>
        <w:gridCol w:w="1985"/>
        <w:gridCol w:w="1985"/>
        <w:gridCol w:w="1985"/>
      </w:tblGrid>
      <w:tr w:rsidR="00E7728E">
        <w:tc>
          <w:tcPr>
            <w:tcW w:w="3799"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08" w:name="DOC_TBL00044_1_1"/>
            <w:bookmarkEnd w:id="108"/>
          </w:p>
        </w:tc>
        <w:tc>
          <w:tcPr>
            <w:tcW w:w="1985" w:type="dxa"/>
            <w:tcBorders>
              <w:top w:val="nil"/>
              <w:left w:val="nil"/>
              <w:bottom w:val="nil"/>
              <w:right w:val="nil"/>
            </w:tcBorders>
            <w:tcMar>
              <w:top w:w="0" w:type="dxa"/>
              <w:left w:w="0" w:type="dxa"/>
              <w:bottom w:w="0" w:type="dxa"/>
              <w:right w:w="0" w:type="dxa"/>
            </w:tcMar>
          </w:tcPr>
          <w:p w:rsidR="00F50689" w:rsidRDefault="00F50689" w:rsidP="00F50689">
            <w:pPr>
              <w:rPr>
                <w:rFonts w:cs="Calibri"/>
              </w:rPr>
            </w:pPr>
          </w:p>
        </w:tc>
        <w:tc>
          <w:tcPr>
            <w:tcW w:w="1985" w:type="dxa"/>
            <w:tcBorders>
              <w:top w:val="nil"/>
              <w:left w:val="nil"/>
              <w:bottom w:val="nil"/>
              <w:right w:val="nil"/>
            </w:tcBorders>
            <w:tcMar>
              <w:top w:w="0" w:type="dxa"/>
              <w:left w:w="0" w:type="dxa"/>
              <w:bottom w:w="0" w:type="dxa"/>
              <w:right w:w="0" w:type="dxa"/>
            </w:tcMar>
          </w:tcPr>
          <w:p w:rsidR="00F50689" w:rsidRDefault="00F50689" w:rsidP="00F50689">
            <w:pPr>
              <w:rPr>
                <w:rFonts w:cs="Calibri"/>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rPr>
                <w:rFonts w:cs="Verdana"/>
              </w:rPr>
              <w:t>EUR millions</w:t>
            </w:r>
          </w:p>
        </w:tc>
      </w:tr>
      <w:tr w:rsidR="00E7728E">
        <w:tc>
          <w:tcPr>
            <w:tcW w:w="3799"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 xml:space="preserve">Gross Amount </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Adjustments*</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Net Amount</w:t>
            </w:r>
          </w:p>
        </w:tc>
      </w:tr>
      <w:tr w:rsidR="00E7728E">
        <w:tc>
          <w:tcPr>
            <w:tcW w:w="3799" w:type="dxa"/>
            <w:tcBorders>
              <w:top w:val="nil"/>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rPr>
                <w:rFonts w:cs="Verdana"/>
              </w:rPr>
              <w:t>2014</w:t>
            </w:r>
          </w:p>
        </w:tc>
        <w:tc>
          <w:tcPr>
            <w:tcW w:w="1985" w:type="dxa"/>
            <w:tcBorders>
              <w:top w:val="nil"/>
              <w:left w:val="nil"/>
              <w:bottom w:val="nil"/>
              <w:right w:val="nil"/>
            </w:tcBorders>
            <w:tcMar>
              <w:top w:w="0" w:type="dxa"/>
              <w:left w:w="0" w:type="dxa"/>
              <w:bottom w:w="0" w:type="dxa"/>
              <w:right w:w="0" w:type="dxa"/>
            </w:tcMar>
          </w:tcPr>
          <w:p w:rsidR="00F50689" w:rsidRDefault="00F50689" w:rsidP="00F50689">
            <w:pPr>
              <w:pStyle w:val="Figures9pBoldRight025"/>
              <w:rPr>
                <w:rFonts w:cs="Verdana"/>
              </w:rPr>
            </w:pPr>
          </w:p>
        </w:tc>
        <w:tc>
          <w:tcPr>
            <w:tcW w:w="1985" w:type="dxa"/>
            <w:tcBorders>
              <w:top w:val="nil"/>
              <w:left w:val="nil"/>
              <w:bottom w:val="nil"/>
              <w:right w:val="nil"/>
            </w:tcBorders>
            <w:tcMar>
              <w:top w:w="0" w:type="dxa"/>
              <w:left w:w="0" w:type="dxa"/>
              <w:bottom w:w="0" w:type="dxa"/>
              <w:right w:w="0" w:type="dxa"/>
            </w:tcMar>
          </w:tcPr>
          <w:p w:rsidR="00F50689" w:rsidRDefault="00F50689" w:rsidP="00F50689">
            <w:pPr>
              <w:pStyle w:val="Figures9pBoldRight025"/>
              <w:rPr>
                <w:rFonts w:cs="Verdana"/>
              </w:rPr>
            </w:pPr>
          </w:p>
        </w:tc>
        <w:tc>
          <w:tcPr>
            <w:tcW w:w="1985" w:type="dxa"/>
            <w:tcBorders>
              <w:top w:val="nil"/>
              <w:left w:val="nil"/>
              <w:bottom w:val="nil"/>
              <w:right w:val="nil"/>
            </w:tcBorders>
            <w:tcMar>
              <w:top w:w="0" w:type="dxa"/>
              <w:left w:w="0" w:type="dxa"/>
              <w:bottom w:w="0" w:type="dxa"/>
              <w:right w:w="0" w:type="dxa"/>
            </w:tcMar>
          </w:tcPr>
          <w:p w:rsidR="00F50689" w:rsidRDefault="00F50689" w:rsidP="00F50689">
            <w:pPr>
              <w:pStyle w:val="Figures9pBoldRight025"/>
              <w:rPr>
                <w:rFonts w:cs="Verdana"/>
              </w:rPr>
            </w:pPr>
          </w:p>
        </w:tc>
      </w:tr>
      <w:tr w:rsidR="00E7728E">
        <w:tc>
          <w:tcPr>
            <w:tcW w:w="379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Cost claims &amp; invoices received from:</w:t>
            </w:r>
          </w:p>
        </w:tc>
        <w:tc>
          <w:tcPr>
            <w:tcW w:w="198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98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98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r>
      <w:tr w:rsidR="00E7728E">
        <w:tc>
          <w:tcPr>
            <w:tcW w:w="379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Member States:</w:t>
            </w:r>
          </w:p>
        </w:tc>
        <w:tc>
          <w:tcPr>
            <w:tcW w:w="198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98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98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r>
      <w:tr w:rsidR="00E7728E">
        <w:tc>
          <w:tcPr>
            <w:tcW w:w="3799"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200"/>
              <w:rPr>
                <w:rFonts w:cs="Verdana"/>
              </w:rPr>
            </w:pPr>
            <w:r>
              <w:rPr>
                <w:rFonts w:cs="Verdana"/>
              </w:rPr>
              <w:t>European Agricultural Fund for Rural Development &amp; other rural development instruments</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318</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(23)</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295</w:t>
            </w:r>
          </w:p>
        </w:tc>
      </w:tr>
      <w:tr w:rsidR="00E7728E">
        <w:tc>
          <w:tcPr>
            <w:tcW w:w="3799"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200"/>
              <w:rPr>
                <w:rFonts w:cs="Verdana"/>
              </w:rPr>
            </w:pPr>
            <w:r>
              <w:rPr>
                <w:rFonts w:cs="Verdana"/>
              </w:rPr>
              <w:t>European Regional Development Fund &amp; Cohesion Fund</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19 928</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(2 306)</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17 622</w:t>
            </w:r>
          </w:p>
        </w:tc>
      </w:tr>
      <w:tr w:rsidR="00E7728E">
        <w:tc>
          <w:tcPr>
            <w:tcW w:w="3799"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200"/>
              <w:rPr>
                <w:rFonts w:cs="Verdana"/>
              </w:rPr>
            </w:pPr>
            <w:r>
              <w:rPr>
                <w:rFonts w:cs="Verdana"/>
              </w:rPr>
              <w:t>European Social Fund</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5 893</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(272)</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5 621</w:t>
            </w:r>
          </w:p>
        </w:tc>
      </w:tr>
      <w:tr w:rsidR="00E7728E">
        <w:tc>
          <w:tcPr>
            <w:tcW w:w="3799"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200"/>
              <w:rPr>
                <w:rFonts w:cs="Verdana"/>
              </w:rPr>
            </w:pPr>
            <w:r>
              <w:rPr>
                <w:rFonts w:cs="Verdana"/>
              </w:rPr>
              <w:t>Other</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751</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(93)</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658</w:t>
            </w:r>
          </w:p>
        </w:tc>
      </w:tr>
      <w:tr w:rsidR="00E7728E">
        <w:tc>
          <w:tcPr>
            <w:tcW w:w="3799"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Private and public entities</w:t>
            </w:r>
          </w:p>
        </w:tc>
        <w:tc>
          <w:tcPr>
            <w:tcW w:w="1985"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1 718</w:t>
            </w:r>
          </w:p>
        </w:tc>
        <w:tc>
          <w:tcPr>
            <w:tcW w:w="1985"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(106)</w:t>
            </w:r>
          </w:p>
        </w:tc>
        <w:tc>
          <w:tcPr>
            <w:tcW w:w="1985"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1 612</w:t>
            </w:r>
          </w:p>
        </w:tc>
      </w:tr>
      <w:tr w:rsidR="00E7728E">
        <w:tc>
          <w:tcPr>
            <w:tcW w:w="3799"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BoldLeft"/>
              <w:rPr>
                <w:rFonts w:cs="Verdana"/>
              </w:rPr>
            </w:pPr>
            <w:r>
              <w:rPr>
                <w:rFonts w:cs="Verdana"/>
              </w:rPr>
              <w:t>Total costs claims &amp; invoices received</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28 608</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(2 800)</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25 808</w:t>
            </w:r>
          </w:p>
        </w:tc>
      </w:tr>
      <w:tr w:rsidR="00E7728E">
        <w:tc>
          <w:tcPr>
            <w:tcW w:w="3799"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European Agricultural Guarantee Fund</w:t>
            </w:r>
          </w:p>
        </w:tc>
        <w:tc>
          <w:tcPr>
            <w:tcW w:w="1985"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11 066</w:t>
            </w:r>
          </w:p>
        </w:tc>
        <w:tc>
          <w:tcPr>
            <w:tcW w:w="1985"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N/A</w:t>
            </w:r>
          </w:p>
        </w:tc>
        <w:tc>
          <w:tcPr>
            <w:tcW w:w="1985"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11 066</w:t>
            </w:r>
          </w:p>
        </w:tc>
      </w:tr>
      <w:tr w:rsidR="00E7728E">
        <w:tc>
          <w:tcPr>
            <w:tcW w:w="379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Sundry payables</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156</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N/A</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156</w:t>
            </w:r>
          </w:p>
        </w:tc>
      </w:tr>
      <w:tr w:rsidR="00E7728E">
        <w:tc>
          <w:tcPr>
            <w:tcW w:w="379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Own resources payables</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5 945</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N/A</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5 945</w:t>
            </w:r>
          </w:p>
        </w:tc>
      </w:tr>
      <w:tr w:rsidR="00E7728E">
        <w:tc>
          <w:tcPr>
            <w:tcW w:w="379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Other</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204</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N/A</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204</w:t>
            </w:r>
          </w:p>
        </w:tc>
      </w:tr>
      <w:tr w:rsidR="00E7728E">
        <w:tc>
          <w:tcPr>
            <w:tcW w:w="379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Total at 31.12.2014</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45 980</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(2 800)</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43 180</w:t>
            </w:r>
          </w:p>
        </w:tc>
      </w:tr>
      <w:tr w:rsidR="00E7728E">
        <w:tc>
          <w:tcPr>
            <w:tcW w:w="3799"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BoldLeft"/>
              <w:rPr>
                <w:rFonts w:cs="Verdana"/>
              </w:rPr>
            </w:pPr>
            <w:r>
              <w:rPr>
                <w:rFonts w:cs="Verdana"/>
              </w:rPr>
              <w:t>2013</w:t>
            </w:r>
          </w:p>
        </w:tc>
        <w:tc>
          <w:tcPr>
            <w:tcW w:w="1985" w:type="dxa"/>
            <w:tcBorders>
              <w:top w:val="nil"/>
              <w:left w:val="nil"/>
              <w:bottom w:val="single" w:sz="4" w:space="0" w:color="016794"/>
              <w:right w:val="nil"/>
            </w:tcBorders>
            <w:tcMar>
              <w:top w:w="0" w:type="dxa"/>
              <w:left w:w="0" w:type="dxa"/>
              <w:bottom w:w="0" w:type="dxa"/>
              <w:right w:w="0" w:type="dxa"/>
            </w:tcMar>
          </w:tcPr>
          <w:p w:rsidR="00F50689" w:rsidRDefault="00F50689" w:rsidP="00F50689">
            <w:pPr>
              <w:pStyle w:val="Figures9pBoldRight025"/>
              <w:rPr>
                <w:rFonts w:cs="Verdana"/>
              </w:rPr>
            </w:pPr>
          </w:p>
        </w:tc>
        <w:tc>
          <w:tcPr>
            <w:tcW w:w="1985" w:type="dxa"/>
            <w:tcBorders>
              <w:top w:val="nil"/>
              <w:left w:val="nil"/>
              <w:bottom w:val="single" w:sz="4" w:space="0" w:color="016794"/>
              <w:right w:val="nil"/>
            </w:tcBorders>
            <w:tcMar>
              <w:top w:w="0" w:type="dxa"/>
              <w:left w:w="0" w:type="dxa"/>
              <w:bottom w:w="0" w:type="dxa"/>
              <w:right w:w="0" w:type="dxa"/>
            </w:tcMar>
          </w:tcPr>
          <w:p w:rsidR="00F50689" w:rsidRDefault="00F50689" w:rsidP="00F50689">
            <w:pPr>
              <w:pStyle w:val="Figures9pBoldRight025"/>
              <w:rPr>
                <w:rFonts w:cs="Verdana"/>
              </w:rPr>
            </w:pPr>
          </w:p>
        </w:tc>
        <w:tc>
          <w:tcPr>
            <w:tcW w:w="1985" w:type="dxa"/>
            <w:tcBorders>
              <w:top w:val="nil"/>
              <w:left w:val="nil"/>
              <w:bottom w:val="single" w:sz="4" w:space="0" w:color="016794"/>
              <w:right w:val="nil"/>
            </w:tcBorders>
            <w:tcMar>
              <w:top w:w="0" w:type="dxa"/>
              <w:left w:w="0" w:type="dxa"/>
              <w:bottom w:w="0" w:type="dxa"/>
              <w:right w:w="0" w:type="dxa"/>
            </w:tcMar>
          </w:tcPr>
          <w:p w:rsidR="00F50689" w:rsidRDefault="00F50689" w:rsidP="00F50689">
            <w:pPr>
              <w:pStyle w:val="Figures9pBoldRight025"/>
              <w:rPr>
                <w:rFonts w:cs="Verdana"/>
              </w:rPr>
            </w:pPr>
          </w:p>
        </w:tc>
      </w:tr>
      <w:tr w:rsidR="00E7728E">
        <w:tc>
          <w:tcPr>
            <w:tcW w:w="3799"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BoldLeft"/>
              <w:rPr>
                <w:rFonts w:cs="Verdana"/>
              </w:rPr>
            </w:pPr>
            <w:r>
              <w:rPr>
                <w:rFonts w:cs="Verdana"/>
              </w:rPr>
              <w:t>Total costs claims &amp; invoices received</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27 257</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(2 918)</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24 339</w:t>
            </w:r>
          </w:p>
        </w:tc>
      </w:tr>
      <w:tr w:rsidR="00E7728E">
        <w:tc>
          <w:tcPr>
            <w:tcW w:w="3799"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European Agricultural Guarantee Fund</w:t>
            </w:r>
          </w:p>
        </w:tc>
        <w:tc>
          <w:tcPr>
            <w:tcW w:w="1985"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11 252</w:t>
            </w:r>
          </w:p>
        </w:tc>
        <w:tc>
          <w:tcPr>
            <w:tcW w:w="1985"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N/A</w:t>
            </w:r>
          </w:p>
        </w:tc>
        <w:tc>
          <w:tcPr>
            <w:tcW w:w="1985"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11 252</w:t>
            </w:r>
          </w:p>
        </w:tc>
      </w:tr>
      <w:tr w:rsidR="00E7728E">
        <w:tc>
          <w:tcPr>
            <w:tcW w:w="379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Sundry payables</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147</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N/A</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147</w:t>
            </w:r>
          </w:p>
        </w:tc>
      </w:tr>
      <w:tr w:rsidR="00E7728E">
        <w:tc>
          <w:tcPr>
            <w:tcW w:w="379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Own resources payables</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244</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N/A</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244</w:t>
            </w:r>
          </w:p>
        </w:tc>
      </w:tr>
      <w:tr w:rsidR="00E7728E">
        <w:tc>
          <w:tcPr>
            <w:tcW w:w="379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Other</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231</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N/A</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231</w:t>
            </w:r>
          </w:p>
        </w:tc>
      </w:tr>
      <w:tr w:rsidR="00E7728E">
        <w:tc>
          <w:tcPr>
            <w:tcW w:w="379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Total at 31.12.2013</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39 131</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(2 918)</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36 213</w:t>
            </w:r>
          </w:p>
        </w:tc>
      </w:tr>
    </w:tbl>
    <w:p w:rsidR="00F50689" w:rsidRPr="00101459" w:rsidRDefault="005A36C4" w:rsidP="00101459">
      <w:pPr>
        <w:pStyle w:val="Textstand-alone"/>
        <w:spacing w:before="60"/>
        <w:rPr>
          <w:i/>
          <w:sz w:val="14"/>
        </w:rPr>
      </w:pPr>
      <w:r w:rsidRPr="00101459">
        <w:rPr>
          <w:i/>
          <w:sz w:val="14"/>
        </w:rPr>
        <w:t>* Estimated non-eligible amounts and pending prepayments.</w:t>
      </w:r>
    </w:p>
    <w:p w:rsidR="00F50689" w:rsidRDefault="005A36C4" w:rsidP="00F50689">
      <w:pPr>
        <w:pStyle w:val="Textstand-alone"/>
      </w:pPr>
      <w:r>
        <w:t xml:space="preserve">Payables include cost statements received by the Commission under the framework of grant activities. They are credited for the amount being claimed from the moment the demand is received. If the counterpart is a Member State, they are classified as such. It is the same procedure for invoices and credit notes received under procurement activities. The cost claims concerned have been taken into account through the year-end cut off procedures. Following these cut-off entries, estimated eligible amounts have therefore been recorded in the accounts as expenses, while the remaining part is disclosed as “Estimated non-eligible amounts and pending prepayments” (see below). </w:t>
      </w:r>
    </w:p>
    <w:p w:rsidR="00F50689" w:rsidRDefault="005A36C4" w:rsidP="00F50689">
      <w:pPr>
        <w:pStyle w:val="Textstand-alone"/>
      </w:pPr>
      <w:r>
        <w:t xml:space="preserve">Own resources payables refer to the contribution of Member States to the EU budget to be reimbursed at year-end following the last amending budget of 2014 (EUR 5.9 billion). The significant increase compared to last year is due to the GNI revisions made at year-end (see also note </w:t>
      </w:r>
      <w:r w:rsidRPr="00A20497">
        <w:rPr>
          <w:b/>
        </w:rPr>
        <w:t>2.6.1.1</w:t>
      </w:r>
      <w:r>
        <w:t xml:space="preserve">). </w:t>
      </w:r>
    </w:p>
    <w:p w:rsidR="00F50689" w:rsidRDefault="005A36C4" w:rsidP="00F50689">
      <w:pPr>
        <w:pStyle w:val="HEADER5"/>
      </w:pPr>
      <w:r>
        <w:t>Estimated non-eligible amounts and pending prepayments</w:t>
      </w:r>
    </w:p>
    <w:p w:rsidR="00F50689" w:rsidRDefault="005A36C4" w:rsidP="00F50689">
      <w:pPr>
        <w:pStyle w:val="Textstand-alone"/>
      </w:pPr>
      <w:r>
        <w:t xml:space="preserve">Payables are reduced by that part of the requests for reimbursement received, but not yet checked, that was estimated to be non-eligible. The largest amounts concern the Structural Actions DGs. Payables are also reduced by the part of requests for reimbursement received </w:t>
      </w:r>
      <w:r w:rsidRPr="009145EE">
        <w:t xml:space="preserve">concerning other advances to Member States (see note </w:t>
      </w:r>
      <w:r w:rsidRPr="009145EE">
        <w:rPr>
          <w:b/>
        </w:rPr>
        <w:t>2.5.2</w:t>
      </w:r>
      <w:r w:rsidRPr="009145EE">
        <w:t>) still to pay at year end (EUR 2.0 billion).</w:t>
      </w:r>
    </w:p>
    <w:p w:rsidR="00F50689" w:rsidRDefault="005A36C4" w:rsidP="00F50689">
      <w:pPr>
        <w:pStyle w:val="HEADER5"/>
      </w:pPr>
      <w:r>
        <w:t>Requests for pre-financing</w:t>
      </w:r>
    </w:p>
    <w:p w:rsidR="00F50689" w:rsidRDefault="005A36C4" w:rsidP="00F50689">
      <w:pPr>
        <w:pStyle w:val="Textstand-alone"/>
        <w:spacing w:after="0"/>
      </w:pPr>
      <w:r>
        <w:t>In addition to the above amounts, EUR 1.3 billion of requests for pre-financing have been received and were not yet paid at year-end. According to the EU accounting rules, these amounts are not booked as payables.</w:t>
      </w:r>
    </w:p>
    <w:p w:rsidR="00F50689" w:rsidRPr="00377F99" w:rsidRDefault="005A36C4" w:rsidP="00F50689">
      <w:pPr>
        <w:pStyle w:val="Textstand-alone"/>
        <w:spacing w:before="0" w:after="0"/>
        <w:sectPr w:rsidR="00F50689" w:rsidRPr="00377F99" w:rsidSect="00F50689">
          <w:headerReference w:type="even" r:id="rId197"/>
          <w:headerReference w:type="default" r:id="rId198"/>
          <w:footerReference w:type="even" r:id="rId199"/>
          <w:footerReference w:type="default" r:id="rId200"/>
          <w:headerReference w:type="first" r:id="rId201"/>
          <w:footerReference w:type="first" r:id="rId202"/>
          <w:pgSz w:w="11906" w:h="16838"/>
          <w:pgMar w:top="1134" w:right="1134" w:bottom="1134" w:left="1134" w:header="709" w:footer="709" w:gutter="0"/>
          <w:cols w:space="708"/>
          <w:docGrid w:linePitch="360"/>
        </w:sectPr>
      </w:pPr>
      <w:r>
        <w:t xml:space="preserve"> </w:t>
      </w:r>
      <w:bookmarkEnd w:id="107"/>
    </w:p>
    <w:p w:rsidR="00F50689" w:rsidRDefault="005A36C4" w:rsidP="00945E7C">
      <w:pPr>
        <w:pStyle w:val="HEADER2Part2"/>
        <w:rPr>
          <w:lang w:val="fr-BE"/>
        </w:rPr>
      </w:pPr>
      <w:bookmarkStart w:id="109" w:name="_DMBM_2636"/>
      <w:r>
        <w:rPr>
          <w:lang w:val="fr-BE"/>
        </w:rPr>
        <w:t>ACCRUED CHARGES AND DEFERRED INCOME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10" w:name="DOC_TBL00045_1_1"/>
            <w:bookmarkEnd w:id="110"/>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rPr>
                <w:rFonts w:cs="Verdana"/>
              </w:rPr>
              <w:t>EUR millions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31.12.2013</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Accrued charges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55 798</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56 085</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Deferred income</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56</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62</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Other</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118</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134</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55 973</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56 282</w:t>
            </w:r>
          </w:p>
        </w:tc>
      </w:tr>
    </w:tbl>
    <w:p w:rsidR="00F50689" w:rsidRPr="00C9276D" w:rsidRDefault="005A36C4" w:rsidP="00F50689">
      <w:pPr>
        <w:pStyle w:val="Textstand-alone"/>
        <w:spacing w:after="0"/>
      </w:pPr>
      <w:r w:rsidRPr="00C9276D">
        <w:t>The split of accrued charges is as follows: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11" w:name="DOC_TBL00046_1_1"/>
            <w:bookmarkEnd w:id="111"/>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rPr>
                <w:rFonts w:cs="Verdana"/>
              </w:rPr>
              <w:t>EUR millions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31.12.2013</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European Agricultural Guarantee Fund</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33 667</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33 491</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European Agricultural Fund for Rural Development &amp; other rural development instruments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13 414</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12 458</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European Regional Development Fund and Cohesion Fund</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3 157</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4 371</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European Social Fund</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976</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1 109</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Other</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4 584</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4 656</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55 798</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56 085</w:t>
            </w:r>
          </w:p>
        </w:tc>
      </w:tr>
    </w:tbl>
    <w:p w:rsidR="00F50689" w:rsidRPr="00C9276D" w:rsidRDefault="005A36C4" w:rsidP="00F50689">
      <w:pPr>
        <w:pStyle w:val="Textstand-alone"/>
        <w:spacing w:before="0"/>
        <w:sectPr w:rsidR="00F50689" w:rsidRPr="00C9276D" w:rsidSect="00F50689">
          <w:headerReference w:type="even" r:id="rId203"/>
          <w:headerReference w:type="default" r:id="rId204"/>
          <w:footerReference w:type="even" r:id="rId205"/>
          <w:footerReference w:type="default" r:id="rId206"/>
          <w:headerReference w:type="first" r:id="rId207"/>
          <w:footerReference w:type="first" r:id="rId208"/>
          <w:pgSz w:w="11906" w:h="16838"/>
          <w:pgMar w:top="1134" w:right="1134" w:bottom="1134" w:left="1134" w:header="709" w:footer="709" w:gutter="0"/>
          <w:cols w:space="708"/>
          <w:docGrid w:linePitch="360"/>
        </w:sectPr>
      </w:pPr>
      <w:r>
        <w:t xml:space="preserve"> </w:t>
      </w:r>
      <w:bookmarkEnd w:id="109"/>
    </w:p>
    <w:p w:rsidR="00F50689" w:rsidRDefault="00F50689" w:rsidP="00F50689">
      <w:pPr>
        <w:pStyle w:val="HEADERTABLE"/>
        <w:rPr>
          <w:lang w:val="fr-BE"/>
        </w:rPr>
      </w:pPr>
      <w:bookmarkStart w:id="112" w:name="_DMBM_2637"/>
    </w:p>
    <w:p w:rsidR="00F50689" w:rsidRDefault="005A36C4" w:rsidP="00F50689">
      <w:pPr>
        <w:pStyle w:val="HEADERTABLE"/>
        <w:rPr>
          <w:lang w:val="fr-BE"/>
        </w:rPr>
      </w:pPr>
      <w:r>
        <w:rPr>
          <w:lang w:val="fr-BE"/>
        </w:rPr>
        <w:t>NET ASSETS</w:t>
      </w:r>
    </w:p>
    <w:p w:rsidR="00F50689" w:rsidRDefault="005A36C4" w:rsidP="00F50689">
      <w:pPr>
        <w:pStyle w:val="HEADER2Part2"/>
        <w:rPr>
          <w:lang w:val="fr-BE"/>
        </w:rPr>
      </w:pPr>
      <w:r>
        <w:rPr>
          <w:lang w:val="fr-BE"/>
        </w:rPr>
        <w:t>RESERVES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lang w:val="fr-BE" w:bidi="en-GB"/>
              </w:rPr>
            </w:pPr>
            <w:bookmarkStart w:id="113" w:name="DOC_TBL00047_1_1"/>
            <w:bookmarkEnd w:id="113"/>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val="fr-BE"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val="fr-BE" w:bidi="en-GB"/>
              </w:rPr>
            </w:pP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lang w:val="fr-BE" w:bidi="en-GB"/>
              </w:rPr>
            </w:pPr>
            <w:r>
              <w:rPr>
                <w:rFonts w:eastAsia="Verdana" w:cs="Verdana"/>
                <w:lang w:val="fr-BE" w:bidi="en-GB"/>
              </w:rPr>
              <w:t>EUR millions</w:t>
            </w:r>
          </w:p>
        </w:tc>
      </w:tr>
      <w:tr w:rsidR="00E7728E">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lang w:val="fr-BE" w:bidi="en-GB"/>
              </w:rPr>
            </w:pP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lang w:val="fr-BE" w:bidi="en-GB"/>
              </w:rPr>
            </w:pPr>
            <w:r>
              <w:rPr>
                <w:rFonts w:eastAsia="Verdana" w:cs="Verdana"/>
                <w:lang w:val="fr-BE" w:bidi="en-GB"/>
              </w:rPr>
              <w:t>Note</w:t>
            </w:r>
          </w:p>
        </w:tc>
        <w:tc>
          <w:tcPr>
            <w:tcW w:w="184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lang w:val="fr-BE" w:bidi="en-GB"/>
              </w:rPr>
            </w:pPr>
            <w:r>
              <w:rPr>
                <w:rFonts w:eastAsia="Verdana" w:cs="Verdana"/>
                <w:lang w:val="fr-BE" w:bidi="en-GB"/>
              </w:rPr>
              <w:t>31.12.2014</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lang w:val="fr-BE" w:bidi="en-GB"/>
              </w:rPr>
            </w:pPr>
            <w:r>
              <w:rPr>
                <w:rFonts w:eastAsia="Verdana" w:cs="Verdana"/>
                <w:lang w:val="fr-BE" w:bidi="en-GB"/>
              </w:rPr>
              <w:t>31.12.2013</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val="fr-BE" w:bidi="en-GB"/>
              </w:rPr>
            </w:pPr>
            <w:r>
              <w:rPr>
                <w:rFonts w:eastAsia="Verdana" w:cs="Verdana"/>
                <w:lang w:val="fr-BE" w:bidi="en-GB"/>
              </w:rPr>
              <w:t>Fair value reserve</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lang w:val="fr-BE" w:bidi="en-GB"/>
              </w:rPr>
            </w:pPr>
            <w:r>
              <w:rPr>
                <w:rFonts w:eastAsia="Verdana" w:cs="Verdana"/>
                <w:lang w:val="fr-BE" w:bidi="en-GB"/>
              </w:rPr>
              <w:t>2.14.1</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 xml:space="preserve"> 238</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 xml:space="preserve"> 99</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val="fr-BE" w:bidi="en-GB"/>
              </w:rPr>
            </w:pPr>
            <w:r>
              <w:rPr>
                <w:rFonts w:eastAsia="Verdana" w:cs="Verdana"/>
                <w:lang w:val="fr-BE" w:bidi="en-GB"/>
              </w:rPr>
              <w:t>Guarantee Fund reserve</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lang w:val="fr-BE" w:bidi="en-GB"/>
              </w:rPr>
            </w:pPr>
            <w:r>
              <w:rPr>
                <w:rFonts w:eastAsia="Verdana" w:cs="Verdana"/>
                <w:lang w:val="fr-BE" w:bidi="en-GB"/>
              </w:rPr>
              <w:t>2.14.2</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2 372</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2 125</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val="fr-BE" w:bidi="en-GB"/>
              </w:rPr>
            </w:pPr>
            <w:r>
              <w:rPr>
                <w:rFonts w:eastAsia="Verdana" w:cs="Verdana"/>
                <w:lang w:val="fr-BE" w:bidi="en-GB"/>
              </w:rPr>
              <w:t>Other reserves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lang w:val="fr-BE" w:bidi="en-GB"/>
              </w:rPr>
            </w:pPr>
            <w:r>
              <w:rPr>
                <w:rFonts w:eastAsia="Verdana" w:cs="Verdana"/>
                <w:lang w:val="fr-BE" w:bidi="en-GB"/>
              </w:rPr>
              <w:t>2.14.3</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1 825</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1 849</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eastAsia="Verdana" w:cs="Verdana"/>
                <w:lang w:val="fr-BE" w:bidi="en-GB"/>
              </w:rPr>
            </w:pPr>
            <w:r>
              <w:rPr>
                <w:rFonts w:eastAsia="Verdana" w:cs="Verdana"/>
                <w:lang w:val="fr-BE" w:bidi="en-GB"/>
              </w:rPr>
              <w:t>Total</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ItalicCentered"/>
              <w:rPr>
                <w:rFonts w:eastAsia="Verdana" w:cs="Verdana"/>
                <w:i w:val="0"/>
                <w:lang w:val="fr-BE" w:bidi="en-GB"/>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lang w:val="fr-BE" w:bidi="en-GB"/>
              </w:rPr>
            </w:pPr>
            <w:r>
              <w:rPr>
                <w:rFonts w:eastAsia="Verdana" w:cs="Verdana"/>
                <w:lang w:val="fr-BE" w:bidi="en-GB"/>
              </w:rPr>
              <w:t>4 435</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lang w:val="fr-BE" w:bidi="en-GB"/>
              </w:rPr>
            </w:pPr>
            <w:r>
              <w:rPr>
                <w:rFonts w:eastAsia="Verdana" w:cs="Verdana"/>
                <w:lang w:val="fr-BE" w:bidi="en-GB"/>
              </w:rPr>
              <w:t>4 073</w:t>
            </w:r>
          </w:p>
        </w:tc>
      </w:tr>
    </w:tbl>
    <w:p w:rsidR="00F50689" w:rsidRPr="00636D48" w:rsidRDefault="005A36C4" w:rsidP="00F50689">
      <w:pPr>
        <w:pStyle w:val="HEADER3Part2"/>
      </w:pPr>
      <w:r w:rsidRPr="00636D48">
        <w:t>Fair value reserve</w:t>
      </w:r>
    </w:p>
    <w:p w:rsidR="00F50689" w:rsidRDefault="005A36C4" w:rsidP="00F50689">
      <w:pPr>
        <w:pStyle w:val="Textstand-alone"/>
        <w:spacing w:after="120"/>
      </w:pPr>
      <w:r>
        <w:t>In accordance with the EU accounting rules, the adjustment to fair value of available for sale financial assets is accounted for through the fair value reserve.</w:t>
      </w:r>
    </w:p>
    <w:p w:rsidR="00F50689" w:rsidRDefault="005A36C4" w:rsidP="00F50689">
      <w:pPr>
        <w:pStyle w:val="Textstand-alone"/>
      </w:pPr>
      <w:r>
        <w:t>Movements of the fair value reserve relating to available for sale financial assets during the period</w:t>
      </w:r>
      <w:r w:rsidR="00F50689">
        <w:t>:</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lang w:bidi="en-GB"/>
              </w:rPr>
            </w:pPr>
            <w:bookmarkStart w:id="114" w:name="DOC_TBL00048_1_1"/>
            <w:bookmarkEnd w:id="114"/>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lang w:bidi="en-GB"/>
              </w:rPr>
            </w:pPr>
            <w:r>
              <w:rPr>
                <w:rFonts w:eastAsia="Verdana" w:cs="Verdana"/>
                <w:lang w:bidi="en-GB"/>
              </w:rPr>
              <w:t>EUR millions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lang w:bidi="en-GB"/>
              </w:rPr>
            </w:pPr>
            <w:r>
              <w:rPr>
                <w:rFonts w:eastAsia="Verdana" w:cs="Verdana"/>
                <w:lang w:bidi="en-GB"/>
              </w:rPr>
              <w:t>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lang w:bidi="en-GB"/>
              </w:rPr>
            </w:pPr>
            <w:r>
              <w:rPr>
                <w:rFonts w:eastAsia="Verdana" w:cs="Verdana"/>
                <w:lang w:bidi="en-GB"/>
              </w:rPr>
              <w:t>2013</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bidi="en-GB"/>
              </w:rPr>
            </w:pPr>
            <w:r>
              <w:rPr>
                <w:rFonts w:eastAsia="Verdana" w:cs="Verdana"/>
                <w:lang w:bidi="en-GB"/>
              </w:rPr>
              <w:t>Included in fair value reserve</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135</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(25)</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bidi="en-GB"/>
              </w:rPr>
            </w:pPr>
            <w:r>
              <w:rPr>
                <w:rFonts w:eastAsia="Verdana" w:cs="Verdana"/>
                <w:lang w:bidi="en-GB"/>
              </w:rPr>
              <w:t>Included in the statement of financial performance</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(10)</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(25)</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eastAsia="Verdana" w:cs="Verdana"/>
                <w:lang w:bidi="en-GB"/>
              </w:rPr>
            </w:pPr>
            <w:r>
              <w:rPr>
                <w:rFonts w:eastAsia="Verdana" w:cs="Verdana"/>
                <w:lang w:bidi="en-GB"/>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lang w:bidi="en-GB"/>
              </w:rPr>
            </w:pPr>
            <w:r>
              <w:rPr>
                <w:rFonts w:eastAsia="Verdana" w:cs="Verdana"/>
                <w:lang w:bidi="en-GB"/>
              </w:rPr>
              <w:t xml:space="preserve"> 125</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lang w:bidi="en-GB"/>
              </w:rPr>
            </w:pPr>
            <w:r>
              <w:rPr>
                <w:rFonts w:eastAsia="Verdana" w:cs="Verdana"/>
                <w:lang w:bidi="en-GB"/>
              </w:rPr>
              <w:t xml:space="preserve"> (50)</w:t>
            </w:r>
          </w:p>
        </w:tc>
      </w:tr>
    </w:tbl>
    <w:p w:rsidR="00F50689" w:rsidRDefault="005A36C4" w:rsidP="00F50689">
      <w:pPr>
        <w:pStyle w:val="Textstand-alone"/>
        <w:spacing w:after="120"/>
      </w:pPr>
      <w:r>
        <w:t>In addition, an amount of EUR</w:t>
      </w:r>
      <w:r w:rsidR="004F7F0A">
        <w:t> </w:t>
      </w:r>
      <w:r>
        <w:t>15</w:t>
      </w:r>
      <w:r w:rsidR="004F7F0A">
        <w:t> </w:t>
      </w:r>
      <w:r>
        <w:t>million in the overall movement of the fair value reserve relates to investments accounted for using the equity method.</w:t>
      </w:r>
    </w:p>
    <w:p w:rsidR="00F50689" w:rsidRPr="00636D48" w:rsidRDefault="005A36C4" w:rsidP="00F50689">
      <w:pPr>
        <w:pStyle w:val="HEADER3Part2"/>
      </w:pPr>
      <w:r w:rsidRPr="00636D48">
        <w:t>Guarantee Fund reserve</w:t>
      </w:r>
    </w:p>
    <w:p w:rsidR="00F50689" w:rsidRDefault="005A36C4" w:rsidP="00F50689">
      <w:pPr>
        <w:pStyle w:val="Textstand-alone"/>
      </w:pPr>
      <w:r>
        <w:t>This reserve reflects the 9</w:t>
      </w:r>
      <w:r w:rsidR="004F7F0A">
        <w:t> </w:t>
      </w:r>
      <w:r>
        <w:t>% target amount of the outstanding amounts guaranteed by the Fund that is required to be kept as assets.</w:t>
      </w:r>
    </w:p>
    <w:p w:rsidR="00F50689" w:rsidRPr="00636D48" w:rsidRDefault="005A36C4" w:rsidP="00F50689">
      <w:pPr>
        <w:pStyle w:val="HEADER3Part2"/>
      </w:pPr>
      <w:r w:rsidRPr="00636D48">
        <w:t>Other reserves</w:t>
      </w:r>
    </w:p>
    <w:p w:rsidR="00F50689" w:rsidRDefault="005A36C4" w:rsidP="00F50689">
      <w:pPr>
        <w:pStyle w:val="Textstand-alone"/>
        <w:spacing w:after="0"/>
      </w:pPr>
      <w:r>
        <w:t xml:space="preserve">The amount relates primarily to the ECSC in liquidation reserve </w:t>
      </w:r>
      <w:r w:rsidRPr="00113B3F">
        <w:t>(EUR</w:t>
      </w:r>
      <w:r w:rsidR="004F7F0A">
        <w:t> </w:t>
      </w:r>
      <w:r w:rsidRPr="00113B3F">
        <w:t>1</w:t>
      </w:r>
      <w:r w:rsidR="004F7F0A">
        <w:t> </w:t>
      </w:r>
      <w:r w:rsidRPr="00113B3F">
        <w:t>532</w:t>
      </w:r>
      <w:r w:rsidR="004F7F0A">
        <w:t> </w:t>
      </w:r>
      <w:r w:rsidRPr="00113B3F">
        <w:t>million) for the assets of the Research Fund for Coal and Steel</w:t>
      </w:r>
      <w:r>
        <w:t>, which</w:t>
      </w:r>
      <w:r w:rsidRPr="00113B3F">
        <w:t xml:space="preserve"> was created in the</w:t>
      </w:r>
      <w:r>
        <w:t xml:space="preserve"> context of the winding-up of the ECSC.</w:t>
      </w:r>
    </w:p>
    <w:p w:rsidR="00F50689" w:rsidRPr="005378E7" w:rsidRDefault="005A36C4" w:rsidP="00F50689">
      <w:pPr>
        <w:pStyle w:val="Textstand-alone"/>
        <w:spacing w:before="0" w:after="0"/>
        <w:sectPr w:rsidR="00F50689" w:rsidRPr="005378E7" w:rsidSect="00F50689">
          <w:headerReference w:type="even" r:id="rId209"/>
          <w:headerReference w:type="default" r:id="rId210"/>
          <w:footerReference w:type="even" r:id="rId211"/>
          <w:footerReference w:type="default" r:id="rId212"/>
          <w:headerReference w:type="first" r:id="rId213"/>
          <w:footerReference w:type="first" r:id="rId214"/>
          <w:type w:val="continuous"/>
          <w:pgSz w:w="11906" w:h="16838"/>
          <w:pgMar w:top="1134" w:right="1134" w:bottom="1134" w:left="1134" w:header="709" w:footer="709" w:gutter="0"/>
          <w:cols w:space="708"/>
          <w:docGrid w:linePitch="360"/>
        </w:sectPr>
      </w:pPr>
      <w:r>
        <w:t xml:space="preserve"> </w:t>
      </w:r>
      <w:bookmarkEnd w:id="112"/>
    </w:p>
    <w:p w:rsidR="00F50689" w:rsidRDefault="005A36C4" w:rsidP="00F50689">
      <w:pPr>
        <w:pStyle w:val="HEADER2Part2"/>
      </w:pPr>
      <w:bookmarkStart w:id="115" w:name="_DMBM_2638"/>
      <w:r w:rsidRPr="005A46C1">
        <w:t>AMOUNTS TO BE CALLED FROM MEMBER STATES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1"/>
        <w:gridCol w:w="2126"/>
      </w:tblGrid>
      <w:tr w:rsidR="00E7728E">
        <w:tc>
          <w:tcPr>
            <w:tcW w:w="7621"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16" w:name="DOC_TBL00049_1_1"/>
            <w:bookmarkEnd w:id="116"/>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rPr>
                <w:rFonts w:cs="Verdana"/>
              </w:rPr>
              <w:t xml:space="preserve">EUR millions </w:t>
            </w:r>
          </w:p>
        </w:tc>
      </w:tr>
      <w:tr w:rsidR="00E7728E">
        <w:tc>
          <w:tcPr>
            <w:tcW w:w="762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Right025"/>
              <w:rPr>
                <w:rFonts w:cs="Verdana"/>
              </w:rPr>
            </w:pP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Amounts to be called from Member States at 31.12.2013</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49 925</w:t>
            </w: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Return of 2013 budget surplus to Member States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1 005</w:t>
            </w: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Movement in Guarantee Fund reserve</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247</w:t>
            </w: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Other reserve movements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(15)</w:t>
            </w: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Economic result of the year</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11 280</w:t>
            </w:r>
          </w:p>
        </w:tc>
      </w:tr>
      <w:tr w:rsidR="00E7728E">
        <w:tc>
          <w:tcPr>
            <w:tcW w:w="762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Total amounts to be called from Member States at 31.12.2014</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62 441</w:t>
            </w:r>
          </w:p>
        </w:tc>
      </w:tr>
    </w:tbl>
    <w:p w:rsidR="00F50689" w:rsidRDefault="005A36C4" w:rsidP="00F50689">
      <w:pPr>
        <w:pStyle w:val="Textstand-alone"/>
      </w:pPr>
      <w:r>
        <w:t xml:space="preserve">This amount represents that part of the expenses incurred by the EU up to 31 December that must be funded by future budgets. Many expenses are recognised under accrual accounting rules in the year N although they may be actually paid in year N+1 (or later) and therefore funded using the budget of year N+1 (or later). The inclusion in the accounts of these liabilities coupled with the fact that the corresponding amounts are financed from future budgets, results in liabilities greatly exceeding assets at the year-end. The most significant amounts to be highlighted are the European Agricultural Guarantee Fund activities. The majority of the amounts to be called are in fact paid by the Member States in less than 12 months after the end of the financial year in question as part of the budget of the following year. </w:t>
      </w:r>
    </w:p>
    <w:p w:rsidR="00F50689" w:rsidRDefault="005A36C4" w:rsidP="00F50689">
      <w:pPr>
        <w:pStyle w:val="Textstand-alone"/>
        <w:spacing w:after="0"/>
      </w:pPr>
      <w:r>
        <w:t>It should also be noted that the above has no effect on the budget result – budget revenue should always equal or exceed budget expenditure and any excess of revenue is returned to Member States.</w:t>
      </w:r>
    </w:p>
    <w:p w:rsidR="00F50689" w:rsidRPr="005A46C1" w:rsidRDefault="005A36C4" w:rsidP="00F50689">
      <w:pPr>
        <w:pStyle w:val="Textstand-alone"/>
        <w:spacing w:before="0" w:after="0"/>
        <w:sectPr w:rsidR="00F50689" w:rsidRPr="005A46C1" w:rsidSect="00F50689">
          <w:headerReference w:type="even" r:id="rId215"/>
          <w:headerReference w:type="default" r:id="rId216"/>
          <w:footerReference w:type="even" r:id="rId217"/>
          <w:footerReference w:type="default" r:id="rId218"/>
          <w:headerReference w:type="first" r:id="rId219"/>
          <w:footerReference w:type="first" r:id="rId220"/>
          <w:type w:val="continuous"/>
          <w:pgSz w:w="11906" w:h="16838"/>
          <w:pgMar w:top="1134" w:right="1134" w:bottom="1134" w:left="1134" w:header="709" w:footer="709" w:gutter="0"/>
          <w:cols w:space="708"/>
          <w:docGrid w:linePitch="360"/>
        </w:sectPr>
      </w:pPr>
      <w:r>
        <w:t xml:space="preserve"> </w:t>
      </w:r>
      <w:bookmarkEnd w:id="115"/>
    </w:p>
    <w:p w:rsidR="00F50689" w:rsidRDefault="005A36C4" w:rsidP="00F50689">
      <w:pPr>
        <w:pStyle w:val="HEADER1Part2"/>
        <w:spacing w:after="0"/>
        <w:jc w:val="left"/>
      </w:pPr>
      <w:bookmarkStart w:id="117" w:name="_Toc424652041"/>
      <w:bookmarkStart w:id="118" w:name="_DMBM_2603"/>
      <w:r w:rsidRPr="005C7214">
        <w:t xml:space="preserve">NOTES TO THE STATEMENT OF FINANCIAL </w:t>
      </w:r>
      <w:r>
        <w:t>PERFORMANCE</w:t>
      </w:r>
      <w:bookmarkEnd w:id="117"/>
    </w:p>
    <w:p w:rsidR="00F50689" w:rsidRPr="005C7214" w:rsidRDefault="005A36C4" w:rsidP="00F50689">
      <w:pPr>
        <w:pStyle w:val="Textstand-alone"/>
        <w:spacing w:before="0"/>
        <w:sectPr w:rsidR="00F50689" w:rsidRPr="005C7214" w:rsidSect="00F50689">
          <w:headerReference w:type="even" r:id="rId221"/>
          <w:headerReference w:type="default" r:id="rId222"/>
          <w:footerReference w:type="even" r:id="rId223"/>
          <w:footerReference w:type="default" r:id="rId224"/>
          <w:headerReference w:type="first" r:id="rId225"/>
          <w:footerReference w:type="first" r:id="rId226"/>
          <w:pgSz w:w="11906" w:h="16838"/>
          <w:pgMar w:top="1134" w:right="1134" w:bottom="1134" w:left="1134" w:header="709" w:footer="709" w:gutter="0"/>
          <w:cols w:space="708"/>
          <w:docGrid w:linePitch="360"/>
        </w:sectPr>
      </w:pPr>
      <w:r>
        <w:t xml:space="preserve"> </w:t>
      </w:r>
      <w:bookmarkEnd w:id="118"/>
    </w:p>
    <w:p w:rsidR="00F50689" w:rsidRDefault="005A36C4" w:rsidP="00F50689">
      <w:pPr>
        <w:pStyle w:val="HEADERTABLE"/>
        <w:rPr>
          <w:lang w:val="fr-BE"/>
        </w:rPr>
      </w:pPr>
      <w:bookmarkStart w:id="119" w:name="_DMBM_2640"/>
      <w:r>
        <w:rPr>
          <w:lang w:val="fr-BE"/>
        </w:rPr>
        <w:t>REVENUE</w:t>
      </w:r>
    </w:p>
    <w:p w:rsidR="00F50689" w:rsidRDefault="00F50689" w:rsidP="00F50689">
      <w:pPr>
        <w:pStyle w:val="HEADERTABLE"/>
        <w:rPr>
          <w:lang w:val="fr-BE"/>
        </w:rPr>
      </w:pPr>
    </w:p>
    <w:p w:rsidR="00F50689" w:rsidRDefault="005A36C4" w:rsidP="00F50689">
      <w:pPr>
        <w:pStyle w:val="HEADERTABLE"/>
        <w:spacing w:after="0"/>
        <w:rPr>
          <w:lang w:val="fr-BE"/>
        </w:rPr>
      </w:pPr>
      <w:r>
        <w:rPr>
          <w:lang w:val="fr-BE"/>
        </w:rPr>
        <w:t>REVENUE FROM NON-EXCHANGE TRANSACTIONS</w:t>
      </w:r>
    </w:p>
    <w:p w:rsidR="00F50689" w:rsidRPr="00811E14" w:rsidRDefault="005A36C4" w:rsidP="00F50689">
      <w:pPr>
        <w:pStyle w:val="Textstand-alone"/>
        <w:spacing w:before="0"/>
        <w:rPr>
          <w:lang w:val="fr-BE"/>
        </w:rPr>
        <w:sectPr w:rsidR="00F50689" w:rsidRPr="00811E14" w:rsidSect="00F50689">
          <w:headerReference w:type="even" r:id="rId227"/>
          <w:headerReference w:type="default" r:id="rId228"/>
          <w:footerReference w:type="even" r:id="rId229"/>
          <w:footerReference w:type="default" r:id="rId230"/>
          <w:headerReference w:type="first" r:id="rId231"/>
          <w:footerReference w:type="first" r:id="rId232"/>
          <w:type w:val="continuous"/>
          <w:pgSz w:w="11906" w:h="16838"/>
          <w:pgMar w:top="1134" w:right="1134" w:bottom="1134" w:left="1134" w:header="709" w:footer="709" w:gutter="0"/>
          <w:cols w:space="708"/>
          <w:docGrid w:linePitch="360"/>
        </w:sectPr>
      </w:pPr>
      <w:r w:rsidRPr="00811E14">
        <w:rPr>
          <w:lang w:val="fr-BE"/>
        </w:rPr>
        <w:t xml:space="preserve"> </w:t>
      </w:r>
      <w:bookmarkEnd w:id="119"/>
    </w:p>
    <w:p w:rsidR="00F50689" w:rsidRDefault="005A36C4" w:rsidP="00F50689">
      <w:pPr>
        <w:pStyle w:val="HEADER2Part2"/>
        <w:rPr>
          <w:lang w:val="fr-BE"/>
        </w:rPr>
      </w:pPr>
      <w:bookmarkStart w:id="120" w:name="_DMBM_2641"/>
      <w:r>
        <w:rPr>
          <w:lang w:val="fr-BE"/>
        </w:rPr>
        <w:t>GNI RESOURCES</w:t>
      </w:r>
    </w:p>
    <w:p w:rsidR="00F50689" w:rsidRDefault="005A36C4" w:rsidP="00F50689">
      <w:pPr>
        <w:pStyle w:val="Textstand-alone"/>
        <w:spacing w:after="0"/>
      </w:pPr>
      <w:r w:rsidRPr="009B28D7">
        <w:t>Own resource</w:t>
      </w:r>
      <w:r>
        <w:t>s</w:t>
      </w:r>
      <w:r w:rsidRPr="009B28D7">
        <w:t xml:space="preserve"> revenue is the primary element of the EU's operating revenue. </w:t>
      </w:r>
      <w:r>
        <w:t>Of the three categories of own resources, traditional own resources ("TOR"), the VAT-based resources and the GNI-based resources, the GNI revenue of EUR 104 688 million (2013: EUR 110 194 million) is the most significant.</w:t>
      </w:r>
    </w:p>
    <w:p w:rsidR="00F50689" w:rsidRPr="00E651B3" w:rsidRDefault="005A36C4" w:rsidP="00F50689">
      <w:pPr>
        <w:pStyle w:val="Textstand-alone"/>
        <w:spacing w:before="0"/>
        <w:sectPr w:rsidR="00F50689" w:rsidRPr="00E651B3" w:rsidSect="00F50689">
          <w:headerReference w:type="even" r:id="rId233"/>
          <w:headerReference w:type="default" r:id="rId234"/>
          <w:footerReference w:type="even" r:id="rId235"/>
          <w:footerReference w:type="default" r:id="rId236"/>
          <w:headerReference w:type="first" r:id="rId237"/>
          <w:footerReference w:type="first" r:id="rId238"/>
          <w:type w:val="continuous"/>
          <w:pgSz w:w="11906" w:h="16838"/>
          <w:pgMar w:top="1134" w:right="1134" w:bottom="1134" w:left="1134" w:header="709" w:footer="709" w:gutter="0"/>
          <w:cols w:space="708"/>
          <w:docGrid w:linePitch="360"/>
        </w:sectPr>
      </w:pPr>
      <w:r>
        <w:t xml:space="preserve"> </w:t>
      </w:r>
      <w:bookmarkEnd w:id="120"/>
    </w:p>
    <w:p w:rsidR="00F50689" w:rsidRDefault="005A36C4" w:rsidP="00F50689">
      <w:pPr>
        <w:pStyle w:val="HEADER2Part2"/>
        <w:spacing w:after="0"/>
        <w:rPr>
          <w:lang w:val="fr-BE"/>
        </w:rPr>
      </w:pPr>
      <w:bookmarkStart w:id="121" w:name="_DMBM_2642"/>
      <w:r>
        <w:rPr>
          <w:lang w:val="fr-BE"/>
        </w:rPr>
        <w:t>TRADITIONAL OWN RESOURCES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5419C2" w:rsidRDefault="00F50689" w:rsidP="00F50689">
            <w:pPr>
              <w:pStyle w:val="Text8pItalicLeft"/>
              <w:rPr>
                <w:rFonts w:eastAsia="Verdana" w:cs="Verdana"/>
                <w:color w:val="FFFFFF"/>
                <w:lang w:bidi="en-GB"/>
              </w:rPr>
            </w:pPr>
            <w:bookmarkStart w:id="122" w:name="DOC_TBL00050_1_1"/>
            <w:bookmarkEnd w:id="122"/>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5419C2" w:rsidRDefault="00F50689" w:rsidP="00F50689">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5419C2" w:rsidRDefault="005A36C4" w:rsidP="00F50689">
            <w:pPr>
              <w:pStyle w:val="Text8pItalicRight025EUR"/>
              <w:rPr>
                <w:rFonts w:eastAsia="Verdana" w:cs="Verdana"/>
                <w:lang w:bidi="en-GB"/>
              </w:rPr>
            </w:pPr>
            <w:r w:rsidRPr="005419C2">
              <w:rPr>
                <w:rFonts w:eastAsia="Verdana" w:cs="Verdana"/>
                <w:lang w:bidi="en-GB"/>
              </w:rPr>
              <w:t>EUR millions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Pr="005419C2" w:rsidRDefault="00F50689" w:rsidP="00F50689">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Pr="005419C2" w:rsidRDefault="005A36C4" w:rsidP="00F50689">
            <w:pPr>
              <w:pStyle w:val="Heading10pNormalRight025"/>
              <w:rPr>
                <w:rFonts w:eastAsia="Verdana" w:cs="Verdana"/>
                <w:lang w:bidi="en-GB"/>
              </w:rPr>
            </w:pPr>
            <w:r w:rsidRPr="005419C2">
              <w:rPr>
                <w:rFonts w:eastAsia="Verdana" w:cs="Verdana"/>
                <w:lang w:bidi="en-GB"/>
              </w:rPr>
              <w:t>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Pr="005419C2" w:rsidRDefault="005A36C4" w:rsidP="00F50689">
            <w:pPr>
              <w:pStyle w:val="Heading10pNormalRight025"/>
              <w:rPr>
                <w:rFonts w:eastAsia="Verdana" w:cs="Verdana"/>
                <w:lang w:bidi="en-GB"/>
              </w:rPr>
            </w:pPr>
            <w:r w:rsidRPr="005419C2">
              <w:rPr>
                <w:rFonts w:eastAsia="Verdana" w:cs="Verdana"/>
                <w:lang w:bidi="en-GB"/>
              </w:rPr>
              <w:t>2013</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5419C2" w:rsidRDefault="005A36C4" w:rsidP="00F50689">
            <w:pPr>
              <w:pStyle w:val="Text9pItalicLeft"/>
              <w:rPr>
                <w:rFonts w:eastAsia="Verdana" w:cs="Verdana"/>
                <w:lang w:bidi="en-GB"/>
              </w:rPr>
            </w:pPr>
            <w:r w:rsidRPr="005419C2">
              <w:rPr>
                <w:rFonts w:eastAsia="Verdana" w:cs="Verdana"/>
                <w:lang w:bidi="en-GB"/>
              </w:rPr>
              <w:t>Customs duties</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5419C2" w:rsidRDefault="005A36C4" w:rsidP="00F50689">
            <w:pPr>
              <w:pStyle w:val="Figures9pItalicRight025"/>
              <w:rPr>
                <w:rFonts w:eastAsia="Verdana" w:cs="Verdana"/>
                <w:lang w:bidi="en-GB"/>
              </w:rPr>
            </w:pPr>
            <w:r w:rsidRPr="005419C2">
              <w:rPr>
                <w:rFonts w:eastAsia="Verdana" w:cs="Verdana"/>
                <w:lang w:bidi="en-GB"/>
              </w:rPr>
              <w:t>17 204</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5419C2" w:rsidRDefault="005A36C4" w:rsidP="00F50689">
            <w:pPr>
              <w:pStyle w:val="Figures9pItalicRight025"/>
              <w:rPr>
                <w:rFonts w:eastAsia="Verdana" w:cs="Verdana"/>
                <w:lang w:bidi="en-GB"/>
              </w:rPr>
            </w:pPr>
            <w:r w:rsidRPr="005419C2">
              <w:rPr>
                <w:rFonts w:eastAsia="Verdana" w:cs="Verdana"/>
                <w:lang w:bidi="en-GB"/>
              </w:rPr>
              <w:t>15 268</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5419C2" w:rsidRDefault="005A36C4" w:rsidP="00F50689">
            <w:pPr>
              <w:pStyle w:val="Text9pItalicLeft"/>
              <w:rPr>
                <w:rFonts w:eastAsia="Verdana" w:cs="Verdana"/>
                <w:lang w:bidi="en-GB"/>
              </w:rPr>
            </w:pPr>
            <w:r w:rsidRPr="005419C2">
              <w:rPr>
                <w:rFonts w:eastAsia="Verdana" w:cs="Verdana"/>
                <w:lang w:bidi="en-GB"/>
              </w:rPr>
              <w:t>Sugar levies</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5419C2" w:rsidRDefault="005A36C4" w:rsidP="00F50689">
            <w:pPr>
              <w:pStyle w:val="Figures9pItalicRight025"/>
              <w:rPr>
                <w:rFonts w:eastAsia="Verdana" w:cs="Verdana"/>
                <w:lang w:bidi="en-GB"/>
              </w:rPr>
            </w:pPr>
            <w:r w:rsidRPr="005419C2">
              <w:rPr>
                <w:rFonts w:eastAsia="Verdana" w:cs="Verdana"/>
                <w:lang w:bidi="en-GB"/>
              </w:rPr>
              <w:t xml:space="preserve"> (67)</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5419C2" w:rsidRDefault="005A36C4" w:rsidP="00F50689">
            <w:pPr>
              <w:pStyle w:val="Figures9pItalicRight025"/>
              <w:rPr>
                <w:rFonts w:eastAsia="Verdana" w:cs="Verdana"/>
                <w:lang w:bidi="en-GB"/>
              </w:rPr>
            </w:pPr>
            <w:r w:rsidRPr="005419C2">
              <w:rPr>
                <w:rFonts w:eastAsia="Verdana" w:cs="Verdana"/>
                <w:lang w:bidi="en-GB"/>
              </w:rPr>
              <w:t xml:space="preserve"> 199</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Pr="005419C2" w:rsidRDefault="005A36C4" w:rsidP="00F50689">
            <w:pPr>
              <w:pStyle w:val="Text9pBoldLeft"/>
              <w:rPr>
                <w:rFonts w:eastAsia="Verdana" w:cs="Verdana"/>
                <w:lang w:bidi="en-GB"/>
              </w:rPr>
            </w:pPr>
            <w:r w:rsidRPr="005419C2">
              <w:rPr>
                <w:rFonts w:eastAsia="Verdana" w:cs="Verdana"/>
                <w:lang w:bidi="en-GB"/>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Pr="005419C2" w:rsidRDefault="005A36C4" w:rsidP="00F50689">
            <w:pPr>
              <w:pStyle w:val="Figures9pBoldRight025"/>
              <w:rPr>
                <w:rFonts w:eastAsia="Verdana" w:cs="Verdana"/>
                <w:lang w:bidi="en-GB"/>
              </w:rPr>
            </w:pPr>
            <w:r w:rsidRPr="005419C2">
              <w:rPr>
                <w:rFonts w:eastAsia="Verdana" w:cs="Verdana"/>
                <w:lang w:bidi="en-GB"/>
              </w:rPr>
              <w:t>17 137</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Pr="005419C2" w:rsidRDefault="005A36C4" w:rsidP="00F50689">
            <w:pPr>
              <w:pStyle w:val="Figures9pBoldRight025"/>
              <w:rPr>
                <w:rFonts w:eastAsia="Verdana" w:cs="Verdana"/>
                <w:lang w:bidi="en-GB"/>
              </w:rPr>
            </w:pPr>
            <w:r w:rsidRPr="005419C2">
              <w:rPr>
                <w:rFonts w:eastAsia="Verdana" w:cs="Verdana"/>
                <w:lang w:bidi="en-GB"/>
              </w:rPr>
              <w:t>15 467</w:t>
            </w:r>
          </w:p>
        </w:tc>
      </w:tr>
    </w:tbl>
    <w:p w:rsidR="00F50689" w:rsidRPr="005419C2" w:rsidRDefault="005A36C4" w:rsidP="00F50689">
      <w:pPr>
        <w:pStyle w:val="Textstand-alone"/>
      </w:pPr>
      <w:r w:rsidRPr="005419C2">
        <w:t>Traditional own resources comprise custom duties</w:t>
      </w:r>
      <w:r w:rsidR="009F6ABD">
        <w:t xml:space="preserve"> and sugar levies</w:t>
      </w:r>
      <w:r w:rsidRPr="005419C2">
        <w:t xml:space="preserve">. Member States retain, by way of collection costs, </w:t>
      </w:r>
      <w:r>
        <w:t xml:space="preserve">20 % </w:t>
      </w:r>
      <w:r w:rsidRPr="005419C2">
        <w:t>of tradit</w:t>
      </w:r>
      <w:r>
        <w:t>i</w:t>
      </w:r>
      <w:r w:rsidRPr="005419C2">
        <w:t>onal own resources, and the above amounts are shown net of this deduction.</w:t>
      </w:r>
    </w:p>
    <w:p w:rsidR="00F50689" w:rsidRDefault="005A36C4" w:rsidP="00F50689">
      <w:pPr>
        <w:pStyle w:val="Textstand-alone"/>
        <w:spacing w:after="0"/>
      </w:pPr>
      <w:r>
        <w:t>It should also be noted that following a Court ruling on the sugar levies regulation challenged by certain companies and Member States, an amount of EUR 200 million was reimbursed to the concerned parties in 2014. The related provision, originally booked in 2012, was thus used in 2014.</w:t>
      </w:r>
    </w:p>
    <w:p w:rsidR="00F50689" w:rsidRPr="005419C2" w:rsidRDefault="005A36C4" w:rsidP="00F50689">
      <w:pPr>
        <w:pStyle w:val="Textstand-alone"/>
        <w:spacing w:before="0"/>
        <w:sectPr w:rsidR="00F50689" w:rsidRPr="005419C2" w:rsidSect="00F50689">
          <w:headerReference w:type="even" r:id="rId239"/>
          <w:headerReference w:type="default" r:id="rId240"/>
          <w:footerReference w:type="even" r:id="rId241"/>
          <w:footerReference w:type="default" r:id="rId242"/>
          <w:headerReference w:type="first" r:id="rId243"/>
          <w:footerReference w:type="first" r:id="rId244"/>
          <w:type w:val="continuous"/>
          <w:pgSz w:w="11906" w:h="16838"/>
          <w:pgMar w:top="1134" w:right="1134" w:bottom="1134" w:left="1134" w:header="709" w:footer="709" w:gutter="0"/>
          <w:cols w:space="708"/>
          <w:docGrid w:linePitch="360"/>
        </w:sectPr>
      </w:pPr>
      <w:r>
        <w:t xml:space="preserve"> </w:t>
      </w:r>
      <w:bookmarkEnd w:id="121"/>
    </w:p>
    <w:p w:rsidR="00F50689" w:rsidRDefault="005A36C4" w:rsidP="00F50689">
      <w:pPr>
        <w:pStyle w:val="HEADER2Part2"/>
        <w:spacing w:after="0"/>
        <w:rPr>
          <w:lang w:val="fr-BE"/>
        </w:rPr>
      </w:pPr>
      <w:bookmarkStart w:id="123" w:name="_DMBM_2643"/>
      <w:r>
        <w:rPr>
          <w:lang w:val="fr-BE"/>
        </w:rPr>
        <w:t>VAT RESOURCES</w:t>
      </w:r>
    </w:p>
    <w:p w:rsidR="00F50689" w:rsidRDefault="005A36C4" w:rsidP="00F50689">
      <w:pPr>
        <w:pStyle w:val="Textstand-alone"/>
        <w:spacing w:after="0"/>
      </w:pPr>
      <w:r>
        <w:t>According to the Own Resources Decision No 2007/436/EC, Euratom, the VAT contributions are calculated applying a uniform rate of 0.30 % to the harmonised VAT base of each Member State. At the same time this decision foresaw a lower call rate for Austria (0.225 %), Germany (0.15 %), and the Netherlands and Sweden (0.10 %). However this exception was granted for the period 2007-2013 only. Thus in 2014 the uniform rate of 0.30 % became applicable again to all Member States and will remain until a new Own Resources Decision enters into forc</w:t>
      </w:r>
      <w:r w:rsidRPr="004D2312">
        <w:t>e.</w:t>
      </w:r>
      <w:r>
        <w:t xml:space="preserve"> This explains the increase in VAT revenue from EUR 14 019 million in 2013 to EUR 17 462 million in 2014.</w:t>
      </w:r>
    </w:p>
    <w:p w:rsidR="00F50689" w:rsidRPr="00CE23E8" w:rsidRDefault="005A36C4" w:rsidP="00F50689">
      <w:pPr>
        <w:pStyle w:val="Textstand-alone"/>
        <w:spacing w:before="0"/>
        <w:sectPr w:rsidR="00F50689" w:rsidRPr="00CE23E8" w:rsidSect="00F50689">
          <w:headerReference w:type="even" r:id="rId245"/>
          <w:headerReference w:type="default" r:id="rId246"/>
          <w:footerReference w:type="even" r:id="rId247"/>
          <w:footerReference w:type="default" r:id="rId248"/>
          <w:headerReference w:type="first" r:id="rId249"/>
          <w:footerReference w:type="first" r:id="rId250"/>
          <w:type w:val="continuous"/>
          <w:pgSz w:w="11906" w:h="16838"/>
          <w:pgMar w:top="1134" w:right="1134" w:bottom="1134" w:left="1134" w:header="709" w:footer="709" w:gutter="0"/>
          <w:cols w:space="708"/>
          <w:docGrid w:linePitch="360"/>
        </w:sectPr>
      </w:pPr>
      <w:r w:rsidRPr="00CE23E8">
        <w:t xml:space="preserve"> </w:t>
      </w:r>
      <w:bookmarkEnd w:id="123"/>
    </w:p>
    <w:p w:rsidR="00F50689" w:rsidRDefault="005A36C4" w:rsidP="00F50689">
      <w:pPr>
        <w:pStyle w:val="HEADERTABLE"/>
        <w:spacing w:after="0"/>
        <w:rPr>
          <w:lang w:val="fr-BE"/>
        </w:rPr>
      </w:pPr>
      <w:bookmarkStart w:id="124" w:name="_DMBM_2644"/>
      <w:r>
        <w:rPr>
          <w:lang w:val="fr-BE"/>
        </w:rPr>
        <w:t>REVENUE FROM NON-EXCHANGE TRANSACTIONS: TRANSFERS</w:t>
      </w:r>
    </w:p>
    <w:p w:rsidR="00F50689" w:rsidRDefault="00F50689" w:rsidP="00F50689">
      <w:pPr>
        <w:pStyle w:val="HEADERTABLE"/>
        <w:spacing w:after="120"/>
        <w:rPr>
          <w:lang w:val="fr-BE"/>
        </w:rPr>
      </w:pPr>
    </w:p>
    <w:p w:rsidR="00F50689" w:rsidRDefault="005A36C4" w:rsidP="00F50689">
      <w:pPr>
        <w:pStyle w:val="HEADER2Part2"/>
        <w:spacing w:before="0" w:after="0"/>
        <w:rPr>
          <w:lang w:val="fr-BE"/>
        </w:rPr>
      </w:pPr>
      <w:bookmarkStart w:id="125" w:name="_DMBM_2645"/>
      <w:bookmarkEnd w:id="124"/>
      <w:r>
        <w:rPr>
          <w:lang w:val="fr-BE"/>
        </w:rPr>
        <w:t>FINES</w:t>
      </w:r>
    </w:p>
    <w:p w:rsidR="00F50689" w:rsidRDefault="005A36C4" w:rsidP="00F50689">
      <w:pPr>
        <w:pStyle w:val="Textstand-alone"/>
      </w:pPr>
      <w:r>
        <w:t>These revenues (EUR 2 297 million) relate to fines imposed by the Commission for breach of infringement rules, mainly related to competition cases. Receivables and related revenues are recognised when the Commission decision imposing a fine has been taken and it is officially notified to the addressee.</w:t>
      </w:r>
    </w:p>
    <w:p w:rsidR="00F50689" w:rsidRPr="00C1700E" w:rsidRDefault="005A36C4" w:rsidP="00F50689">
      <w:pPr>
        <w:jc w:val="both"/>
        <w:rPr>
          <w:rFonts w:ascii="Verdana" w:hAnsi="Verdana"/>
          <w:noProof/>
          <w:sz w:val="18"/>
          <w:szCs w:val="18"/>
          <w:lang w:eastAsia="en-US"/>
        </w:rPr>
      </w:pPr>
      <w:r>
        <w:rPr>
          <w:rFonts w:ascii="Verdana" w:hAnsi="Verdana"/>
          <w:noProof/>
          <w:sz w:val="18"/>
          <w:szCs w:val="18"/>
          <w:lang w:eastAsia="en-US"/>
        </w:rPr>
        <w:t>The main amount in</w:t>
      </w:r>
      <w:r w:rsidRPr="00C1700E">
        <w:rPr>
          <w:rFonts w:ascii="Verdana" w:hAnsi="Verdana"/>
          <w:noProof/>
          <w:sz w:val="18"/>
          <w:szCs w:val="18"/>
          <w:lang w:eastAsia="en-US"/>
        </w:rPr>
        <w:t xml:space="preserve"> 2014</w:t>
      </w:r>
      <w:r>
        <w:rPr>
          <w:rFonts w:ascii="Verdana" w:hAnsi="Verdana"/>
          <w:noProof/>
          <w:sz w:val="18"/>
          <w:szCs w:val="18"/>
          <w:lang w:eastAsia="en-US"/>
        </w:rPr>
        <w:t xml:space="preserve"> concerns </w:t>
      </w:r>
      <w:r w:rsidRPr="00A635CE">
        <w:rPr>
          <w:rFonts w:ascii="Verdana" w:hAnsi="Verdana"/>
          <w:noProof/>
          <w:sz w:val="18"/>
          <w:szCs w:val="18"/>
          <w:lang w:eastAsia="en-US"/>
        </w:rPr>
        <w:t>the market for automotive bearings</w:t>
      </w:r>
      <w:r>
        <w:rPr>
          <w:rFonts w:ascii="Verdana" w:hAnsi="Verdana"/>
          <w:noProof/>
          <w:sz w:val="18"/>
          <w:szCs w:val="18"/>
          <w:lang w:eastAsia="en-US"/>
        </w:rPr>
        <w:t xml:space="preserve">. The </w:t>
      </w:r>
      <w:r w:rsidRPr="00A635CE">
        <w:rPr>
          <w:rFonts w:ascii="Verdana" w:hAnsi="Verdana"/>
          <w:noProof/>
          <w:sz w:val="18"/>
          <w:szCs w:val="18"/>
          <w:lang w:eastAsia="en-US"/>
        </w:rPr>
        <w:t>Commission imposed fines for a total amo</w:t>
      </w:r>
      <w:r>
        <w:rPr>
          <w:rFonts w:ascii="Verdana" w:hAnsi="Verdana"/>
          <w:noProof/>
          <w:sz w:val="18"/>
          <w:szCs w:val="18"/>
          <w:lang w:eastAsia="en-US"/>
        </w:rPr>
        <w:t>unt of EUR </w:t>
      </w:r>
      <w:r w:rsidRPr="00A635CE">
        <w:rPr>
          <w:rFonts w:ascii="Verdana" w:hAnsi="Verdana"/>
          <w:noProof/>
          <w:sz w:val="18"/>
          <w:szCs w:val="18"/>
          <w:lang w:eastAsia="en-US"/>
        </w:rPr>
        <w:t>953</w:t>
      </w:r>
      <w:r>
        <w:rPr>
          <w:rFonts w:ascii="Verdana" w:hAnsi="Verdana"/>
          <w:noProof/>
          <w:sz w:val="18"/>
          <w:szCs w:val="18"/>
          <w:lang w:eastAsia="en-US"/>
        </w:rPr>
        <w:t> </w:t>
      </w:r>
      <w:r w:rsidRPr="00A635CE">
        <w:rPr>
          <w:rFonts w:ascii="Verdana" w:hAnsi="Verdana"/>
          <w:noProof/>
          <w:sz w:val="18"/>
          <w:szCs w:val="18"/>
          <w:lang w:eastAsia="en-US"/>
        </w:rPr>
        <w:t>million on producers of car and truck be</w:t>
      </w:r>
      <w:r>
        <w:rPr>
          <w:rFonts w:ascii="Verdana" w:hAnsi="Verdana"/>
          <w:noProof/>
          <w:sz w:val="18"/>
          <w:szCs w:val="18"/>
          <w:lang w:eastAsia="en-US"/>
        </w:rPr>
        <w:t>arings for operating a cartel.</w:t>
      </w:r>
    </w:p>
    <w:bookmarkEnd w:id="125"/>
    <w:p w:rsidR="00F50689" w:rsidRDefault="00F50689" w:rsidP="00F50689">
      <w:pPr>
        <w:pStyle w:val="Textstand-alone"/>
        <w:spacing w:before="0" w:after="360"/>
      </w:pPr>
    </w:p>
    <w:p w:rsidR="00F50689" w:rsidRDefault="005A36C4" w:rsidP="00F50689">
      <w:pPr>
        <w:pStyle w:val="HEADER2Part2"/>
        <w:spacing w:before="0" w:after="0"/>
        <w:rPr>
          <w:lang w:val="fr-BE"/>
        </w:rPr>
      </w:pPr>
      <w:bookmarkStart w:id="126" w:name="_DMBM_2646"/>
      <w:r>
        <w:rPr>
          <w:lang w:val="fr-BE"/>
        </w:rPr>
        <w:t>RECOVERY OF EXPENSES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lang w:bidi="en-GB"/>
              </w:rPr>
            </w:pPr>
            <w:bookmarkStart w:id="127" w:name="DOC_TBL00051_1_1"/>
            <w:bookmarkEnd w:id="127"/>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lang w:bidi="en-GB"/>
              </w:rPr>
            </w:pPr>
            <w:r>
              <w:rPr>
                <w:rFonts w:eastAsia="Verdana" w:cs="Verdana"/>
                <w:lang w:bidi="en-GB"/>
              </w:rPr>
              <w:t>EUR millions</w:t>
            </w:r>
          </w:p>
        </w:tc>
      </w:tr>
      <w:tr w:rsidR="00E7728E">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lang w:bidi="en-GB"/>
              </w:rPr>
            </w:pP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Right025"/>
              <w:rPr>
                <w:rFonts w:eastAsia="Verdana" w:cs="Verdana"/>
                <w:lang w:bidi="en-GB"/>
              </w:rPr>
            </w:pPr>
          </w:p>
        </w:tc>
        <w:tc>
          <w:tcPr>
            <w:tcW w:w="184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lang w:bidi="en-GB"/>
              </w:rPr>
            </w:pPr>
            <w:r>
              <w:rPr>
                <w:rFonts w:eastAsia="Verdana" w:cs="Verdana"/>
                <w:lang w:bidi="en-GB"/>
              </w:rPr>
              <w:t>2014</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lang w:bidi="en-GB"/>
              </w:rPr>
            </w:pPr>
            <w:r>
              <w:rPr>
                <w:rFonts w:eastAsia="Verdana" w:cs="Verdana"/>
                <w:lang w:bidi="en-GB"/>
              </w:rPr>
              <w:t>2013</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bidi="en-GB"/>
              </w:rPr>
            </w:pPr>
            <w:r>
              <w:rPr>
                <w:rFonts w:eastAsia="Verdana" w:cs="Verdana"/>
                <w:lang w:bidi="en-GB"/>
              </w:rPr>
              <w:t>Shared management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3 328</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1 628</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bidi="en-GB"/>
              </w:rPr>
            </w:pPr>
            <w:r>
              <w:rPr>
                <w:rFonts w:eastAsia="Verdana" w:cs="Verdana"/>
                <w:lang w:bidi="en-GB"/>
              </w:rPr>
              <w:t>Direct management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45</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69</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bidi="en-GB"/>
              </w:rPr>
            </w:pPr>
            <w:r>
              <w:rPr>
                <w:rFonts w:eastAsia="Verdana" w:cs="Verdana"/>
                <w:lang w:bidi="en-GB"/>
              </w:rPr>
              <w:t>Indirect management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45</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6</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bidi="en-GB"/>
              </w:rPr>
            </w:pPr>
            <w:r>
              <w:rPr>
                <w:rFonts w:eastAsia="Verdana" w:cs="Verdana"/>
                <w:lang w:bidi="en-GB"/>
              </w:rPr>
              <w:t>Decentralised management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41</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bidi="en-GB"/>
              </w:rPr>
            </w:pPr>
            <w:r>
              <w:rPr>
                <w:rFonts w:eastAsia="Verdana" w:cs="Verdana"/>
                <w:lang w:bidi="en-GB"/>
              </w:rPr>
              <w:t>Joint management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33</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eastAsia="Verdana" w:cs="Verdana"/>
                <w:lang w:bidi="en-GB"/>
              </w:rPr>
            </w:pPr>
            <w:r>
              <w:rPr>
                <w:rFonts w:eastAsia="Verdana" w:cs="Verdana"/>
                <w:lang w:bidi="en-GB"/>
              </w:rPr>
              <w:t>Total</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lang w:bidi="en-GB"/>
              </w:rPr>
            </w:pPr>
            <w:r>
              <w:rPr>
                <w:rFonts w:eastAsia="Verdana" w:cs="Verdana"/>
                <w:lang w:bidi="en-GB"/>
              </w:rPr>
              <w:t>3 418</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lang w:bidi="en-GB"/>
              </w:rPr>
            </w:pPr>
            <w:r>
              <w:rPr>
                <w:rFonts w:eastAsia="Verdana" w:cs="Verdana"/>
                <w:lang w:bidi="en-GB"/>
              </w:rPr>
              <w:t>1 777</w:t>
            </w:r>
          </w:p>
        </w:tc>
      </w:tr>
    </w:tbl>
    <w:p w:rsidR="00F50689" w:rsidRDefault="005A36C4" w:rsidP="00F50689">
      <w:pPr>
        <w:pStyle w:val="Textstand-alone"/>
      </w:pPr>
      <w:r>
        <w:t xml:space="preserve">This heading represents mainly the recovery orders issued by the Commission that are cashed or offset against (i.e. deducted from) subsequent payments recorded in the Commission's accounting system, made so as to recover expenditure previously paid out from the general budget. These operations are based on controls, audits or eligibility analysis. Recovery orders issued by Member States to beneficiaries of EAGF expenditure, as well as the variation of accrued income estimations from the previous year-end to the current, are also included. </w:t>
      </w:r>
    </w:p>
    <w:p w:rsidR="00F50689" w:rsidRDefault="005A36C4" w:rsidP="00F50689">
      <w:pPr>
        <w:pStyle w:val="Textstand-alone"/>
      </w:pPr>
      <w:r>
        <w:t xml:space="preserve">It should be noted that these figures represent the accounting impact of EU corrective activities only, based on the EU accounting rules in force. For this reason, these figures cannot and do not show the full extent of the measures taken to protect the EU budget, particularly for Cohesion policy where specific mechanisms are in place to ensure the correction of ineligible expenditure, most of which do not involve the issuance of a recovery order. Moreover, recoveries of pre-financing amounts are also not included as revenue, in accordance with the EU accounting rules. More details on financial corrections and the recovery of expenses are given in Note </w:t>
      </w:r>
      <w:r w:rsidRPr="00354941">
        <w:rPr>
          <w:b/>
        </w:rPr>
        <w:t>6</w:t>
      </w:r>
      <w:r>
        <w:t>.</w:t>
      </w:r>
    </w:p>
    <w:p w:rsidR="00F50689" w:rsidRDefault="005A36C4" w:rsidP="00F50689">
      <w:pPr>
        <w:pStyle w:val="Textstand-alone"/>
      </w:pPr>
      <w:r>
        <w:t>Shared management makes up the bulk of the total:</w:t>
      </w:r>
    </w:p>
    <w:p w:rsidR="00F50689" w:rsidRPr="00394092" w:rsidRDefault="005A36C4" w:rsidP="00F50689">
      <w:pPr>
        <w:pStyle w:val="HEADER5"/>
      </w:pPr>
      <w:r w:rsidRPr="00394092">
        <w:t>Agriculture: EAGF and rural development</w:t>
      </w:r>
    </w:p>
    <w:p w:rsidR="00F50689" w:rsidRDefault="005A36C4" w:rsidP="00F50689">
      <w:pPr>
        <w:pStyle w:val="Textstand-alone"/>
      </w:pPr>
      <w:r>
        <w:t>In the framework of the EAGF and the EAFRD, amounts accounted for as revenue of the year under this heading are financial corrections of the year and reimbursements declared by Member States and recovered during the year, as well as the net increase in the outstanding amounts declared by Member States to be recovered at year-end concerning fraud and irregularities.</w:t>
      </w:r>
    </w:p>
    <w:p w:rsidR="00F50689" w:rsidRPr="00394092" w:rsidRDefault="005A36C4" w:rsidP="00F50689">
      <w:pPr>
        <w:pStyle w:val="HEADER5"/>
      </w:pPr>
      <w:r>
        <w:t>Cohesion policy</w:t>
      </w:r>
    </w:p>
    <w:p w:rsidR="00F50689" w:rsidRDefault="005A36C4" w:rsidP="00F50689">
      <w:pPr>
        <w:pStyle w:val="Textstand-alone"/>
      </w:pPr>
      <w:r>
        <w:t>The main amounts related to Cohesion policy include recovery orders issued by the Commission to recover undue expenditure made in previous years, amounts related to financial corrections implemented by withdrawals during the year, as well as deductions from expenditure less the decrease in accrued income at year-end.</w:t>
      </w:r>
    </w:p>
    <w:p w:rsidR="00C47120" w:rsidRDefault="00C47120">
      <w:pPr>
        <w:rPr>
          <w:rFonts w:ascii="Verdana" w:hAnsi="Verdana"/>
          <w:noProof/>
          <w:sz w:val="18"/>
          <w:szCs w:val="18"/>
          <w:lang w:eastAsia="en-US"/>
        </w:rPr>
      </w:pPr>
      <w:r>
        <w:br w:type="page"/>
      </w:r>
    </w:p>
    <w:p w:rsidR="00F50689" w:rsidRDefault="005A36C4" w:rsidP="00F50689">
      <w:pPr>
        <w:pStyle w:val="Textstand-alone"/>
      </w:pPr>
      <w:r>
        <w:t xml:space="preserve">Other recovery orders issued in Cohesion policy concern the recovery of pre-financing – see note </w:t>
      </w:r>
      <w:r w:rsidRPr="00354941">
        <w:rPr>
          <w:b/>
        </w:rPr>
        <w:t>6.</w:t>
      </w:r>
      <w:r>
        <w:rPr>
          <w:b/>
        </w:rPr>
        <w:t>4</w:t>
      </w:r>
      <w:r>
        <w:t>. These amounts are not shown as revenue, but credited to the pre-financing heading on the balance sheet.</w:t>
      </w:r>
    </w:p>
    <w:p w:rsidR="00F50689" w:rsidRDefault="005A36C4" w:rsidP="00F50689">
      <w:pPr>
        <w:pStyle w:val="Textstand-alone"/>
        <w:spacing w:after="0"/>
      </w:pPr>
      <w:r>
        <w:t>Total recovery of expenses almost doubled compared to last year due to the advanced closure of the 2000-2006 Cohesion programming period and the related withdrawals made, as well as significant corrections imposed by the Directorate-General for Agriculture and Rural Development in 2014.</w:t>
      </w:r>
    </w:p>
    <w:p w:rsidR="00F50689" w:rsidRDefault="00F50689" w:rsidP="00F50689">
      <w:pPr>
        <w:pStyle w:val="Textstand-alone"/>
        <w:spacing w:after="0"/>
      </w:pPr>
      <w:r>
        <w:t xml:space="preserve"> </w:t>
      </w:r>
    </w:p>
    <w:p w:rsidR="00F50689" w:rsidRDefault="005A36C4" w:rsidP="00F50689">
      <w:pPr>
        <w:pStyle w:val="HEADER2Part2"/>
        <w:spacing w:after="0"/>
        <w:rPr>
          <w:lang w:val="fr-BE"/>
        </w:rPr>
      </w:pPr>
      <w:bookmarkStart w:id="128" w:name="_DMBM_2647"/>
      <w:bookmarkEnd w:id="126"/>
      <w:r>
        <w:rPr>
          <w:lang w:val="fr-BE"/>
        </w:rPr>
        <w:t>OTHER REVENUE FROM NON-EXCHANGE TRANSACTIONS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lang w:val="fr-BE" w:bidi="en-GB"/>
              </w:rPr>
            </w:pPr>
            <w:bookmarkStart w:id="129" w:name="DOC_TBL00052_1_1"/>
            <w:bookmarkEnd w:id="129"/>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val="fr-BE"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val="fr-BE" w:bidi="en-GB"/>
              </w:rPr>
            </w:pP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lang w:val="fr-BE" w:bidi="en-GB"/>
              </w:rPr>
            </w:pPr>
            <w:r>
              <w:rPr>
                <w:rFonts w:eastAsia="Verdana" w:cs="Verdana"/>
                <w:lang w:val="fr-BE" w:bidi="en-GB"/>
              </w:rPr>
              <w:t>EUR millions</w:t>
            </w:r>
          </w:p>
        </w:tc>
      </w:tr>
      <w:tr w:rsidR="00E7728E">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lang w:val="fr-BE" w:bidi="en-GB"/>
              </w:rPr>
            </w:pP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Right025"/>
              <w:rPr>
                <w:rFonts w:eastAsia="Verdana" w:cs="Verdana"/>
                <w:lang w:val="fr-BE" w:bidi="en-GB"/>
              </w:rPr>
            </w:pPr>
          </w:p>
        </w:tc>
        <w:tc>
          <w:tcPr>
            <w:tcW w:w="184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lang w:val="fr-BE" w:bidi="en-GB"/>
              </w:rPr>
            </w:pPr>
            <w:r>
              <w:rPr>
                <w:rFonts w:eastAsia="Verdana" w:cs="Verdana"/>
                <w:lang w:val="fr-BE" w:bidi="en-GB"/>
              </w:rPr>
              <w:t>2014</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lang w:val="fr-BE" w:bidi="en-GB"/>
              </w:rPr>
            </w:pPr>
            <w:r>
              <w:rPr>
                <w:rFonts w:eastAsia="Verdana" w:cs="Verdana"/>
                <w:lang w:val="fr-BE" w:bidi="en-GB"/>
              </w:rPr>
              <w:t>2013</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val="fr-BE" w:bidi="en-GB"/>
              </w:rPr>
            </w:pPr>
            <w:r>
              <w:rPr>
                <w:rFonts w:eastAsia="Verdana" w:cs="Verdana"/>
                <w:lang w:val="fr-BE" w:bidi="en-GB"/>
              </w:rPr>
              <w:t>Transfer of assets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lang w:val="fr-BE"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1 448</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val="fr-BE" w:bidi="en-GB"/>
              </w:rPr>
            </w:pPr>
            <w:r>
              <w:rPr>
                <w:rFonts w:eastAsia="Verdana" w:cs="Verdana"/>
                <w:lang w:val="fr-BE" w:bidi="en-GB"/>
              </w:rPr>
              <w:t>Budgetary adjustments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lang w:val="fr-BE"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 xml:space="preserve"> 794</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1 187</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val="fr-BE" w:bidi="en-GB"/>
              </w:rPr>
            </w:pPr>
            <w:r>
              <w:rPr>
                <w:rFonts w:eastAsia="Verdana" w:cs="Verdana"/>
                <w:lang w:val="fr-BE" w:bidi="en-GB"/>
              </w:rPr>
              <w:t>Staff taxes and contributions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lang w:val="fr-BE"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1 276</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1 137</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val="fr-BE" w:bidi="en-GB"/>
              </w:rPr>
            </w:pPr>
            <w:r>
              <w:rPr>
                <w:rFonts w:eastAsia="Verdana" w:cs="Verdana"/>
                <w:lang w:val="fr-BE" w:bidi="en-GB"/>
              </w:rPr>
              <w:t>Contributions from third countries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lang w:val="fr-BE"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 xml:space="preserve"> 336</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 xml:space="preserve"> 373</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val="fr-BE" w:bidi="en-GB"/>
              </w:rPr>
            </w:pPr>
            <w:r>
              <w:rPr>
                <w:rFonts w:eastAsia="Verdana" w:cs="Verdana"/>
                <w:lang w:val="fr-BE" w:bidi="en-GB"/>
              </w:rPr>
              <w:t>Agricultural levies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lang w:val="fr-BE"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 xml:space="preserve"> 409</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 xml:space="preserve"> 48</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val="fr-BE" w:bidi="en-GB"/>
              </w:rPr>
            </w:pPr>
            <w:r>
              <w:rPr>
                <w:rFonts w:eastAsia="Verdana" w:cs="Verdana"/>
                <w:lang w:val="fr-BE" w:bidi="en-GB"/>
              </w:rPr>
              <w:t>Adjustment of provisions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lang w:val="fr-BE"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 xml:space="preserve"> 369</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 xml:space="preserve"> 208</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val="fr-BE" w:bidi="en-GB"/>
              </w:rPr>
            </w:pPr>
            <w:r>
              <w:rPr>
                <w:rFonts w:eastAsia="Verdana" w:cs="Verdana"/>
                <w:lang w:val="fr-BE" w:bidi="en-GB"/>
              </w:rPr>
              <w:t>Other</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lang w:val="fr-BE"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 xml:space="preserve"> 990</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val="fr-BE" w:bidi="en-GB"/>
              </w:rPr>
            </w:pPr>
            <w:r>
              <w:rPr>
                <w:rFonts w:eastAsia="Verdana" w:cs="Verdana"/>
                <w:lang w:val="fr-BE" w:bidi="en-GB"/>
              </w:rPr>
              <w:t>1 091</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eastAsia="Verdana" w:cs="Verdana"/>
                <w:lang w:val="fr-BE" w:bidi="en-GB"/>
              </w:rPr>
            </w:pPr>
            <w:r>
              <w:rPr>
                <w:rFonts w:eastAsia="Verdana" w:cs="Verdana"/>
                <w:lang w:val="fr-BE" w:bidi="en-GB"/>
              </w:rPr>
              <w:t>Total</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ItalicCentered"/>
              <w:rPr>
                <w:rFonts w:eastAsia="Verdana" w:cs="Verdana"/>
                <w:i w:val="0"/>
                <w:lang w:val="fr-BE" w:bidi="en-GB"/>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lang w:val="fr-BE" w:bidi="en-GB"/>
              </w:rPr>
            </w:pPr>
            <w:r>
              <w:rPr>
                <w:rFonts w:eastAsia="Verdana" w:cs="Verdana"/>
                <w:lang w:val="fr-BE" w:bidi="en-GB"/>
              </w:rPr>
              <w:t>5 623</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lang w:val="fr-BE" w:bidi="en-GB"/>
              </w:rPr>
            </w:pPr>
            <w:r>
              <w:rPr>
                <w:rFonts w:eastAsia="Verdana" w:cs="Verdana"/>
                <w:lang w:val="fr-BE" w:bidi="en-GB"/>
              </w:rPr>
              <w:t>4 045</w:t>
            </w:r>
          </w:p>
        </w:tc>
      </w:tr>
    </w:tbl>
    <w:p w:rsidR="00F50689" w:rsidRPr="00BC68BB" w:rsidRDefault="005A36C4" w:rsidP="00F50689">
      <w:pPr>
        <w:pStyle w:val="Textstand-alone"/>
      </w:pPr>
      <w:r w:rsidRPr="00BC68BB">
        <w:t>T</w:t>
      </w:r>
      <w:r w:rsidR="00C47120">
        <w:t>ran</w:t>
      </w:r>
      <w:r w:rsidR="001A159C">
        <w:t>s</w:t>
      </w:r>
      <w:r w:rsidR="00C47120">
        <w:t xml:space="preserve">fer of assets </w:t>
      </w:r>
      <w:r w:rsidRPr="00BC68BB">
        <w:t xml:space="preserve">revenue </w:t>
      </w:r>
      <w:r>
        <w:t xml:space="preserve">relates to the transfer of satellites under the Copernicus programme (former GMES programme) from the European Space Agency (ESA) to the Commission (see note </w:t>
      </w:r>
      <w:r w:rsidRPr="005D7002">
        <w:rPr>
          <w:b/>
        </w:rPr>
        <w:t>2.2</w:t>
      </w:r>
      <w:r>
        <w:t>). This transfer is a non-exchange transaction according to the EU accounting rules and will occur in future periods for the remaining Copernicus satellites currently under construction.</w:t>
      </w:r>
    </w:p>
    <w:p w:rsidR="00F50689" w:rsidRPr="00A62D36" w:rsidRDefault="005A36C4" w:rsidP="00F50689">
      <w:pPr>
        <w:pStyle w:val="Textstand-alone"/>
      </w:pPr>
      <w:r>
        <w:t>The budgetary adjustments include the budget surplus from 2013 (EUR</w:t>
      </w:r>
      <w:r w:rsidR="003A3A39">
        <w:t> </w:t>
      </w:r>
      <w:r>
        <w:t>1</w:t>
      </w:r>
      <w:r w:rsidR="003A3A39">
        <w:t> </w:t>
      </w:r>
      <w:r>
        <w:t>005</w:t>
      </w:r>
      <w:r w:rsidR="003A3A39">
        <w:t> </w:t>
      </w:r>
      <w:r>
        <w:t>million) which is indirectly refunded to Member States by deduction of the amounts of own resources they have to transfer to the EU in the following year – thus it is a revenue for 2014.</w:t>
      </w:r>
    </w:p>
    <w:p w:rsidR="00F50689" w:rsidRDefault="00C47120" w:rsidP="00F50689">
      <w:pPr>
        <w:pStyle w:val="Textstand-alone"/>
      </w:pPr>
      <w:r>
        <w:t xml:space="preserve">Staff taxes and contributions </w:t>
      </w:r>
      <w:r w:rsidR="005A36C4" w:rsidRPr="00A62D36">
        <w:t>revenue arises primarily from deductions from staff salaries and is made up of two significant amounts – staff pension contributions and taxes on income.</w:t>
      </w:r>
    </w:p>
    <w:p w:rsidR="00F50689" w:rsidRDefault="00C47120" w:rsidP="00F50689">
      <w:pPr>
        <w:pStyle w:val="Textstand-alone"/>
      </w:pPr>
      <w:r>
        <w:t xml:space="preserve">Contributions from third countries </w:t>
      </w:r>
      <w:r w:rsidR="005A36C4">
        <w:t>are contributions from EFTA countries and accession countries.</w:t>
      </w:r>
    </w:p>
    <w:p w:rsidR="00F50689" w:rsidRDefault="00C47120" w:rsidP="00F50689">
      <w:pPr>
        <w:pStyle w:val="Textstand-alone"/>
        <w:spacing w:after="0"/>
      </w:pPr>
      <w:r>
        <w:t xml:space="preserve">Agricultural levies </w:t>
      </w:r>
      <w:r w:rsidR="005A36C4">
        <w:t>concern milk levies which are a market management tool aimed at penalising milk producers who exceed their reference quantities. As it is not linked to prior payments by the Commission, it is in practice considered as revenue for a specific purpose. The increase in milk levies this year is due to eight Member States exceeding their milk quotas for deliveries in 2013/2014, meaning that they must therefore pay penalties (known as a "superlevy").</w:t>
      </w:r>
      <w:r w:rsidR="005A36C4" w:rsidRPr="003926C4">
        <w:t xml:space="preserve"> </w:t>
      </w:r>
      <w:r w:rsidR="005A36C4">
        <w:t>The dairy quota regime was abolished on 1 April 2015.</w:t>
      </w:r>
    </w:p>
    <w:p w:rsidR="00C47120" w:rsidRDefault="00C47120" w:rsidP="00F50689">
      <w:pPr>
        <w:pStyle w:val="HEADERTABLE"/>
        <w:spacing w:after="0"/>
      </w:pPr>
      <w:bookmarkStart w:id="130" w:name="_DMBM_2648"/>
      <w:bookmarkEnd w:id="128"/>
    </w:p>
    <w:p w:rsidR="00C47120" w:rsidRDefault="00C47120">
      <w:pPr>
        <w:rPr>
          <w:rFonts w:ascii="Verdana" w:hAnsi="Verdana"/>
          <w:b/>
          <w:color w:val="016794"/>
          <w:sz w:val="28"/>
          <w:szCs w:val="28"/>
        </w:rPr>
      </w:pPr>
      <w:r>
        <w:br w:type="page"/>
      </w:r>
    </w:p>
    <w:p w:rsidR="00F50689" w:rsidRPr="00375FD9" w:rsidRDefault="005A36C4" w:rsidP="00F50689">
      <w:pPr>
        <w:pStyle w:val="HEADERTABLE"/>
        <w:spacing w:after="0"/>
      </w:pPr>
      <w:r w:rsidRPr="00375FD9">
        <w:t>REVENUE FROM EXCHANGE TRANSACTIONS</w:t>
      </w:r>
    </w:p>
    <w:p w:rsidR="00F50689" w:rsidRPr="00375FD9" w:rsidRDefault="005A36C4" w:rsidP="00F50689">
      <w:pPr>
        <w:pStyle w:val="Textstand-alone"/>
        <w:spacing w:before="0"/>
        <w:sectPr w:rsidR="00F50689" w:rsidRPr="00375FD9" w:rsidSect="00F50689">
          <w:headerReference w:type="even" r:id="rId251"/>
          <w:headerReference w:type="default" r:id="rId252"/>
          <w:footerReference w:type="even" r:id="rId253"/>
          <w:footerReference w:type="default" r:id="rId254"/>
          <w:headerReference w:type="first" r:id="rId255"/>
          <w:footerReference w:type="first" r:id="rId256"/>
          <w:pgSz w:w="11906" w:h="16838"/>
          <w:pgMar w:top="1134" w:right="1134" w:bottom="1134" w:left="1134" w:header="709" w:footer="709" w:gutter="0"/>
          <w:cols w:space="708"/>
          <w:docGrid w:linePitch="360"/>
        </w:sectPr>
      </w:pPr>
      <w:r w:rsidRPr="00375FD9">
        <w:t xml:space="preserve"> </w:t>
      </w:r>
      <w:bookmarkEnd w:id="130"/>
    </w:p>
    <w:p w:rsidR="00F50689" w:rsidRDefault="005A36C4" w:rsidP="00F50689">
      <w:pPr>
        <w:pStyle w:val="HEADER2Part2"/>
        <w:spacing w:after="0"/>
        <w:rPr>
          <w:lang w:val="fr-BE"/>
        </w:rPr>
      </w:pPr>
      <w:bookmarkStart w:id="131" w:name="_DMBM_2649"/>
      <w:r>
        <w:rPr>
          <w:lang w:val="fr-BE"/>
        </w:rPr>
        <w:t>FINANCIAL INCOME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E21237" w:rsidRDefault="00F50689" w:rsidP="00F50689">
            <w:pPr>
              <w:pStyle w:val="Text8pItalicLeft"/>
              <w:rPr>
                <w:rFonts w:eastAsia="Verdana" w:cs="Verdana"/>
                <w:color w:val="FFFFFF"/>
                <w:lang w:bidi="en-GB"/>
              </w:rPr>
            </w:pPr>
            <w:bookmarkStart w:id="132" w:name="DOC_TBL00053_1_1"/>
            <w:bookmarkEnd w:id="132"/>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E21237" w:rsidRDefault="00F50689" w:rsidP="00F50689">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Text8pItalicRight025EUR"/>
              <w:rPr>
                <w:rFonts w:eastAsia="Verdana" w:cs="Verdana"/>
                <w:lang w:bidi="en-GB"/>
              </w:rPr>
            </w:pPr>
            <w:r w:rsidRPr="00E21237">
              <w:rPr>
                <w:rFonts w:eastAsia="Verdana" w:cs="Verdana"/>
                <w:lang w:bidi="en-GB"/>
              </w:rPr>
              <w:t>EUR millions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Pr="00E21237" w:rsidRDefault="00F50689" w:rsidP="00F50689">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Pr="00E21237" w:rsidRDefault="005A36C4" w:rsidP="00F50689">
            <w:pPr>
              <w:pStyle w:val="Heading10pNormalRight025"/>
              <w:rPr>
                <w:rFonts w:eastAsia="Verdana" w:cs="Verdana"/>
                <w:lang w:bidi="en-GB"/>
              </w:rPr>
            </w:pPr>
            <w:r w:rsidRPr="00E21237">
              <w:rPr>
                <w:rFonts w:eastAsia="Verdana" w:cs="Verdana"/>
                <w:lang w:bidi="en-GB"/>
              </w:rPr>
              <w:t>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Pr="00E21237" w:rsidRDefault="005A36C4" w:rsidP="00F50689">
            <w:pPr>
              <w:pStyle w:val="Heading10pNormalRight025"/>
              <w:rPr>
                <w:rFonts w:eastAsia="Verdana" w:cs="Verdana"/>
                <w:lang w:bidi="en-GB"/>
              </w:rPr>
            </w:pPr>
            <w:r w:rsidRPr="00E21237">
              <w:rPr>
                <w:rFonts w:eastAsia="Verdana" w:cs="Verdana"/>
                <w:lang w:bidi="en-GB"/>
              </w:rPr>
              <w:t>2013</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Text9pItalicLeft"/>
              <w:rPr>
                <w:rFonts w:eastAsia="Verdana" w:cs="Verdana"/>
                <w:lang w:bidi="en-GB"/>
              </w:rPr>
            </w:pPr>
            <w:r w:rsidRPr="00E21237">
              <w:rPr>
                <w:rFonts w:eastAsia="Verdana" w:cs="Verdana"/>
                <w:lang w:bidi="en-GB"/>
              </w:rPr>
              <w:t>Interest income on:</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E21237" w:rsidRDefault="00F50689" w:rsidP="00F50689">
            <w:pPr>
              <w:pStyle w:val="Figures9pItalicRight025"/>
              <w:rPr>
                <w:rFonts w:eastAsia="Verdana" w:cs="Verdana"/>
                <w:lang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E21237" w:rsidRDefault="00F50689" w:rsidP="00F50689">
            <w:pPr>
              <w:pStyle w:val="Figures9pItalicRight025"/>
              <w:rPr>
                <w:rFonts w:eastAsia="Verdana" w:cs="Verdana"/>
                <w:lang w:bidi="en-GB"/>
              </w:rPr>
            </w:pP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Text9pItalicLeft"/>
              <w:rPr>
                <w:rFonts w:eastAsia="Verdana" w:cs="Verdana"/>
                <w:lang w:bidi="en-GB"/>
              </w:rPr>
            </w:pPr>
            <w:r w:rsidRPr="00E21237">
              <w:rPr>
                <w:rFonts w:eastAsia="Verdana" w:cs="Verdana"/>
                <w:lang w:bidi="en-GB"/>
              </w:rPr>
              <w:t>Pre-financing</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lang w:bidi="en-GB"/>
              </w:rPr>
            </w:pPr>
            <w:r w:rsidRPr="00E21237">
              <w:rPr>
                <w:rFonts w:eastAsia="Verdana" w:cs="Verdana"/>
                <w:lang w:bidi="en-GB"/>
              </w:rPr>
              <w:t xml:space="preserve"> 16</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lang w:bidi="en-GB"/>
              </w:rPr>
            </w:pPr>
            <w:r w:rsidRPr="00E21237">
              <w:rPr>
                <w:rFonts w:eastAsia="Verdana" w:cs="Verdana"/>
                <w:lang w:bidi="en-GB"/>
              </w:rPr>
              <w:t xml:space="preserve"> 29</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Text9pItalicLeft"/>
              <w:rPr>
                <w:rFonts w:eastAsia="Verdana" w:cs="Verdana"/>
                <w:lang w:bidi="en-GB"/>
              </w:rPr>
            </w:pPr>
            <w:r w:rsidRPr="00E21237">
              <w:rPr>
                <w:rFonts w:eastAsia="Verdana" w:cs="Verdana"/>
                <w:lang w:bidi="en-GB"/>
              </w:rPr>
              <w:t>Late payments</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lang w:bidi="en-GB"/>
              </w:rPr>
            </w:pPr>
            <w:r w:rsidRPr="00E21237">
              <w:rPr>
                <w:rFonts w:eastAsia="Verdana" w:cs="Verdana"/>
                <w:lang w:bidi="en-GB"/>
              </w:rPr>
              <w:t xml:space="preserve"> 387</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lang w:bidi="en-GB"/>
              </w:rPr>
            </w:pPr>
            <w:r w:rsidRPr="00E21237">
              <w:rPr>
                <w:rFonts w:eastAsia="Verdana" w:cs="Verdana"/>
                <w:lang w:bidi="en-GB"/>
              </w:rPr>
              <w:t xml:space="preserve"> 88</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Text9pItalicLeft"/>
              <w:rPr>
                <w:rFonts w:eastAsia="Verdana" w:cs="Verdana"/>
                <w:lang w:bidi="en-GB"/>
              </w:rPr>
            </w:pPr>
            <w:r w:rsidRPr="00E21237">
              <w:rPr>
                <w:rFonts w:eastAsia="Verdana" w:cs="Verdana"/>
                <w:lang w:bidi="en-GB"/>
              </w:rPr>
              <w:t>Available for sale financial assets</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lang w:bidi="en-GB"/>
              </w:rPr>
            </w:pPr>
            <w:r w:rsidRPr="00E21237">
              <w:rPr>
                <w:rFonts w:eastAsia="Verdana" w:cs="Verdana"/>
                <w:lang w:bidi="en-GB"/>
              </w:rPr>
              <w:t xml:space="preserve"> 65</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lang w:bidi="en-GB"/>
              </w:rPr>
            </w:pPr>
            <w:r w:rsidRPr="00E21237">
              <w:rPr>
                <w:rFonts w:eastAsia="Verdana" w:cs="Verdana"/>
                <w:lang w:bidi="en-GB"/>
              </w:rPr>
              <w:t xml:space="preserve"> 71</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Text9pItalicLeft"/>
              <w:rPr>
                <w:rFonts w:eastAsia="Verdana" w:cs="Verdana"/>
                <w:lang w:bidi="en-GB"/>
              </w:rPr>
            </w:pPr>
            <w:r w:rsidRPr="00E21237">
              <w:rPr>
                <w:rFonts w:eastAsia="Verdana" w:cs="Verdana"/>
                <w:lang w:bidi="en-GB"/>
              </w:rPr>
              <w:t>Loans</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lang w:bidi="en-GB"/>
              </w:rPr>
            </w:pPr>
            <w:r w:rsidRPr="00E21237">
              <w:rPr>
                <w:rFonts w:eastAsia="Verdana" w:cs="Verdana"/>
                <w:lang w:bidi="en-GB"/>
              </w:rPr>
              <w:t>1 722</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lang w:bidi="en-GB"/>
              </w:rPr>
            </w:pPr>
            <w:r w:rsidRPr="00E21237">
              <w:rPr>
                <w:rFonts w:eastAsia="Verdana" w:cs="Verdana"/>
                <w:lang w:bidi="en-GB"/>
              </w:rPr>
              <w:t>1 712</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Text9pItalicLeft"/>
              <w:rPr>
                <w:rFonts w:eastAsia="Verdana" w:cs="Verdana"/>
                <w:lang w:bidi="en-GB"/>
              </w:rPr>
            </w:pPr>
            <w:r w:rsidRPr="00E21237">
              <w:rPr>
                <w:rFonts w:eastAsia="Verdana" w:cs="Verdana"/>
                <w:lang w:bidi="en-GB"/>
              </w:rPr>
              <w:t>Cash and cash equivalents</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lang w:bidi="en-GB"/>
              </w:rPr>
            </w:pPr>
            <w:r w:rsidRPr="00E21237">
              <w:rPr>
                <w:rFonts w:eastAsia="Verdana" w:cs="Verdana"/>
                <w:lang w:bidi="en-GB"/>
              </w:rPr>
              <w:t xml:space="preserve"> 10</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lang w:bidi="en-GB"/>
              </w:rPr>
            </w:pPr>
            <w:r w:rsidRPr="00E21237">
              <w:rPr>
                <w:rFonts w:eastAsia="Verdana" w:cs="Verdana"/>
                <w:lang w:bidi="en-GB"/>
              </w:rPr>
              <w:t xml:space="preserve"> 21</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Text9pItalicLeft"/>
              <w:rPr>
                <w:rFonts w:eastAsia="Verdana" w:cs="Verdana"/>
                <w:lang w:bidi="en-GB"/>
              </w:rPr>
            </w:pPr>
            <w:r w:rsidRPr="00E21237">
              <w:rPr>
                <w:rFonts w:eastAsia="Verdana" w:cs="Verdana"/>
                <w:lang w:bidi="en-GB"/>
              </w:rPr>
              <w:t>Impaired financial assets</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lang w:bidi="en-GB"/>
              </w:rPr>
            </w:pPr>
            <w:r w:rsidRPr="00E21237">
              <w:rPr>
                <w:rFonts w:eastAsia="Verdana" w:cs="Verdana"/>
                <w:lang w:bidi="en-GB"/>
              </w:rPr>
              <w:t xml:space="preserve"> 0</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lang w:bidi="en-GB"/>
              </w:rPr>
            </w:pPr>
            <w:r w:rsidRPr="00E21237">
              <w:rPr>
                <w:rFonts w:eastAsia="Verdana" w:cs="Verdana"/>
                <w:lang w:bidi="en-GB"/>
              </w:rPr>
              <w:t>-</w:t>
            </w:r>
          </w:p>
        </w:tc>
      </w:tr>
      <w:tr w:rsidR="00E7728E">
        <w:tc>
          <w:tcPr>
            <w:tcW w:w="5637"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E21237" w:rsidRDefault="005A36C4" w:rsidP="00F50689">
            <w:pPr>
              <w:pStyle w:val="Text9pItalicLeft"/>
              <w:rPr>
                <w:rFonts w:eastAsia="Verdana" w:cs="Verdana"/>
                <w:lang w:bidi="en-GB"/>
              </w:rPr>
            </w:pPr>
            <w:r w:rsidRPr="00E21237">
              <w:rPr>
                <w:rFonts w:eastAsia="Verdana" w:cs="Verdana"/>
                <w:lang w:bidi="en-GB"/>
              </w:rPr>
              <w:t xml:space="preserve">Other </w:t>
            </w:r>
          </w:p>
        </w:tc>
        <w:tc>
          <w:tcPr>
            <w:tcW w:w="2126"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lang w:bidi="en-GB"/>
              </w:rPr>
            </w:pPr>
            <w:r w:rsidRPr="00E21237">
              <w:rPr>
                <w:rFonts w:eastAsia="Verdana" w:cs="Verdana"/>
                <w:lang w:bidi="en-GB"/>
              </w:rPr>
              <w:t xml:space="preserve"> 1</w:t>
            </w:r>
          </w:p>
        </w:tc>
        <w:tc>
          <w:tcPr>
            <w:tcW w:w="1985"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lang w:bidi="en-GB"/>
              </w:rPr>
            </w:pPr>
            <w:r w:rsidRPr="00E21237">
              <w:rPr>
                <w:rFonts w:eastAsia="Verdana" w:cs="Verdana"/>
                <w:lang w:bidi="en-GB"/>
              </w:rPr>
              <w:t xml:space="preserve"> 1</w:t>
            </w:r>
          </w:p>
        </w:tc>
      </w:tr>
      <w:tr w:rsidR="00E7728E">
        <w:tc>
          <w:tcPr>
            <w:tcW w:w="5637"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E21237" w:rsidRDefault="005A36C4" w:rsidP="00F50689">
            <w:pPr>
              <w:pStyle w:val="Text9pBoldLeft"/>
              <w:rPr>
                <w:rFonts w:eastAsia="Verdana" w:cs="Verdana"/>
                <w:lang w:bidi="en-GB"/>
              </w:rPr>
            </w:pPr>
            <w:r w:rsidRPr="00E21237">
              <w:rPr>
                <w:rFonts w:eastAsia="Verdana" w:cs="Verdana"/>
                <w:lang w:bidi="en-GB"/>
              </w:rPr>
              <w:t>Interest income</w:t>
            </w:r>
          </w:p>
        </w:tc>
        <w:tc>
          <w:tcPr>
            <w:tcW w:w="2126"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b/>
                <w:i w:val="0"/>
                <w:lang w:bidi="en-GB"/>
              </w:rPr>
            </w:pPr>
            <w:r w:rsidRPr="00E21237">
              <w:rPr>
                <w:rFonts w:eastAsia="Verdana" w:cs="Verdana"/>
                <w:b/>
                <w:i w:val="0"/>
                <w:lang w:bidi="en-GB"/>
              </w:rPr>
              <w:t>2 202</w:t>
            </w:r>
          </w:p>
        </w:tc>
        <w:tc>
          <w:tcPr>
            <w:tcW w:w="198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b/>
                <w:i w:val="0"/>
                <w:lang w:bidi="en-GB"/>
              </w:rPr>
            </w:pPr>
            <w:r w:rsidRPr="00E21237">
              <w:rPr>
                <w:rFonts w:eastAsia="Verdana" w:cs="Verdana"/>
                <w:b/>
                <w:i w:val="0"/>
                <w:lang w:bidi="en-GB"/>
              </w:rPr>
              <w:t>1 922</w:t>
            </w:r>
          </w:p>
        </w:tc>
      </w:tr>
      <w:tr w:rsidR="00E7728E">
        <w:tc>
          <w:tcPr>
            <w:tcW w:w="5637"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E21237" w:rsidRDefault="005A36C4" w:rsidP="00F50689">
            <w:pPr>
              <w:pStyle w:val="Text9pBoldLeft"/>
              <w:rPr>
                <w:rFonts w:eastAsia="Verdana" w:cs="Verdana"/>
                <w:lang w:bidi="en-GB"/>
              </w:rPr>
            </w:pPr>
            <w:r w:rsidRPr="00E21237">
              <w:rPr>
                <w:rFonts w:eastAsia="Verdana" w:cs="Verdana"/>
                <w:lang w:bidi="en-GB"/>
              </w:rPr>
              <w:t>Dividend income</w:t>
            </w:r>
          </w:p>
        </w:tc>
        <w:tc>
          <w:tcPr>
            <w:tcW w:w="2126"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b/>
                <w:i w:val="0"/>
                <w:lang w:bidi="en-GB"/>
              </w:rPr>
            </w:pPr>
            <w:r w:rsidRPr="00E21237">
              <w:rPr>
                <w:rFonts w:eastAsia="Verdana" w:cs="Verdana"/>
                <w:b/>
                <w:i w:val="0"/>
                <w:lang w:bidi="en-GB"/>
              </w:rPr>
              <w:t xml:space="preserve"> 6</w:t>
            </w:r>
          </w:p>
        </w:tc>
        <w:tc>
          <w:tcPr>
            <w:tcW w:w="198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b/>
                <w:i w:val="0"/>
                <w:lang w:bidi="en-GB"/>
              </w:rPr>
            </w:pPr>
            <w:r w:rsidRPr="00E21237">
              <w:rPr>
                <w:rFonts w:eastAsia="Verdana" w:cs="Verdana"/>
                <w:b/>
                <w:i w:val="0"/>
                <w:lang w:bidi="en-GB"/>
              </w:rPr>
              <w:t xml:space="preserve"> 6</w:t>
            </w:r>
          </w:p>
        </w:tc>
      </w:tr>
      <w:tr w:rsidR="00E7728E">
        <w:tc>
          <w:tcPr>
            <w:tcW w:w="5637"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E21237" w:rsidRDefault="005A36C4" w:rsidP="00F50689">
            <w:pPr>
              <w:pStyle w:val="Text9pBoldLeft"/>
              <w:rPr>
                <w:rFonts w:eastAsia="Verdana" w:cs="Verdana"/>
                <w:lang w:bidi="en-GB"/>
              </w:rPr>
            </w:pPr>
            <w:r w:rsidRPr="00E21237">
              <w:rPr>
                <w:rFonts w:eastAsia="Verdana" w:cs="Verdana"/>
                <w:lang w:bidi="en-GB"/>
              </w:rPr>
              <w:t>Realised gains on sale of financial assets</w:t>
            </w:r>
          </w:p>
        </w:tc>
        <w:tc>
          <w:tcPr>
            <w:tcW w:w="2126"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b/>
                <w:i w:val="0"/>
                <w:lang w:bidi="en-GB"/>
              </w:rPr>
            </w:pPr>
            <w:r w:rsidRPr="00E21237">
              <w:rPr>
                <w:rFonts w:eastAsia="Verdana" w:cs="Verdana"/>
                <w:b/>
                <w:i w:val="0"/>
                <w:lang w:bidi="en-GB"/>
              </w:rPr>
              <w:t xml:space="preserve"> 30</w:t>
            </w:r>
          </w:p>
        </w:tc>
        <w:tc>
          <w:tcPr>
            <w:tcW w:w="198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b/>
                <w:i w:val="0"/>
                <w:lang w:bidi="en-GB"/>
              </w:rPr>
            </w:pPr>
            <w:r w:rsidRPr="00E21237">
              <w:rPr>
                <w:rFonts w:eastAsia="Verdana" w:cs="Verdana"/>
                <w:b/>
                <w:i w:val="0"/>
                <w:lang w:bidi="en-GB"/>
              </w:rPr>
              <w:t xml:space="preserve"> 24</w:t>
            </w:r>
          </w:p>
        </w:tc>
      </w:tr>
      <w:tr w:rsidR="00E7728E">
        <w:tc>
          <w:tcPr>
            <w:tcW w:w="5637"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Text9pBoldLeft"/>
              <w:rPr>
                <w:rFonts w:eastAsia="Verdana" w:cs="Verdana"/>
                <w:lang w:bidi="en-GB"/>
              </w:rPr>
            </w:pPr>
            <w:r w:rsidRPr="00E21237">
              <w:rPr>
                <w:rFonts w:eastAsia="Verdana" w:cs="Verdana"/>
                <w:lang w:bidi="en-GB"/>
              </w:rPr>
              <w:t>Other financial income</w:t>
            </w:r>
          </w:p>
        </w:tc>
        <w:tc>
          <w:tcPr>
            <w:tcW w:w="2126"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Figures9pBoldRight025"/>
              <w:rPr>
                <w:rFonts w:eastAsia="Verdana" w:cs="Verdana"/>
                <w:lang w:bidi="en-GB"/>
              </w:rPr>
            </w:pPr>
            <w:r w:rsidRPr="00E21237">
              <w:rPr>
                <w:rFonts w:eastAsia="Verdana" w:cs="Verdana"/>
                <w:lang w:bidi="en-GB"/>
              </w:rPr>
              <w:t xml:space="preserve"> 61</w:t>
            </w:r>
          </w:p>
        </w:tc>
        <w:tc>
          <w:tcPr>
            <w:tcW w:w="1985"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Figures9pBoldRight025"/>
              <w:rPr>
                <w:rFonts w:eastAsia="Verdana" w:cs="Verdana"/>
                <w:lang w:bidi="en-GB"/>
              </w:rPr>
            </w:pPr>
            <w:r w:rsidRPr="00E21237">
              <w:rPr>
                <w:rFonts w:eastAsia="Verdana" w:cs="Verdana"/>
                <w:lang w:bidi="en-GB"/>
              </w:rPr>
              <w:t xml:space="preserve"> 40</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Pr="00E21237" w:rsidRDefault="005A36C4" w:rsidP="00F50689">
            <w:pPr>
              <w:pStyle w:val="Text9pBoldLeft"/>
              <w:rPr>
                <w:rFonts w:eastAsia="Verdana" w:cs="Verdana"/>
                <w:lang w:bidi="en-GB"/>
              </w:rPr>
            </w:pPr>
            <w:r w:rsidRPr="00E21237">
              <w:rPr>
                <w:rFonts w:eastAsia="Verdana" w:cs="Verdana"/>
                <w:lang w:bidi="en-GB"/>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Pr="00E21237" w:rsidRDefault="005A36C4" w:rsidP="00F50689">
            <w:pPr>
              <w:pStyle w:val="Figures9pBoldRight025"/>
              <w:rPr>
                <w:rFonts w:eastAsia="Verdana" w:cs="Verdana"/>
                <w:lang w:bidi="en-GB"/>
              </w:rPr>
            </w:pPr>
            <w:r w:rsidRPr="00E21237">
              <w:rPr>
                <w:rFonts w:eastAsia="Verdana" w:cs="Verdana"/>
                <w:lang w:bidi="en-GB"/>
              </w:rPr>
              <w:t>2 298</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Pr="00E21237" w:rsidRDefault="005A36C4" w:rsidP="00F50689">
            <w:pPr>
              <w:pStyle w:val="Figures9pBoldRight025"/>
              <w:rPr>
                <w:rFonts w:eastAsia="Verdana" w:cs="Verdana"/>
                <w:lang w:bidi="en-GB"/>
              </w:rPr>
            </w:pPr>
            <w:r w:rsidRPr="00E21237">
              <w:rPr>
                <w:rFonts w:eastAsia="Verdana" w:cs="Verdana"/>
                <w:lang w:bidi="en-GB"/>
              </w:rPr>
              <w:t>1 991</w:t>
            </w:r>
          </w:p>
        </w:tc>
      </w:tr>
    </w:tbl>
    <w:p w:rsidR="00F50689" w:rsidRPr="00E21237" w:rsidRDefault="005A36C4" w:rsidP="00F50689">
      <w:pPr>
        <w:pStyle w:val="Textstand-alone"/>
      </w:pPr>
      <w:r w:rsidRPr="00E21237">
        <w:t xml:space="preserve">Interest income on loans </w:t>
      </w:r>
      <w:r>
        <w:t xml:space="preserve">relates mainly to loans granted from borrowed funds (see note </w:t>
      </w:r>
      <w:r w:rsidRPr="00E21237">
        <w:rPr>
          <w:b/>
        </w:rPr>
        <w:t>2.4.2</w:t>
      </w:r>
      <w:r>
        <w:t>).</w:t>
      </w:r>
    </w:p>
    <w:p w:rsidR="00F50689" w:rsidRDefault="005A36C4" w:rsidP="00F50689">
      <w:pPr>
        <w:pStyle w:val="HEADER5"/>
        <w:spacing w:before="360"/>
      </w:pPr>
      <w:r>
        <w:t>N</w:t>
      </w:r>
      <w:r w:rsidRPr="00AC62E1">
        <w:t xml:space="preserve">et gains </w:t>
      </w:r>
      <w:r>
        <w:t>or</w:t>
      </w:r>
      <w:r w:rsidRPr="00AC62E1">
        <w:t xml:space="preserve"> losses o</w:t>
      </w:r>
      <w:r>
        <w:t>n</w:t>
      </w:r>
      <w:r w:rsidRPr="00AC62E1">
        <w:t xml:space="preserve"> financial assets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33" w:name="DOC_TBL00054_1_1"/>
            <w:bookmarkEnd w:id="133"/>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rPr>
                <w:rFonts w:cs="Verdana"/>
              </w:rPr>
              <w:t>EUR millions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2013</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Net gains/(losses) on available for sale financial assets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13</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24</w:t>
            </w:r>
          </w:p>
        </w:tc>
      </w:tr>
    </w:tbl>
    <w:p w:rsidR="00F50689" w:rsidRPr="00AC62E1" w:rsidRDefault="005A36C4" w:rsidP="00F50689">
      <w:pPr>
        <w:pStyle w:val="Textstand-alone"/>
        <w:spacing w:before="0"/>
        <w:sectPr w:rsidR="00F50689" w:rsidRPr="00AC62E1" w:rsidSect="00F50689">
          <w:headerReference w:type="even" r:id="rId257"/>
          <w:headerReference w:type="default" r:id="rId258"/>
          <w:footerReference w:type="even" r:id="rId259"/>
          <w:footerReference w:type="default" r:id="rId260"/>
          <w:headerReference w:type="first" r:id="rId261"/>
          <w:footerReference w:type="first" r:id="rId262"/>
          <w:type w:val="continuous"/>
          <w:pgSz w:w="11906" w:h="16838"/>
          <w:pgMar w:top="1134" w:right="1134" w:bottom="1134" w:left="1134" w:header="709" w:footer="709" w:gutter="0"/>
          <w:cols w:space="708"/>
          <w:docGrid w:linePitch="360"/>
        </w:sectPr>
      </w:pPr>
      <w:r>
        <w:t xml:space="preserve"> </w:t>
      </w:r>
      <w:bookmarkEnd w:id="131"/>
    </w:p>
    <w:p w:rsidR="00F50689" w:rsidRDefault="005A36C4" w:rsidP="00F50689">
      <w:pPr>
        <w:pStyle w:val="HEADER2Part2"/>
        <w:spacing w:before="480" w:after="0"/>
        <w:rPr>
          <w:lang w:val="fr-BE"/>
        </w:rPr>
      </w:pPr>
      <w:bookmarkStart w:id="134" w:name="_DMBM_2650"/>
      <w:r>
        <w:rPr>
          <w:lang w:val="fr-BE"/>
        </w:rPr>
        <w:t>OTHER REVENUE FROM EXCHANGE TRANSACTIONS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35" w:name="DOC_TBL00055_1_1"/>
            <w:bookmarkEnd w:id="135"/>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rPr>
                <w:rFonts w:cs="Verdana"/>
              </w:rPr>
              <w:t>EUR millions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2013</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Property, plant and equipment related revenue</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16</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38</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Foreign exchange gains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478</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336</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Other</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571</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1 070</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1 066</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1 443</w:t>
            </w:r>
          </w:p>
        </w:tc>
      </w:tr>
    </w:tbl>
    <w:p w:rsidR="00F50689" w:rsidRPr="00C73174" w:rsidRDefault="005A36C4" w:rsidP="00F50689">
      <w:pPr>
        <w:pStyle w:val="Textstand-alone"/>
        <w:spacing w:after="0"/>
      </w:pPr>
      <w:r w:rsidRPr="005C6FD7">
        <w:t>Other revenue from exchange transactions are primarily management fee revenue and revenue relating to receivables previously impaired.</w:t>
      </w:r>
    </w:p>
    <w:p w:rsidR="00F50689" w:rsidRPr="00C73174" w:rsidRDefault="005A36C4" w:rsidP="00F50689">
      <w:pPr>
        <w:pStyle w:val="Textstand-alone"/>
        <w:spacing w:before="0"/>
        <w:sectPr w:rsidR="00F50689" w:rsidRPr="00C73174" w:rsidSect="00F50689">
          <w:headerReference w:type="even" r:id="rId263"/>
          <w:headerReference w:type="default" r:id="rId264"/>
          <w:footerReference w:type="even" r:id="rId265"/>
          <w:footerReference w:type="default" r:id="rId266"/>
          <w:headerReference w:type="first" r:id="rId267"/>
          <w:footerReference w:type="first" r:id="rId268"/>
          <w:type w:val="continuous"/>
          <w:pgSz w:w="11906" w:h="16838"/>
          <w:pgMar w:top="1134" w:right="1134" w:bottom="1134" w:left="1134" w:header="709" w:footer="709" w:gutter="0"/>
          <w:cols w:space="708"/>
          <w:docGrid w:linePitch="360"/>
        </w:sectPr>
      </w:pPr>
      <w:r w:rsidRPr="00C73174">
        <w:t xml:space="preserve"> </w:t>
      </w:r>
      <w:bookmarkEnd w:id="134"/>
    </w:p>
    <w:p w:rsidR="00F50689" w:rsidRDefault="00F50689">
      <w:pPr>
        <w:rPr>
          <w:rFonts w:ascii="Verdana" w:hAnsi="Verdana"/>
          <w:b/>
          <w:color w:val="016794"/>
          <w:sz w:val="28"/>
          <w:szCs w:val="28"/>
        </w:rPr>
      </w:pPr>
      <w:bookmarkStart w:id="136" w:name="_DMBM_2651"/>
      <w:r>
        <w:br w:type="page"/>
      </w:r>
    </w:p>
    <w:p w:rsidR="00F50689" w:rsidRPr="0069721E" w:rsidRDefault="005A36C4" w:rsidP="00F50689">
      <w:pPr>
        <w:pStyle w:val="HEADERTABLE"/>
      </w:pPr>
      <w:r w:rsidRPr="0069721E">
        <w:t>EXPENSES</w:t>
      </w:r>
    </w:p>
    <w:p w:rsidR="00F50689" w:rsidRPr="003816B7" w:rsidRDefault="005A36C4" w:rsidP="00F50689">
      <w:pPr>
        <w:pStyle w:val="HEADERTABLE"/>
        <w:spacing w:after="0"/>
      </w:pPr>
      <w:r w:rsidRPr="003816B7">
        <w:t>T</w:t>
      </w:r>
      <w:r>
        <w:t>RANSFER PAYMENTS AND SUBSIDIES BY MANAGEMENT MODE</w:t>
      </w:r>
    </w:p>
    <w:p w:rsidR="00F50689" w:rsidRPr="003816B7" w:rsidRDefault="005A36C4" w:rsidP="00F50689">
      <w:pPr>
        <w:pStyle w:val="Textstand-alone"/>
        <w:spacing w:before="0"/>
        <w:sectPr w:rsidR="00F50689" w:rsidRPr="003816B7" w:rsidSect="00F50689">
          <w:headerReference w:type="even" r:id="rId269"/>
          <w:headerReference w:type="default" r:id="rId270"/>
          <w:footerReference w:type="even" r:id="rId271"/>
          <w:footerReference w:type="default" r:id="rId272"/>
          <w:headerReference w:type="first" r:id="rId273"/>
          <w:footerReference w:type="first" r:id="rId274"/>
          <w:type w:val="continuous"/>
          <w:pgSz w:w="11906" w:h="16838"/>
          <w:pgMar w:top="1134" w:right="1134" w:bottom="1134" w:left="1134" w:header="709" w:footer="709" w:gutter="0"/>
          <w:cols w:space="708"/>
          <w:docGrid w:linePitch="360"/>
        </w:sectPr>
      </w:pPr>
      <w:r>
        <w:t xml:space="preserve"> </w:t>
      </w:r>
      <w:bookmarkEnd w:id="136"/>
    </w:p>
    <w:p w:rsidR="00F50689" w:rsidRDefault="005A36C4" w:rsidP="00F50689">
      <w:pPr>
        <w:pStyle w:val="HEADER2Part2"/>
        <w:spacing w:after="0"/>
        <w:rPr>
          <w:lang w:val="fr-BE"/>
        </w:rPr>
      </w:pPr>
      <w:bookmarkStart w:id="137" w:name="_DMBM_2652"/>
      <w:r>
        <w:rPr>
          <w:lang w:val="fr-BE"/>
        </w:rPr>
        <w:t>SHARED MANAGEMENT</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lang w:bidi="en-GB"/>
              </w:rPr>
            </w:pPr>
            <w:bookmarkStart w:id="138" w:name="DOC_TBL00056_1_1"/>
            <w:bookmarkEnd w:id="138"/>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lang w:bidi="en-GB"/>
              </w:rPr>
            </w:pPr>
            <w:r>
              <w:rPr>
                <w:rFonts w:eastAsia="Verdana" w:cs="Verdana"/>
                <w:lang w:bidi="en-GB"/>
              </w:rPr>
              <w:t>EUR millions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Left"/>
              <w:rPr>
                <w:rFonts w:eastAsia="Verdana" w:cs="Verdana"/>
                <w:lang w:bidi="en-GB"/>
              </w:rPr>
            </w:pPr>
            <w:r>
              <w:rPr>
                <w:rFonts w:eastAsia="Verdana" w:cs="Verdana"/>
                <w:lang w:bidi="en-GB"/>
              </w:rPr>
              <w:t>Implemented by Member States</w:t>
            </w: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lang w:bidi="en-GB"/>
              </w:rPr>
            </w:pPr>
            <w:r>
              <w:rPr>
                <w:rFonts w:eastAsia="Verdana" w:cs="Verdana"/>
                <w:lang w:bidi="en-GB"/>
              </w:rPr>
              <w:t>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lang w:bidi="en-GB"/>
              </w:rPr>
            </w:pPr>
            <w:r>
              <w:rPr>
                <w:rFonts w:eastAsia="Verdana" w:cs="Verdana"/>
                <w:lang w:bidi="en-GB"/>
              </w:rPr>
              <w:t>2013</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bidi="en-GB"/>
              </w:rPr>
            </w:pPr>
            <w:r>
              <w:rPr>
                <w:rFonts w:eastAsia="Verdana" w:cs="Verdana"/>
                <w:lang w:bidi="en-GB"/>
              </w:rPr>
              <w:t>European Agricultural Guarantee Fund</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44 465</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45 067</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bidi="en-GB"/>
              </w:rPr>
            </w:pPr>
            <w:r>
              <w:rPr>
                <w:rFonts w:eastAsia="Verdana" w:cs="Verdana"/>
                <w:lang w:bidi="en-GB"/>
              </w:rPr>
              <w:t>European Agricultural Fund for Rural Development &amp; other rural development instruments</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14 046</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13 585</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bidi="en-GB"/>
              </w:rPr>
            </w:pPr>
            <w:r>
              <w:rPr>
                <w:rFonts w:eastAsia="Verdana" w:cs="Verdana"/>
                <w:lang w:bidi="en-GB"/>
              </w:rPr>
              <w:t>European Regional Development Fund and Cohesion Fund</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43 345</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47 767</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bidi="en-GB"/>
              </w:rPr>
            </w:pPr>
            <w:r>
              <w:rPr>
                <w:rFonts w:eastAsia="Verdana" w:cs="Verdana"/>
                <w:lang w:bidi="en-GB"/>
              </w:rPr>
              <w:t>European Social Fund</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12 651</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12 126</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bidi="en-GB"/>
              </w:rPr>
            </w:pPr>
            <w:r>
              <w:rPr>
                <w:rFonts w:eastAsia="Verdana" w:cs="Verdana"/>
                <w:lang w:bidi="en-GB"/>
              </w:rPr>
              <w:t>Other</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2 307</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1 525</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eastAsia="Verdana" w:cs="Verdana"/>
                <w:lang w:bidi="en-GB"/>
              </w:rPr>
            </w:pPr>
            <w:r>
              <w:rPr>
                <w:rFonts w:eastAsia="Verdana" w:cs="Verdana"/>
                <w:lang w:bidi="en-GB"/>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lang w:bidi="en-GB"/>
              </w:rPr>
            </w:pPr>
            <w:r>
              <w:rPr>
                <w:rFonts w:eastAsia="Verdana" w:cs="Verdana"/>
                <w:lang w:bidi="en-GB"/>
              </w:rPr>
              <w:t>116 814</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lang w:bidi="en-GB"/>
              </w:rPr>
            </w:pPr>
            <w:r>
              <w:rPr>
                <w:rFonts w:eastAsia="Verdana" w:cs="Verdana"/>
                <w:lang w:bidi="en-GB"/>
              </w:rPr>
              <w:t>120 070</w:t>
            </w:r>
          </w:p>
        </w:tc>
      </w:tr>
    </w:tbl>
    <w:p w:rsidR="00F50689" w:rsidRDefault="005A36C4" w:rsidP="00F50689">
      <w:pPr>
        <w:pStyle w:val="Textstand-alone"/>
      </w:pPr>
      <w:r>
        <w:t>The structural funds programmes are in the final phase of the programming period 2007-2013, but also in the launching phase of the programming period 2014-2020.</w:t>
      </w:r>
    </w:p>
    <w:p w:rsidR="00F50689" w:rsidRDefault="005A36C4" w:rsidP="00F50689">
      <w:pPr>
        <w:pStyle w:val="Textstand-alone"/>
      </w:pPr>
      <w:r>
        <w:t>The largest part of the decrease compared to 2013 concerns the European Regional Development Fund and the Cohesion Fund. Expenses recognised in 2014 relate to programming period 2007-2013 as no expenses have been booked yet for the current period due to the slow start up of programmes (implementation by Member States has only started in 2015).</w:t>
      </w:r>
    </w:p>
    <w:p w:rsidR="00F50689" w:rsidRDefault="005A36C4" w:rsidP="00F50689">
      <w:pPr>
        <w:pStyle w:val="Textstand-alone"/>
      </w:pPr>
      <w:r w:rsidRPr="00F50689">
        <w:t>The decrease in European Agricultural Guarantee Fund expenses can be mainly attributed to the impact of the financial discipline mechanism.</w:t>
      </w:r>
    </w:p>
    <w:p w:rsidR="00F50689" w:rsidRPr="00760446" w:rsidRDefault="005A36C4" w:rsidP="00F50689">
      <w:pPr>
        <w:pStyle w:val="Textstand-alone"/>
        <w:spacing w:after="0"/>
      </w:pPr>
      <w:r>
        <w:t>The sub-heading ‘Other’ mainly includes: Asylum and Migration (EUR 0.6 billion), Internal Security (EUR 0.5 billion), Fisheries and Maritime Affairs (EUR 0.5 billion), the European Solidarity Fund (EUR 0.2 billion) and the European Globalisation Adjustment Fund (EUR 0.1 billion).</w:t>
      </w:r>
    </w:p>
    <w:p w:rsidR="00F50689" w:rsidRPr="00760446" w:rsidRDefault="005A36C4" w:rsidP="00F50689">
      <w:pPr>
        <w:pStyle w:val="Textstand-alone"/>
        <w:spacing w:before="0"/>
        <w:sectPr w:rsidR="00F50689" w:rsidRPr="00760446" w:rsidSect="00F50689">
          <w:headerReference w:type="even" r:id="rId275"/>
          <w:headerReference w:type="default" r:id="rId276"/>
          <w:footerReference w:type="even" r:id="rId277"/>
          <w:footerReference w:type="default" r:id="rId278"/>
          <w:headerReference w:type="first" r:id="rId279"/>
          <w:footerReference w:type="first" r:id="rId280"/>
          <w:type w:val="continuous"/>
          <w:pgSz w:w="11906" w:h="16838"/>
          <w:pgMar w:top="1134" w:right="1134" w:bottom="1134" w:left="1134" w:header="709" w:footer="709" w:gutter="0"/>
          <w:cols w:space="708"/>
          <w:docGrid w:linePitch="360"/>
        </w:sectPr>
      </w:pPr>
      <w:r>
        <w:t xml:space="preserve"> </w:t>
      </w:r>
      <w:bookmarkEnd w:id="137"/>
    </w:p>
    <w:p w:rsidR="00F50689" w:rsidRDefault="005A36C4" w:rsidP="00F50689">
      <w:pPr>
        <w:pStyle w:val="HEADER2Part2"/>
        <w:spacing w:after="0"/>
        <w:rPr>
          <w:lang w:val="fr-BE"/>
        </w:rPr>
      </w:pPr>
      <w:bookmarkStart w:id="139" w:name="_DMBM_2653"/>
      <w:r>
        <w:rPr>
          <w:lang w:val="fr-BE"/>
        </w:rPr>
        <w:t>DIRECT MANAGEMENT</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lang w:bidi="en-GB"/>
              </w:rPr>
            </w:pPr>
            <w:bookmarkStart w:id="140" w:name="DOC_TBL00057_1_1"/>
            <w:bookmarkEnd w:id="140"/>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lang w:bidi="en-GB"/>
              </w:rPr>
            </w:pPr>
            <w:r>
              <w:rPr>
                <w:rFonts w:eastAsia="Verdana" w:cs="Verdana"/>
                <w:lang w:bidi="en-GB"/>
              </w:rPr>
              <w:t>EUR millions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lang w:bidi="en-GB"/>
              </w:rPr>
            </w:pPr>
            <w:r>
              <w:rPr>
                <w:rFonts w:eastAsia="Verdana" w:cs="Verdana"/>
                <w:lang w:bidi="en-GB"/>
              </w:rPr>
              <w:t>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lang w:bidi="en-GB"/>
              </w:rPr>
            </w:pPr>
            <w:r>
              <w:rPr>
                <w:rFonts w:eastAsia="Verdana" w:cs="Verdana"/>
                <w:lang w:bidi="en-GB"/>
              </w:rPr>
              <w:t>2013</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bidi="en-GB"/>
              </w:rPr>
            </w:pPr>
            <w:r>
              <w:rPr>
                <w:rFonts w:eastAsia="Verdana" w:cs="Verdana"/>
                <w:lang w:bidi="en-GB"/>
              </w:rPr>
              <w:t>Implemented by the Commission</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10 431</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8 722</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bidi="en-GB"/>
              </w:rPr>
            </w:pPr>
            <w:r>
              <w:rPr>
                <w:rFonts w:eastAsia="Verdana" w:cs="Verdana"/>
                <w:lang w:bidi="en-GB"/>
              </w:rPr>
              <w:t>Implemented by EU Executive Agencies</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4 880</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3 797</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eastAsia="Verdana" w:cs="Verdana"/>
                <w:lang w:bidi="en-GB"/>
              </w:rPr>
            </w:pPr>
            <w:r>
              <w:rPr>
                <w:rFonts w:eastAsia="Verdana" w:cs="Verdana"/>
                <w:lang w:bidi="en-GB"/>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lang w:bidi="en-GB"/>
              </w:rPr>
            </w:pPr>
            <w:r>
              <w:rPr>
                <w:rFonts w:eastAsia="Verdana" w:cs="Verdana"/>
                <w:lang w:bidi="en-GB"/>
              </w:rPr>
              <w:t>15 311</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lang w:bidi="en-GB"/>
              </w:rPr>
            </w:pPr>
            <w:r>
              <w:rPr>
                <w:rFonts w:eastAsia="Verdana" w:cs="Verdana"/>
                <w:lang w:bidi="en-GB"/>
              </w:rPr>
              <w:t>12 519</w:t>
            </w:r>
          </w:p>
        </w:tc>
      </w:tr>
    </w:tbl>
    <w:p w:rsidR="00F50689" w:rsidRDefault="005A36C4" w:rsidP="00F50689">
      <w:pPr>
        <w:pStyle w:val="Textstand-alone"/>
      </w:pPr>
      <w:r>
        <w:t>These amounts mainly concern the implementation of Research Policy (EUR 8.9 billion) and Networks Programmes (EUR 1.5 billion), as well as European Neighbourhood Policy (EUR 1.5 billion) and Development Co-operation (EUR 1.3 billion) instruments.</w:t>
      </w:r>
    </w:p>
    <w:p w:rsidR="00F50689" w:rsidRDefault="005A36C4" w:rsidP="00F50689">
      <w:pPr>
        <w:pStyle w:val="Textstand-alone"/>
        <w:spacing w:after="0"/>
      </w:pPr>
      <w:r>
        <w:t>The increase of the amounts in 2014 is due primarily to Development Co-operation where there was a EUR 0.5 billion increase (including a EUR 250 million payment to Ukraine), Energy (EUR 1.1 billion) and research programs managed by Executive Agencies (EUR 1.1 billion due to an increasing number of on-going projects).</w:t>
      </w:r>
    </w:p>
    <w:p w:rsidR="00F50689" w:rsidRPr="0061709E" w:rsidRDefault="005A36C4" w:rsidP="00F50689">
      <w:pPr>
        <w:pStyle w:val="Textstand-alone"/>
        <w:spacing w:before="0"/>
        <w:sectPr w:rsidR="00F50689" w:rsidRPr="0061709E" w:rsidSect="00F50689">
          <w:headerReference w:type="even" r:id="rId281"/>
          <w:headerReference w:type="default" r:id="rId282"/>
          <w:footerReference w:type="even" r:id="rId283"/>
          <w:footerReference w:type="default" r:id="rId284"/>
          <w:headerReference w:type="first" r:id="rId285"/>
          <w:footerReference w:type="first" r:id="rId286"/>
          <w:type w:val="continuous"/>
          <w:pgSz w:w="11906" w:h="16838"/>
          <w:pgMar w:top="1134" w:right="1134" w:bottom="1134" w:left="1134" w:header="709" w:footer="709" w:gutter="0"/>
          <w:cols w:space="708"/>
          <w:docGrid w:linePitch="360"/>
        </w:sectPr>
      </w:pPr>
      <w:r>
        <w:t xml:space="preserve"> </w:t>
      </w:r>
      <w:bookmarkEnd w:id="139"/>
    </w:p>
    <w:p w:rsidR="00F50689" w:rsidRDefault="005A36C4" w:rsidP="00F50689">
      <w:pPr>
        <w:pStyle w:val="HEADER2Part2"/>
        <w:spacing w:after="0"/>
        <w:rPr>
          <w:lang w:val="fr-BE"/>
        </w:rPr>
      </w:pPr>
      <w:bookmarkStart w:id="141" w:name="_DMBM_2654"/>
      <w:r>
        <w:rPr>
          <w:lang w:val="fr-BE"/>
        </w:rPr>
        <w:t>INDIRECT MANAGEMENT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lang w:bidi="en-GB"/>
              </w:rPr>
            </w:pPr>
            <w:bookmarkStart w:id="142" w:name="DOC_TBL00058_1_1"/>
            <w:bookmarkEnd w:id="142"/>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lang w:bidi="en-GB"/>
              </w:rPr>
            </w:pPr>
            <w:r>
              <w:rPr>
                <w:rFonts w:eastAsia="Verdana" w:cs="Verdana"/>
                <w:lang w:bidi="en-GB"/>
              </w:rPr>
              <w:t>EUR millions</w:t>
            </w:r>
          </w:p>
        </w:tc>
      </w:tr>
      <w:tr w:rsidR="00E7728E">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lang w:bidi="en-GB"/>
              </w:rPr>
            </w:pP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Right025"/>
              <w:rPr>
                <w:rFonts w:eastAsia="Verdana" w:cs="Verdana"/>
                <w:lang w:bidi="en-GB"/>
              </w:rPr>
            </w:pPr>
          </w:p>
        </w:tc>
        <w:tc>
          <w:tcPr>
            <w:tcW w:w="184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lang w:bidi="en-GB"/>
              </w:rPr>
            </w:pPr>
            <w:r>
              <w:rPr>
                <w:rFonts w:eastAsia="Verdana" w:cs="Verdana"/>
                <w:lang w:bidi="en-GB"/>
              </w:rPr>
              <w:t>2014</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lang w:bidi="en-GB"/>
              </w:rPr>
            </w:pPr>
            <w:r>
              <w:rPr>
                <w:rFonts w:eastAsia="Verdana" w:cs="Verdana"/>
                <w:lang w:bidi="en-GB"/>
              </w:rPr>
              <w:t>2013</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bidi="en-GB"/>
              </w:rPr>
            </w:pPr>
            <w:r>
              <w:rPr>
                <w:rFonts w:eastAsia="Verdana" w:cs="Verdana"/>
                <w:lang w:bidi="en-GB"/>
              </w:rPr>
              <w:t>Implemented by other EU agencies &amp; bodies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1 025</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656</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bidi="en-GB"/>
              </w:rPr>
            </w:pPr>
            <w:r>
              <w:rPr>
                <w:rFonts w:eastAsia="Verdana" w:cs="Verdana"/>
                <w:lang w:bidi="en-GB"/>
              </w:rPr>
              <w:t>Implemented by third countries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1 005</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720</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bidi="en-GB"/>
              </w:rPr>
            </w:pPr>
            <w:r>
              <w:rPr>
                <w:rFonts w:eastAsia="Verdana" w:cs="Verdana"/>
                <w:lang w:bidi="en-GB"/>
              </w:rPr>
              <w:t>Implemented by international organisations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1 765</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1 745</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bidi="en-GB"/>
              </w:rPr>
            </w:pPr>
            <w:r>
              <w:rPr>
                <w:rFonts w:eastAsia="Verdana" w:cs="Verdana"/>
                <w:lang w:bidi="en-GB"/>
              </w:rPr>
              <w:t>Implemented by other entities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1 799</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1 694</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eastAsia="Verdana" w:cs="Verdana"/>
                <w:lang w:bidi="en-GB"/>
              </w:rPr>
            </w:pPr>
            <w:r>
              <w:rPr>
                <w:rFonts w:eastAsia="Verdana" w:cs="Verdana"/>
                <w:lang w:bidi="en-GB"/>
              </w:rPr>
              <w:t>Total</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lang w:bidi="en-GB"/>
              </w:rPr>
            </w:pPr>
            <w:r>
              <w:rPr>
                <w:rFonts w:eastAsia="Verdana" w:cs="Verdana"/>
                <w:lang w:bidi="en-GB"/>
              </w:rPr>
              <w:t>5 594</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lang w:bidi="en-GB"/>
              </w:rPr>
            </w:pPr>
            <w:r>
              <w:rPr>
                <w:rFonts w:eastAsia="Verdana" w:cs="Verdana"/>
                <w:lang w:bidi="en-GB"/>
              </w:rPr>
              <w:t>4 815</w:t>
            </w:r>
          </w:p>
        </w:tc>
      </w:tr>
    </w:tbl>
    <w:p w:rsidR="00F50689" w:rsidRDefault="005A36C4" w:rsidP="00F50689">
      <w:pPr>
        <w:pStyle w:val="Textstand-alone"/>
        <w:spacing w:before="0"/>
        <w:sectPr w:rsidR="00F50689" w:rsidSect="00F50689">
          <w:headerReference w:type="even" r:id="rId287"/>
          <w:headerReference w:type="default" r:id="rId288"/>
          <w:footerReference w:type="even" r:id="rId289"/>
          <w:footerReference w:type="default" r:id="rId290"/>
          <w:headerReference w:type="first" r:id="rId291"/>
          <w:footerReference w:type="first" r:id="rId292"/>
          <w:type w:val="continuous"/>
          <w:pgSz w:w="11906" w:h="16838"/>
          <w:pgMar w:top="1134" w:right="1134" w:bottom="1134" w:left="1134" w:header="709" w:footer="709" w:gutter="0"/>
          <w:cols w:space="708"/>
          <w:docGrid w:linePitch="360"/>
        </w:sectPr>
      </w:pPr>
      <w:r>
        <w:t xml:space="preserve"> </w:t>
      </w:r>
      <w:bookmarkEnd w:id="141"/>
    </w:p>
    <w:p w:rsidR="00F50689" w:rsidRDefault="005A36C4" w:rsidP="00F50689">
      <w:pPr>
        <w:pStyle w:val="HEADER2Part2"/>
        <w:spacing w:after="0"/>
        <w:rPr>
          <w:lang w:val="fr-BE"/>
        </w:rPr>
      </w:pPr>
      <w:bookmarkStart w:id="143" w:name="_DMBM_2655"/>
      <w:r>
        <w:rPr>
          <w:lang w:val="fr-BE"/>
        </w:rPr>
        <w:t>STAFF AND PENSION COSTS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3E3073" w:rsidRDefault="00F50689" w:rsidP="00F50689">
            <w:pPr>
              <w:pStyle w:val="Text8pItalicLeft"/>
              <w:rPr>
                <w:rFonts w:eastAsia="Verdana" w:cs="Verdana"/>
                <w:color w:val="FFFFFF"/>
                <w:lang w:bidi="en-GB"/>
              </w:rPr>
            </w:pPr>
            <w:bookmarkStart w:id="144" w:name="DOC_TBL00059_1_1"/>
            <w:bookmarkEnd w:id="144"/>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3E3073" w:rsidRDefault="00F50689" w:rsidP="00F50689">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3E3073" w:rsidRDefault="005A36C4" w:rsidP="00F50689">
            <w:pPr>
              <w:pStyle w:val="Text8pItalicRight025EUR"/>
              <w:rPr>
                <w:rFonts w:eastAsia="Verdana" w:cs="Verdana"/>
                <w:lang w:bidi="en-GB"/>
              </w:rPr>
            </w:pPr>
            <w:r w:rsidRPr="003E3073">
              <w:rPr>
                <w:rFonts w:eastAsia="Verdana" w:cs="Verdana"/>
                <w:lang w:bidi="en-GB"/>
              </w:rPr>
              <w:t>EUR millions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Pr="003E3073" w:rsidRDefault="00F50689" w:rsidP="00F50689">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Pr="003E3073" w:rsidRDefault="005A36C4" w:rsidP="00F50689">
            <w:pPr>
              <w:pStyle w:val="Heading10pNormalRight025"/>
              <w:rPr>
                <w:rFonts w:eastAsia="Verdana" w:cs="Verdana"/>
                <w:lang w:bidi="en-GB"/>
              </w:rPr>
            </w:pPr>
            <w:r w:rsidRPr="003E3073">
              <w:rPr>
                <w:rFonts w:eastAsia="Verdana" w:cs="Verdana"/>
                <w:lang w:bidi="en-GB"/>
              </w:rPr>
              <w:t>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Pr="003E3073" w:rsidRDefault="005A36C4" w:rsidP="00F50689">
            <w:pPr>
              <w:pStyle w:val="Heading10pNormalRight025"/>
              <w:rPr>
                <w:rFonts w:eastAsia="Verdana" w:cs="Verdana"/>
                <w:lang w:bidi="en-GB"/>
              </w:rPr>
            </w:pPr>
            <w:r w:rsidRPr="003E3073">
              <w:rPr>
                <w:rFonts w:eastAsia="Verdana" w:cs="Verdana"/>
                <w:lang w:bidi="en-GB"/>
              </w:rPr>
              <w:t>2013</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3E3073" w:rsidRDefault="005A36C4" w:rsidP="00F50689">
            <w:pPr>
              <w:pStyle w:val="Text9pItalicLeft"/>
              <w:rPr>
                <w:rFonts w:eastAsia="Verdana" w:cs="Verdana"/>
                <w:lang w:bidi="en-GB"/>
              </w:rPr>
            </w:pPr>
            <w:r w:rsidRPr="003E3073">
              <w:rPr>
                <w:rFonts w:eastAsia="Verdana" w:cs="Verdana"/>
                <w:lang w:bidi="en-GB"/>
              </w:rPr>
              <w:t>Staff costs</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3E3073" w:rsidRDefault="005A36C4" w:rsidP="00F50689">
            <w:pPr>
              <w:pStyle w:val="Figures9pItalicRight025"/>
              <w:rPr>
                <w:rFonts w:eastAsia="Verdana" w:cs="Verdana"/>
                <w:lang w:bidi="en-GB"/>
              </w:rPr>
            </w:pPr>
            <w:r w:rsidRPr="003E3073">
              <w:rPr>
                <w:rFonts w:eastAsia="Verdana" w:cs="Verdana"/>
                <w:lang w:bidi="en-GB"/>
              </w:rPr>
              <w:t>5 693</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3E3073" w:rsidRDefault="005A36C4" w:rsidP="00F50689">
            <w:pPr>
              <w:pStyle w:val="Figures9pItalicRight025"/>
              <w:rPr>
                <w:rFonts w:eastAsia="Verdana" w:cs="Verdana"/>
                <w:lang w:bidi="en-GB"/>
              </w:rPr>
            </w:pPr>
            <w:r w:rsidRPr="003E3073">
              <w:rPr>
                <w:rFonts w:eastAsia="Verdana" w:cs="Verdana"/>
                <w:lang w:bidi="en-GB"/>
              </w:rPr>
              <w:t>5 527</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3E3073" w:rsidRDefault="005A36C4" w:rsidP="00F50689">
            <w:pPr>
              <w:pStyle w:val="Text9pItalicLeft"/>
              <w:rPr>
                <w:rFonts w:eastAsia="Verdana" w:cs="Verdana"/>
                <w:lang w:bidi="en-GB"/>
              </w:rPr>
            </w:pPr>
            <w:r w:rsidRPr="003E3073">
              <w:rPr>
                <w:rFonts w:eastAsia="Verdana" w:cs="Verdana"/>
                <w:lang w:bidi="en-GB"/>
              </w:rPr>
              <w:t>Pension costs</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3E3073" w:rsidRDefault="005A36C4" w:rsidP="00F50689">
            <w:pPr>
              <w:pStyle w:val="Figures9pItalicRight025"/>
              <w:rPr>
                <w:rFonts w:eastAsia="Verdana" w:cs="Verdana"/>
                <w:lang w:bidi="en-GB"/>
              </w:rPr>
            </w:pPr>
            <w:r w:rsidRPr="003E3073">
              <w:rPr>
                <w:rFonts w:eastAsia="Verdana" w:cs="Verdana"/>
                <w:lang w:bidi="en-GB"/>
              </w:rPr>
              <w:t>3 970</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3E3073" w:rsidRDefault="005A36C4" w:rsidP="00F50689">
            <w:pPr>
              <w:pStyle w:val="Figures9pItalicRight025"/>
              <w:rPr>
                <w:rFonts w:eastAsia="Verdana" w:cs="Verdana"/>
                <w:lang w:bidi="en-GB"/>
              </w:rPr>
            </w:pPr>
            <w:r w:rsidRPr="003E3073">
              <w:rPr>
                <w:rFonts w:eastAsia="Verdana" w:cs="Verdana"/>
                <w:lang w:bidi="en-GB"/>
              </w:rPr>
              <w:t>3 531</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Pr="003E3073" w:rsidRDefault="005A36C4" w:rsidP="00F50689">
            <w:pPr>
              <w:pStyle w:val="Text9pBoldLeft"/>
              <w:rPr>
                <w:rFonts w:eastAsia="Verdana" w:cs="Verdana"/>
                <w:lang w:bidi="en-GB"/>
              </w:rPr>
            </w:pPr>
            <w:r w:rsidRPr="003E3073">
              <w:rPr>
                <w:rFonts w:eastAsia="Verdana" w:cs="Verdana"/>
                <w:lang w:bidi="en-GB"/>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Pr="003E3073" w:rsidRDefault="005A36C4" w:rsidP="00F50689">
            <w:pPr>
              <w:pStyle w:val="Figures9pBoldRight025"/>
              <w:rPr>
                <w:rFonts w:eastAsia="Verdana" w:cs="Verdana"/>
                <w:lang w:bidi="en-GB"/>
              </w:rPr>
            </w:pPr>
            <w:r w:rsidRPr="003E3073">
              <w:rPr>
                <w:rFonts w:eastAsia="Verdana" w:cs="Verdana"/>
                <w:lang w:bidi="en-GB"/>
              </w:rPr>
              <w:t>9 662</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Pr="003E3073" w:rsidRDefault="005A36C4" w:rsidP="00F50689">
            <w:pPr>
              <w:pStyle w:val="Figures9pBoldRight025"/>
              <w:rPr>
                <w:rFonts w:eastAsia="Verdana" w:cs="Verdana"/>
                <w:lang w:bidi="en-GB"/>
              </w:rPr>
            </w:pPr>
            <w:r w:rsidRPr="003E3073">
              <w:rPr>
                <w:rFonts w:eastAsia="Verdana" w:cs="Verdana"/>
                <w:lang w:bidi="en-GB"/>
              </w:rPr>
              <w:t>9 058</w:t>
            </w:r>
          </w:p>
        </w:tc>
      </w:tr>
    </w:tbl>
    <w:p w:rsidR="00F50689" w:rsidRPr="003E3073" w:rsidRDefault="005A36C4" w:rsidP="00F50689">
      <w:pPr>
        <w:pStyle w:val="Textstand-alone"/>
        <w:spacing w:after="0"/>
      </w:pPr>
      <w:r w:rsidRPr="00A3066F">
        <w:t xml:space="preserve">Pension costs represent elements of the movements that have arisen following the actuarial revaluation of the </w:t>
      </w:r>
      <w:r>
        <w:t>employee ben</w:t>
      </w:r>
      <w:r w:rsidR="002959CC">
        <w:t>e</w:t>
      </w:r>
      <w:r>
        <w:t>fits liabilities other than actuarial assumptions.</w:t>
      </w:r>
    </w:p>
    <w:p w:rsidR="00F50689" w:rsidRPr="003E3073" w:rsidRDefault="005A36C4" w:rsidP="00F50689">
      <w:pPr>
        <w:pStyle w:val="Textstand-alone"/>
        <w:spacing w:before="0"/>
        <w:sectPr w:rsidR="00F50689" w:rsidRPr="003E3073" w:rsidSect="00F50689">
          <w:headerReference w:type="even" r:id="rId293"/>
          <w:headerReference w:type="default" r:id="rId294"/>
          <w:footerReference w:type="even" r:id="rId295"/>
          <w:footerReference w:type="default" r:id="rId296"/>
          <w:headerReference w:type="first" r:id="rId297"/>
          <w:footerReference w:type="first" r:id="rId298"/>
          <w:type w:val="continuous"/>
          <w:pgSz w:w="11906" w:h="16838"/>
          <w:pgMar w:top="1134" w:right="1134" w:bottom="1134" w:left="1134" w:header="709" w:footer="709" w:gutter="0"/>
          <w:cols w:space="708"/>
          <w:docGrid w:linePitch="360"/>
        </w:sectPr>
      </w:pPr>
      <w:r w:rsidRPr="003E3073">
        <w:t xml:space="preserve"> </w:t>
      </w:r>
      <w:bookmarkEnd w:id="143"/>
    </w:p>
    <w:p w:rsidR="00F50689" w:rsidRDefault="005A36C4" w:rsidP="00F50689">
      <w:pPr>
        <w:pStyle w:val="HEADER2Part2"/>
        <w:spacing w:after="0"/>
      </w:pPr>
      <w:bookmarkStart w:id="145" w:name="_DMBM_2656"/>
      <w:r w:rsidRPr="00470929">
        <w:t>CHANGES IN EMPLOYEE BENEFITS ACTUARIAL ASSUMPTIONS</w:t>
      </w:r>
    </w:p>
    <w:p w:rsidR="00F50689" w:rsidRDefault="005A36C4" w:rsidP="00F50689">
      <w:pPr>
        <w:pStyle w:val="Textstand-alone"/>
        <w:spacing w:after="0"/>
      </w:pPr>
      <w:r>
        <w:t xml:space="preserve">The actuarial loss of net EUR 9.2 billion shown under this heading relates to the employee benefits liabilities recognised on the balance sheet (see note </w:t>
      </w:r>
      <w:r w:rsidRPr="009E62B2">
        <w:rPr>
          <w:b/>
        </w:rPr>
        <w:t>2.9</w:t>
      </w:r>
      <w:r>
        <w:t>). The exceptionally high amount is due to the dramatic decrease in interest rates, which reflects the underlying economic conditions.</w:t>
      </w:r>
    </w:p>
    <w:p w:rsidR="00F50689" w:rsidRPr="00470929" w:rsidRDefault="005A36C4" w:rsidP="00F50689">
      <w:pPr>
        <w:pStyle w:val="Textstand-alone"/>
        <w:spacing w:before="0"/>
        <w:sectPr w:rsidR="00F50689" w:rsidRPr="00470929" w:rsidSect="00F50689">
          <w:headerReference w:type="even" r:id="rId299"/>
          <w:headerReference w:type="default" r:id="rId300"/>
          <w:footerReference w:type="even" r:id="rId301"/>
          <w:footerReference w:type="default" r:id="rId302"/>
          <w:headerReference w:type="first" r:id="rId303"/>
          <w:footerReference w:type="first" r:id="rId304"/>
          <w:type w:val="continuous"/>
          <w:pgSz w:w="11906" w:h="16838"/>
          <w:pgMar w:top="1134" w:right="1134" w:bottom="1134" w:left="1134" w:header="709" w:footer="709" w:gutter="0"/>
          <w:cols w:space="708"/>
          <w:docGrid w:linePitch="360"/>
        </w:sectPr>
      </w:pPr>
      <w:r>
        <w:t xml:space="preserve"> </w:t>
      </w:r>
      <w:bookmarkEnd w:id="145"/>
    </w:p>
    <w:p w:rsidR="00F50689" w:rsidRDefault="005A36C4" w:rsidP="00F50689">
      <w:pPr>
        <w:pStyle w:val="HEADER2Part2"/>
        <w:spacing w:after="0"/>
        <w:rPr>
          <w:lang w:val="fr-BE"/>
        </w:rPr>
      </w:pPr>
      <w:bookmarkStart w:id="146" w:name="_DMBM_2657"/>
      <w:r>
        <w:rPr>
          <w:lang w:val="fr-BE"/>
        </w:rPr>
        <w:t>FINANCE COSTS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47" w:name="DOC_TBL00060_1_1"/>
            <w:bookmarkEnd w:id="147"/>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rPr>
                <w:rFonts w:cs="Verdana"/>
              </w:rPr>
              <w:t>EUR millions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2013</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Interest expenses:</w:t>
            </w:r>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98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 xml:space="preserve">  Borrowings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1 712</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1 697</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 xml:space="preserve">  Other</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22</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22</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Finance leases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90</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99</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Impairment losses on available for sale financial assets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3</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8</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Impairment losses on loans and receivables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1 030</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469</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Realised loss on sale of financial assets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17</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Other finance costs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51</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87</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2 926</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2 383</w:t>
            </w:r>
          </w:p>
        </w:tc>
      </w:tr>
    </w:tbl>
    <w:p w:rsidR="00F50689" w:rsidRPr="00CB2839" w:rsidRDefault="005A36C4" w:rsidP="00F50689">
      <w:pPr>
        <w:pStyle w:val="Textstand-alone"/>
      </w:pPr>
      <w:r>
        <w:t>The amount of i</w:t>
      </w:r>
      <w:r w:rsidRPr="00CB2839">
        <w:t>nterest expense on borrowings corresponds to interest income on loans (back-to-back</w:t>
      </w:r>
      <w:r>
        <w:t xml:space="preserve"> transactions</w:t>
      </w:r>
      <w:r w:rsidRPr="00CB2839">
        <w:t>)</w:t>
      </w:r>
      <w:r>
        <w:t>.</w:t>
      </w:r>
    </w:p>
    <w:p w:rsidR="00F50689" w:rsidRDefault="005A36C4" w:rsidP="00F50689">
      <w:pPr>
        <w:pStyle w:val="HEADER2Part2"/>
        <w:spacing w:after="0"/>
      </w:pPr>
      <w:bookmarkStart w:id="148" w:name="_DMBM_2658"/>
      <w:bookmarkEnd w:id="146"/>
      <w:r w:rsidRPr="006E1E43">
        <w:t xml:space="preserve">SHARE OF NET </w:t>
      </w:r>
      <w:r w:rsidR="0072577F">
        <w:t>RESULT</w:t>
      </w:r>
      <w:r w:rsidRPr="006E1E43">
        <w:t xml:space="preserve"> OF JOINT VENTURES AND ASSOCIATES</w:t>
      </w:r>
    </w:p>
    <w:p w:rsidR="00F50689" w:rsidRDefault="005A36C4" w:rsidP="00F50689">
      <w:pPr>
        <w:pStyle w:val="Textstand-alone"/>
        <w:spacing w:after="0"/>
      </w:pPr>
      <w:r>
        <w:t xml:space="preserve">In accordance with the equity method of accounting, the EU includes in its statement of financial performance its share of the net </w:t>
      </w:r>
      <w:r w:rsidR="0072577F">
        <w:t>result</w:t>
      </w:r>
      <w:r>
        <w:t xml:space="preserve"> of its joint ventures and associates (see also notes </w:t>
      </w:r>
      <w:r>
        <w:rPr>
          <w:b/>
        </w:rPr>
        <w:t>2.3.1</w:t>
      </w:r>
      <w:r>
        <w:t xml:space="preserve"> and </w:t>
      </w:r>
      <w:r>
        <w:rPr>
          <w:b/>
        </w:rPr>
        <w:t>2.3.2</w:t>
      </w:r>
      <w:r>
        <w:t>).</w:t>
      </w:r>
    </w:p>
    <w:p w:rsidR="00F50689" w:rsidRPr="006E1E43" w:rsidRDefault="005A36C4" w:rsidP="00F50689">
      <w:pPr>
        <w:pStyle w:val="Textstand-alone"/>
        <w:spacing w:before="0"/>
        <w:sectPr w:rsidR="00F50689" w:rsidRPr="006E1E43" w:rsidSect="00F50689">
          <w:headerReference w:type="even" r:id="rId305"/>
          <w:headerReference w:type="default" r:id="rId306"/>
          <w:footerReference w:type="even" r:id="rId307"/>
          <w:footerReference w:type="default" r:id="rId308"/>
          <w:headerReference w:type="first" r:id="rId309"/>
          <w:footerReference w:type="first" r:id="rId310"/>
          <w:type w:val="continuous"/>
          <w:pgSz w:w="11906" w:h="16838"/>
          <w:pgMar w:top="1134" w:right="1134" w:bottom="1134" w:left="1134" w:header="709" w:footer="709" w:gutter="0"/>
          <w:cols w:space="708"/>
          <w:docGrid w:linePitch="360"/>
        </w:sectPr>
      </w:pPr>
      <w:r>
        <w:t xml:space="preserve"> </w:t>
      </w:r>
      <w:bookmarkEnd w:id="148"/>
    </w:p>
    <w:p w:rsidR="00F50689" w:rsidRPr="00A675FE" w:rsidRDefault="00F50689">
      <w:pPr>
        <w:rPr>
          <w:rFonts w:ascii="Verdana" w:hAnsi="Verdana"/>
          <w:b/>
          <w:color w:val="016794"/>
          <w:sz w:val="28"/>
          <w:szCs w:val="28"/>
        </w:rPr>
      </w:pPr>
      <w:bookmarkStart w:id="149" w:name="_DMBM_2659"/>
      <w:r w:rsidRPr="00A675FE">
        <w:br w:type="page"/>
      </w:r>
    </w:p>
    <w:p w:rsidR="00F50689" w:rsidRDefault="005A36C4" w:rsidP="00F50689">
      <w:pPr>
        <w:pStyle w:val="HEADER2Part2"/>
        <w:spacing w:after="0"/>
        <w:rPr>
          <w:lang w:val="fr-BE"/>
        </w:rPr>
      </w:pPr>
      <w:r>
        <w:rPr>
          <w:lang w:val="fr-BE"/>
        </w:rPr>
        <w:t>OTHER EXPENSES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gridCol w:w="851"/>
        <w:gridCol w:w="1842"/>
        <w:gridCol w:w="1843"/>
      </w:tblGrid>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50" w:name="DOC_TBL00062_1_1"/>
            <w:bookmarkEnd w:id="150"/>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rPr>
                <w:rFonts w:cs="Verdana"/>
              </w:rPr>
              <w:t>EUR millions</w:t>
            </w:r>
          </w:p>
        </w:tc>
      </w:tr>
      <w:tr w:rsidR="00E7728E">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Right025"/>
              <w:rPr>
                <w:rFonts w:cs="Verdana"/>
              </w:rPr>
            </w:pPr>
          </w:p>
        </w:tc>
        <w:tc>
          <w:tcPr>
            <w:tcW w:w="184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2014</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2013</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Administrative and IT expenses</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2 070</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2 034</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Property, plant and equipment related expenses</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1 186</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1 105</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Foreign exchange losses</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370</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395</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Adjustment of provisions</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688</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399</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Other</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839</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640</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Total</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5 152</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4 572</w:t>
            </w:r>
          </w:p>
        </w:tc>
      </w:tr>
    </w:tbl>
    <w:p w:rsidR="00F50689" w:rsidRDefault="005A36C4" w:rsidP="00F50689">
      <w:pPr>
        <w:pStyle w:val="Textstand-alone"/>
        <w:spacing w:after="0"/>
      </w:pPr>
      <w:r>
        <w:t>Expenses relating to research and development are included in administrative and IT expenses and are as follows: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51" w:name="DOC_TBL00063_1_1"/>
            <w:bookmarkEnd w:id="151"/>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rPr>
                <w:rFonts w:cs="Verdana"/>
              </w:rPr>
              <w:t xml:space="preserve">EUR millions </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2013</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Research costs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353</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335</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Non-capitalised development costs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54</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74</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 xml:space="preserve"> 406</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 xml:space="preserve"> 409</w:t>
            </w:r>
          </w:p>
        </w:tc>
      </w:tr>
    </w:tbl>
    <w:p w:rsidR="00F50689" w:rsidRDefault="005A36C4" w:rsidP="00F50689">
      <w:pPr>
        <w:pStyle w:val="Textstand-alone"/>
        <w:spacing w:after="0"/>
      </w:pPr>
      <w:r>
        <w:t xml:space="preserve">Included under </w:t>
      </w:r>
      <w:r>
        <w:rPr>
          <w:rFonts w:cs="Verdana"/>
        </w:rPr>
        <w:t>Property, plant and equipment related expenses</w:t>
      </w:r>
      <w:r>
        <w:t xml:space="preserve"> are EUR </w:t>
      </w:r>
      <w:r w:rsidRPr="00A734D9">
        <w:t>369</w:t>
      </w:r>
      <w:r>
        <w:t> </w:t>
      </w:r>
      <w:r w:rsidRPr="00A734D9">
        <w:t>million</w:t>
      </w:r>
      <w:r>
        <w:t xml:space="preserve"> (2013: EUR 388 million) relating to operating leases. Amounts commited to be paid during the remaining term of these lease contracts are as follows: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1559"/>
        <w:gridCol w:w="1559"/>
        <w:gridCol w:w="1560"/>
        <w:gridCol w:w="1559"/>
      </w:tblGrid>
      <w:tr w:rsidR="00E7728E">
        <w:tc>
          <w:tcPr>
            <w:tcW w:w="3510"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52" w:name="DOC_TBL00064_1_1"/>
            <w:bookmarkEnd w:id="152"/>
          </w:p>
        </w:tc>
        <w:tc>
          <w:tcPr>
            <w:tcW w:w="4678" w:type="dxa"/>
            <w:gridSpan w:val="3"/>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rPr>
                <w:rFonts w:cs="Verdana"/>
              </w:rPr>
              <w:t>EUR millions</w:t>
            </w:r>
          </w:p>
        </w:tc>
      </w:tr>
      <w:tr w:rsidR="00E7728E">
        <w:tc>
          <w:tcPr>
            <w:tcW w:w="351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9pNormalCentered"/>
              <w:rPr>
                <w:rFonts w:cs="Verdana"/>
              </w:rPr>
            </w:pPr>
          </w:p>
        </w:tc>
        <w:tc>
          <w:tcPr>
            <w:tcW w:w="4678" w:type="dxa"/>
            <w:gridSpan w:val="3"/>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rPr>
                <w:rFonts w:cs="Verdana"/>
              </w:rPr>
              <w:t>Future amounts to be paid</w:t>
            </w:r>
          </w:p>
        </w:tc>
        <w:tc>
          <w:tcPr>
            <w:tcW w:w="1559"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jc w:val="right"/>
              <w:rPr>
                <w:rFonts w:cs="Calibri"/>
              </w:rPr>
            </w:pPr>
          </w:p>
        </w:tc>
      </w:tr>
      <w:tr w:rsidR="00E7728E">
        <w:tc>
          <w:tcPr>
            <w:tcW w:w="351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155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25"/>
              <w:rPr>
                <w:rFonts w:cs="Verdana"/>
              </w:rPr>
            </w:pPr>
            <w:r>
              <w:rPr>
                <w:rFonts w:cs="Verdana"/>
              </w:rPr>
              <w:t>&lt; 1 year</w:t>
            </w:r>
          </w:p>
        </w:tc>
        <w:tc>
          <w:tcPr>
            <w:tcW w:w="155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25"/>
              <w:rPr>
                <w:rFonts w:cs="Verdana"/>
              </w:rPr>
            </w:pPr>
            <w:r>
              <w:rPr>
                <w:rFonts w:cs="Verdana"/>
              </w:rPr>
              <w:t>1- 5 years</w:t>
            </w:r>
          </w:p>
        </w:tc>
        <w:tc>
          <w:tcPr>
            <w:tcW w:w="156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25"/>
              <w:rPr>
                <w:rFonts w:cs="Verdana"/>
              </w:rPr>
            </w:pPr>
            <w:r>
              <w:rPr>
                <w:rFonts w:cs="Verdana"/>
              </w:rPr>
              <w:t>&gt; 5 years</w:t>
            </w:r>
          </w:p>
        </w:tc>
        <w:tc>
          <w:tcPr>
            <w:tcW w:w="155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Total</w:t>
            </w:r>
          </w:p>
        </w:tc>
      </w:tr>
      <w:tr w:rsidR="00E7728E">
        <w:tc>
          <w:tcPr>
            <w:tcW w:w="3510"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Buildings</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332</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988</w:t>
            </w:r>
          </w:p>
        </w:tc>
        <w:tc>
          <w:tcPr>
            <w:tcW w:w="1560"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934</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2 254</w:t>
            </w:r>
          </w:p>
        </w:tc>
      </w:tr>
      <w:tr w:rsidR="00E7728E">
        <w:tc>
          <w:tcPr>
            <w:tcW w:w="3510"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IT materials and other equipment</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7</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15</w:t>
            </w:r>
          </w:p>
        </w:tc>
        <w:tc>
          <w:tcPr>
            <w:tcW w:w="1560"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0</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22</w:t>
            </w:r>
          </w:p>
        </w:tc>
      </w:tr>
      <w:tr w:rsidR="00E7728E">
        <w:tc>
          <w:tcPr>
            <w:tcW w:w="3510"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Text9pBoldLeft"/>
              <w:rPr>
                <w:rFonts w:cs="Verdana"/>
              </w:rPr>
            </w:pPr>
            <w:r>
              <w:rPr>
                <w:rFonts w:cs="Verdana"/>
              </w:rPr>
              <w:t>Total</w:t>
            </w:r>
          </w:p>
        </w:tc>
        <w:tc>
          <w:tcPr>
            <w:tcW w:w="1559"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rPr>
                <w:rFonts w:cs="Verdana"/>
              </w:rPr>
              <w:t xml:space="preserve"> 339</w:t>
            </w:r>
          </w:p>
        </w:tc>
        <w:tc>
          <w:tcPr>
            <w:tcW w:w="1559"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rPr>
                <w:rFonts w:cs="Verdana"/>
              </w:rPr>
              <w:t>1 003</w:t>
            </w:r>
          </w:p>
        </w:tc>
        <w:tc>
          <w:tcPr>
            <w:tcW w:w="1560"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rPr>
                <w:rFonts w:cs="Verdana"/>
              </w:rPr>
              <w:t xml:space="preserve"> 934</w:t>
            </w:r>
          </w:p>
        </w:tc>
        <w:tc>
          <w:tcPr>
            <w:tcW w:w="1559"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rPr>
                <w:rFonts w:cs="Verdana"/>
              </w:rPr>
              <w:t>2 276</w:t>
            </w:r>
          </w:p>
        </w:tc>
      </w:tr>
    </w:tbl>
    <w:p w:rsidR="00F50689" w:rsidRPr="00142110" w:rsidRDefault="005A36C4" w:rsidP="00F50689">
      <w:pPr>
        <w:pStyle w:val="Textstand-alone"/>
        <w:spacing w:before="0"/>
        <w:rPr>
          <w:lang w:bidi="en-GB"/>
        </w:rPr>
        <w:sectPr w:rsidR="00F50689" w:rsidRPr="00142110" w:rsidSect="00F50689">
          <w:headerReference w:type="even" r:id="rId311"/>
          <w:headerReference w:type="default" r:id="rId312"/>
          <w:footerReference w:type="even" r:id="rId313"/>
          <w:footerReference w:type="default" r:id="rId314"/>
          <w:headerReference w:type="first" r:id="rId315"/>
          <w:footerReference w:type="first" r:id="rId316"/>
          <w:type w:val="continuous"/>
          <w:pgSz w:w="11906" w:h="16838"/>
          <w:pgMar w:top="1134" w:right="1134" w:bottom="1134" w:left="1134" w:header="709" w:footer="709" w:gutter="0"/>
          <w:cols w:space="708"/>
          <w:docGrid w:linePitch="360"/>
        </w:sectPr>
      </w:pPr>
      <w:r>
        <w:rPr>
          <w:lang w:bidi="en-GB"/>
        </w:rPr>
        <w:t xml:space="preserve"> </w:t>
      </w:r>
      <w:bookmarkEnd w:id="149"/>
    </w:p>
    <w:p w:rsidR="00F50689" w:rsidRDefault="005A36C4" w:rsidP="00F50689">
      <w:pPr>
        <w:pStyle w:val="HEADER2Part2"/>
        <w:spacing w:after="0" w:line="360" w:lineRule="auto"/>
      </w:pPr>
      <w:bookmarkStart w:id="153" w:name="_DMBM_2660"/>
      <w:r w:rsidRPr="00557D3B">
        <w:t>SEGMENT REPORTING BY MU</w:t>
      </w:r>
      <w:r>
        <w:t>LTI ANNUAL FINANCIAL FRAMEWORK HEADING (MFF)</w:t>
      </w:r>
    </w:p>
    <w:tbl>
      <w:tblPr>
        <w:tblW w:w="14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1620"/>
        <w:gridCol w:w="1685"/>
        <w:gridCol w:w="1292"/>
        <w:gridCol w:w="1357"/>
        <w:gridCol w:w="1843"/>
        <w:gridCol w:w="1275"/>
        <w:gridCol w:w="1438"/>
      </w:tblGrid>
      <w:tr w:rsidR="00E7728E">
        <w:trPr>
          <w:trHeight w:val="250"/>
        </w:trPr>
        <w:tc>
          <w:tcPr>
            <w:tcW w:w="407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54" w:name="DOC_TBL00065_1_1"/>
            <w:bookmarkEnd w:id="154"/>
          </w:p>
        </w:tc>
        <w:tc>
          <w:tcPr>
            <w:tcW w:w="1620"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685"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2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357"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3"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275"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rPr>
                <w:rFonts w:cs="Verdana"/>
              </w:rPr>
              <w:t>EUR millions</w:t>
            </w:r>
          </w:p>
        </w:tc>
      </w:tr>
      <w:tr w:rsidR="00E7728E">
        <w:trPr>
          <w:trHeight w:val="737"/>
        </w:trPr>
        <w:tc>
          <w:tcPr>
            <w:tcW w:w="407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9pNormalLeft"/>
              <w:rPr>
                <w:rFonts w:cs="Verdana"/>
              </w:rPr>
            </w:pPr>
          </w:p>
        </w:tc>
        <w:tc>
          <w:tcPr>
            <w:tcW w:w="162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Right025"/>
              <w:rPr>
                <w:rFonts w:cs="Verdana"/>
              </w:rPr>
            </w:pPr>
            <w:r>
              <w:rPr>
                <w:rFonts w:cs="Verdana"/>
              </w:rPr>
              <w:t>Smart and inclusive growth</w:t>
            </w:r>
          </w:p>
        </w:tc>
        <w:tc>
          <w:tcPr>
            <w:tcW w:w="16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Right025"/>
              <w:rPr>
                <w:rFonts w:cs="Verdana"/>
              </w:rPr>
            </w:pPr>
            <w:r>
              <w:rPr>
                <w:rFonts w:cs="Verdana"/>
              </w:rPr>
              <w:t>Sustainable growth</w:t>
            </w:r>
          </w:p>
        </w:tc>
        <w:tc>
          <w:tcPr>
            <w:tcW w:w="12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Right025"/>
              <w:rPr>
                <w:rFonts w:cs="Verdana"/>
              </w:rPr>
            </w:pPr>
            <w:r>
              <w:rPr>
                <w:rFonts w:cs="Verdana"/>
              </w:rPr>
              <w:t>Security and citizenship</w:t>
            </w:r>
          </w:p>
        </w:tc>
        <w:tc>
          <w:tcPr>
            <w:tcW w:w="135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Right025"/>
              <w:rPr>
                <w:rFonts w:cs="Verdana"/>
              </w:rPr>
            </w:pPr>
            <w:r>
              <w:rPr>
                <w:rFonts w:cs="Verdana"/>
              </w:rPr>
              <w:t>Global Europe</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Right025"/>
              <w:rPr>
                <w:rFonts w:cs="Verdana"/>
              </w:rPr>
            </w:pPr>
            <w:r>
              <w:rPr>
                <w:rFonts w:cs="Verdana"/>
              </w:rPr>
              <w:t>Administration</w:t>
            </w:r>
          </w:p>
        </w:tc>
        <w:tc>
          <w:tcPr>
            <w:tcW w:w="127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Right025"/>
              <w:rPr>
                <w:rFonts w:cs="Verdana"/>
              </w:rPr>
            </w:pPr>
            <w:r>
              <w:rPr>
                <w:rFonts w:cs="Verdana"/>
              </w:rPr>
              <w:t>Not assigned to MFF heading*</w:t>
            </w:r>
          </w:p>
        </w:tc>
        <w:tc>
          <w:tcPr>
            <w:tcW w:w="143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Right025"/>
              <w:rPr>
                <w:rFonts w:cs="Verdana"/>
              </w:rPr>
            </w:pPr>
            <w:r>
              <w:rPr>
                <w:rFonts w:cs="Verdana"/>
              </w:rPr>
              <w:t>Total</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rPr>
                <w:rFonts w:cs="Verdana"/>
              </w:rPr>
              <w:t>GNI resources</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104 688</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104 688</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rPr>
                <w:rFonts w:cs="Verdana"/>
              </w:rPr>
              <w:t>Traditional own resources</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17 137</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17 137</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rPr>
                <w:rFonts w:cs="Verdana"/>
              </w:rPr>
              <w:t>VAT</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17 462</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17 462</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rPr>
                <w:rFonts w:cs="Verdana"/>
              </w:rPr>
              <w:t>Fines</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2 297</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2 297</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rPr>
                <w:rFonts w:cs="Verdana"/>
              </w:rPr>
              <w:t>Recovery of expenses</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1 136</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2 226</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 xml:space="preserve"> 3</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 xml:space="preserve"> 53</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 xml:space="preserve"> 0</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3 418</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rPr>
                <w:rFonts w:cs="Verdana"/>
              </w:rPr>
              <w:t>Other</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1 981</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 xml:space="preserve"> 508</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 xml:space="preserve"> 4</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 xml:space="preserve"> 53</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4 590</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(1 513)</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5 623</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BoldLeft"/>
              <w:rPr>
                <w:rFonts w:eastAsia="Times New Roman" w:cs="Verdana"/>
              </w:rPr>
            </w:pPr>
            <w:r>
              <w:rPr>
                <w:rFonts w:eastAsia="Times New Roman" w:cs="Verdana"/>
              </w:rPr>
              <w:t>Revenue from non-exchange transactions</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rPr>
                <w:rFonts w:eastAsia="Times New Roman" w:cs="Verdana"/>
              </w:rPr>
              <w:t>3 117</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rPr>
                <w:rFonts w:eastAsia="Times New Roman" w:cs="Verdana"/>
              </w:rPr>
              <w:t>2 734</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rPr>
                <w:rFonts w:eastAsia="Times New Roman" w:cs="Verdana"/>
              </w:rPr>
              <w:t xml:space="preserve"> 6</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rPr>
                <w:rFonts w:eastAsia="Times New Roman" w:cs="Verdana"/>
              </w:rPr>
              <w:t xml:space="preserve"> 106</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rPr>
                <w:rFonts w:eastAsia="Times New Roman" w:cs="Verdana"/>
              </w:rPr>
              <w:t>4 590</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rPr>
                <w:rFonts w:eastAsia="Times New Roman" w:cs="Verdana"/>
              </w:rPr>
              <w:t>140 072</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rPr>
                <w:rFonts w:eastAsia="Times New Roman" w:cs="Verdana"/>
              </w:rPr>
              <w:t>150 625</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rPr>
                <w:rFonts w:cs="Verdana"/>
              </w:rPr>
              <w:t>Financial income</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 xml:space="preserve"> 66</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 xml:space="preserve"> 3</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 xml:space="preserve"> 0</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 xml:space="preserve"> 36</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 xml:space="preserve"> 1</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2 192</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2 298</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rPr>
                <w:rFonts w:cs="Verdana"/>
              </w:rPr>
              <w:t>Other</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 xml:space="preserve"> 119</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 xml:space="preserve"> (11)</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 xml:space="preserve"> (4)</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 xml:space="preserve"> 97</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 xml:space="preserve"> 215</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 xml:space="preserve"> 649</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1 066</w:t>
            </w:r>
          </w:p>
        </w:tc>
      </w:tr>
      <w:tr w:rsidR="00E7728E">
        <w:trPr>
          <w:trHeight w:val="234"/>
        </w:trPr>
        <w:tc>
          <w:tcPr>
            <w:tcW w:w="4077"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8pBoldLeft"/>
              <w:rPr>
                <w:rFonts w:eastAsia="Times New Roman" w:cs="Verdana"/>
              </w:rPr>
            </w:pPr>
            <w:r>
              <w:rPr>
                <w:rFonts w:eastAsia="Times New Roman" w:cs="Verdana"/>
              </w:rPr>
              <w:t>Revenue from exchange transactions</w:t>
            </w:r>
          </w:p>
        </w:tc>
        <w:tc>
          <w:tcPr>
            <w:tcW w:w="1620"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rPr>
                <w:rFonts w:eastAsia="Times New Roman" w:cs="Verdana"/>
              </w:rPr>
              <w:t xml:space="preserve"> 185</w:t>
            </w:r>
          </w:p>
        </w:tc>
        <w:tc>
          <w:tcPr>
            <w:tcW w:w="1685"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rPr>
                <w:rFonts w:eastAsia="Times New Roman" w:cs="Verdana"/>
              </w:rPr>
              <w:t xml:space="preserve"> (8)</w:t>
            </w:r>
          </w:p>
        </w:tc>
        <w:tc>
          <w:tcPr>
            <w:tcW w:w="1292"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rPr>
                <w:rFonts w:eastAsia="Times New Roman" w:cs="Verdana"/>
              </w:rPr>
              <w:t xml:space="preserve"> (4)</w:t>
            </w:r>
          </w:p>
        </w:tc>
        <w:tc>
          <w:tcPr>
            <w:tcW w:w="1357"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rPr>
                <w:rFonts w:eastAsia="Times New Roman" w:cs="Verdana"/>
              </w:rPr>
              <w:t xml:space="preserve"> 134</w:t>
            </w:r>
          </w:p>
        </w:tc>
        <w:tc>
          <w:tcPr>
            <w:tcW w:w="1843"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rPr>
                <w:rFonts w:eastAsia="Times New Roman" w:cs="Verdana"/>
              </w:rPr>
              <w:t xml:space="preserve"> 216</w:t>
            </w:r>
          </w:p>
        </w:tc>
        <w:tc>
          <w:tcPr>
            <w:tcW w:w="1275"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rPr>
                <w:rFonts w:eastAsia="Times New Roman" w:cs="Verdana"/>
              </w:rPr>
              <w:t>2 841</w:t>
            </w:r>
          </w:p>
        </w:tc>
        <w:tc>
          <w:tcPr>
            <w:tcW w:w="143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rPr>
                <w:rFonts w:eastAsia="Times New Roman" w:cs="Verdana"/>
              </w:rPr>
              <w:t>3 364</w:t>
            </w:r>
          </w:p>
        </w:tc>
      </w:tr>
      <w:tr w:rsidR="00E7728E">
        <w:trPr>
          <w:trHeight w:val="234"/>
        </w:trPr>
        <w:tc>
          <w:tcPr>
            <w:tcW w:w="4077"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8pBoldLeft"/>
              <w:rPr>
                <w:rFonts w:eastAsia="Times New Roman" w:cs="Verdana"/>
              </w:rPr>
            </w:pPr>
            <w:r>
              <w:rPr>
                <w:rFonts w:eastAsia="Times New Roman" w:cs="Verdana"/>
              </w:rPr>
              <w:t>Total revenue</w:t>
            </w:r>
          </w:p>
        </w:tc>
        <w:tc>
          <w:tcPr>
            <w:tcW w:w="1620"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rPr>
                <w:rFonts w:eastAsia="Times New Roman" w:cs="Verdana"/>
              </w:rPr>
              <w:t>3 302</w:t>
            </w:r>
          </w:p>
        </w:tc>
        <w:tc>
          <w:tcPr>
            <w:tcW w:w="1685"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rPr>
                <w:rFonts w:eastAsia="Times New Roman" w:cs="Verdana"/>
              </w:rPr>
              <w:t>2 726</w:t>
            </w:r>
          </w:p>
        </w:tc>
        <w:tc>
          <w:tcPr>
            <w:tcW w:w="1292"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rPr>
                <w:rFonts w:eastAsia="Times New Roman" w:cs="Verdana"/>
              </w:rPr>
              <w:t xml:space="preserve"> 2</w:t>
            </w:r>
          </w:p>
        </w:tc>
        <w:tc>
          <w:tcPr>
            <w:tcW w:w="1357"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rPr>
                <w:rFonts w:eastAsia="Times New Roman" w:cs="Verdana"/>
              </w:rPr>
              <w:t xml:space="preserve"> 240</w:t>
            </w:r>
          </w:p>
        </w:tc>
        <w:tc>
          <w:tcPr>
            <w:tcW w:w="1843"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rPr>
                <w:rFonts w:eastAsia="Times New Roman" w:cs="Verdana"/>
              </w:rPr>
              <w:t>4 806</w:t>
            </w:r>
          </w:p>
        </w:tc>
        <w:tc>
          <w:tcPr>
            <w:tcW w:w="1275"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rPr>
                <w:rFonts w:eastAsia="Times New Roman" w:cs="Verdana"/>
              </w:rPr>
              <w:t>142 913</w:t>
            </w:r>
          </w:p>
        </w:tc>
        <w:tc>
          <w:tcPr>
            <w:tcW w:w="1438"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rPr>
                <w:rFonts w:eastAsia="Times New Roman" w:cs="Verdana"/>
              </w:rPr>
              <w:t>153 989</w:t>
            </w:r>
          </w:p>
        </w:tc>
      </w:tr>
      <w:tr w:rsidR="00E7728E">
        <w:trPr>
          <w:trHeight w:val="218"/>
        </w:trPr>
        <w:tc>
          <w:tcPr>
            <w:tcW w:w="4077"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rPr>
                <w:rFonts w:cs="Verdana"/>
              </w:rPr>
              <w:t>Expenses implemented by Member States:</w:t>
            </w:r>
          </w:p>
        </w:tc>
        <w:tc>
          <w:tcPr>
            <w:tcW w:w="1620"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8pItalicRight025"/>
              <w:rPr>
                <w:rFonts w:eastAsia="Times New Roman" w:cs="Verdana"/>
              </w:rPr>
            </w:pPr>
          </w:p>
        </w:tc>
        <w:tc>
          <w:tcPr>
            <w:tcW w:w="1685"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8pItalicRight025"/>
              <w:rPr>
                <w:rFonts w:eastAsia="Times New Roman" w:cs="Verdana"/>
              </w:rPr>
            </w:pPr>
          </w:p>
        </w:tc>
        <w:tc>
          <w:tcPr>
            <w:tcW w:w="1292"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8pItalicRight025"/>
              <w:rPr>
                <w:rFonts w:eastAsia="Times New Roman" w:cs="Verdana"/>
              </w:rPr>
            </w:pPr>
          </w:p>
        </w:tc>
        <w:tc>
          <w:tcPr>
            <w:tcW w:w="1357"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8pItalicRight025"/>
              <w:rPr>
                <w:rFonts w:eastAsia="Times New Roman" w:cs="Verdana"/>
              </w:rPr>
            </w:pPr>
          </w:p>
        </w:tc>
        <w:tc>
          <w:tcPr>
            <w:tcW w:w="1843"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8pItalicRight025"/>
              <w:rPr>
                <w:rFonts w:eastAsia="Times New Roman" w:cs="Verdana"/>
              </w:rPr>
            </w:pPr>
          </w:p>
        </w:tc>
        <w:tc>
          <w:tcPr>
            <w:tcW w:w="1275"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8pItalicRight025"/>
              <w:rPr>
                <w:rFonts w:eastAsia="Times New Roman" w:cs="Verdana"/>
              </w:rPr>
            </w:pPr>
          </w:p>
        </w:tc>
        <w:tc>
          <w:tcPr>
            <w:tcW w:w="1438"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8pItalicRight025"/>
              <w:rPr>
                <w:rFonts w:eastAsia="Times New Roman" w:cs="Verdana"/>
              </w:rPr>
            </w:pP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rPr>
                <w:rFonts w:cs="Verdana"/>
              </w:rPr>
              <w:t xml:space="preserve">  EAGF</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(44 465)</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(44 465)</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rPr>
                <w:rFonts w:cs="Verdana"/>
              </w:rPr>
              <w:t xml:space="preserve">  EAFRD &amp; other rural development instruments</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(14 033)</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 xml:space="preserve"> (12)</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(14 046)</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rPr>
                <w:rFonts w:cs="Verdana"/>
              </w:rPr>
              <w:t xml:space="preserve">  ERDF &amp; CF</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(43 345)</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(43 345)</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rPr>
                <w:rFonts w:cs="Verdana"/>
              </w:rPr>
              <w:t xml:space="preserve">  ESF</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(12 651)</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(12 651)</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rPr>
                <w:rFonts w:cs="Verdana"/>
              </w:rPr>
              <w:t xml:space="preserve">  Other</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 xml:space="preserve"> (561)</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 xml:space="preserve"> (542)</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(1 109)</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 xml:space="preserve"> (94)</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(2 307)</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rPr>
                <w:rFonts w:cs="Verdana"/>
              </w:rPr>
              <w:t>Implemented by the EC and executive agencies</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(9 809)</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 xml:space="preserve"> (339)</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(1 114)</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(4 046)</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 xml:space="preserve"> 9</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 xml:space="preserve"> (12)</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(15 311)</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rPr>
                <w:rFonts w:cs="Verdana"/>
              </w:rPr>
              <w:t>Implemented by other EU agencies and bodies</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 xml:space="preserve"> (789)</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 xml:space="preserve"> (58)</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 xml:space="preserve"> (473)</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 xml:space="preserve"> (40)</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 xml:space="preserve"> 334</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(1 025)</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rPr>
                <w:rFonts w:cs="Verdana"/>
              </w:rPr>
              <w:t>Implemented by third countries and int. org.</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 xml:space="preserve"> (246)</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 xml:space="preserve"> 4</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 xml:space="preserve"> (8)</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(2 520)</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 xml:space="preserve"> (0)</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(2 770)</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rPr>
                <w:rFonts w:cs="Verdana"/>
              </w:rPr>
              <w:t>Implemented by other entities</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(1 317)</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 xml:space="preserve"> (5)</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 xml:space="preserve"> (478)</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 xml:space="preserve"> (0)</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 xml:space="preserve"> 1</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(1 799)</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rPr>
                <w:rFonts w:cs="Verdana"/>
              </w:rPr>
              <w:t>Staff and Pension costs</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(1 538)</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 xml:space="preserve"> (324)</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 xml:space="preserve"> (362)</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 xml:space="preserve"> (566)</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(6 066)</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 xml:space="preserve"> (806)</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(9 662)</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rPr>
                <w:rFonts w:cs="Verdana"/>
              </w:rPr>
              <w:t>Changes in employee benefits actuarial assumptions</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(9 170)</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(9 170)</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rPr>
                <w:rFonts w:cs="Verdana"/>
              </w:rPr>
              <w:t>Finance costs</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 xml:space="preserve"> (152)</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 xml:space="preserve"> (25)</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 xml:space="preserve"> (1)</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 xml:space="preserve"> (26)</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 xml:space="preserve"> (557)</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(2 165)</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(2 926)</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rPr>
                <w:rFonts w:cs="Verdana"/>
              </w:rPr>
              <w:t>Share of net deficit of joint ventures / associates</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 xml:space="preserve"> (640)</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 xml:space="preserve"> (640)</w:t>
            </w:r>
          </w:p>
        </w:tc>
      </w:tr>
      <w:tr w:rsidR="00E7728E">
        <w:trPr>
          <w:trHeight w:val="234"/>
        </w:trPr>
        <w:tc>
          <w:tcPr>
            <w:tcW w:w="4077"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8pItalicLeft"/>
              <w:rPr>
                <w:rFonts w:cs="Verdana"/>
              </w:rPr>
            </w:pPr>
            <w:r>
              <w:rPr>
                <w:rFonts w:cs="Verdana"/>
              </w:rPr>
              <w:t>Other expenses</w:t>
            </w:r>
          </w:p>
        </w:tc>
        <w:tc>
          <w:tcPr>
            <w:tcW w:w="1620"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(1 397)</w:t>
            </w:r>
          </w:p>
        </w:tc>
        <w:tc>
          <w:tcPr>
            <w:tcW w:w="1685"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 xml:space="preserve"> (60)</w:t>
            </w:r>
          </w:p>
        </w:tc>
        <w:tc>
          <w:tcPr>
            <w:tcW w:w="1292"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 xml:space="preserve"> (115)</w:t>
            </w:r>
          </w:p>
        </w:tc>
        <w:tc>
          <w:tcPr>
            <w:tcW w:w="1357"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 xml:space="preserve"> (126)</w:t>
            </w:r>
          </w:p>
        </w:tc>
        <w:tc>
          <w:tcPr>
            <w:tcW w:w="1843"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(3 069)</w:t>
            </w:r>
          </w:p>
        </w:tc>
        <w:tc>
          <w:tcPr>
            <w:tcW w:w="1275"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 xml:space="preserve"> (385)</w:t>
            </w:r>
          </w:p>
        </w:tc>
        <w:tc>
          <w:tcPr>
            <w:tcW w:w="143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rPr>
                <w:rFonts w:eastAsia="Times New Roman" w:cs="Verdana"/>
              </w:rPr>
              <w:t>(5 152)</w:t>
            </w:r>
          </w:p>
        </w:tc>
      </w:tr>
      <w:tr w:rsidR="00E7728E">
        <w:trPr>
          <w:trHeight w:val="218"/>
        </w:trPr>
        <w:tc>
          <w:tcPr>
            <w:tcW w:w="4077"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8pBoldLeft"/>
              <w:rPr>
                <w:rFonts w:eastAsia="Times New Roman" w:cs="Verdana"/>
              </w:rPr>
            </w:pPr>
            <w:r>
              <w:rPr>
                <w:rFonts w:eastAsia="Times New Roman" w:cs="Verdana"/>
              </w:rPr>
              <w:t>Total expenses</w:t>
            </w:r>
          </w:p>
        </w:tc>
        <w:tc>
          <w:tcPr>
            <w:tcW w:w="1620"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rPr>
                <w:rFonts w:eastAsia="Times New Roman" w:cs="Verdana"/>
              </w:rPr>
              <w:t>(72 444)</w:t>
            </w:r>
          </w:p>
        </w:tc>
        <w:tc>
          <w:tcPr>
            <w:tcW w:w="1685"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rPr>
                <w:rFonts w:eastAsia="Times New Roman" w:cs="Verdana"/>
              </w:rPr>
              <w:t>(59 843)</w:t>
            </w:r>
          </w:p>
        </w:tc>
        <w:tc>
          <w:tcPr>
            <w:tcW w:w="1292"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rPr>
                <w:rFonts w:eastAsia="Times New Roman" w:cs="Verdana"/>
              </w:rPr>
              <w:t>(3 189)</w:t>
            </w:r>
          </w:p>
        </w:tc>
        <w:tc>
          <w:tcPr>
            <w:tcW w:w="1357"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rPr>
                <w:rFonts w:eastAsia="Times New Roman" w:cs="Verdana"/>
              </w:rPr>
              <w:t>(7 908)</w:t>
            </w:r>
          </w:p>
        </w:tc>
        <w:tc>
          <w:tcPr>
            <w:tcW w:w="1843"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rPr>
                <w:rFonts w:eastAsia="Times New Roman" w:cs="Verdana"/>
              </w:rPr>
              <w:t>(18 853)</w:t>
            </w:r>
          </w:p>
        </w:tc>
        <w:tc>
          <w:tcPr>
            <w:tcW w:w="1275"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rPr>
                <w:rFonts w:eastAsia="Times New Roman" w:cs="Verdana"/>
              </w:rPr>
              <w:t>(3 032)</w:t>
            </w:r>
          </w:p>
        </w:tc>
        <w:tc>
          <w:tcPr>
            <w:tcW w:w="1438"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rPr>
                <w:rFonts w:eastAsia="Times New Roman" w:cs="Verdana"/>
              </w:rPr>
              <w:t>(165 269)</w:t>
            </w:r>
          </w:p>
        </w:tc>
      </w:tr>
      <w:tr w:rsidR="00E7728E">
        <w:trPr>
          <w:trHeight w:val="234"/>
        </w:trPr>
        <w:tc>
          <w:tcPr>
            <w:tcW w:w="407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8pBoldLeft"/>
              <w:rPr>
                <w:rFonts w:eastAsia="Times New Roman" w:cs="Verdana"/>
              </w:rPr>
            </w:pPr>
            <w:r>
              <w:rPr>
                <w:rFonts w:eastAsia="Times New Roman" w:cs="Verdana"/>
              </w:rPr>
              <w:t>Economic result of the year</w:t>
            </w:r>
          </w:p>
        </w:tc>
        <w:tc>
          <w:tcPr>
            <w:tcW w:w="162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Times New Roman" w:cs="Verdana"/>
              </w:rPr>
            </w:pPr>
            <w:r>
              <w:rPr>
                <w:rFonts w:eastAsia="Times New Roman" w:cs="Verdana"/>
              </w:rPr>
              <w:t>(69 141)</w:t>
            </w:r>
          </w:p>
        </w:tc>
        <w:tc>
          <w:tcPr>
            <w:tcW w:w="16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Times New Roman" w:cs="Verdana"/>
              </w:rPr>
            </w:pPr>
            <w:r>
              <w:rPr>
                <w:rFonts w:eastAsia="Times New Roman" w:cs="Verdana"/>
              </w:rPr>
              <w:t>(57 117)</w:t>
            </w:r>
          </w:p>
        </w:tc>
        <w:tc>
          <w:tcPr>
            <w:tcW w:w="12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Times New Roman" w:cs="Verdana"/>
              </w:rPr>
            </w:pPr>
            <w:r>
              <w:rPr>
                <w:rFonts w:eastAsia="Times New Roman" w:cs="Verdana"/>
              </w:rPr>
              <w:t>(3 186)</w:t>
            </w:r>
          </w:p>
        </w:tc>
        <w:tc>
          <w:tcPr>
            <w:tcW w:w="135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Times New Roman" w:cs="Verdana"/>
              </w:rPr>
            </w:pPr>
            <w:r>
              <w:rPr>
                <w:rFonts w:eastAsia="Times New Roman" w:cs="Verdana"/>
              </w:rPr>
              <w:t>(7 668)</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Times New Roman" w:cs="Verdana"/>
              </w:rPr>
            </w:pPr>
            <w:r>
              <w:rPr>
                <w:rFonts w:eastAsia="Times New Roman" w:cs="Verdana"/>
              </w:rPr>
              <w:t>(14 047)</w:t>
            </w:r>
          </w:p>
        </w:tc>
        <w:tc>
          <w:tcPr>
            <w:tcW w:w="127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Times New Roman" w:cs="Verdana"/>
              </w:rPr>
            </w:pPr>
            <w:r>
              <w:rPr>
                <w:rFonts w:eastAsia="Times New Roman" w:cs="Verdana"/>
              </w:rPr>
              <w:t>139 880</w:t>
            </w:r>
          </w:p>
        </w:tc>
        <w:tc>
          <w:tcPr>
            <w:tcW w:w="143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Times New Roman" w:cs="Verdana"/>
              </w:rPr>
            </w:pPr>
            <w:r>
              <w:rPr>
                <w:rFonts w:eastAsia="Times New Roman" w:cs="Verdana"/>
              </w:rPr>
              <w:t>(11 280)</w:t>
            </w:r>
          </w:p>
        </w:tc>
      </w:tr>
    </w:tbl>
    <w:p w:rsidR="00F50689" w:rsidRPr="00101459" w:rsidRDefault="005A36C4" w:rsidP="00101459">
      <w:pPr>
        <w:pStyle w:val="Textstand-alone"/>
        <w:tabs>
          <w:tab w:val="left" w:pos="284"/>
        </w:tabs>
        <w:spacing w:before="60"/>
        <w:ind w:left="284" w:hanging="284"/>
        <w:rPr>
          <w:i/>
          <w:sz w:val="14"/>
        </w:rPr>
      </w:pPr>
      <w:r w:rsidRPr="00101459">
        <w:rPr>
          <w:i/>
          <w:sz w:val="14"/>
        </w:rPr>
        <w:t>*</w:t>
      </w:r>
      <w:r w:rsidRPr="00101459">
        <w:rPr>
          <w:i/>
          <w:sz w:val="14"/>
        </w:rPr>
        <w:tab/>
        <w:t>"Not-assigned to MFF heading" includes consolidated entities' budget execution and consolidation eliminations, off-budget operations and unallocated immaterial programmes.</w:t>
      </w:r>
    </w:p>
    <w:p w:rsidR="00F50689" w:rsidRDefault="005A36C4" w:rsidP="00F50689">
      <w:pPr>
        <w:pStyle w:val="Textstand-alone"/>
        <w:tabs>
          <w:tab w:val="left" w:pos="284"/>
        </w:tabs>
        <w:spacing w:before="0" w:after="0"/>
        <w:ind w:left="284" w:hanging="284"/>
      </w:pPr>
      <w:r>
        <w:t>The display of revenue and expenses by MFF heading is based on estimation as not all commitments are linked to an MFF heading.</w:t>
      </w:r>
    </w:p>
    <w:p w:rsidR="00F50689" w:rsidRPr="00557D3B" w:rsidRDefault="005A36C4" w:rsidP="00F50689">
      <w:pPr>
        <w:pStyle w:val="Textstand-alone"/>
        <w:tabs>
          <w:tab w:val="left" w:pos="284"/>
        </w:tabs>
        <w:spacing w:before="0" w:after="0"/>
        <w:ind w:left="284" w:hanging="284"/>
        <w:sectPr w:rsidR="00F50689" w:rsidRPr="00557D3B" w:rsidSect="00F50689">
          <w:headerReference w:type="even" r:id="rId317"/>
          <w:headerReference w:type="default" r:id="rId318"/>
          <w:footerReference w:type="even" r:id="rId319"/>
          <w:footerReference w:type="default" r:id="rId320"/>
          <w:headerReference w:type="first" r:id="rId321"/>
          <w:footerReference w:type="first" r:id="rId322"/>
          <w:pgSz w:w="16838" w:h="11906" w:orient="landscape"/>
          <w:pgMar w:top="1134" w:right="1134" w:bottom="1134" w:left="1134" w:header="708" w:footer="708" w:gutter="0"/>
          <w:cols w:space="708"/>
          <w:docGrid w:linePitch="360"/>
        </w:sectPr>
      </w:pPr>
      <w:r>
        <w:t xml:space="preserve"> </w:t>
      </w:r>
      <w:bookmarkEnd w:id="153"/>
    </w:p>
    <w:p w:rsidR="00F50689" w:rsidRPr="00893516" w:rsidRDefault="005A36C4" w:rsidP="00875458">
      <w:pPr>
        <w:pStyle w:val="HEADER2Part2"/>
        <w:spacing w:after="0" w:line="360" w:lineRule="auto"/>
      </w:pPr>
      <w:bookmarkStart w:id="155" w:name="_DMBM_2639"/>
      <w:r w:rsidRPr="00893516">
        <w:t>R</w:t>
      </w:r>
      <w:r w:rsidR="00875458">
        <w:t xml:space="preserve">ECLASSIFICATION OF </w:t>
      </w:r>
      <w:r w:rsidRPr="00893516">
        <w:t xml:space="preserve">2013 </w:t>
      </w:r>
      <w:r w:rsidR="00875458">
        <w:t>FIGURES</w:t>
      </w:r>
    </w:p>
    <w:p w:rsidR="00F50689" w:rsidRDefault="005A36C4" w:rsidP="00F50689">
      <w:pPr>
        <w:pStyle w:val="Textstand-alone"/>
        <w:spacing w:after="0"/>
      </w:pPr>
      <w:r w:rsidRPr="00783E91">
        <w:t xml:space="preserve">So as to better present information to the users of these accounts, the layout of the </w:t>
      </w:r>
      <w:r>
        <w:t>s</w:t>
      </w:r>
      <w:r w:rsidRPr="00783E91">
        <w:t xml:space="preserve">tatement of </w:t>
      </w:r>
      <w:r>
        <w:t>f</w:t>
      </w:r>
      <w:r w:rsidRPr="00783E91">
        <w:t xml:space="preserve">inancial </w:t>
      </w:r>
      <w:r>
        <w:t>p</w:t>
      </w:r>
      <w:r w:rsidRPr="00783E91">
        <w:t xml:space="preserve">erformance has been </w:t>
      </w:r>
      <w:r>
        <w:t>re</w:t>
      </w:r>
      <w:r w:rsidRPr="00783E91">
        <w:t xml:space="preserve">structured </w:t>
      </w:r>
      <w:r>
        <w:t>in the 2014 accounts. As required by the EU accounting rules, a reclassification of the 2013 figures is made, noting that no amounts have been changed, only the presentation of the existing figures – revenues, expenses and the result remain as originally published in the 2013 accounts. An overview of the impact of the changes is given below:</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276"/>
        <w:gridCol w:w="850"/>
        <w:gridCol w:w="993"/>
        <w:gridCol w:w="992"/>
        <w:gridCol w:w="992"/>
        <w:gridCol w:w="992"/>
        <w:gridCol w:w="993"/>
        <w:gridCol w:w="992"/>
        <w:gridCol w:w="992"/>
        <w:gridCol w:w="992"/>
        <w:gridCol w:w="1134"/>
        <w:gridCol w:w="993"/>
        <w:gridCol w:w="992"/>
      </w:tblGrid>
      <w:tr w:rsidR="00E7728E">
        <w:tc>
          <w:tcPr>
            <w:tcW w:w="1951"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56" w:name="DOC_TBL00066_1_1"/>
            <w:bookmarkEnd w:id="156"/>
          </w:p>
        </w:tc>
        <w:tc>
          <w:tcPr>
            <w:tcW w:w="1276"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850"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134"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985" w:type="dxa"/>
            <w:gridSpan w:val="2"/>
            <w:tcBorders>
              <w:top w:val="nil"/>
              <w:left w:val="nil"/>
              <w:bottom w:val="nil"/>
              <w:right w:val="nil"/>
            </w:tcBorders>
            <w:tcMar>
              <w:top w:w="0" w:type="dxa"/>
              <w:left w:w="0" w:type="dxa"/>
              <w:bottom w:w="0" w:type="dxa"/>
              <w:right w:w="0" w:type="dxa"/>
            </w:tcMar>
          </w:tcPr>
          <w:p w:rsidR="00F50689" w:rsidRDefault="005A36C4" w:rsidP="00F50689">
            <w:pPr>
              <w:pStyle w:val="Text7pItalicRight025"/>
              <w:rPr>
                <w:rFonts w:cs="Verdana"/>
              </w:rPr>
            </w:pPr>
            <w:r>
              <w:rPr>
                <w:rFonts w:cs="Verdana"/>
              </w:rPr>
              <w:t>EUR millions</w:t>
            </w:r>
          </w:p>
        </w:tc>
      </w:tr>
      <w:tr w:rsidR="00E7728E">
        <w:trPr>
          <w:trHeight w:val="437"/>
        </w:trPr>
        <w:tc>
          <w:tcPr>
            <w:tcW w:w="195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Times New Roman" w:cs="Verdana"/>
              </w:rPr>
            </w:pPr>
          </w:p>
        </w:tc>
        <w:tc>
          <w:tcPr>
            <w:tcW w:w="127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rPr>
                <w:rFonts w:cs="Verdana"/>
              </w:rPr>
              <w:t>Own resource and contributions revenue</w:t>
            </w:r>
          </w:p>
        </w:tc>
        <w:tc>
          <w:tcPr>
            <w:tcW w:w="85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rPr>
                <w:rFonts w:cs="Verdana"/>
              </w:rPr>
              <w:t>Other operating revenue</w:t>
            </w:r>
          </w:p>
        </w:tc>
        <w:tc>
          <w:tcPr>
            <w:tcW w:w="99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rPr>
                <w:rFonts w:cs="Verdana"/>
              </w:rPr>
              <w:t>Total operating revenue</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proofErr w:type="spellStart"/>
            <w:r>
              <w:rPr>
                <w:rFonts w:cs="Verdana"/>
              </w:rPr>
              <w:t>Admini</w:t>
            </w:r>
            <w:proofErr w:type="spellEnd"/>
            <w:r>
              <w:rPr>
                <w:rFonts w:cs="Verdana"/>
              </w:rPr>
              <w:t>-</w:t>
            </w:r>
          </w:p>
          <w:p w:rsidR="00F50689" w:rsidRDefault="005A36C4" w:rsidP="00F50689">
            <w:pPr>
              <w:pStyle w:val="Heading7pNormalRight01"/>
              <w:rPr>
                <w:rFonts w:cs="Verdana"/>
              </w:rPr>
            </w:pPr>
            <w:proofErr w:type="spellStart"/>
            <w:r>
              <w:rPr>
                <w:rFonts w:cs="Verdana"/>
              </w:rPr>
              <w:t>strative</w:t>
            </w:r>
            <w:proofErr w:type="spellEnd"/>
            <w:r>
              <w:rPr>
                <w:rFonts w:cs="Verdana"/>
              </w:rPr>
              <w:t xml:space="preserve"> expenses</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rPr>
                <w:rFonts w:cs="Verdana"/>
              </w:rPr>
              <w:t>Operating expenses</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rPr>
                <w:rFonts w:cs="Verdana"/>
              </w:rPr>
              <w:t>Total operating expenses</w:t>
            </w:r>
          </w:p>
        </w:tc>
        <w:tc>
          <w:tcPr>
            <w:tcW w:w="99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rPr>
                <w:rFonts w:cs="Verdana"/>
              </w:rPr>
              <w:t>Surplus from operating activities</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rPr>
                <w:rFonts w:cs="Verdana"/>
              </w:rPr>
              <w:t>Financial revenue</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rPr>
                <w:rFonts w:cs="Verdana"/>
              </w:rPr>
              <w:t>Financial expenses</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rPr>
                <w:rFonts w:cs="Verdana"/>
              </w:rPr>
              <w:t>Movement pension and other employee benefits liability</w:t>
            </w:r>
          </w:p>
        </w:tc>
        <w:tc>
          <w:tcPr>
            <w:tcW w:w="1134"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rPr>
                <w:rFonts w:cs="Verdana"/>
              </w:rPr>
              <w:t>Share of net deficit of joint ventures and associates</w:t>
            </w:r>
          </w:p>
        </w:tc>
        <w:tc>
          <w:tcPr>
            <w:tcW w:w="99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rPr>
                <w:rFonts w:cs="Verdana"/>
              </w:rPr>
              <w:t>Economic result of the year</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rPr>
                <w:rFonts w:cs="Verdana"/>
              </w:rPr>
              <w:t>2013 (reclassified)</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BoldLeft"/>
              <w:rPr>
                <w:rFonts w:eastAsia="Times New Roman" w:cs="Verdana"/>
              </w:rPr>
            </w:pPr>
            <w:r>
              <w:rPr>
                <w:rFonts w:eastAsia="Times New Roman" w:cs="Verdana"/>
              </w:rPr>
              <w:t>2013 (published)</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141 241</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8 415</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149 655</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(9 269)</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(138 571)</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(147 840)</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1 815</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2 038</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(2 045)</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(5 565)</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 xml:space="preserve"> (608)</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(4 365)</w:t>
            </w: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BoldLeft"/>
              <w:rPr>
                <w:rFonts w:eastAsia="Times New Roman" w:cs="Verdana"/>
              </w:rPr>
            </w:pPr>
            <w:r>
              <w:rPr>
                <w:rFonts w:eastAsia="Times New Roman" w:cs="Verdana"/>
              </w:rPr>
              <w:t>Revenue from non-exchange transactions</w:t>
            </w:r>
          </w:p>
        </w:tc>
        <w:tc>
          <w:tcPr>
            <w:tcW w:w="1276"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850"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1134"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rPr>
                <w:rFonts w:eastAsia="Times New Roman" w:cs="Verdana"/>
              </w:rPr>
              <w:t>GNI Resources</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110 194</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110 194</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110 194</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rPr>
                <w:rFonts w:eastAsia="Times New Roman" w:cs="Verdana"/>
              </w:rPr>
              <w:t>Traditional own resources</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15 467</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15 467</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15 467</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rPr>
                <w:rFonts w:eastAsia="Times New Roman" w:cs="Verdana"/>
              </w:rPr>
              <w:t>VAT</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14 019</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14 019</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14 019</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rPr>
                <w:rFonts w:eastAsia="Times New Roman" w:cs="Verdana"/>
              </w:rPr>
              <w:t>Fines</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2 757</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2 757</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2 757</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rPr>
                <w:rFonts w:eastAsia="Times New Roman" w:cs="Verdana"/>
              </w:rPr>
              <w:t>Recovery of expenses</w:t>
            </w:r>
          </w:p>
        </w:tc>
        <w:tc>
          <w:tcPr>
            <w:tcW w:w="1276"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1 777</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1 777</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1 777</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rPr>
                <w:rFonts w:eastAsia="Times New Roman" w:cs="Verdana"/>
              </w:rPr>
              <w:t>Other</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1 561</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2 484</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4 045</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4 045</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BoldLeft"/>
              <w:rPr>
                <w:rFonts w:eastAsia="Times New Roman" w:cs="Verdana"/>
              </w:rPr>
            </w:pPr>
            <w:r>
              <w:rPr>
                <w:rFonts w:eastAsia="Times New Roman" w:cs="Verdana"/>
              </w:rPr>
              <w:t>Total</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141 241</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7 018</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148 259</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148 259</w:t>
            </w:r>
          </w:p>
        </w:tc>
      </w:tr>
      <w:tr w:rsidR="00E7728E">
        <w:tc>
          <w:tcPr>
            <w:tcW w:w="1951" w:type="dxa"/>
            <w:tcBorders>
              <w:top w:val="nil"/>
              <w:left w:val="nil"/>
              <w:bottom w:val="nil"/>
              <w:right w:val="nil"/>
            </w:tcBorders>
            <w:tcMar>
              <w:top w:w="0" w:type="dxa"/>
              <w:left w:w="0" w:type="dxa"/>
              <w:bottom w:w="0" w:type="dxa"/>
              <w:right w:w="0" w:type="dxa"/>
            </w:tcMar>
          </w:tcPr>
          <w:p w:rsidR="00F50689" w:rsidRDefault="00F50689" w:rsidP="00F50689">
            <w:pPr>
              <w:pStyle w:val="Text7pItalicLeft"/>
              <w:rPr>
                <w:rFonts w:eastAsia="Times New Roman" w:cs="Verdana"/>
              </w:rPr>
            </w:pPr>
          </w:p>
        </w:tc>
        <w:tc>
          <w:tcPr>
            <w:tcW w:w="1276"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850"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1134"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BoldLeft"/>
              <w:rPr>
                <w:rFonts w:eastAsia="Times New Roman" w:cs="Verdana"/>
              </w:rPr>
            </w:pPr>
            <w:r>
              <w:rPr>
                <w:rFonts w:eastAsia="Times New Roman" w:cs="Verdana"/>
              </w:rPr>
              <w:t>Revenue from exchange transactions</w:t>
            </w:r>
          </w:p>
        </w:tc>
        <w:tc>
          <w:tcPr>
            <w:tcW w:w="1276"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850"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1134"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rPr>
                <w:rFonts w:eastAsia="Times New Roman" w:cs="Verdana"/>
              </w:rPr>
              <w:t>Financial income</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1 991</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1 991</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rPr>
                <w:rFonts w:eastAsia="Times New Roman" w:cs="Verdana"/>
              </w:rPr>
              <w:t>Other</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1 397</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1 397</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 xml:space="preserve"> 47</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1 443</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BoldLeft"/>
              <w:rPr>
                <w:rFonts w:eastAsia="Times New Roman" w:cs="Verdana"/>
              </w:rPr>
            </w:pPr>
            <w:r>
              <w:rPr>
                <w:rFonts w:eastAsia="Times New Roman" w:cs="Verdana"/>
              </w:rPr>
              <w:t>Total</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1 397</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1 397</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2 038</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3 434</w:t>
            </w:r>
          </w:p>
        </w:tc>
      </w:tr>
      <w:tr w:rsidR="00E7728E">
        <w:tc>
          <w:tcPr>
            <w:tcW w:w="19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7pBoldLeft"/>
              <w:rPr>
                <w:rFonts w:eastAsia="Times New Roman" w:cs="Verdana"/>
              </w:rPr>
            </w:pPr>
            <w:r>
              <w:rPr>
                <w:rFonts w:eastAsia="Times New Roman" w:cs="Verdana"/>
              </w:rPr>
              <w:t>TOTAL REVENUE</w:t>
            </w:r>
          </w:p>
        </w:tc>
        <w:tc>
          <w:tcPr>
            <w:tcW w:w="127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141 241</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8 415</w:t>
            </w:r>
          </w:p>
        </w:tc>
        <w:tc>
          <w:tcPr>
            <w:tcW w:w="99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149 655</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w:t>
            </w:r>
          </w:p>
        </w:tc>
        <w:tc>
          <w:tcPr>
            <w:tcW w:w="99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2 038</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w:t>
            </w:r>
          </w:p>
        </w:tc>
        <w:tc>
          <w:tcPr>
            <w:tcW w:w="99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151 693</w:t>
            </w:r>
          </w:p>
        </w:tc>
      </w:tr>
    </w:tbl>
    <w:p w:rsidR="00F50689" w:rsidRDefault="005A36C4" w:rsidP="00F50689">
      <w:pPr>
        <w:pStyle w:val="Textstand-alone"/>
      </w:pPr>
      <w:r>
        <w:t xml:space="preserve"> </w:t>
      </w:r>
    </w:p>
    <w:p w:rsidR="00F50689" w:rsidRDefault="005A36C4">
      <w:pPr>
        <w:rPr>
          <w:rFonts w:ascii="Verdana" w:hAnsi="Verdana"/>
          <w:noProof/>
          <w:sz w:val="18"/>
          <w:szCs w:val="18"/>
        </w:rPr>
      </w:pPr>
      <w:r>
        <w:br w:type="page"/>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276"/>
        <w:gridCol w:w="850"/>
        <w:gridCol w:w="993"/>
        <w:gridCol w:w="992"/>
        <w:gridCol w:w="992"/>
        <w:gridCol w:w="992"/>
        <w:gridCol w:w="993"/>
        <w:gridCol w:w="992"/>
        <w:gridCol w:w="992"/>
        <w:gridCol w:w="992"/>
        <w:gridCol w:w="1134"/>
        <w:gridCol w:w="993"/>
        <w:gridCol w:w="992"/>
      </w:tblGrid>
      <w:tr w:rsidR="00E7728E">
        <w:tc>
          <w:tcPr>
            <w:tcW w:w="1951"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57" w:name="DOC_TBL00067_1_1"/>
            <w:bookmarkEnd w:id="157"/>
          </w:p>
        </w:tc>
        <w:tc>
          <w:tcPr>
            <w:tcW w:w="1276"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850"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134"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985" w:type="dxa"/>
            <w:gridSpan w:val="2"/>
            <w:tcBorders>
              <w:top w:val="nil"/>
              <w:left w:val="nil"/>
              <w:bottom w:val="nil"/>
              <w:right w:val="nil"/>
            </w:tcBorders>
            <w:tcMar>
              <w:top w:w="0" w:type="dxa"/>
              <w:left w:w="0" w:type="dxa"/>
              <w:bottom w:w="0" w:type="dxa"/>
              <w:right w:w="0" w:type="dxa"/>
            </w:tcMar>
          </w:tcPr>
          <w:p w:rsidR="00F50689" w:rsidRDefault="005A36C4" w:rsidP="00F50689">
            <w:pPr>
              <w:pStyle w:val="Text7pItalicRight025"/>
              <w:rPr>
                <w:rFonts w:cs="Verdana"/>
              </w:rPr>
            </w:pPr>
            <w:r>
              <w:rPr>
                <w:rFonts w:cs="Verdana"/>
              </w:rPr>
              <w:t>EUR millions</w:t>
            </w:r>
          </w:p>
        </w:tc>
      </w:tr>
      <w:tr w:rsidR="00E7728E">
        <w:trPr>
          <w:trHeight w:val="437"/>
        </w:trPr>
        <w:tc>
          <w:tcPr>
            <w:tcW w:w="195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Times New Roman" w:cs="Verdana"/>
              </w:rPr>
            </w:pPr>
          </w:p>
        </w:tc>
        <w:tc>
          <w:tcPr>
            <w:tcW w:w="127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rPr>
                <w:rFonts w:cs="Verdana"/>
              </w:rPr>
              <w:t>Own resource and contributions revenue</w:t>
            </w:r>
          </w:p>
        </w:tc>
        <w:tc>
          <w:tcPr>
            <w:tcW w:w="85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rPr>
                <w:rFonts w:cs="Verdana"/>
              </w:rPr>
              <w:t>Other operating revenue</w:t>
            </w:r>
          </w:p>
        </w:tc>
        <w:tc>
          <w:tcPr>
            <w:tcW w:w="99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rPr>
                <w:rFonts w:cs="Verdana"/>
              </w:rPr>
              <w:t>Total</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proofErr w:type="spellStart"/>
            <w:r>
              <w:rPr>
                <w:rFonts w:cs="Verdana"/>
              </w:rPr>
              <w:t>Admini</w:t>
            </w:r>
            <w:proofErr w:type="spellEnd"/>
            <w:r>
              <w:rPr>
                <w:rFonts w:cs="Verdana"/>
              </w:rPr>
              <w:t>-</w:t>
            </w:r>
          </w:p>
          <w:p w:rsidR="00F50689" w:rsidRDefault="005A36C4" w:rsidP="00F50689">
            <w:pPr>
              <w:pStyle w:val="Heading7pNormalRight01"/>
              <w:rPr>
                <w:rFonts w:cs="Verdana"/>
              </w:rPr>
            </w:pPr>
            <w:proofErr w:type="spellStart"/>
            <w:r>
              <w:rPr>
                <w:rFonts w:cs="Verdana"/>
              </w:rPr>
              <w:t>strative</w:t>
            </w:r>
            <w:proofErr w:type="spellEnd"/>
            <w:r>
              <w:rPr>
                <w:rFonts w:cs="Verdana"/>
              </w:rPr>
              <w:t xml:space="preserve"> expenses</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rPr>
                <w:rFonts w:cs="Verdana"/>
              </w:rPr>
              <w:t>Operating expenses</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rPr>
                <w:rFonts w:cs="Verdana"/>
              </w:rPr>
              <w:t>Total operating expenses</w:t>
            </w:r>
          </w:p>
        </w:tc>
        <w:tc>
          <w:tcPr>
            <w:tcW w:w="99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rPr>
                <w:rFonts w:cs="Verdana"/>
              </w:rPr>
              <w:t>Surplus from operating activities</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rPr>
                <w:rFonts w:cs="Verdana"/>
              </w:rPr>
              <w:t>Financial revenue</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rPr>
                <w:rFonts w:cs="Verdana"/>
              </w:rPr>
              <w:t>Financial expenses</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rPr>
                <w:rFonts w:cs="Verdana"/>
              </w:rPr>
              <w:t>Movement pension and other employee benefits liability</w:t>
            </w:r>
          </w:p>
        </w:tc>
        <w:tc>
          <w:tcPr>
            <w:tcW w:w="1134"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rPr>
                <w:rFonts w:cs="Verdana"/>
              </w:rPr>
              <w:t>Share of net deficit of joint ventures and associates</w:t>
            </w:r>
          </w:p>
        </w:tc>
        <w:tc>
          <w:tcPr>
            <w:tcW w:w="99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rPr>
                <w:rFonts w:cs="Verdana"/>
              </w:rPr>
              <w:t>Economic result of the year</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rPr>
                <w:rFonts w:cs="Verdana"/>
              </w:rPr>
              <w:t>2013 (reclassified)</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rPr>
                <w:rFonts w:eastAsia="Times New Roman" w:cs="Verdana"/>
              </w:rPr>
              <w:t>Expenses implemented by Member States:</w:t>
            </w:r>
          </w:p>
        </w:tc>
        <w:tc>
          <w:tcPr>
            <w:tcW w:w="1276"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850"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1134"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rPr>
                <w:rFonts w:eastAsia="Times New Roman" w:cs="Verdana"/>
              </w:rPr>
              <w:t>European Agricultural Guarantee Fund</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(45 067)</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(45 067)</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(45 067)</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rPr>
                <w:rFonts w:eastAsia="Times New Roman" w:cs="Verdana"/>
              </w:rPr>
              <w:t>European Agricultural Fund for Rural Development and other rural development instruments</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(13 585)</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(13 585)</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(13 585)</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rPr>
                <w:rFonts w:eastAsia="Times New Roman" w:cs="Verdana"/>
              </w:rPr>
              <w:t>European Regional Development Fund and Cohesion Fund</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(47 767)</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(47 767)</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(47 767)</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rPr>
                <w:rFonts w:eastAsia="Times New Roman" w:cs="Verdana"/>
              </w:rPr>
              <w:t>European Social Fund</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(12 126)</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(12 126)</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(12 126)</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rPr>
                <w:rFonts w:eastAsia="Times New Roman" w:cs="Verdana"/>
              </w:rPr>
              <w:t>Other</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(1 525)</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(1 525)</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(1 525)</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rPr>
                <w:rFonts w:eastAsia="Times New Roman" w:cs="Verdana"/>
              </w:rPr>
              <w:t>Implemented by the Commission and executive agencies</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(12 519)</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(12 519)</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(12 519)</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rPr>
                <w:rFonts w:eastAsia="Times New Roman" w:cs="Verdana"/>
              </w:rPr>
              <w:t>Implemented by other EU agencies and bodies</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 xml:space="preserve"> (656)</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 xml:space="preserve"> (656)</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 xml:space="preserve"> (656)</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rPr>
                <w:rFonts w:eastAsia="Times New Roman" w:cs="Verdana"/>
              </w:rPr>
              <w:t>Implemented by third countries and int. organisations</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(2 465)</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(2 465)</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(2 465)</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rPr>
                <w:rFonts w:eastAsia="Times New Roman" w:cs="Verdana"/>
              </w:rPr>
              <w:t>Implemented by other entities</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(1 694)</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(1 694)</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(1 694)</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rPr>
                <w:rFonts w:eastAsia="Times New Roman" w:cs="Verdana"/>
              </w:rPr>
              <w:t>Staff and pension costs</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(5 527)</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(5 527)</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(3 531)</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(9 058)</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rPr>
                <w:rFonts w:eastAsia="Times New Roman" w:cs="Verdana"/>
              </w:rPr>
              <w:t>Changes in employee benefits actuarial assumptions</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(2 033)</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(2 033)</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rPr>
                <w:rFonts w:eastAsia="Times New Roman" w:cs="Verdana"/>
              </w:rPr>
              <w:t>Finance costs</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 xml:space="preserve"> (469)</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 xml:space="preserve"> (469)</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(1 914)</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(2 383)</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rPr>
                <w:rFonts w:eastAsia="Times New Roman" w:cs="Verdana"/>
              </w:rPr>
              <w:t>Share of net deficit of joint ventures and associates</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 xml:space="preserve"> (608)</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 xml:space="preserve"> (608)</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rPr>
                <w:rFonts w:eastAsia="Times New Roman" w:cs="Verdana"/>
              </w:rPr>
              <w:t>Other expenses</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(3 742)</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 xml:space="preserve"> (699)</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(4 442)</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 xml:space="preserve"> (131)</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(4 572)</w:t>
            </w:r>
          </w:p>
        </w:tc>
      </w:tr>
      <w:tr w:rsidR="00E7728E">
        <w:tc>
          <w:tcPr>
            <w:tcW w:w="19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7pBoldLeft"/>
              <w:rPr>
                <w:rFonts w:eastAsia="Times New Roman" w:cs="Verdana"/>
              </w:rPr>
            </w:pPr>
            <w:r>
              <w:rPr>
                <w:rFonts w:eastAsia="Times New Roman" w:cs="Verdana"/>
              </w:rPr>
              <w:t>TOTAL EXPENSES</w:t>
            </w:r>
          </w:p>
        </w:tc>
        <w:tc>
          <w:tcPr>
            <w:tcW w:w="127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w:t>
            </w:r>
          </w:p>
        </w:tc>
        <w:tc>
          <w:tcPr>
            <w:tcW w:w="99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(9 269)</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(138 571)</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(147 840)</w:t>
            </w:r>
          </w:p>
        </w:tc>
        <w:tc>
          <w:tcPr>
            <w:tcW w:w="99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(2 045)</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(5 565)</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 xml:space="preserve"> (608)</w:t>
            </w:r>
          </w:p>
        </w:tc>
        <w:tc>
          <w:tcPr>
            <w:tcW w:w="99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(156 058)</w:t>
            </w:r>
          </w:p>
        </w:tc>
      </w:tr>
      <w:tr w:rsidR="00E7728E">
        <w:tc>
          <w:tcPr>
            <w:tcW w:w="1951" w:type="dxa"/>
            <w:tcBorders>
              <w:top w:val="nil"/>
              <w:left w:val="nil"/>
              <w:bottom w:val="nil"/>
              <w:right w:val="nil"/>
            </w:tcBorders>
            <w:tcMar>
              <w:top w:w="0" w:type="dxa"/>
              <w:left w:w="0" w:type="dxa"/>
              <w:bottom w:w="0" w:type="dxa"/>
              <w:right w:w="0" w:type="dxa"/>
            </w:tcMar>
          </w:tcPr>
          <w:p w:rsidR="00F50689" w:rsidRDefault="00F50689" w:rsidP="00F50689">
            <w:pPr>
              <w:pStyle w:val="Text9pItalicLeft"/>
              <w:rPr>
                <w:rFonts w:cs="Verdana"/>
              </w:rPr>
            </w:pPr>
          </w:p>
        </w:tc>
        <w:tc>
          <w:tcPr>
            <w:tcW w:w="1276"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85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1134"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r>
      <w:tr w:rsidR="00E7728E">
        <w:tc>
          <w:tcPr>
            <w:tcW w:w="19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7pBoldLeft"/>
              <w:rPr>
                <w:rFonts w:eastAsia="Times New Roman" w:cs="Verdana"/>
              </w:rPr>
            </w:pPr>
            <w:r>
              <w:rPr>
                <w:rFonts w:eastAsia="Times New Roman" w:cs="Verdana"/>
              </w:rPr>
              <w:t>Economic result of the year</w:t>
            </w:r>
          </w:p>
        </w:tc>
        <w:tc>
          <w:tcPr>
            <w:tcW w:w="127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141 241</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8 415</w:t>
            </w:r>
          </w:p>
        </w:tc>
        <w:tc>
          <w:tcPr>
            <w:tcW w:w="99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149 655</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(9 269)</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(138 571)</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(147 840)</w:t>
            </w:r>
          </w:p>
        </w:tc>
        <w:tc>
          <w:tcPr>
            <w:tcW w:w="99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1 815</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2 038</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(2 045)</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(5 565)</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 xml:space="preserve"> (608)</w:t>
            </w:r>
          </w:p>
        </w:tc>
        <w:tc>
          <w:tcPr>
            <w:tcW w:w="99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(4 365)</w:t>
            </w:r>
          </w:p>
        </w:tc>
      </w:tr>
      <w:bookmarkEnd w:id="155"/>
    </w:tbl>
    <w:p w:rsidR="00F50689" w:rsidRPr="00783E91" w:rsidRDefault="00F50689" w:rsidP="00F50689">
      <w:pPr>
        <w:pStyle w:val="Textstand-alone"/>
        <w:rPr>
          <w:lang w:bidi="en-GB"/>
        </w:rPr>
        <w:sectPr w:rsidR="00F50689" w:rsidRPr="00783E91" w:rsidSect="00F50689">
          <w:headerReference w:type="even" r:id="rId323"/>
          <w:headerReference w:type="default" r:id="rId324"/>
          <w:footerReference w:type="even" r:id="rId325"/>
          <w:footerReference w:type="default" r:id="rId326"/>
          <w:headerReference w:type="first" r:id="rId327"/>
          <w:footerReference w:type="first" r:id="rId328"/>
          <w:pgSz w:w="16838" w:h="11906" w:orient="landscape"/>
          <w:pgMar w:top="1134" w:right="1134" w:bottom="1134" w:left="1134" w:header="708" w:footer="708" w:gutter="0"/>
          <w:cols w:space="708"/>
          <w:docGrid w:linePitch="360"/>
        </w:sectPr>
      </w:pPr>
    </w:p>
    <w:p w:rsidR="00F50689" w:rsidRDefault="005A36C4" w:rsidP="00F50689">
      <w:pPr>
        <w:pStyle w:val="HEADER1Part2"/>
        <w:rPr>
          <w:lang w:val="fr-BE"/>
        </w:rPr>
      </w:pPr>
      <w:bookmarkStart w:id="158" w:name="_Toc424652042"/>
      <w:bookmarkStart w:id="159" w:name="_DMBM_2604"/>
      <w:r>
        <w:rPr>
          <w:lang w:val="fr-BE"/>
        </w:rPr>
        <w:t>NOTES TO THE CASHFLOW STATEMENT</w:t>
      </w:r>
      <w:bookmarkEnd w:id="158"/>
    </w:p>
    <w:p w:rsidR="00F50689" w:rsidRPr="00AF529F" w:rsidRDefault="005A36C4" w:rsidP="00F50689">
      <w:pPr>
        <w:pStyle w:val="HEADER2Part2"/>
        <w:spacing w:after="0"/>
      </w:pPr>
      <w:r w:rsidRPr="00AF529F">
        <w:t>PURPOSE AND PREPARATION OF THE CASHFLOW STATEMENT</w:t>
      </w:r>
    </w:p>
    <w:p w:rsidR="00F50689" w:rsidRDefault="005A36C4" w:rsidP="00F50689">
      <w:pPr>
        <w:pStyle w:val="Textstand-alone"/>
      </w:pPr>
      <w:r>
        <w:t>Cashflow information is used to provide a basis for assessing the ability of the EU to generate cash and cash equivalents, and its needs to utilise those cashflows.</w:t>
      </w:r>
    </w:p>
    <w:p w:rsidR="00F50689" w:rsidRDefault="005A36C4" w:rsidP="00F50689">
      <w:pPr>
        <w:pStyle w:val="Textstand-alone"/>
      </w:pPr>
      <w:r>
        <w:t>The cashflow statement is prepared using the indirect method. This means that the economic result for the financial year is adjusted for the effects of transactions of a non-cash nature, any deferrals or accruals of past or future operating cash receipts or payments, and items of revenue or expense associated with investing cashflows.</w:t>
      </w:r>
    </w:p>
    <w:p w:rsidR="00F50689" w:rsidRDefault="005A36C4" w:rsidP="00F50689">
      <w:pPr>
        <w:pStyle w:val="Textstand-alone"/>
      </w:pPr>
      <w:r>
        <w:t>Cashflows arising from transactions in a foreign currency are recorded in the EU’s reporting currency (Euro), by applying to the foreign currency amount the exchange rate between the euro and the foreign currency at the date of the cashflow.</w:t>
      </w:r>
    </w:p>
    <w:p w:rsidR="00F50689" w:rsidRDefault="005A36C4" w:rsidP="00F50689">
      <w:pPr>
        <w:pStyle w:val="Textstand-alone"/>
      </w:pPr>
      <w:r>
        <w:t>The cashflow statement reports cashflows during the period classified by operating and investing activities (the EU does not have financing activities).</w:t>
      </w:r>
    </w:p>
    <w:p w:rsidR="00F50689" w:rsidRDefault="005A36C4" w:rsidP="00F50689">
      <w:pPr>
        <w:pStyle w:val="HEADER2Part2"/>
        <w:spacing w:after="0"/>
      </w:pPr>
      <w:r>
        <w:t>OPERATING ACTIVITIES</w:t>
      </w:r>
    </w:p>
    <w:p w:rsidR="00F50689" w:rsidRDefault="005A36C4" w:rsidP="00F50689">
      <w:pPr>
        <w:pStyle w:val="Textstand-alone"/>
      </w:pPr>
      <w:r w:rsidRPr="00D020F9">
        <w:t xml:space="preserve">Operating activities are the activities of the </w:t>
      </w:r>
      <w:r>
        <w:t>EU</w:t>
      </w:r>
      <w:r w:rsidRPr="00D020F9">
        <w:t xml:space="preserve"> that are not investing activities. These are the majority of the activities performed. Loans granted to beneficiaries (and the related borrowings, when applicable) are not considered as investing (or financing) activities as they are part of the general objectives and thus daily operations of the </w:t>
      </w:r>
      <w:r>
        <w:t>EU</w:t>
      </w:r>
      <w:r w:rsidRPr="00D020F9">
        <w:t xml:space="preserve">. Operating activities also include investments such as EIF, EBRD and venture capital funds. Indeed, the objective of these activities is to </w:t>
      </w:r>
      <w:r>
        <w:t>contribute to</w:t>
      </w:r>
      <w:r w:rsidRPr="00D020F9">
        <w:t xml:space="preserve"> the achievement of policy targeted outcomes.</w:t>
      </w:r>
    </w:p>
    <w:p w:rsidR="00F50689" w:rsidRPr="00632B75" w:rsidRDefault="005A36C4" w:rsidP="00F50689">
      <w:pPr>
        <w:pStyle w:val="HEADER2Part2"/>
        <w:spacing w:after="0"/>
      </w:pPr>
      <w:r w:rsidRPr="00632B75">
        <w:t>INVESTING ACTIVITIES</w:t>
      </w:r>
    </w:p>
    <w:p w:rsidR="00F50689" w:rsidRDefault="005A36C4" w:rsidP="00F50689">
      <w:pPr>
        <w:pStyle w:val="Textstand-alone"/>
        <w:spacing w:after="0"/>
      </w:pPr>
      <w:r w:rsidRPr="00C75B63">
        <w:t xml:space="preserve">Investing activities are the acquisition and disposal of intangible assets and property, plant and equipment and of other investments which are not included in cash equivalents. Investing activities do not include loans granted to beneficiaries. The objective is to show the real investments made by the </w:t>
      </w:r>
      <w:r>
        <w:t>EU</w:t>
      </w:r>
      <w:r w:rsidRPr="00C75B63">
        <w:t>.</w:t>
      </w:r>
    </w:p>
    <w:p w:rsidR="00F50689" w:rsidRDefault="005A36C4" w:rsidP="00F50689">
      <w:pPr>
        <w:pStyle w:val="Textstand-alone"/>
        <w:spacing w:before="0"/>
        <w:sectPr w:rsidR="00F50689" w:rsidSect="00F50689">
          <w:headerReference w:type="even" r:id="rId329"/>
          <w:headerReference w:type="default" r:id="rId330"/>
          <w:footerReference w:type="even" r:id="rId331"/>
          <w:footerReference w:type="default" r:id="rId332"/>
          <w:headerReference w:type="first" r:id="rId333"/>
          <w:footerReference w:type="first" r:id="rId334"/>
          <w:pgSz w:w="11906" w:h="16838"/>
          <w:pgMar w:top="1134" w:right="1134" w:bottom="1134" w:left="1134" w:header="709" w:footer="709" w:gutter="0"/>
          <w:cols w:space="708"/>
          <w:docGrid w:linePitch="360"/>
        </w:sectPr>
      </w:pPr>
      <w:r>
        <w:t xml:space="preserve"> </w:t>
      </w:r>
      <w:bookmarkEnd w:id="159"/>
    </w:p>
    <w:p w:rsidR="00F50689" w:rsidRDefault="00F50689">
      <w:pPr>
        <w:rPr>
          <w:rFonts w:ascii="Verdana" w:hAnsi="Verdana"/>
          <w:b/>
          <w:color w:val="016794"/>
          <w:sz w:val="32"/>
          <w:szCs w:val="32"/>
        </w:rPr>
      </w:pPr>
      <w:bookmarkStart w:id="160" w:name="_Toc424652043"/>
      <w:bookmarkStart w:id="161" w:name="_DMBM_2605"/>
      <w:r>
        <w:br w:type="page"/>
      </w:r>
    </w:p>
    <w:p w:rsidR="00F50689" w:rsidRDefault="005A36C4" w:rsidP="003A3A39">
      <w:pPr>
        <w:pStyle w:val="HEADER1Part2"/>
        <w:spacing w:after="0"/>
        <w:jc w:val="left"/>
      </w:pPr>
      <w:r w:rsidRPr="009B5B10">
        <w:t>CONTINGENT ASSETS &amp; LIABILITIES AND OTHER SIGNIFICANT DISCLOSURES</w:t>
      </w:r>
      <w:bookmarkEnd w:id="160"/>
    </w:p>
    <w:p w:rsidR="00F50689" w:rsidRPr="009B5B10" w:rsidRDefault="005A36C4" w:rsidP="00F50689">
      <w:pPr>
        <w:pStyle w:val="Textstand-alone"/>
        <w:spacing w:before="0"/>
        <w:sectPr w:rsidR="00F50689" w:rsidRPr="009B5B10" w:rsidSect="00F50689">
          <w:headerReference w:type="even" r:id="rId335"/>
          <w:headerReference w:type="default" r:id="rId336"/>
          <w:footerReference w:type="even" r:id="rId337"/>
          <w:footerReference w:type="default" r:id="rId338"/>
          <w:headerReference w:type="first" r:id="rId339"/>
          <w:footerReference w:type="first" r:id="rId340"/>
          <w:type w:val="continuous"/>
          <w:pgSz w:w="11906" w:h="16838"/>
          <w:pgMar w:top="1134" w:right="1134" w:bottom="1134" w:left="1134" w:header="709" w:footer="709" w:gutter="0"/>
          <w:cols w:space="708"/>
          <w:docGrid w:linePitch="360"/>
        </w:sectPr>
      </w:pPr>
      <w:r>
        <w:t xml:space="preserve"> </w:t>
      </w:r>
      <w:bookmarkEnd w:id="161"/>
    </w:p>
    <w:p w:rsidR="00F50689" w:rsidRDefault="005A36C4" w:rsidP="00F50689">
      <w:pPr>
        <w:pStyle w:val="HEADER2Part2"/>
        <w:spacing w:after="0"/>
        <w:rPr>
          <w:lang w:val="fr-BE"/>
        </w:rPr>
      </w:pPr>
      <w:bookmarkStart w:id="162" w:name="_DMBM_2661"/>
      <w:r>
        <w:rPr>
          <w:lang w:val="fr-BE"/>
        </w:rPr>
        <w:t>CONTINGENT ASSETS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8D72F5" w:rsidRDefault="00F50689" w:rsidP="00F50689">
            <w:pPr>
              <w:pStyle w:val="Text8pItalicLeft"/>
              <w:rPr>
                <w:rFonts w:eastAsia="Verdana" w:cs="Verdana"/>
                <w:color w:val="FFFFFF"/>
                <w:lang w:bidi="en-GB"/>
              </w:rPr>
            </w:pPr>
            <w:bookmarkStart w:id="163" w:name="DOC_TBL00068_1_1"/>
            <w:bookmarkEnd w:id="163"/>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8D72F5" w:rsidRDefault="00F50689" w:rsidP="00F50689">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8D72F5" w:rsidRDefault="005A36C4" w:rsidP="00F50689">
            <w:pPr>
              <w:pStyle w:val="Text8pItalicRight025EUR"/>
              <w:rPr>
                <w:rFonts w:eastAsia="Verdana" w:cs="Verdana"/>
                <w:lang w:bidi="en-GB"/>
              </w:rPr>
            </w:pPr>
            <w:r w:rsidRPr="008D72F5">
              <w:rPr>
                <w:rFonts w:eastAsia="Verdana" w:cs="Verdana"/>
                <w:lang w:bidi="en-GB"/>
              </w:rPr>
              <w:t>EUR millions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Pr="008D72F5" w:rsidRDefault="00F50689" w:rsidP="00F50689">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Pr="008D72F5" w:rsidRDefault="005A36C4" w:rsidP="00F50689">
            <w:pPr>
              <w:pStyle w:val="Heading10pNormalRight025"/>
              <w:rPr>
                <w:rFonts w:eastAsia="Verdana" w:cs="Verdana"/>
                <w:lang w:bidi="en-GB"/>
              </w:rPr>
            </w:pPr>
            <w:r w:rsidRPr="008D72F5">
              <w:rPr>
                <w:rFonts w:eastAsia="Verdana" w:cs="Verdana"/>
                <w:lang w:bidi="en-GB"/>
              </w:rP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Pr="008D72F5" w:rsidRDefault="005A36C4" w:rsidP="00F50689">
            <w:pPr>
              <w:pStyle w:val="Heading10pNormalRight025"/>
              <w:rPr>
                <w:rFonts w:eastAsia="Verdana" w:cs="Verdana"/>
                <w:lang w:bidi="en-GB"/>
              </w:rPr>
            </w:pPr>
            <w:r w:rsidRPr="008D72F5">
              <w:rPr>
                <w:rFonts w:eastAsia="Verdana" w:cs="Verdana"/>
                <w:lang w:bidi="en-GB"/>
              </w:rPr>
              <w:t>31.12.2013</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8D72F5" w:rsidRDefault="005A36C4" w:rsidP="00F50689">
            <w:pPr>
              <w:pStyle w:val="Text9pItalicLeft"/>
              <w:rPr>
                <w:rFonts w:eastAsia="Verdana" w:cs="Verdana"/>
                <w:lang w:bidi="en-GB"/>
              </w:rPr>
            </w:pPr>
            <w:r w:rsidRPr="008D72F5">
              <w:rPr>
                <w:rFonts w:eastAsia="Verdana" w:cs="Verdana"/>
                <w:lang w:bidi="en-GB"/>
              </w:rPr>
              <w:t>Guarantees received:</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8D72F5" w:rsidRDefault="00F50689" w:rsidP="00F50689">
            <w:pPr>
              <w:pStyle w:val="Figures9pItalicRight025"/>
              <w:rPr>
                <w:rFonts w:eastAsia="Verdana" w:cs="Verdana"/>
                <w:lang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8D72F5" w:rsidRDefault="00F50689" w:rsidP="00F50689">
            <w:pPr>
              <w:pStyle w:val="Figures9pItalicRight025"/>
              <w:rPr>
                <w:rFonts w:eastAsia="Verdana" w:cs="Verdana"/>
                <w:lang w:bidi="en-GB"/>
              </w:rPr>
            </w:pP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8D72F5" w:rsidRDefault="005A36C4" w:rsidP="00F50689">
            <w:pPr>
              <w:pStyle w:val="Text9pItalicLeft"/>
              <w:rPr>
                <w:rFonts w:eastAsia="Verdana" w:cs="Verdana"/>
                <w:lang w:bidi="en-GB"/>
              </w:rPr>
            </w:pPr>
            <w:r w:rsidRPr="008D72F5">
              <w:rPr>
                <w:rFonts w:eastAsia="Verdana" w:cs="Verdana"/>
                <w:lang w:bidi="en-GB"/>
              </w:rPr>
              <w:t xml:space="preserve">   Performance guarantees</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8D72F5" w:rsidRDefault="005A36C4" w:rsidP="00F50689">
            <w:pPr>
              <w:pStyle w:val="Figures9pItalicRight025"/>
              <w:rPr>
                <w:rFonts w:eastAsia="Verdana" w:cs="Verdana"/>
                <w:lang w:bidi="en-GB"/>
              </w:rPr>
            </w:pPr>
            <w:r w:rsidRPr="008D72F5">
              <w:rPr>
                <w:rFonts w:eastAsia="Verdana" w:cs="Verdana"/>
                <w:lang w:bidi="en-GB"/>
              </w:rPr>
              <w:t xml:space="preserve"> 400</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8D72F5" w:rsidRDefault="005A36C4" w:rsidP="00F50689">
            <w:pPr>
              <w:pStyle w:val="Figures9pItalicRight025"/>
              <w:rPr>
                <w:rFonts w:eastAsia="Verdana" w:cs="Verdana"/>
                <w:lang w:bidi="en-GB"/>
              </w:rPr>
            </w:pPr>
            <w:r w:rsidRPr="008D72F5">
              <w:rPr>
                <w:rFonts w:eastAsia="Verdana" w:cs="Verdana"/>
                <w:lang w:bidi="en-GB"/>
              </w:rPr>
              <w:t xml:space="preserve"> 441</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8D72F5" w:rsidRDefault="005A36C4" w:rsidP="00F50689">
            <w:pPr>
              <w:pStyle w:val="Text9pItalicLeft"/>
              <w:rPr>
                <w:rFonts w:eastAsia="Verdana" w:cs="Verdana"/>
                <w:lang w:bidi="en-GB"/>
              </w:rPr>
            </w:pPr>
            <w:r w:rsidRPr="008D72F5">
              <w:rPr>
                <w:rFonts w:eastAsia="Verdana" w:cs="Verdana"/>
                <w:lang w:bidi="en-GB"/>
              </w:rPr>
              <w:t xml:space="preserve">   Other guarantees</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8D72F5" w:rsidRDefault="005A36C4" w:rsidP="00F50689">
            <w:pPr>
              <w:pStyle w:val="Figures9pItalicRight025"/>
              <w:rPr>
                <w:rFonts w:eastAsia="Verdana" w:cs="Verdana"/>
                <w:lang w:bidi="en-GB"/>
              </w:rPr>
            </w:pPr>
            <w:r w:rsidRPr="008D72F5">
              <w:rPr>
                <w:rFonts w:eastAsia="Verdana" w:cs="Verdana"/>
                <w:lang w:bidi="en-GB"/>
              </w:rPr>
              <w:t xml:space="preserve"> 27</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8D72F5" w:rsidRDefault="005A36C4" w:rsidP="00F50689">
            <w:pPr>
              <w:pStyle w:val="Figures9pItalicRight025"/>
              <w:rPr>
                <w:rFonts w:eastAsia="Verdana" w:cs="Verdana"/>
                <w:lang w:bidi="en-GB"/>
              </w:rPr>
            </w:pPr>
            <w:r w:rsidRPr="008D72F5">
              <w:rPr>
                <w:rFonts w:eastAsia="Verdana" w:cs="Verdana"/>
                <w:lang w:bidi="en-GB"/>
              </w:rPr>
              <w:t xml:space="preserve"> 39</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8D72F5" w:rsidRDefault="005A36C4" w:rsidP="00F50689">
            <w:pPr>
              <w:pStyle w:val="Text9pItalicLeft"/>
              <w:rPr>
                <w:rFonts w:eastAsia="Verdana" w:cs="Verdana"/>
                <w:lang w:bidi="en-GB"/>
              </w:rPr>
            </w:pPr>
            <w:r w:rsidRPr="008D72F5">
              <w:rPr>
                <w:rFonts w:eastAsia="Verdana" w:cs="Verdana"/>
                <w:lang w:bidi="en-GB"/>
              </w:rPr>
              <w:t>Other contingent assets</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8D72F5" w:rsidRDefault="005A36C4" w:rsidP="00F50689">
            <w:pPr>
              <w:pStyle w:val="Figures9pItalicRight025"/>
              <w:rPr>
                <w:rFonts w:eastAsia="Verdana" w:cs="Verdana"/>
                <w:lang w:bidi="en-GB"/>
              </w:rPr>
            </w:pPr>
            <w:r w:rsidRPr="008D72F5">
              <w:rPr>
                <w:rFonts w:eastAsia="Verdana" w:cs="Verdana"/>
                <w:lang w:bidi="en-GB"/>
              </w:rPr>
              <w:t xml:space="preserve"> 49</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8D72F5" w:rsidRDefault="005A36C4" w:rsidP="00F50689">
            <w:pPr>
              <w:pStyle w:val="Figures9pItalicRight025"/>
              <w:rPr>
                <w:rFonts w:eastAsia="Verdana" w:cs="Verdana"/>
                <w:lang w:bidi="en-GB"/>
              </w:rPr>
            </w:pPr>
            <w:r w:rsidRPr="008D72F5">
              <w:rPr>
                <w:rFonts w:eastAsia="Verdana" w:cs="Verdana"/>
                <w:lang w:bidi="en-GB"/>
              </w:rPr>
              <w:t xml:space="preserve"> 16</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Pr="008D72F5" w:rsidRDefault="005A36C4" w:rsidP="00F50689">
            <w:pPr>
              <w:pStyle w:val="Text9pBoldLeft"/>
              <w:rPr>
                <w:rFonts w:eastAsia="Verdana" w:cs="Verdana"/>
                <w:lang w:bidi="en-GB"/>
              </w:rPr>
            </w:pPr>
            <w:r w:rsidRPr="008D72F5">
              <w:rPr>
                <w:rFonts w:eastAsia="Verdana" w:cs="Verdana"/>
                <w:lang w:bidi="en-GB"/>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Pr="008D72F5" w:rsidRDefault="005A36C4" w:rsidP="00F50689">
            <w:pPr>
              <w:pStyle w:val="Figures9pBoldRight025"/>
              <w:rPr>
                <w:rFonts w:eastAsia="Verdana" w:cs="Verdana"/>
                <w:lang w:bidi="en-GB"/>
              </w:rPr>
            </w:pPr>
            <w:r w:rsidRPr="008D72F5">
              <w:rPr>
                <w:rFonts w:eastAsia="Verdana" w:cs="Verdana"/>
                <w:lang w:bidi="en-GB"/>
              </w:rPr>
              <w:t xml:space="preserve"> 476</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Pr="008D72F5" w:rsidRDefault="005A36C4" w:rsidP="00F50689">
            <w:pPr>
              <w:pStyle w:val="Figures9pBoldRight025"/>
              <w:rPr>
                <w:rFonts w:eastAsia="Verdana" w:cs="Verdana"/>
                <w:lang w:bidi="en-GB"/>
              </w:rPr>
            </w:pPr>
            <w:r w:rsidRPr="008D72F5">
              <w:rPr>
                <w:rFonts w:eastAsia="Verdana" w:cs="Verdana"/>
                <w:lang w:bidi="en-GB"/>
              </w:rPr>
              <w:t xml:space="preserve"> 496</w:t>
            </w:r>
          </w:p>
        </w:tc>
      </w:tr>
    </w:tbl>
    <w:p w:rsidR="00F50689" w:rsidRPr="008D72F5" w:rsidRDefault="005A36C4" w:rsidP="00F50689">
      <w:pPr>
        <w:pStyle w:val="Textstand-alone"/>
        <w:spacing w:after="0"/>
      </w:pPr>
      <w:r w:rsidRPr="008D72F5">
        <w:t>Performance guarantees are requested to ensure that beneficiaries of EU funding meet the obligations of their contracts with the EU.</w:t>
      </w:r>
    </w:p>
    <w:p w:rsidR="00F50689" w:rsidRPr="008D72F5" w:rsidRDefault="005A36C4" w:rsidP="00F50689">
      <w:pPr>
        <w:pStyle w:val="Textstand-alone"/>
        <w:spacing w:before="0"/>
        <w:sectPr w:rsidR="00F50689" w:rsidRPr="008D72F5" w:rsidSect="00F50689">
          <w:headerReference w:type="even" r:id="rId341"/>
          <w:headerReference w:type="default" r:id="rId342"/>
          <w:footerReference w:type="even" r:id="rId343"/>
          <w:footerReference w:type="default" r:id="rId344"/>
          <w:headerReference w:type="first" r:id="rId345"/>
          <w:footerReference w:type="first" r:id="rId346"/>
          <w:type w:val="continuous"/>
          <w:pgSz w:w="11906" w:h="16838"/>
          <w:pgMar w:top="1134" w:right="1134" w:bottom="1134" w:left="1134" w:header="709" w:footer="709" w:gutter="0"/>
          <w:cols w:space="708"/>
          <w:docGrid w:linePitch="360"/>
        </w:sectPr>
      </w:pPr>
      <w:r>
        <w:t xml:space="preserve"> </w:t>
      </w:r>
      <w:bookmarkEnd w:id="162"/>
    </w:p>
    <w:p w:rsidR="00F50689" w:rsidRDefault="005A36C4" w:rsidP="00F50689">
      <w:pPr>
        <w:pStyle w:val="HEADER2Part2"/>
        <w:spacing w:after="0"/>
        <w:rPr>
          <w:lang w:val="fr-BE"/>
        </w:rPr>
      </w:pPr>
      <w:bookmarkStart w:id="164" w:name="_DMBM_2662"/>
      <w:r>
        <w:rPr>
          <w:lang w:val="fr-BE"/>
        </w:rPr>
        <w:t>CONTINGENT LIABILITIES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gridCol w:w="851"/>
        <w:gridCol w:w="1842"/>
        <w:gridCol w:w="1843"/>
      </w:tblGrid>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65" w:name="DOC_TBL00069_1_1"/>
            <w:bookmarkEnd w:id="165"/>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rPr>
                <w:rFonts w:cs="Verdana"/>
              </w:rPr>
              <w:t>EUR millions</w:t>
            </w:r>
          </w:p>
        </w:tc>
      </w:tr>
      <w:tr w:rsidR="00E7728E">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Note</w:t>
            </w:r>
          </w:p>
        </w:tc>
        <w:tc>
          <w:tcPr>
            <w:tcW w:w="184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31.12.2014</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31.12.2013</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Guarantees given</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rPr>
                <w:rFonts w:eastAsia="Times New Roman" w:cs="Verdana"/>
              </w:rPr>
              <w:t>5.2.1</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20 862</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22 162</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Fines</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rPr>
                <w:rFonts w:eastAsia="Times New Roman" w:cs="Verdana"/>
              </w:rPr>
              <w:t>5.2.2</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5 602</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5 227</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EAGF, rural development and pre-accession</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rPr>
                <w:rFonts w:eastAsia="Times New Roman" w:cs="Verdana"/>
              </w:rPr>
              <w:t>5.2.3</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505</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1 537</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Cohesion policy</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rPr>
                <w:rFonts w:eastAsia="Times New Roman" w:cs="Verdana"/>
              </w:rPr>
              <w:t>5.2.4</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9</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137</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Legal cases and other disputes</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rPr>
                <w:rFonts w:eastAsia="Times New Roman" w:cs="Verdana"/>
              </w:rPr>
              <w:t>5.2.5</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789</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689</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Other contingent liabilities</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5</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52</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Total</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27 772</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29 805</w:t>
            </w:r>
          </w:p>
        </w:tc>
      </w:tr>
    </w:tbl>
    <w:p w:rsidR="00F50689" w:rsidRPr="002949C1" w:rsidRDefault="005A36C4" w:rsidP="00F50689">
      <w:pPr>
        <w:pStyle w:val="DGTextstand-alone"/>
        <w:spacing w:after="0"/>
      </w:pPr>
      <w:r w:rsidRPr="002949C1">
        <w:t>All contingent liabilities, except those relating to fines, would be financed, should they fall due, by the EU budget in the years to come.</w:t>
      </w:r>
    </w:p>
    <w:p w:rsidR="00F50689" w:rsidRPr="00496074" w:rsidRDefault="005A36C4" w:rsidP="00F50689">
      <w:pPr>
        <w:pStyle w:val="HEADER3Part2"/>
      </w:pPr>
      <w:r w:rsidRPr="00496074">
        <w:t>Guarantees given</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206F7A" w:rsidRDefault="00F50689" w:rsidP="00F50689">
            <w:pPr>
              <w:pStyle w:val="Text8pItalicLeft"/>
              <w:rPr>
                <w:rFonts w:eastAsia="Verdana" w:cs="Verdana"/>
                <w:color w:val="FFFFFF"/>
                <w:lang w:bidi="en-GB"/>
              </w:rPr>
            </w:pPr>
            <w:bookmarkStart w:id="166" w:name="DOC_TBL00070_1_1"/>
            <w:bookmarkEnd w:id="166"/>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206F7A" w:rsidRDefault="00F50689" w:rsidP="00F50689">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206F7A" w:rsidRDefault="005A36C4" w:rsidP="00F50689">
            <w:pPr>
              <w:pStyle w:val="Text8pItalicRight025EUR"/>
              <w:rPr>
                <w:rFonts w:eastAsia="Verdana" w:cs="Verdana"/>
                <w:lang w:bidi="en-GB"/>
              </w:rPr>
            </w:pPr>
            <w:r w:rsidRPr="00206F7A">
              <w:rPr>
                <w:rFonts w:eastAsia="Verdana" w:cs="Verdana"/>
                <w:lang w:bidi="en-GB"/>
              </w:rPr>
              <w:t>EUR millions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Pr="00206F7A" w:rsidRDefault="00F50689" w:rsidP="00F50689">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Pr="00206F7A" w:rsidRDefault="005A36C4" w:rsidP="00F50689">
            <w:pPr>
              <w:pStyle w:val="Heading10pNormalRight025"/>
              <w:rPr>
                <w:rFonts w:eastAsia="Verdana" w:cs="Verdana"/>
                <w:lang w:bidi="en-GB"/>
              </w:rPr>
            </w:pPr>
            <w:r w:rsidRPr="00206F7A">
              <w:rPr>
                <w:rFonts w:eastAsia="Verdana" w:cs="Verdana"/>
                <w:lang w:bidi="en-GB"/>
              </w:rP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Pr="00206F7A" w:rsidRDefault="005A36C4" w:rsidP="00F50689">
            <w:pPr>
              <w:pStyle w:val="Heading10pNormalRight025"/>
              <w:rPr>
                <w:rFonts w:eastAsia="Verdana" w:cs="Verdana"/>
                <w:lang w:bidi="en-GB"/>
              </w:rPr>
            </w:pPr>
            <w:r w:rsidRPr="00206F7A">
              <w:rPr>
                <w:rFonts w:eastAsia="Verdana" w:cs="Verdana"/>
                <w:lang w:bidi="en-GB"/>
              </w:rPr>
              <w:t>31.12.2013</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206F7A" w:rsidRDefault="005A36C4" w:rsidP="00F50689">
            <w:pPr>
              <w:pStyle w:val="Text9pItalicLeft"/>
              <w:rPr>
                <w:rFonts w:eastAsia="Verdana" w:cs="Verdana"/>
                <w:lang w:bidi="en-GB"/>
              </w:rPr>
            </w:pPr>
            <w:r w:rsidRPr="00206F7A">
              <w:rPr>
                <w:rFonts w:eastAsia="Verdana" w:cs="Verdana"/>
                <w:lang w:bidi="en-GB"/>
              </w:rPr>
              <w:t>Guarantees on loans granted by the EIB</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206F7A" w:rsidRDefault="00F50689" w:rsidP="00F50689">
            <w:pPr>
              <w:pStyle w:val="Figures9pItalicRight025"/>
              <w:rPr>
                <w:rFonts w:eastAsia="Verdana" w:cs="Verdana"/>
                <w:lang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206F7A" w:rsidRDefault="00F50689" w:rsidP="00F50689">
            <w:pPr>
              <w:pStyle w:val="Figures9pItalicRight025"/>
              <w:rPr>
                <w:rFonts w:eastAsia="Verdana" w:cs="Verdana"/>
                <w:lang w:bidi="en-GB"/>
              </w:rPr>
            </w:pP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206F7A" w:rsidRDefault="005A36C4" w:rsidP="00F50689">
            <w:pPr>
              <w:pStyle w:val="Text9pItalicLeft"/>
              <w:rPr>
                <w:rFonts w:eastAsia="Verdana" w:cs="Verdana"/>
                <w:lang w:bidi="en-GB"/>
              </w:rPr>
            </w:pPr>
            <w:r w:rsidRPr="00206F7A">
              <w:rPr>
                <w:rFonts w:eastAsia="Verdana" w:cs="Verdana"/>
                <w:lang w:bidi="en-GB"/>
              </w:rPr>
              <w:t xml:space="preserve">  65% guarantee</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206F7A" w:rsidRDefault="005A36C4" w:rsidP="00F50689">
            <w:pPr>
              <w:pStyle w:val="Figures9pItalicRight025"/>
              <w:rPr>
                <w:rFonts w:eastAsia="Verdana" w:cs="Verdana"/>
                <w:lang w:bidi="en-GB"/>
              </w:rPr>
            </w:pPr>
            <w:r w:rsidRPr="00206F7A">
              <w:rPr>
                <w:rFonts w:eastAsia="Verdana" w:cs="Verdana"/>
                <w:lang w:bidi="en-GB"/>
              </w:rPr>
              <w:t>18 283</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206F7A" w:rsidRDefault="005A36C4" w:rsidP="00F50689">
            <w:pPr>
              <w:pStyle w:val="Figures9pItalicRight025"/>
              <w:rPr>
                <w:rFonts w:eastAsia="Verdana" w:cs="Verdana"/>
                <w:lang w:bidi="en-GB"/>
              </w:rPr>
            </w:pPr>
            <w:r w:rsidRPr="00206F7A">
              <w:rPr>
                <w:rFonts w:eastAsia="Verdana" w:cs="Verdana"/>
                <w:lang w:bidi="en-GB"/>
              </w:rPr>
              <w:t>19 077</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206F7A" w:rsidRDefault="005A36C4" w:rsidP="00F50689">
            <w:pPr>
              <w:pStyle w:val="Text9pItalicLeft"/>
              <w:rPr>
                <w:rFonts w:eastAsia="Verdana" w:cs="Verdana"/>
                <w:lang w:bidi="en-GB"/>
              </w:rPr>
            </w:pPr>
            <w:r w:rsidRPr="00206F7A">
              <w:rPr>
                <w:rFonts w:eastAsia="Verdana" w:cs="Verdana"/>
                <w:lang w:bidi="en-GB"/>
              </w:rPr>
              <w:t xml:space="preserve">  70% guarantee</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206F7A" w:rsidRDefault="005A36C4" w:rsidP="00F50689">
            <w:pPr>
              <w:pStyle w:val="Figures9pItalicRight025"/>
              <w:rPr>
                <w:rFonts w:eastAsia="Verdana" w:cs="Verdana"/>
                <w:lang w:bidi="en-GB"/>
              </w:rPr>
            </w:pPr>
            <w:r w:rsidRPr="00206F7A">
              <w:rPr>
                <w:rFonts w:eastAsia="Verdana" w:cs="Verdana"/>
                <w:lang w:bidi="en-GB"/>
              </w:rPr>
              <w:t xml:space="preserve"> 447</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206F7A" w:rsidRDefault="005A36C4" w:rsidP="00F50689">
            <w:pPr>
              <w:pStyle w:val="Figures9pItalicRight025"/>
              <w:rPr>
                <w:rFonts w:eastAsia="Verdana" w:cs="Verdana"/>
                <w:lang w:bidi="en-GB"/>
              </w:rPr>
            </w:pPr>
            <w:r w:rsidRPr="00206F7A">
              <w:rPr>
                <w:rFonts w:eastAsia="Verdana" w:cs="Verdana"/>
                <w:lang w:bidi="en-GB"/>
              </w:rPr>
              <w:t>1 361</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206F7A" w:rsidRDefault="005A36C4" w:rsidP="00F50689">
            <w:pPr>
              <w:pStyle w:val="Text9pItalicLeft"/>
              <w:rPr>
                <w:rFonts w:eastAsia="Verdana" w:cs="Verdana"/>
                <w:lang w:bidi="en-GB"/>
              </w:rPr>
            </w:pPr>
            <w:r w:rsidRPr="00206F7A">
              <w:rPr>
                <w:rFonts w:eastAsia="Verdana" w:cs="Verdana"/>
                <w:lang w:bidi="en-GB"/>
              </w:rPr>
              <w:t xml:space="preserve">  75% guarantee</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206F7A" w:rsidRDefault="005A36C4" w:rsidP="00F50689">
            <w:pPr>
              <w:pStyle w:val="Figures9pItalicRight025"/>
              <w:rPr>
                <w:rFonts w:eastAsia="Verdana" w:cs="Verdana"/>
                <w:lang w:bidi="en-GB"/>
              </w:rPr>
            </w:pPr>
            <w:r w:rsidRPr="00206F7A">
              <w:rPr>
                <w:rFonts w:eastAsia="Verdana" w:cs="Verdana"/>
                <w:lang w:bidi="en-GB"/>
              </w:rPr>
              <w:t xml:space="preserve"> 168</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206F7A" w:rsidRDefault="005A36C4" w:rsidP="00F50689">
            <w:pPr>
              <w:pStyle w:val="Figures9pItalicRight025"/>
              <w:rPr>
                <w:rFonts w:eastAsia="Verdana" w:cs="Verdana"/>
                <w:lang w:bidi="en-GB"/>
              </w:rPr>
            </w:pPr>
            <w:r w:rsidRPr="00206F7A">
              <w:rPr>
                <w:rFonts w:eastAsia="Verdana" w:cs="Verdana"/>
                <w:lang w:bidi="en-GB"/>
              </w:rPr>
              <w:t xml:space="preserve"> 257</w:t>
            </w:r>
          </w:p>
        </w:tc>
      </w:tr>
      <w:tr w:rsidR="00E7728E">
        <w:tc>
          <w:tcPr>
            <w:tcW w:w="5637"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206F7A" w:rsidRDefault="005A36C4" w:rsidP="00F50689">
            <w:pPr>
              <w:pStyle w:val="Text9pItalicLeft"/>
              <w:rPr>
                <w:rFonts w:eastAsia="Verdana" w:cs="Verdana"/>
                <w:lang w:bidi="en-GB"/>
              </w:rPr>
            </w:pPr>
            <w:r w:rsidRPr="00206F7A">
              <w:rPr>
                <w:rFonts w:eastAsia="Verdana" w:cs="Verdana"/>
                <w:lang w:bidi="en-GB"/>
              </w:rPr>
              <w:t xml:space="preserve">  100% guarantee</w:t>
            </w:r>
          </w:p>
        </w:tc>
        <w:tc>
          <w:tcPr>
            <w:tcW w:w="2126"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206F7A" w:rsidRDefault="005A36C4" w:rsidP="00F50689">
            <w:pPr>
              <w:pStyle w:val="Figures9pItalicRight025"/>
              <w:rPr>
                <w:rFonts w:eastAsia="Verdana" w:cs="Verdana"/>
                <w:lang w:bidi="en-GB"/>
              </w:rPr>
            </w:pPr>
            <w:r w:rsidRPr="00206F7A">
              <w:rPr>
                <w:rFonts w:eastAsia="Verdana" w:cs="Verdana"/>
                <w:lang w:bidi="en-GB"/>
              </w:rPr>
              <w:t xml:space="preserve"> 300</w:t>
            </w:r>
          </w:p>
        </w:tc>
        <w:tc>
          <w:tcPr>
            <w:tcW w:w="1985"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206F7A" w:rsidRDefault="005A36C4" w:rsidP="00F50689">
            <w:pPr>
              <w:pStyle w:val="Figures9pItalicRight025"/>
              <w:rPr>
                <w:rFonts w:eastAsia="Verdana" w:cs="Verdana"/>
                <w:lang w:bidi="en-GB"/>
              </w:rPr>
            </w:pPr>
            <w:r w:rsidRPr="00206F7A">
              <w:rPr>
                <w:rFonts w:eastAsia="Verdana" w:cs="Verdana"/>
                <w:lang w:bidi="en-GB"/>
              </w:rPr>
              <w:t xml:space="preserve"> 461</w:t>
            </w:r>
          </w:p>
        </w:tc>
      </w:tr>
      <w:tr w:rsidR="00E7728E">
        <w:tc>
          <w:tcPr>
            <w:tcW w:w="5637"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206F7A" w:rsidRDefault="005A36C4" w:rsidP="00F50689">
            <w:pPr>
              <w:pStyle w:val="Text9pBoldLeft"/>
              <w:rPr>
                <w:rFonts w:eastAsia="Verdana" w:cs="Verdana"/>
                <w:lang w:bidi="en-GB"/>
              </w:rPr>
            </w:pPr>
            <w:r w:rsidRPr="00206F7A">
              <w:rPr>
                <w:rFonts w:eastAsia="Verdana" w:cs="Verdana"/>
                <w:lang w:bidi="en-GB"/>
              </w:rPr>
              <w:t>Total</w:t>
            </w:r>
          </w:p>
        </w:tc>
        <w:tc>
          <w:tcPr>
            <w:tcW w:w="2126"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206F7A" w:rsidRDefault="005A36C4" w:rsidP="00F50689">
            <w:pPr>
              <w:pStyle w:val="Figures9pItalicRight025"/>
              <w:rPr>
                <w:rFonts w:eastAsia="Verdana" w:cs="Verdana"/>
                <w:b/>
                <w:i w:val="0"/>
                <w:lang w:bidi="en-GB"/>
              </w:rPr>
            </w:pPr>
            <w:r w:rsidRPr="00206F7A">
              <w:rPr>
                <w:rFonts w:eastAsia="Verdana" w:cs="Verdana"/>
                <w:b/>
                <w:i w:val="0"/>
                <w:lang w:bidi="en-GB"/>
              </w:rPr>
              <w:t>19 198</w:t>
            </w:r>
          </w:p>
        </w:tc>
        <w:tc>
          <w:tcPr>
            <w:tcW w:w="198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206F7A" w:rsidRDefault="005A36C4" w:rsidP="00F50689">
            <w:pPr>
              <w:pStyle w:val="Figures9pItalicRight025"/>
              <w:rPr>
                <w:rFonts w:eastAsia="Verdana" w:cs="Verdana"/>
                <w:b/>
                <w:i w:val="0"/>
                <w:lang w:bidi="en-GB"/>
              </w:rPr>
            </w:pPr>
            <w:r w:rsidRPr="00206F7A">
              <w:rPr>
                <w:rFonts w:eastAsia="Verdana" w:cs="Verdana"/>
                <w:b/>
                <w:i w:val="0"/>
                <w:lang w:bidi="en-GB"/>
              </w:rPr>
              <w:t>21 156</w:t>
            </w:r>
          </w:p>
        </w:tc>
      </w:tr>
      <w:tr w:rsidR="00E7728E">
        <w:tc>
          <w:tcPr>
            <w:tcW w:w="5637"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206F7A" w:rsidRDefault="005A36C4" w:rsidP="00F50689">
            <w:pPr>
              <w:pStyle w:val="Text9pItalicLeft"/>
              <w:rPr>
                <w:rFonts w:eastAsia="Verdana" w:cs="Verdana"/>
                <w:lang w:bidi="en-GB"/>
              </w:rPr>
            </w:pPr>
            <w:r w:rsidRPr="00206F7A">
              <w:rPr>
                <w:rFonts w:eastAsia="Verdana" w:cs="Verdana"/>
                <w:lang w:bidi="en-GB"/>
              </w:rPr>
              <w:t>Other guarantees given</w:t>
            </w:r>
          </w:p>
        </w:tc>
        <w:tc>
          <w:tcPr>
            <w:tcW w:w="2126"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206F7A" w:rsidRDefault="005A36C4" w:rsidP="00F50689">
            <w:pPr>
              <w:pStyle w:val="Figures9pItalicRight025"/>
              <w:rPr>
                <w:rFonts w:eastAsia="Verdana" w:cs="Verdana"/>
                <w:lang w:bidi="en-GB"/>
              </w:rPr>
            </w:pPr>
            <w:r w:rsidRPr="00206F7A">
              <w:rPr>
                <w:rFonts w:eastAsia="Verdana" w:cs="Verdana"/>
                <w:lang w:bidi="en-GB"/>
              </w:rPr>
              <w:t>1 664</w:t>
            </w:r>
          </w:p>
        </w:tc>
        <w:tc>
          <w:tcPr>
            <w:tcW w:w="1985"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206F7A" w:rsidRDefault="005A36C4" w:rsidP="00F50689">
            <w:pPr>
              <w:pStyle w:val="Figures9pItalicRight025"/>
              <w:rPr>
                <w:rFonts w:eastAsia="Verdana" w:cs="Verdana"/>
                <w:lang w:bidi="en-GB"/>
              </w:rPr>
            </w:pPr>
            <w:r w:rsidRPr="00206F7A">
              <w:rPr>
                <w:rFonts w:eastAsia="Verdana" w:cs="Verdana"/>
                <w:lang w:bidi="en-GB"/>
              </w:rPr>
              <w:t>1 006</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Pr="00206F7A" w:rsidRDefault="005A36C4" w:rsidP="00F50689">
            <w:pPr>
              <w:pStyle w:val="Text9pBoldLeft"/>
              <w:rPr>
                <w:rFonts w:eastAsia="Verdana" w:cs="Verdana"/>
                <w:lang w:bidi="en-GB"/>
              </w:rPr>
            </w:pPr>
            <w:r w:rsidRPr="00206F7A">
              <w:rPr>
                <w:rFonts w:eastAsia="Verdana" w:cs="Verdana"/>
                <w:lang w:bidi="en-GB"/>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Pr="00206F7A" w:rsidRDefault="005A36C4" w:rsidP="00F50689">
            <w:pPr>
              <w:pStyle w:val="Figures9pBoldRight025"/>
              <w:rPr>
                <w:rFonts w:eastAsia="Verdana" w:cs="Verdana"/>
                <w:lang w:bidi="en-GB"/>
              </w:rPr>
            </w:pPr>
            <w:r w:rsidRPr="00206F7A">
              <w:rPr>
                <w:rFonts w:eastAsia="Verdana" w:cs="Verdana"/>
                <w:lang w:bidi="en-GB"/>
              </w:rPr>
              <w:t>20 862</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Pr="00206F7A" w:rsidRDefault="005A36C4" w:rsidP="00F50689">
            <w:pPr>
              <w:pStyle w:val="Figures9pBoldRight025"/>
              <w:rPr>
                <w:rFonts w:eastAsia="Verdana" w:cs="Verdana"/>
                <w:lang w:bidi="en-GB"/>
              </w:rPr>
            </w:pPr>
            <w:r w:rsidRPr="00206F7A">
              <w:rPr>
                <w:rFonts w:eastAsia="Verdana" w:cs="Verdana"/>
                <w:lang w:bidi="en-GB"/>
              </w:rPr>
              <w:t>22 162</w:t>
            </w:r>
          </w:p>
        </w:tc>
      </w:tr>
    </w:tbl>
    <w:p w:rsidR="00F50689" w:rsidRPr="00206F7A" w:rsidRDefault="005A36C4" w:rsidP="00F50689">
      <w:pPr>
        <w:pStyle w:val="DGTextstand-alone"/>
        <w:spacing w:after="120"/>
      </w:pPr>
      <w:r w:rsidRPr="00206F7A">
        <w:t>The EU budget guarantees loans signed and granted by the EIB from its own resources to third countries at 31</w:t>
      </w:r>
      <w:r>
        <w:t> </w:t>
      </w:r>
      <w:r w:rsidRPr="00206F7A">
        <w:t>December</w:t>
      </w:r>
      <w:r>
        <w:t> </w:t>
      </w:r>
      <w:r w:rsidRPr="00206F7A">
        <w:t>2014 (including loans granted to Member States before accession). However, the EU’s guarantee is limited to a percentage of the ceiling of the credit lines authorised: 65</w:t>
      </w:r>
      <w:r>
        <w:t> </w:t>
      </w:r>
      <w:r w:rsidRPr="00206F7A">
        <w:t>% (for agreements signed until 2007), 70</w:t>
      </w:r>
      <w:r>
        <w:t> </w:t>
      </w:r>
      <w:r w:rsidRPr="00206F7A">
        <w:t>%, 75</w:t>
      </w:r>
      <w:r>
        <w:t> </w:t>
      </w:r>
      <w:r w:rsidRPr="00206F7A">
        <w:t>% or 100</w:t>
      </w:r>
      <w:r>
        <w:t> </w:t>
      </w:r>
      <w:r w:rsidRPr="00206F7A">
        <w:t>%. Where the ceiling is not reached, the EU guarantee covers the full amount. For agreements signed after 2007 (mandates 2007-2013 and 2014-2020), the EU’s guarantee is limited to 65</w:t>
      </w:r>
      <w:r>
        <w:t> </w:t>
      </w:r>
      <w:r w:rsidRPr="00206F7A">
        <w:t xml:space="preserve">% of the outstanding balances and not </w:t>
      </w:r>
      <w:r>
        <w:t>to</w:t>
      </w:r>
      <w:r w:rsidRPr="00206F7A">
        <w:t xml:space="preserve"> the credit lines authorised. At 31 December 2014 the amount outstanding totalled EUR</w:t>
      </w:r>
      <w:r>
        <w:t> </w:t>
      </w:r>
      <w:r w:rsidRPr="00206F7A">
        <w:t>19</w:t>
      </w:r>
      <w:r>
        <w:t> </w:t>
      </w:r>
      <w:r w:rsidRPr="00206F7A">
        <w:t>198</w:t>
      </w:r>
      <w:r>
        <w:t> </w:t>
      </w:r>
      <w:r w:rsidRPr="00206F7A">
        <w:t>million and this, therefore, is the maximum exposure faced by the EU. At 31</w:t>
      </w:r>
      <w:r>
        <w:t> </w:t>
      </w:r>
      <w:r w:rsidRPr="00206F7A">
        <w:t>December</w:t>
      </w:r>
      <w:r>
        <w:t> </w:t>
      </w:r>
      <w:r w:rsidRPr="00206F7A">
        <w:t>2014, about 82</w:t>
      </w:r>
      <w:r>
        <w:t> </w:t>
      </w:r>
      <w:r w:rsidRPr="00206F7A">
        <w:t>% of EIB lending operations (sovereign and sub-sovereign lending operations) are covered by a comprehensive guarantee, while on the remaining operations the EIB benefits from political risk coverage only.</w:t>
      </w:r>
    </w:p>
    <w:p w:rsidR="00F50689" w:rsidRDefault="005A36C4" w:rsidP="00F50689">
      <w:pPr>
        <w:pStyle w:val="DGTextstand-alone"/>
        <w:spacing w:before="0" w:after="0"/>
      </w:pPr>
      <w:r w:rsidRPr="00206F7A">
        <w:t>Other guarantees given relate mainly to the Risk-Sharing Finance Facility (EUR</w:t>
      </w:r>
      <w:r>
        <w:t> </w:t>
      </w:r>
      <w:r w:rsidRPr="00206F7A">
        <w:t>883</w:t>
      </w:r>
      <w:r>
        <w:t> million), to Horizon 2020 (EUR 365 </w:t>
      </w:r>
      <w:r w:rsidRPr="00206F7A">
        <w:t>million) and to the Loan Guarantee Instrument for Ten-T Projects (EUR</w:t>
      </w:r>
      <w:r>
        <w:t> </w:t>
      </w:r>
      <w:r w:rsidRPr="00206F7A">
        <w:t>209</w:t>
      </w:r>
      <w:r>
        <w:t> million).</w:t>
      </w:r>
    </w:p>
    <w:p w:rsidR="00F50689" w:rsidRPr="00496074" w:rsidRDefault="005A36C4" w:rsidP="00F50689">
      <w:pPr>
        <w:pStyle w:val="HEADER3Part2"/>
      </w:pPr>
      <w:r w:rsidRPr="00496074">
        <w:t>Fines</w:t>
      </w:r>
    </w:p>
    <w:p w:rsidR="00F50689" w:rsidRDefault="005A36C4" w:rsidP="00F50689">
      <w:pPr>
        <w:pStyle w:val="DGTextstand-alone"/>
        <w:spacing w:before="0" w:after="0"/>
      </w:pPr>
      <w:r w:rsidRPr="00921551">
        <w:t>These amounts concern fines imposed by the Commission for infringement of competition rules that have been provisionally paid and where either an appeal has been lodged or where it is unknown if an appeal will be made. The contingent liability will be maintained until a decision by the Court of Justice on the case is final. Interest earned on provisional payments is included in the economic result of the year and also as a contingent liability to reflect the uncertainty of the Commission’s title to these amounts.</w:t>
      </w:r>
    </w:p>
    <w:p w:rsidR="00F50689" w:rsidRPr="00496074" w:rsidRDefault="005A36C4" w:rsidP="00F50689">
      <w:pPr>
        <w:pStyle w:val="HEADER3Part2"/>
      </w:pPr>
      <w:r w:rsidRPr="00496074">
        <w:t>EAGF, rural development and pre-accession</w:t>
      </w:r>
    </w:p>
    <w:p w:rsidR="00F50689" w:rsidRDefault="005A36C4" w:rsidP="00F50689">
      <w:pPr>
        <w:pStyle w:val="DGTextstand-alone"/>
        <w:spacing w:before="0" w:after="0"/>
      </w:pPr>
      <w:r w:rsidRPr="00921551">
        <w:t>These are contingent liabilities towards the Member States connected with the EAGF conformity decisions, rural development and pre-accession financial corrections pending judgement of the Court of Justice. The determination of the final amount of the liability and the year in which the effect of successful appeals will be charged to the budget will depend on the length of the procedure before the Court.</w:t>
      </w:r>
    </w:p>
    <w:p w:rsidR="00F50689" w:rsidRPr="00496074" w:rsidRDefault="005A36C4" w:rsidP="00F50689">
      <w:pPr>
        <w:pStyle w:val="HEADER3Part2"/>
      </w:pPr>
      <w:r w:rsidRPr="00496074">
        <w:t>Cohesion policy</w:t>
      </w:r>
    </w:p>
    <w:p w:rsidR="00F50689" w:rsidRDefault="005A36C4" w:rsidP="00F50689">
      <w:pPr>
        <w:pStyle w:val="DGTextstand-alone"/>
        <w:spacing w:before="0" w:after="0"/>
      </w:pPr>
      <w:r w:rsidRPr="00921551">
        <w:t>These are contingent liabilities towards the Member States in conjunction with actions under cohesion policy awaiting the oral hearing date or pending judgement of the Court of Justice.</w:t>
      </w:r>
    </w:p>
    <w:p w:rsidR="00F50689" w:rsidRPr="00496074" w:rsidRDefault="005A36C4" w:rsidP="00F50689">
      <w:pPr>
        <w:pStyle w:val="HEADER3Part2"/>
      </w:pPr>
      <w:r w:rsidRPr="00496074">
        <w:t>Legal cases and other disputes</w:t>
      </w:r>
    </w:p>
    <w:p w:rsidR="00F50689" w:rsidRDefault="005A36C4" w:rsidP="00F50689">
      <w:pPr>
        <w:pStyle w:val="DGTextstand-alone"/>
        <w:spacing w:before="0" w:after="0"/>
      </w:pPr>
      <w:r w:rsidRPr="00921551">
        <w:t xml:space="preserve">This heading relates to actions for damages currently being brought against the </w:t>
      </w:r>
      <w:r>
        <w:t>EU</w:t>
      </w:r>
      <w:r w:rsidRPr="00921551">
        <w:t>, other legal disputes and the estimated legal costs. It should be noted that in an action for damages under Article 288 EC the applicant must demonstrate a sufficiently serious breach by the institution of a rule of law intended to confer rights on individuals, real harm suffered by the applicant, and a direct causal link between the unlawful act and the harm.</w:t>
      </w:r>
    </w:p>
    <w:p w:rsidR="00F50689" w:rsidRPr="007519C1" w:rsidRDefault="005A36C4" w:rsidP="00F50689">
      <w:pPr>
        <w:pStyle w:val="DGTextstand-alone"/>
        <w:spacing w:before="0" w:after="0"/>
        <w:sectPr w:rsidR="00F50689" w:rsidRPr="007519C1" w:rsidSect="00F50689">
          <w:headerReference w:type="even" r:id="rId347"/>
          <w:headerReference w:type="default" r:id="rId348"/>
          <w:footerReference w:type="even" r:id="rId349"/>
          <w:footerReference w:type="default" r:id="rId350"/>
          <w:headerReference w:type="first" r:id="rId351"/>
          <w:footerReference w:type="first" r:id="rId352"/>
          <w:type w:val="continuous"/>
          <w:pgSz w:w="11906" w:h="16838"/>
          <w:pgMar w:top="1134" w:right="1134" w:bottom="1134" w:left="1134" w:header="709" w:footer="709" w:gutter="0"/>
          <w:cols w:space="708"/>
          <w:docGrid w:linePitch="360"/>
        </w:sectPr>
      </w:pPr>
      <w:r>
        <w:t xml:space="preserve"> </w:t>
      </w:r>
      <w:bookmarkEnd w:id="164"/>
    </w:p>
    <w:p w:rsidR="00F50689" w:rsidRDefault="005A36C4" w:rsidP="00F50689">
      <w:pPr>
        <w:pStyle w:val="HEADER2Part2"/>
        <w:spacing w:after="0"/>
        <w:rPr>
          <w:lang w:val="fr-BE"/>
        </w:rPr>
      </w:pPr>
      <w:bookmarkStart w:id="167" w:name="_DMBM_2663"/>
      <w:r>
        <w:rPr>
          <w:lang w:val="fr-BE"/>
        </w:rPr>
        <w:t>OTHER SIGNIFICANT DISCLOSURES</w:t>
      </w:r>
    </w:p>
    <w:p w:rsidR="00F50689" w:rsidRPr="007F1230" w:rsidRDefault="005A36C4" w:rsidP="00F50689">
      <w:pPr>
        <w:pStyle w:val="HEADER3Part2"/>
      </w:pPr>
      <w:r w:rsidRPr="007F1230">
        <w:t>Outstanding budgetary commitments not yet expensed</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68" w:name="DOC_TBL00071_1_1"/>
            <w:bookmarkEnd w:id="168"/>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rPr>
                <w:rFonts w:cs="Verdana"/>
              </w:rPr>
              <w:t>EUR millions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31.12.2013</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Outstanding budgetary commitments not yet expensed</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144 741</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178 399</w:t>
            </w:r>
          </w:p>
        </w:tc>
      </w:tr>
    </w:tbl>
    <w:p w:rsidR="00F50689" w:rsidRDefault="00F50689" w:rsidP="00F50689">
      <w:pPr>
        <w:pStyle w:val="DGTextstand-alone"/>
        <w:spacing w:before="0" w:after="0"/>
      </w:pPr>
    </w:p>
    <w:p w:rsidR="00F50689" w:rsidRDefault="005A36C4" w:rsidP="00F50689">
      <w:pPr>
        <w:pStyle w:val="DGTextstand-alone"/>
        <w:spacing w:before="0"/>
      </w:pPr>
      <w:r w:rsidRPr="00B878CB">
        <w:t>The amount disclosed above is the budgetary RAL ("Reste à Liquider") less related amounts that have been included as expenses in the 201</w:t>
      </w:r>
      <w:r>
        <w:t>4</w:t>
      </w:r>
      <w:r w:rsidRPr="00B878CB">
        <w:t xml:space="preserve"> statement of financial performance. The budgetary RAL is an amount representing the open commitments for which payments and/or de-commitments have not yet been made. This is the normal consequence of the existence of multi-annual programmes. At 31</w:t>
      </w:r>
      <w:r>
        <w:t> </w:t>
      </w:r>
      <w:r w:rsidRPr="00E17587">
        <w:t>December</w:t>
      </w:r>
      <w:r>
        <w:t> </w:t>
      </w:r>
      <w:r w:rsidRPr="00E17587">
        <w:t>201</w:t>
      </w:r>
      <w:r>
        <w:t>4</w:t>
      </w:r>
      <w:r w:rsidRPr="00E17587">
        <w:t xml:space="preserve"> the budgetary RAL totalled </w:t>
      </w:r>
      <w:r w:rsidRPr="001840C7">
        <w:t>EUR</w:t>
      </w:r>
      <w:r>
        <w:t> </w:t>
      </w:r>
      <w:r w:rsidRPr="001840C7">
        <w:t>189</w:t>
      </w:r>
      <w:r>
        <w:t> </w:t>
      </w:r>
      <w:r w:rsidRPr="001840C7">
        <w:t>585</w:t>
      </w:r>
      <w:r>
        <w:t> </w:t>
      </w:r>
      <w:r w:rsidRPr="001840C7">
        <w:t>million (</w:t>
      </w:r>
      <w:r w:rsidRPr="00B878CB">
        <w:t>201</w:t>
      </w:r>
      <w:r>
        <w:t>3</w:t>
      </w:r>
      <w:r w:rsidRPr="00B878CB">
        <w:t>: EUR</w:t>
      </w:r>
      <w:r>
        <w:t> </w:t>
      </w:r>
      <w:r w:rsidRPr="00B878CB">
        <w:t>2</w:t>
      </w:r>
      <w:r>
        <w:t>22 410 </w:t>
      </w:r>
      <w:r w:rsidRPr="00B878CB">
        <w:t>million).</w:t>
      </w:r>
    </w:p>
    <w:p w:rsidR="00F50689" w:rsidRPr="007F1230" w:rsidRDefault="005A36C4" w:rsidP="00F50689">
      <w:pPr>
        <w:pStyle w:val="HEADER3Part2"/>
        <w:spacing w:after="240"/>
      </w:pPr>
      <w:r w:rsidRPr="007F1230">
        <w:t>Significant legal commitments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69" w:name="DOC_TBL00072_1_1"/>
            <w:bookmarkEnd w:id="169"/>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rPr>
                <w:rFonts w:cs="Verdana"/>
              </w:rPr>
              <w:t>EUR millions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31.12.2013</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Structural Actions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433 527</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150</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Protocol with Mediterranean countries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264</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264</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Fisheries agreements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176</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79</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 xml:space="preserve">Galileo </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719</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Copernicus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3 476</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Trans-European Transport Networks (TEN-T)</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850</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Other contractual commitments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3 127</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3 531</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441 288</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4 873</w:t>
            </w:r>
          </w:p>
        </w:tc>
      </w:tr>
    </w:tbl>
    <w:p w:rsidR="00F50689" w:rsidRPr="00B878CB" w:rsidRDefault="005A36C4" w:rsidP="00F50689">
      <w:pPr>
        <w:pStyle w:val="DGTextstand-alone"/>
      </w:pPr>
      <w:r w:rsidRPr="00302C55">
        <w:t>These commitments originated because the Commission entered into long-term legal commitments in respect of amounts that were not yet covered by commitment appropriations in the budget. This can relate to multi-annual programmes such as Structural Actions or amounts that the Commission is committed to pay in the future under administrative contracts existing at the balance sheet date (e.g. relating to the provision of services such as security, cleaning, etc, but also contractual commitments concerning specific projects such as building works).</w:t>
      </w:r>
      <w:r>
        <w:t xml:space="preserve"> The significant increase of legal commitments relating to Structural Actions is due to the start of the 2014-2020 MFF during the reporting period.</w:t>
      </w:r>
    </w:p>
    <w:p w:rsidR="00F50689" w:rsidRPr="007F1230" w:rsidRDefault="005A36C4" w:rsidP="00F50689">
      <w:pPr>
        <w:pStyle w:val="HEADER5"/>
      </w:pPr>
      <w:r w:rsidRPr="007F1230">
        <w:t>Structural Actions</w:t>
      </w:r>
    </w:p>
    <w:p w:rsidR="00F50689" w:rsidRDefault="005A36C4" w:rsidP="00F50689">
      <w:pPr>
        <w:pStyle w:val="DGTextstand-alone"/>
        <w:spacing w:before="0" w:after="0"/>
      </w:pPr>
      <w:r w:rsidRPr="00CF0AD6">
        <w:t xml:space="preserve">The table below shows a comparison between the legal commitments for which budget commitments have not yet been made and the maximum commitments in relation to the amounts foreseen in the MFF 2014-2020. The future obligations represent the outstanding amounts for which the Commission is still committed to make payments after 31 December 2014. </w:t>
      </w:r>
    </w:p>
    <w:p w:rsidR="00F50689" w:rsidRDefault="005A36C4" w:rsidP="00F50689">
      <w:pPr>
        <w:pStyle w:val="DGTextstand-alone"/>
        <w:spacing w:before="0" w:after="0"/>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134"/>
        <w:gridCol w:w="1276"/>
        <w:gridCol w:w="1276"/>
        <w:gridCol w:w="1134"/>
        <w:gridCol w:w="1276"/>
        <w:gridCol w:w="1275"/>
      </w:tblGrid>
      <w:tr w:rsidR="00E7728E">
        <w:tc>
          <w:tcPr>
            <w:tcW w:w="237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lang w:bidi="en-GB"/>
              </w:rPr>
            </w:pPr>
            <w:bookmarkStart w:id="170" w:name="DOC_TBL00073_1_1"/>
            <w:bookmarkEnd w:id="170"/>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27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lang w:bidi="en-GB"/>
              </w:rPr>
            </w:pPr>
            <w:r>
              <w:rPr>
                <w:rFonts w:eastAsia="Verdana" w:cs="Verdana"/>
                <w:lang w:bidi="en-GB"/>
              </w:rPr>
              <w:t>EUR millions</w:t>
            </w:r>
          </w:p>
        </w:tc>
      </w:tr>
      <w:tr w:rsidR="00E7728E">
        <w:trPr>
          <w:trHeight w:val="247"/>
        </w:trPr>
        <w:tc>
          <w:tcPr>
            <w:tcW w:w="2376"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9pNormalLeft"/>
              <w:rPr>
                <w:rFonts w:eastAsia="Verdana" w:cs="Verdana"/>
                <w:lang w:bidi="en-GB"/>
              </w:rPr>
            </w:pPr>
            <w:r>
              <w:rPr>
                <w:rFonts w:eastAsia="Verdana" w:cs="Verdana"/>
                <w:lang w:bidi="en-GB"/>
              </w:rPr>
              <w:t>Funds</w:t>
            </w: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Verdana" w:cs="Verdana"/>
                <w:lang w:bidi="en-GB"/>
              </w:rPr>
            </w:pPr>
            <w:r>
              <w:rPr>
                <w:rFonts w:eastAsia="Verdana" w:cs="Verdana"/>
                <w:lang w:bidi="en-GB"/>
              </w:rPr>
              <w:t>Financial framework 2014-2020 (A)</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Verdana" w:cs="Verdana"/>
                <w:lang w:bidi="en-GB"/>
              </w:rPr>
            </w:pPr>
            <w:r>
              <w:rPr>
                <w:rFonts w:eastAsia="Verdana" w:cs="Verdana"/>
                <w:lang w:bidi="en-GB"/>
              </w:rPr>
              <w:t>Legal commitments concluded (B)</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Verdana" w:cs="Verdana"/>
                <w:lang w:bidi="en-GB"/>
              </w:rPr>
            </w:pPr>
            <w:r>
              <w:rPr>
                <w:rFonts w:eastAsia="Verdana" w:cs="Verdana"/>
                <w:lang w:bidi="en-GB"/>
              </w:rPr>
              <w:t>Budget commitments    (C )</w:t>
            </w: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Verdana" w:cs="Verdana"/>
                <w:lang w:bidi="en-GB"/>
              </w:rPr>
            </w:pPr>
            <w:r>
              <w:rPr>
                <w:rFonts w:eastAsia="Verdana" w:cs="Verdana"/>
                <w:lang w:bidi="en-GB"/>
              </w:rPr>
              <w:t>Decommit-   ments (D)</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Verdana" w:cs="Verdana"/>
                <w:lang w:bidi="en-GB"/>
              </w:rPr>
            </w:pPr>
            <w:r>
              <w:rPr>
                <w:rFonts w:eastAsia="Verdana" w:cs="Verdana"/>
                <w:lang w:bidi="en-GB"/>
              </w:rPr>
              <w:t>Legal commitments less budget commitments (=B-C+D)</w:t>
            </w:r>
          </w:p>
        </w:tc>
        <w:tc>
          <w:tcPr>
            <w:tcW w:w="1275"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Verdana" w:cs="Verdana"/>
                <w:lang w:bidi="en-GB"/>
              </w:rPr>
            </w:pPr>
            <w:r>
              <w:rPr>
                <w:rFonts w:eastAsia="Verdana" w:cs="Verdana"/>
                <w:lang w:bidi="en-GB"/>
              </w:rPr>
              <w:t>Future obligations     (=A-C</w:t>
            </w:r>
            <w:r w:rsidR="003A3A39">
              <w:rPr>
                <w:rFonts w:eastAsia="Verdana" w:cs="Verdana"/>
                <w:lang w:bidi="en-GB"/>
              </w:rPr>
              <w:t>-D</w:t>
            </w:r>
            <w:r>
              <w:rPr>
                <w:rFonts w:eastAsia="Verdana" w:cs="Verdana"/>
                <w:lang w:bidi="en-GB"/>
              </w:rPr>
              <w:t>)</w:t>
            </w:r>
          </w:p>
        </w:tc>
      </w:tr>
      <w:tr w:rsidR="00E7728E">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F50689" w:rsidRDefault="005A36C4" w:rsidP="00F50689">
            <w:pPr>
              <w:pStyle w:val="Text7pItalicLeft"/>
              <w:rPr>
                <w:rFonts w:eastAsia="Verdana" w:cs="Verdana"/>
                <w:lang w:bidi="en-GB"/>
              </w:rPr>
            </w:pPr>
            <w:r>
              <w:rPr>
                <w:rFonts w:eastAsia="Verdana" w:cs="Verdana"/>
                <w:lang w:bidi="en-GB"/>
              </w:rPr>
              <w:t>European Regional Development Fund and Cohesion Fund</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lang w:bidi="en-GB"/>
              </w:rPr>
            </w:pPr>
            <w:r w:rsidRPr="00F50689">
              <w:rPr>
                <w:rFonts w:eastAsia="Verdana" w:cs="Verdana"/>
                <w:lang w:bidi="en-GB"/>
              </w:rPr>
              <w:t>259 799</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lang w:bidi="en-GB"/>
              </w:rPr>
            </w:pPr>
            <w:r w:rsidRPr="00F50689">
              <w:rPr>
                <w:rFonts w:eastAsia="Verdana" w:cs="Verdana"/>
                <w:lang w:bidi="en-GB"/>
              </w:rPr>
              <w:t>133 163</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lang w:bidi="en-GB"/>
              </w:rPr>
            </w:pPr>
            <w:r w:rsidRPr="00F50689">
              <w:rPr>
                <w:rFonts w:eastAsia="Verdana" w:cs="Verdana"/>
                <w:lang w:bidi="en-GB"/>
              </w:rPr>
              <w:t>16 837</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lang w:bidi="en-GB"/>
              </w:rPr>
            </w:pPr>
            <w:r w:rsidRPr="00F50689">
              <w:rPr>
                <w:rFonts w:eastAsia="Verdana" w:cs="Verdana"/>
                <w:lang w:bidi="en-GB"/>
              </w:rP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lang w:bidi="en-GB"/>
              </w:rPr>
            </w:pPr>
            <w:r w:rsidRPr="00F50689">
              <w:rPr>
                <w:rFonts w:eastAsia="Verdana" w:cs="Verdana"/>
                <w:lang w:bidi="en-GB"/>
              </w:rPr>
              <w:t>116 325</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lang w:bidi="en-GB"/>
              </w:rPr>
            </w:pPr>
            <w:r w:rsidRPr="00F50689">
              <w:rPr>
                <w:rFonts w:eastAsia="Verdana" w:cs="Verdana"/>
                <w:lang w:bidi="en-GB"/>
              </w:rPr>
              <w:t>242 962</w:t>
            </w:r>
          </w:p>
        </w:tc>
      </w:tr>
      <w:tr w:rsidR="00E7728E">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F50689" w:rsidRDefault="005A36C4" w:rsidP="00F50689">
            <w:pPr>
              <w:pStyle w:val="Text7pItalicLeft"/>
              <w:rPr>
                <w:rFonts w:eastAsia="Verdana" w:cs="Verdana"/>
                <w:lang w:bidi="en-GB"/>
              </w:rPr>
            </w:pPr>
            <w:r>
              <w:rPr>
                <w:rFonts w:eastAsia="Verdana" w:cs="Verdana"/>
                <w:lang w:bidi="en-GB"/>
              </w:rPr>
              <w:t>European Social Fund</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lang w:bidi="en-GB"/>
              </w:rPr>
            </w:pPr>
            <w:r w:rsidRPr="00F50689">
              <w:rPr>
                <w:rFonts w:eastAsia="Verdana" w:cs="Verdana"/>
                <w:lang w:bidi="en-GB"/>
              </w:rPr>
              <w:t>89 624</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lang w:bidi="en-GB"/>
              </w:rPr>
            </w:pPr>
            <w:r w:rsidRPr="00F50689">
              <w:rPr>
                <w:rFonts w:eastAsia="Verdana" w:cs="Verdana"/>
                <w:lang w:bidi="en-GB"/>
              </w:rPr>
              <w:t>57 828</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lang w:bidi="en-GB"/>
              </w:rPr>
            </w:pPr>
            <w:r w:rsidRPr="00F50689">
              <w:rPr>
                <w:rFonts w:eastAsia="Verdana" w:cs="Verdana"/>
                <w:lang w:bidi="en-GB"/>
              </w:rPr>
              <w:t>9 273</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lang w:bidi="en-GB"/>
              </w:rPr>
            </w:pPr>
            <w:r w:rsidRPr="00F50689">
              <w:rPr>
                <w:rFonts w:eastAsia="Verdana" w:cs="Verdana"/>
                <w:lang w:bidi="en-GB"/>
              </w:rP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lang w:bidi="en-GB"/>
              </w:rPr>
            </w:pPr>
            <w:r w:rsidRPr="00F50689">
              <w:rPr>
                <w:rFonts w:eastAsia="Verdana" w:cs="Verdana"/>
                <w:lang w:bidi="en-GB"/>
              </w:rPr>
              <w:t>48 555</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lang w:bidi="en-GB"/>
              </w:rPr>
            </w:pPr>
            <w:r w:rsidRPr="00F50689">
              <w:rPr>
                <w:rFonts w:eastAsia="Verdana" w:cs="Verdana"/>
                <w:lang w:bidi="en-GB"/>
              </w:rPr>
              <w:t>80 350</w:t>
            </w:r>
          </w:p>
        </w:tc>
      </w:tr>
      <w:tr w:rsidR="00E7728E">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F50689" w:rsidRDefault="005A36C4" w:rsidP="00F50689">
            <w:pPr>
              <w:pStyle w:val="Text7pItalicLeft"/>
              <w:rPr>
                <w:rFonts w:eastAsia="Verdana" w:cs="Verdana"/>
                <w:lang w:bidi="en-GB"/>
              </w:rPr>
            </w:pPr>
            <w:r>
              <w:rPr>
                <w:rFonts w:eastAsia="Verdana" w:cs="Verdana"/>
                <w:lang w:bidi="en-GB"/>
              </w:rPr>
              <w:t>Fund for European Aid to the most Deprived</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lang w:bidi="en-GB"/>
              </w:rPr>
            </w:pPr>
            <w:r w:rsidRPr="00F50689">
              <w:rPr>
                <w:rFonts w:eastAsia="Verdana" w:cs="Verdana"/>
                <w:lang w:bidi="en-GB"/>
              </w:rPr>
              <w:t>3 814</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lang w:bidi="en-GB"/>
              </w:rPr>
            </w:pPr>
            <w:r w:rsidRPr="00F50689">
              <w:rPr>
                <w:rFonts w:eastAsia="Verdana" w:cs="Verdana"/>
                <w:lang w:bidi="en-GB"/>
              </w:rPr>
              <w:t>3 723</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lang w:bidi="en-GB"/>
              </w:rPr>
            </w:pPr>
            <w:r w:rsidRPr="00F50689">
              <w:rPr>
                <w:rFonts w:eastAsia="Verdana" w:cs="Verdana"/>
                <w:lang w:bidi="en-GB"/>
              </w:rPr>
              <w:t xml:space="preserve"> 501</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lang w:bidi="en-GB"/>
              </w:rPr>
            </w:pPr>
            <w:r w:rsidRPr="00F50689">
              <w:rPr>
                <w:rFonts w:eastAsia="Verdana" w:cs="Verdana"/>
                <w:lang w:bidi="en-GB"/>
              </w:rP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lang w:bidi="en-GB"/>
              </w:rPr>
            </w:pPr>
            <w:r w:rsidRPr="00F50689">
              <w:rPr>
                <w:rFonts w:eastAsia="Verdana" w:cs="Verdana"/>
                <w:lang w:bidi="en-GB"/>
              </w:rPr>
              <w:t>3 222</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lang w:bidi="en-GB"/>
              </w:rPr>
            </w:pPr>
            <w:r w:rsidRPr="00F50689">
              <w:rPr>
                <w:rFonts w:eastAsia="Verdana" w:cs="Verdana"/>
                <w:lang w:bidi="en-GB"/>
              </w:rPr>
              <w:t>3 313</w:t>
            </w:r>
          </w:p>
        </w:tc>
      </w:tr>
      <w:tr w:rsidR="00E7728E">
        <w:trPr>
          <w:trHeight w:val="247"/>
        </w:trPr>
        <w:tc>
          <w:tcPr>
            <w:tcW w:w="2376"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Text7pBoldLeft"/>
              <w:rPr>
                <w:rFonts w:eastAsia="Verdana" w:cs="Verdana"/>
                <w:lang w:bidi="en-GB"/>
              </w:rPr>
            </w:pPr>
            <w:r>
              <w:rPr>
                <w:rFonts w:eastAsia="Verdana" w:cs="Verdana"/>
                <w:lang w:bidi="en-GB"/>
              </w:rPr>
              <w:t>HEADING 1B: COHESION POLICY FUNDS</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lang w:bidi="en-GB"/>
              </w:rPr>
            </w:pPr>
            <w:r>
              <w:rPr>
                <w:rFonts w:eastAsia="Verdana" w:cs="Verdana"/>
                <w:lang w:bidi="en-GB"/>
              </w:rPr>
              <w:t>353 236</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lang w:bidi="en-GB"/>
              </w:rPr>
            </w:pPr>
            <w:r>
              <w:rPr>
                <w:rFonts w:eastAsia="Verdana" w:cs="Verdana"/>
                <w:lang w:bidi="en-GB"/>
              </w:rPr>
              <w:t>194 714</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lang w:bidi="en-GB"/>
              </w:rPr>
            </w:pPr>
            <w:r>
              <w:rPr>
                <w:rFonts w:eastAsia="Verdana" w:cs="Verdana"/>
                <w:lang w:bidi="en-GB"/>
              </w:rPr>
              <w:t>26 611</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lang w:bidi="en-GB"/>
              </w:rPr>
            </w:pPr>
            <w:r>
              <w:rPr>
                <w:rFonts w:eastAsia="Verdana" w:cs="Verdana"/>
                <w:lang w:bidi="en-GB"/>
              </w:rPr>
              <w:t>168 102</w:t>
            </w:r>
          </w:p>
        </w:tc>
        <w:tc>
          <w:tcPr>
            <w:tcW w:w="1275"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lang w:bidi="en-GB"/>
              </w:rPr>
            </w:pPr>
            <w:r>
              <w:rPr>
                <w:rFonts w:eastAsia="Verdana" w:cs="Verdana"/>
                <w:lang w:bidi="en-GB"/>
              </w:rPr>
              <w:t>326 625</w:t>
            </w:r>
          </w:p>
        </w:tc>
      </w:tr>
      <w:tr w:rsidR="00E7728E">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F50689" w:rsidRDefault="005A36C4" w:rsidP="00F50689">
            <w:pPr>
              <w:pStyle w:val="Text7pItalicLeft"/>
              <w:rPr>
                <w:rFonts w:eastAsia="Verdana" w:cs="Verdana"/>
                <w:lang w:bidi="en-GB"/>
              </w:rPr>
            </w:pPr>
            <w:r>
              <w:rPr>
                <w:rFonts w:eastAsia="Verdana" w:cs="Verdana"/>
                <w:lang w:bidi="en-GB"/>
              </w:rPr>
              <w:t xml:space="preserve">European Agricultural Fund for Rural Development </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lang w:bidi="en-GB"/>
              </w:rPr>
            </w:pPr>
            <w:r w:rsidRPr="00F50689">
              <w:rPr>
                <w:rFonts w:eastAsia="Verdana" w:cs="Verdana"/>
                <w:lang w:bidi="en-GB"/>
              </w:rPr>
              <w:t>99 348</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lang w:bidi="en-GB"/>
              </w:rPr>
            </w:pPr>
            <w:r w:rsidRPr="00F50689">
              <w:rPr>
                <w:rFonts w:eastAsia="Verdana" w:cs="Verdana"/>
                <w:lang w:bidi="en-GB"/>
              </w:rPr>
              <w:t>20 707</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lang w:bidi="en-GB"/>
              </w:rPr>
            </w:pPr>
            <w:r w:rsidRPr="00F50689">
              <w:rPr>
                <w:rFonts w:eastAsia="Verdana" w:cs="Verdana"/>
                <w:lang w:bidi="en-GB"/>
              </w:rPr>
              <w:t>3 295</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lang w:bidi="en-GB"/>
              </w:rPr>
            </w:pPr>
            <w:r w:rsidRPr="00F50689">
              <w:rPr>
                <w:rFonts w:eastAsia="Verdana" w:cs="Verdana"/>
                <w:lang w:bidi="en-GB"/>
              </w:rP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lang w:bidi="en-GB"/>
              </w:rPr>
            </w:pPr>
            <w:r w:rsidRPr="00F50689">
              <w:rPr>
                <w:rFonts w:eastAsia="Verdana" w:cs="Verdana"/>
                <w:lang w:bidi="en-GB"/>
              </w:rPr>
              <w:t>17 413</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lang w:bidi="en-GB"/>
              </w:rPr>
            </w:pPr>
            <w:r w:rsidRPr="00F50689">
              <w:rPr>
                <w:rFonts w:eastAsia="Verdana" w:cs="Verdana"/>
                <w:lang w:bidi="en-GB"/>
              </w:rPr>
              <w:t>96 053</w:t>
            </w:r>
          </w:p>
        </w:tc>
      </w:tr>
      <w:tr w:rsidR="00E7728E">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F50689" w:rsidRDefault="005A36C4" w:rsidP="00F50689">
            <w:pPr>
              <w:pStyle w:val="Text7pItalicLeft"/>
              <w:rPr>
                <w:rFonts w:eastAsia="Verdana" w:cs="Verdana"/>
                <w:lang w:bidi="en-GB"/>
              </w:rPr>
            </w:pPr>
            <w:r>
              <w:rPr>
                <w:rFonts w:eastAsia="Verdana" w:cs="Verdana"/>
                <w:lang w:bidi="en-GB"/>
              </w:rPr>
              <w:t>European Maritime and Fisheries Fund</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lang w:bidi="en-GB"/>
              </w:rPr>
            </w:pPr>
            <w:r w:rsidRPr="00F50689">
              <w:rPr>
                <w:rFonts w:eastAsia="Verdana" w:cs="Verdana"/>
                <w:lang w:bidi="en-GB"/>
              </w:rPr>
              <w:t>5 749</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lang w:bidi="en-GB"/>
              </w:rPr>
            </w:pPr>
            <w:r w:rsidRPr="00F50689">
              <w:rPr>
                <w:rFonts w:eastAsia="Verdana" w:cs="Verdana"/>
                <w:lang w:bidi="en-GB"/>
              </w:rPr>
              <w:t xml:space="preserve"> 140</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lang w:bidi="en-GB"/>
              </w:rPr>
            </w:pPr>
            <w:r w:rsidRPr="00F50689">
              <w:rPr>
                <w:rFonts w:eastAsia="Verdana" w:cs="Verdana"/>
                <w:lang w:bidi="en-GB"/>
              </w:rPr>
              <w:t xml:space="preserve"> 19</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lang w:bidi="en-GB"/>
              </w:rPr>
            </w:pPr>
            <w:r w:rsidRPr="00F50689">
              <w:rPr>
                <w:rFonts w:eastAsia="Verdana" w:cs="Verdana"/>
                <w:lang w:bidi="en-GB"/>
              </w:rP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lang w:bidi="en-GB"/>
              </w:rPr>
            </w:pPr>
            <w:r w:rsidRPr="00F50689">
              <w:rPr>
                <w:rFonts w:eastAsia="Verdana" w:cs="Verdana"/>
                <w:lang w:bidi="en-GB"/>
              </w:rPr>
              <w:t xml:space="preserve"> 121</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lang w:bidi="en-GB"/>
              </w:rPr>
            </w:pPr>
            <w:r w:rsidRPr="00F50689">
              <w:rPr>
                <w:rFonts w:eastAsia="Verdana" w:cs="Verdana"/>
                <w:lang w:bidi="en-GB"/>
              </w:rPr>
              <w:t>5 730</w:t>
            </w:r>
          </w:p>
        </w:tc>
      </w:tr>
      <w:tr w:rsidR="00E7728E">
        <w:trPr>
          <w:trHeight w:val="247"/>
        </w:trPr>
        <w:tc>
          <w:tcPr>
            <w:tcW w:w="2376"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Text7pBoldLeft"/>
              <w:rPr>
                <w:rFonts w:eastAsia="Verdana" w:cs="Verdana"/>
                <w:lang w:bidi="en-GB"/>
              </w:rPr>
            </w:pPr>
            <w:r>
              <w:rPr>
                <w:rFonts w:eastAsia="Verdana" w:cs="Verdana"/>
                <w:lang w:bidi="en-GB"/>
              </w:rPr>
              <w:t>HEADING 2: NATURAL RESOURCES</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lang w:bidi="en-GB"/>
              </w:rPr>
            </w:pPr>
            <w:r>
              <w:rPr>
                <w:rFonts w:eastAsia="Verdana" w:cs="Verdana"/>
                <w:lang w:bidi="en-GB"/>
              </w:rPr>
              <w:t>105 097</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lang w:bidi="en-GB"/>
              </w:rPr>
            </w:pPr>
            <w:r>
              <w:rPr>
                <w:rFonts w:eastAsia="Verdana" w:cs="Verdana"/>
                <w:lang w:bidi="en-GB"/>
              </w:rPr>
              <w:t>20 847</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lang w:bidi="en-GB"/>
              </w:rPr>
            </w:pPr>
            <w:r>
              <w:rPr>
                <w:rFonts w:eastAsia="Verdana" w:cs="Verdana"/>
                <w:lang w:bidi="en-GB"/>
              </w:rPr>
              <w:t>3 314</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lang w:bidi="en-GB"/>
              </w:rPr>
            </w:pPr>
            <w:r>
              <w:rPr>
                <w:rFonts w:eastAsia="Verdana" w:cs="Verdana"/>
                <w:lang w:bidi="en-GB"/>
              </w:rPr>
              <w:t>17 533</w:t>
            </w:r>
          </w:p>
        </w:tc>
        <w:tc>
          <w:tcPr>
            <w:tcW w:w="1275"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lang w:bidi="en-GB"/>
              </w:rPr>
            </w:pPr>
            <w:r>
              <w:rPr>
                <w:rFonts w:eastAsia="Verdana" w:cs="Verdana"/>
                <w:lang w:bidi="en-GB"/>
              </w:rPr>
              <w:t>101 783</w:t>
            </w:r>
          </w:p>
        </w:tc>
      </w:tr>
      <w:tr w:rsidR="00E7728E">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F50689" w:rsidRDefault="005A36C4" w:rsidP="00F50689">
            <w:pPr>
              <w:pStyle w:val="Text7pItalicLeft"/>
              <w:rPr>
                <w:rFonts w:eastAsia="Verdana" w:cs="Verdana"/>
                <w:lang w:bidi="en-GB"/>
              </w:rPr>
            </w:pPr>
            <w:r>
              <w:rPr>
                <w:rFonts w:eastAsia="Verdana" w:cs="Verdana"/>
                <w:lang w:bidi="en-GB"/>
              </w:rPr>
              <w:t>Asylum and Migration Fund</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lang w:bidi="en-GB"/>
              </w:rPr>
            </w:pPr>
            <w:r w:rsidRPr="00F50689">
              <w:rPr>
                <w:rFonts w:eastAsia="Verdana" w:cs="Verdana"/>
                <w:lang w:bidi="en-GB"/>
              </w:rPr>
              <w:t>2 752</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lang w:bidi="en-GB"/>
              </w:rPr>
            </w:pPr>
            <w:r w:rsidRPr="00F50689">
              <w:rPr>
                <w:rFonts w:eastAsia="Verdana" w:cs="Verdana"/>
                <w:lang w:bidi="en-GB"/>
              </w:rP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lang w:bidi="en-GB"/>
              </w:rPr>
            </w:pPr>
            <w:r w:rsidRPr="00F50689">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lang w:bidi="en-GB"/>
              </w:rPr>
            </w:pPr>
            <w:r w:rsidRPr="00F50689">
              <w:rPr>
                <w:rFonts w:eastAsia="Verdana" w:cs="Verdana"/>
                <w:lang w:bidi="en-GB"/>
              </w:rP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lang w:bidi="en-GB"/>
              </w:rPr>
            </w:pPr>
            <w:r w:rsidRPr="00F50689">
              <w:rPr>
                <w:rFonts w:eastAsia="Verdana" w:cs="Verdana"/>
                <w:lang w:bidi="en-GB"/>
              </w:rPr>
              <w:t>–</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lang w:bidi="en-GB"/>
              </w:rPr>
            </w:pPr>
            <w:r w:rsidRPr="00F50689">
              <w:rPr>
                <w:rFonts w:eastAsia="Verdana" w:cs="Verdana"/>
                <w:lang w:bidi="en-GB"/>
              </w:rPr>
              <w:t>2 752</w:t>
            </w:r>
          </w:p>
        </w:tc>
      </w:tr>
      <w:tr w:rsidR="00E7728E">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F50689" w:rsidRDefault="005A36C4" w:rsidP="00F50689">
            <w:pPr>
              <w:pStyle w:val="Text7pItalicLeft"/>
              <w:rPr>
                <w:rFonts w:eastAsia="Verdana" w:cs="Verdana"/>
                <w:lang w:bidi="en-GB"/>
              </w:rPr>
            </w:pPr>
            <w:r>
              <w:rPr>
                <w:rFonts w:eastAsia="Verdana" w:cs="Verdana"/>
                <w:lang w:bidi="en-GB"/>
              </w:rPr>
              <w:t>Internal Security Fund</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lang w:bidi="en-GB"/>
              </w:rPr>
            </w:pPr>
            <w:r w:rsidRPr="00F50689">
              <w:rPr>
                <w:rFonts w:eastAsia="Verdana" w:cs="Verdana"/>
                <w:lang w:bidi="en-GB"/>
              </w:rPr>
              <w:t>2 367</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lang w:bidi="en-GB"/>
              </w:rPr>
            </w:pPr>
            <w:r w:rsidRPr="00F50689">
              <w:rPr>
                <w:rFonts w:eastAsia="Verdana" w:cs="Verdana"/>
                <w:lang w:bidi="en-GB"/>
              </w:rP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lang w:bidi="en-GB"/>
              </w:rPr>
            </w:pPr>
            <w:r w:rsidRPr="00F50689">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lang w:bidi="en-GB"/>
              </w:rPr>
            </w:pPr>
            <w:r w:rsidRPr="00F50689">
              <w:rPr>
                <w:rFonts w:eastAsia="Verdana" w:cs="Verdana"/>
                <w:lang w:bidi="en-GB"/>
              </w:rP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lang w:bidi="en-GB"/>
              </w:rPr>
            </w:pPr>
            <w:r w:rsidRPr="00F50689">
              <w:rPr>
                <w:rFonts w:eastAsia="Verdana" w:cs="Verdana"/>
                <w:lang w:bidi="en-GB"/>
              </w:rPr>
              <w:t>–</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lang w:bidi="en-GB"/>
              </w:rPr>
            </w:pPr>
            <w:r w:rsidRPr="00F50689">
              <w:rPr>
                <w:rFonts w:eastAsia="Verdana" w:cs="Verdana"/>
                <w:lang w:bidi="en-GB"/>
              </w:rPr>
              <w:t>2 367</w:t>
            </w:r>
          </w:p>
        </w:tc>
      </w:tr>
      <w:tr w:rsidR="00E7728E">
        <w:trPr>
          <w:trHeight w:val="247"/>
        </w:trPr>
        <w:tc>
          <w:tcPr>
            <w:tcW w:w="2376"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Text7pBoldLeft"/>
              <w:rPr>
                <w:rFonts w:eastAsia="Verdana" w:cs="Verdana"/>
                <w:lang w:bidi="en-GB"/>
              </w:rPr>
            </w:pPr>
            <w:r>
              <w:rPr>
                <w:rFonts w:eastAsia="Verdana" w:cs="Verdana"/>
                <w:lang w:bidi="en-GB"/>
              </w:rPr>
              <w:t>HEADING 3: SECURITY &amp; CITIZENSHIP</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lang w:bidi="en-GB"/>
              </w:rPr>
            </w:pPr>
            <w:r>
              <w:rPr>
                <w:rFonts w:eastAsia="Verdana" w:cs="Verdana"/>
                <w:lang w:bidi="en-GB"/>
              </w:rPr>
              <w:t>5 119</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lang w:bidi="en-GB"/>
              </w:rPr>
            </w:pPr>
            <w:r>
              <w:rPr>
                <w:rFonts w:eastAsia="Verdana" w:cs="Verdana"/>
                <w:lang w:bidi="en-GB"/>
              </w:rPr>
              <w:t>5 119</w:t>
            </w:r>
          </w:p>
        </w:tc>
      </w:tr>
      <w:tr w:rsidR="00E7728E">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F50689" w:rsidRDefault="00F50689" w:rsidP="00F50689">
            <w:pPr>
              <w:pStyle w:val="Text9pItalicLeft"/>
              <w:rPr>
                <w:rFonts w:eastAsia="Verdana" w:cs="Verdana"/>
                <w:lang w:bidi="en-GB"/>
              </w:rPr>
            </w:pP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F50689" w:rsidRDefault="00F50689" w:rsidP="00F50689">
            <w:pPr>
              <w:pStyle w:val="Figures9pItalicRight025"/>
              <w:rPr>
                <w:rFonts w:eastAsia="Verdana" w:cs="Verdana"/>
                <w:i w:val="0"/>
                <w:lang w:bidi="en-GB"/>
              </w:rPr>
            </w:pP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Default="00F50689" w:rsidP="00F50689">
            <w:pPr>
              <w:pStyle w:val="Figures9pItalicRight025"/>
              <w:rPr>
                <w:rFonts w:eastAsia="Verdana" w:cs="Verdana"/>
                <w:i w:val="0"/>
                <w:lang w:bidi="en-GB"/>
              </w:rPr>
            </w:pP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Default="00F50689" w:rsidP="00F50689">
            <w:pPr>
              <w:pStyle w:val="Figures9pItalicRight025"/>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F50689" w:rsidRDefault="00F50689" w:rsidP="00F50689">
            <w:pPr>
              <w:pStyle w:val="Figures9pItalicRight025"/>
              <w:rPr>
                <w:rFonts w:eastAsia="Verdana" w:cs="Verdana"/>
                <w:i w:val="0"/>
                <w:lang w:bidi="en-GB"/>
              </w:rPr>
            </w:pP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Default="00F50689" w:rsidP="00F50689">
            <w:pPr>
              <w:pStyle w:val="Figures9pItalicRight025"/>
              <w:rPr>
                <w:rFonts w:eastAsia="Verdana" w:cs="Verdana"/>
                <w:i w:val="0"/>
                <w:lang w:bidi="en-GB"/>
              </w:rPr>
            </w:pP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F50689" w:rsidRDefault="00F50689" w:rsidP="00F50689">
            <w:pPr>
              <w:pStyle w:val="Figures9pItalicRight025"/>
              <w:rPr>
                <w:rFonts w:eastAsia="Verdana" w:cs="Verdana"/>
                <w:i w:val="0"/>
                <w:lang w:bidi="en-GB"/>
              </w:rPr>
            </w:pPr>
          </w:p>
        </w:tc>
      </w:tr>
      <w:tr w:rsidR="00E7728E">
        <w:trPr>
          <w:trHeight w:val="247"/>
        </w:trPr>
        <w:tc>
          <w:tcPr>
            <w:tcW w:w="2376"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Text7pBoldLeft"/>
              <w:rPr>
                <w:rFonts w:eastAsia="Verdana" w:cs="Verdana"/>
                <w:lang w:bidi="en-GB"/>
              </w:rPr>
            </w:pPr>
            <w:r>
              <w:rPr>
                <w:rFonts w:eastAsia="Verdana" w:cs="Verdana"/>
                <w:lang w:bidi="en-GB"/>
              </w:rPr>
              <w:t>Total</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lang w:bidi="en-GB"/>
              </w:rPr>
            </w:pPr>
            <w:r>
              <w:rPr>
                <w:rFonts w:eastAsia="Verdana" w:cs="Verdana"/>
                <w:lang w:bidi="en-GB"/>
              </w:rPr>
              <w:t>463 452</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lang w:bidi="en-GB"/>
              </w:rPr>
            </w:pPr>
            <w:r>
              <w:rPr>
                <w:rFonts w:eastAsia="Verdana" w:cs="Verdana"/>
                <w:lang w:bidi="en-GB"/>
              </w:rPr>
              <w:t>215 561</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lang w:bidi="en-GB"/>
              </w:rPr>
            </w:pPr>
            <w:r>
              <w:rPr>
                <w:rFonts w:eastAsia="Verdana" w:cs="Verdana"/>
                <w:lang w:bidi="en-GB"/>
              </w:rPr>
              <w:t>29 925</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lang w:bidi="en-GB"/>
              </w:rPr>
            </w:pPr>
            <w:r>
              <w:rPr>
                <w:rFonts w:eastAsia="Verdana" w:cs="Verdana"/>
                <w:lang w:bidi="en-GB"/>
              </w:rPr>
              <w:t>185 636</w:t>
            </w:r>
          </w:p>
        </w:tc>
        <w:tc>
          <w:tcPr>
            <w:tcW w:w="1275"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lang w:bidi="en-GB"/>
              </w:rPr>
            </w:pPr>
            <w:r>
              <w:rPr>
                <w:rFonts w:eastAsia="Verdana" w:cs="Verdana"/>
                <w:lang w:bidi="en-GB"/>
              </w:rPr>
              <w:t>433 527</w:t>
            </w:r>
          </w:p>
        </w:tc>
      </w:tr>
    </w:tbl>
    <w:p w:rsidR="00F50689" w:rsidRDefault="005A36C4" w:rsidP="00F50689">
      <w:pPr>
        <w:pStyle w:val="DGTextstand-alone"/>
        <w:spacing w:before="0" w:after="0"/>
        <w:rPr>
          <w:lang w:bidi="en-GB"/>
        </w:rPr>
      </w:pPr>
      <w:r>
        <w:rPr>
          <w:lang w:bidi="en-GB"/>
        </w:rPr>
        <w:t xml:space="preserve"> </w:t>
      </w:r>
    </w:p>
    <w:p w:rsidR="00F50689" w:rsidRPr="007F1230" w:rsidRDefault="005A36C4" w:rsidP="00F50689">
      <w:pPr>
        <w:pStyle w:val="HEADER5"/>
        <w:spacing w:after="60"/>
      </w:pPr>
      <w:r w:rsidRPr="007F1230">
        <w:t>Protocols with Mediterranean countries</w:t>
      </w:r>
    </w:p>
    <w:p w:rsidR="00F50689" w:rsidRPr="00EF443F" w:rsidRDefault="005A36C4" w:rsidP="00F50689">
      <w:pPr>
        <w:pStyle w:val="DGTextstand-alone"/>
        <w:spacing w:before="0"/>
      </w:pPr>
      <w:r w:rsidRPr="00EF443F">
        <w:t xml:space="preserve">These commitments relate to financial protocols with Mediterranean non-member countries. The amount included here is the difference between the total amount of the protocols signed and the amount of the budget commitments entered in the accounts. These protocols are international treaties that cannot be wound up without the agreement of both parties, although the </w:t>
      </w:r>
      <w:r>
        <w:t>winding-up process is on-going.</w:t>
      </w:r>
    </w:p>
    <w:p w:rsidR="00F50689" w:rsidRPr="007F1230" w:rsidRDefault="005A36C4" w:rsidP="00F50689">
      <w:pPr>
        <w:pStyle w:val="HEADER5"/>
        <w:spacing w:after="60"/>
      </w:pPr>
      <w:r w:rsidRPr="007F1230">
        <w:t>Fisheries agreements</w:t>
      </w:r>
    </w:p>
    <w:p w:rsidR="00F50689" w:rsidRPr="00EF443F" w:rsidRDefault="005A36C4" w:rsidP="00F50689">
      <w:pPr>
        <w:pStyle w:val="DGTextstand-alone"/>
        <w:spacing w:before="0"/>
      </w:pPr>
      <w:r w:rsidRPr="00EF443F">
        <w:t>These are commitments entered into with third countries for operations under inte</w:t>
      </w:r>
      <w:r>
        <w:t>rnational fisheries agreements.</w:t>
      </w:r>
    </w:p>
    <w:p w:rsidR="00F50689" w:rsidRPr="007F1230" w:rsidRDefault="005A36C4" w:rsidP="00F50689">
      <w:pPr>
        <w:pStyle w:val="HEADER5"/>
        <w:spacing w:after="60"/>
      </w:pPr>
      <w:r w:rsidRPr="007F1230">
        <w:t>Galileo</w:t>
      </w:r>
    </w:p>
    <w:p w:rsidR="00F50689" w:rsidRPr="00EF443F" w:rsidRDefault="005A36C4" w:rsidP="00F50689">
      <w:pPr>
        <w:pStyle w:val="DGTextstand-alone"/>
        <w:spacing w:before="0"/>
      </w:pPr>
      <w:r>
        <w:t xml:space="preserve">These are amounts </w:t>
      </w:r>
      <w:r w:rsidRPr="00EF443F">
        <w:t>committed to the Galileo programme developing a European Global Navigation Satell</w:t>
      </w:r>
      <w:r>
        <w:t xml:space="preserve">ite System – see also note </w:t>
      </w:r>
      <w:r w:rsidRPr="001F0119">
        <w:rPr>
          <w:b/>
        </w:rPr>
        <w:t>2.2</w:t>
      </w:r>
      <w:r>
        <w:t>.</w:t>
      </w:r>
    </w:p>
    <w:p w:rsidR="00F50689" w:rsidRPr="007F1230" w:rsidRDefault="005A36C4" w:rsidP="00F50689">
      <w:pPr>
        <w:pStyle w:val="HEADER5"/>
        <w:spacing w:before="120" w:after="60"/>
      </w:pPr>
      <w:r w:rsidRPr="007F1230">
        <w:t>Copernicus</w:t>
      </w:r>
    </w:p>
    <w:p w:rsidR="00F50689" w:rsidRDefault="005A36C4" w:rsidP="00F50689">
      <w:pPr>
        <w:spacing w:before="120"/>
        <w:jc w:val="both"/>
        <w:rPr>
          <w:rFonts w:ascii="Verdana" w:hAnsi="Verdana"/>
          <w:sz w:val="18"/>
        </w:rPr>
      </w:pPr>
      <w:r w:rsidRPr="00CF0AD6">
        <w:rPr>
          <w:rFonts w:ascii="Verdana" w:hAnsi="Verdana" w:cs="Arial"/>
          <w:sz w:val="18"/>
        </w:rPr>
        <w:t>Copernicus is the Europe</w:t>
      </w:r>
      <w:r>
        <w:rPr>
          <w:rFonts w:ascii="Verdana" w:hAnsi="Verdana" w:cs="Arial"/>
          <w:sz w:val="18"/>
        </w:rPr>
        <w:t xml:space="preserve">an Earth observation programme </w:t>
      </w:r>
      <w:r w:rsidRPr="00C10020">
        <w:rPr>
          <w:rFonts w:ascii="Verdana" w:hAnsi="Verdana"/>
          <w:sz w:val="18"/>
        </w:rPr>
        <w:t xml:space="preserve">– see also note </w:t>
      </w:r>
      <w:r w:rsidRPr="00C10020">
        <w:rPr>
          <w:rFonts w:ascii="Verdana" w:hAnsi="Verdana"/>
          <w:b/>
          <w:sz w:val="18"/>
        </w:rPr>
        <w:t>2.2</w:t>
      </w:r>
      <w:r w:rsidRPr="00CF0AD6">
        <w:rPr>
          <w:rFonts w:ascii="Verdana" w:hAnsi="Verdana"/>
          <w:sz w:val="18"/>
        </w:rPr>
        <w:t>.</w:t>
      </w:r>
      <w:r w:rsidRPr="00E80270">
        <w:rPr>
          <w:rFonts w:ascii="Verdana" w:hAnsi="Verdana"/>
          <w:sz w:val="18"/>
        </w:rPr>
        <w:t xml:space="preserve"> </w:t>
      </w:r>
    </w:p>
    <w:p w:rsidR="00F50689" w:rsidRPr="007F1230" w:rsidRDefault="005A36C4" w:rsidP="00F50689">
      <w:pPr>
        <w:pStyle w:val="HEADER5"/>
        <w:spacing w:before="120" w:after="60"/>
      </w:pPr>
      <w:r w:rsidRPr="007F1230">
        <w:t>TEN-T</w:t>
      </w:r>
    </w:p>
    <w:p w:rsidR="00F50689" w:rsidRPr="00EF443F" w:rsidRDefault="005A36C4" w:rsidP="00F50689">
      <w:pPr>
        <w:pStyle w:val="DGTextstand-alone"/>
        <w:spacing w:before="0"/>
      </w:pPr>
      <w:r w:rsidRPr="00CF0AD6">
        <w:t>The 2013 amount related to grants in the field of the Trans-European Transport Networks (TEN-T) for the period 2007-2013. Since the programme is finished there are no new legal commitments without budgetary commitments in 2014.</w:t>
      </w:r>
    </w:p>
    <w:p w:rsidR="00F50689" w:rsidRPr="007F1230" w:rsidRDefault="005A36C4" w:rsidP="00F50689">
      <w:pPr>
        <w:pStyle w:val="HEADER5"/>
        <w:spacing w:after="60"/>
      </w:pPr>
      <w:r w:rsidRPr="007F1230">
        <w:t>Other contractual commitments</w:t>
      </w:r>
    </w:p>
    <w:p w:rsidR="00F50689" w:rsidRDefault="005A36C4" w:rsidP="00F50689">
      <w:pPr>
        <w:pStyle w:val="DGTextstand-alone"/>
        <w:spacing w:before="0" w:after="0"/>
      </w:pPr>
      <w:r w:rsidRPr="00EF443F">
        <w:t xml:space="preserve">The amounts included under this disclosure correspond to amounts committed to be paid during the term of the contracts. </w:t>
      </w:r>
      <w:r w:rsidRPr="00A63EBE">
        <w:t xml:space="preserve">The largest amounts included here relate </w:t>
      </w:r>
      <w:r>
        <w:t>to</w:t>
      </w:r>
      <w:r w:rsidRPr="00A63EBE">
        <w:t xml:space="preserve"> EUR</w:t>
      </w:r>
      <w:r>
        <w:t> </w:t>
      </w:r>
      <w:r w:rsidRPr="00A63EBE">
        <w:t>1</w:t>
      </w:r>
      <w:r>
        <w:t> </w:t>
      </w:r>
      <w:r w:rsidRPr="00A63EBE">
        <w:t>933</w:t>
      </w:r>
      <w:r>
        <w:t> </w:t>
      </w:r>
      <w:r w:rsidRPr="00A63EBE">
        <w:t xml:space="preserve">million </w:t>
      </w:r>
      <w:r>
        <w:t>for</w:t>
      </w:r>
      <w:r w:rsidRPr="00A63EBE">
        <w:t xml:space="preserve"> the Fusion for Energy Agency in the context of the ITER project and EUR</w:t>
      </w:r>
      <w:r>
        <w:t> </w:t>
      </w:r>
      <w:r w:rsidRPr="00A63EBE">
        <w:t>547</w:t>
      </w:r>
      <w:r>
        <w:t> </w:t>
      </w:r>
      <w:r w:rsidRPr="00A63EBE">
        <w:t xml:space="preserve">million </w:t>
      </w:r>
      <w:r>
        <w:t>for</w:t>
      </w:r>
      <w:r w:rsidRPr="00A63EBE">
        <w:t xml:space="preserve"> mainly building contracts of the European Parliament.</w:t>
      </w:r>
    </w:p>
    <w:p w:rsidR="00F50689" w:rsidRPr="001F0119" w:rsidRDefault="005A36C4" w:rsidP="00F50689">
      <w:pPr>
        <w:pStyle w:val="DGTextstand-alone"/>
        <w:spacing w:before="0" w:after="0"/>
        <w:sectPr w:rsidR="00F50689" w:rsidRPr="001F0119" w:rsidSect="00F50689">
          <w:headerReference w:type="even" r:id="rId353"/>
          <w:headerReference w:type="default" r:id="rId354"/>
          <w:footerReference w:type="even" r:id="rId355"/>
          <w:footerReference w:type="default" r:id="rId356"/>
          <w:headerReference w:type="first" r:id="rId357"/>
          <w:footerReference w:type="first" r:id="rId358"/>
          <w:type w:val="continuous"/>
          <w:pgSz w:w="11906" w:h="16838"/>
          <w:pgMar w:top="1134" w:right="1134" w:bottom="1134" w:left="1134" w:header="709" w:footer="709" w:gutter="0"/>
          <w:cols w:space="708"/>
          <w:docGrid w:linePitch="360"/>
        </w:sectPr>
      </w:pPr>
      <w:r>
        <w:t xml:space="preserve"> </w:t>
      </w:r>
      <w:bookmarkEnd w:id="167"/>
    </w:p>
    <w:p w:rsidR="00F50689" w:rsidRPr="00771254" w:rsidRDefault="005A36C4" w:rsidP="00F50689">
      <w:pPr>
        <w:pStyle w:val="HEADER1Part2"/>
      </w:pPr>
      <w:bookmarkStart w:id="171" w:name="_Toc424652044"/>
      <w:bookmarkStart w:id="172" w:name="_DMBM_2606"/>
      <w:r w:rsidRPr="00771254">
        <w:t>PROTECTION OF THE EU BUDGET</w:t>
      </w:r>
      <w:bookmarkEnd w:id="171"/>
    </w:p>
    <w:p w:rsidR="00F50689" w:rsidRPr="00544E51" w:rsidRDefault="005A36C4" w:rsidP="00F50689">
      <w:pPr>
        <w:pStyle w:val="HEADER2Part2"/>
        <w:rPr>
          <w:caps/>
        </w:rPr>
      </w:pPr>
      <w:r w:rsidRPr="00544E51">
        <w:rPr>
          <w:caps/>
        </w:rPr>
        <w:t>Protection of the EU Budget - summary</w:t>
      </w:r>
    </w:p>
    <w:p w:rsidR="00F50689" w:rsidRDefault="005A36C4" w:rsidP="00F50689">
      <w:pPr>
        <w:pStyle w:val="Textstand-alone"/>
      </w:pPr>
      <w:r>
        <w:t xml:space="preserve">An important consideration in implementing the EU budget is the need to ensure the proper prevention or detection and subsequent correction of errors, irregularities and fraud. The </w:t>
      </w:r>
      <w:r w:rsidR="00101459">
        <w:t>the Court</w:t>
      </w:r>
      <w:r>
        <w:t xml:space="preserve"> provides in its annual report a statement of assurance on the legality and regularity of transactions underlying the accounts, as well as observations and statistics on the material level of error </w:t>
      </w:r>
      <w:r w:rsidRPr="0072129D">
        <w:t>in the payments underlying the accounts</w:t>
      </w:r>
      <w:r w:rsidR="001A472B">
        <w:t>.</w:t>
      </w:r>
      <w:r w:rsidRPr="0072129D">
        <w:t xml:space="preserve"> </w:t>
      </w:r>
      <w:r w:rsidR="001A472B">
        <w:t>T</w:t>
      </w:r>
      <w:r w:rsidRPr="0072129D">
        <w:t>he sta</w:t>
      </w:r>
      <w:r>
        <w:t>tement of assurance accompanies</w:t>
      </w:r>
      <w:r w:rsidRPr="0072129D">
        <w:t xml:space="preserve"> these accounts </w:t>
      </w:r>
      <w:r>
        <w:t>in</w:t>
      </w:r>
      <w:r w:rsidRPr="0072129D">
        <w:t xml:space="preserve"> its publication in the Official Journal.</w:t>
      </w:r>
    </w:p>
    <w:p w:rsidR="00F50689" w:rsidRDefault="005A36C4" w:rsidP="00F50689">
      <w:pPr>
        <w:pStyle w:val="Textstand-alone"/>
      </w:pPr>
      <w:r>
        <w:t>The Commission protects the EU budget, i.e. EU spending, from undue or irregular expenditure via two main methods:</w:t>
      </w:r>
    </w:p>
    <w:p w:rsidR="00F50689" w:rsidRDefault="005A36C4" w:rsidP="00F50689">
      <w:pPr>
        <w:pStyle w:val="Textstand-alone"/>
        <w:ind w:left="567"/>
      </w:pPr>
      <w:r>
        <w:t>(1) preventive mechanisms; and</w:t>
      </w:r>
    </w:p>
    <w:p w:rsidR="00F50689" w:rsidRDefault="005A36C4" w:rsidP="00F50689">
      <w:pPr>
        <w:pStyle w:val="Textstand-alone"/>
        <w:ind w:left="567"/>
      </w:pPr>
      <w:r>
        <w:t>(2) corrective mechanisms (primarily financial corrections imposed on or agreed with Member States and, to a lesser extent, recoveries from recipients of EU payments).</w:t>
      </w:r>
    </w:p>
    <w:p w:rsidR="00F50689" w:rsidRDefault="005A36C4" w:rsidP="00F50689">
      <w:pPr>
        <w:pStyle w:val="Textstand-alone"/>
      </w:pPr>
      <w:r>
        <w:t xml:space="preserve">The corrective mechanisms are based on a wide range of measures, which apply both before and after the Commission makes (or reimburses) expenditure. </w:t>
      </w:r>
    </w:p>
    <w:p w:rsidR="00F50689" w:rsidRDefault="005A36C4" w:rsidP="00F50689">
      <w:pPr>
        <w:pStyle w:val="Textstand-alone"/>
      </w:pPr>
      <w:r>
        <w:t>The objective of this note is to present an overview and best estimates of how the EU budget is protected from expenditure in breach of law. This note represents a voluntary disclosure of information that is not required by the accounting standards and includes data which is not drawn directly from the accounting system (see below).</w:t>
      </w:r>
    </w:p>
    <w:p w:rsidR="00F50689" w:rsidRDefault="005A36C4" w:rsidP="00F50689">
      <w:pPr>
        <w:pStyle w:val="Textstand-alone"/>
      </w:pPr>
      <w:r>
        <w:t>More details on these figures and on the preventive and corrective mechanisms laid down in the applicable legislation can be found in the Communication on the protection of the EU budget prepared by the Commission and sent to the Discharge Authority and the Court every September – this is available on the Europa website of the Directorate-General for Budget. This Communication not only provides more details on the figures in this note (in particular break-downs of financial corrections per Member State), it also includes additional information (such as data on net financial corrections which lead to assigned revenue for the EU budget, and the results of the corrective work done by Member States). Further information on the corrective capacity is also available in the Communication: Synthesis of the Commission's management achievements in 2014 (the "Synthesis Report" issued in June 2015) – this is also available on the Europa website</w:t>
      </w:r>
      <w:r w:rsidRPr="0085675E">
        <w:t>.</w:t>
      </w:r>
    </w:p>
    <w:p w:rsidR="00F50689" w:rsidRPr="007C7C41" w:rsidRDefault="005A36C4" w:rsidP="00F50689">
      <w:pPr>
        <w:pStyle w:val="HEADER3Part2"/>
      </w:pPr>
      <w:r w:rsidRPr="007C7C41">
        <w:t>Financial corrections</w:t>
      </w:r>
    </w:p>
    <w:p w:rsidR="00F50689" w:rsidRDefault="005A36C4" w:rsidP="00F50689">
      <w:pPr>
        <w:pStyle w:val="Textstand-alone"/>
      </w:pPr>
      <w:r>
        <w:t xml:space="preserve">Under shared management, Member States are primarily responsible for </w:t>
      </w:r>
      <w:r w:rsidRPr="001941FD">
        <w:t>prevent</w:t>
      </w:r>
      <w:r>
        <w:t>ing</w:t>
      </w:r>
      <w:r w:rsidRPr="001941FD">
        <w:t xml:space="preserve"> or detect</w:t>
      </w:r>
      <w:r>
        <w:t>ing</w:t>
      </w:r>
      <w:r w:rsidRPr="001941FD">
        <w:t xml:space="preserve"> and address</w:t>
      </w:r>
      <w:r>
        <w:t>ing</w:t>
      </w:r>
      <w:r w:rsidRPr="001941FD">
        <w:t xml:space="preserve"> serious deficiencies in the management and control systems</w:t>
      </w:r>
      <w:r>
        <w:t xml:space="preserve">, while the Commission ensures an overall supervisory role. Where serious failings in the management and control systems of Member States have led or could lead to individual or systemic errors, irregularities or fraud, the Commission can apply financial corrections.  The term "financial correction" covers a wide range of actions, resulting from the Commission's (and other EU bodies') supervisory and audit role, including cases where the Commission bases the corrective actions on work done by national authorities. Where amounts unduly spent cannot be identified precisely, the Commission may apply extrapolated or flat-rate corrections in accordance with the sector-specific rules. </w:t>
      </w:r>
    </w:p>
    <w:p w:rsidR="00F50689" w:rsidRDefault="005A36C4" w:rsidP="00F50689">
      <w:pPr>
        <w:pStyle w:val="Textstand-alone"/>
      </w:pPr>
      <w:r>
        <w:t>Financial corrections are presented under two main categories in this note:</w:t>
      </w:r>
    </w:p>
    <w:p w:rsidR="00F50689" w:rsidRDefault="005A36C4" w:rsidP="00F50689">
      <w:pPr>
        <w:pStyle w:val="Textstand-alone"/>
        <w:ind w:left="567"/>
      </w:pPr>
      <w:r>
        <w:t xml:space="preserve">(1) Financial corrections </w:t>
      </w:r>
      <w:r w:rsidRPr="000B2394">
        <w:rPr>
          <w:b/>
        </w:rPr>
        <w:t>confirmed/decided</w:t>
      </w:r>
      <w:r>
        <w:t xml:space="preserve"> (table </w:t>
      </w:r>
      <w:r w:rsidRPr="00DA224A">
        <w:rPr>
          <w:b/>
        </w:rPr>
        <w:t>6.2.1</w:t>
      </w:r>
      <w:r>
        <w:t xml:space="preserve">): These amounts have been either confirmed (i.e. agreed) by the Member State concerned or adopted by a Commission decision. Corrections by Commission decision are recorded as revenue or negative expenses in the accounting system (see notes </w:t>
      </w:r>
      <w:r w:rsidRPr="00DA224A">
        <w:rPr>
          <w:b/>
        </w:rPr>
        <w:t>3.5</w:t>
      </w:r>
      <w:r>
        <w:t xml:space="preserve"> and </w:t>
      </w:r>
      <w:r w:rsidRPr="00DA224A">
        <w:rPr>
          <w:b/>
        </w:rPr>
        <w:t>3.9</w:t>
      </w:r>
      <w:r>
        <w:t>).</w:t>
      </w:r>
    </w:p>
    <w:p w:rsidR="00F50689" w:rsidRDefault="005A36C4" w:rsidP="00F50689">
      <w:pPr>
        <w:pStyle w:val="Textstand-alone"/>
        <w:ind w:left="567"/>
      </w:pPr>
      <w:r>
        <w:t xml:space="preserve">(2) Financial corrections </w:t>
      </w:r>
      <w:r w:rsidRPr="000B2394">
        <w:rPr>
          <w:b/>
        </w:rPr>
        <w:t>implemented</w:t>
      </w:r>
      <w:r>
        <w:t xml:space="preserve"> (table </w:t>
      </w:r>
      <w:r w:rsidRPr="00DA224A">
        <w:rPr>
          <w:b/>
        </w:rPr>
        <w:t>6.2.2</w:t>
      </w:r>
      <w:r>
        <w:t xml:space="preserve">): These amounts represent the final step of the process whereby the observed situation of undue expenditure is definitively corrected. Several implementation mechanisms are foreseen in the sector-based regulatory frameworks. </w:t>
      </w:r>
    </w:p>
    <w:p w:rsidR="00F50689" w:rsidRDefault="005A36C4" w:rsidP="00F50689">
      <w:pPr>
        <w:pStyle w:val="Textstand-alone"/>
      </w:pPr>
      <w:r>
        <w:t>Included under both categories are "corrections at source" resulting from the Commission’s supervisory role (see above). These corrections are deducted before cost claims are made or payments are processed by the Commission.</w:t>
      </w:r>
    </w:p>
    <w:p w:rsidR="00F50689" w:rsidRPr="007C7C41" w:rsidRDefault="005A36C4" w:rsidP="00F50689">
      <w:pPr>
        <w:pStyle w:val="HEADER3Part2"/>
      </w:pPr>
      <w:r w:rsidRPr="007C7C41">
        <w:t>Recoveries</w:t>
      </w:r>
    </w:p>
    <w:p w:rsidR="00F50689" w:rsidRDefault="005A36C4" w:rsidP="00F50689">
      <w:pPr>
        <w:pStyle w:val="Textstand-alone"/>
      </w:pPr>
      <w:r>
        <w:t>Under shared management, and in accordance with the Financial Regulation and sector regulations, Member States (and not the Commission) are primarily responsible for identifying and for recovering in accordance with national rules and procedures, from beneficiaries amounts unduly paid. For the EAGF, amounts recovered from the beneficiaries are credited to the EU budget as assigned revenue, after deduction applied by Member States of 20</w:t>
      </w:r>
      <w:r w:rsidR="00F12CBE">
        <w:t> </w:t>
      </w:r>
      <w:r>
        <w:t>% to cover administrative costs. For EAFRD and Cohesion policy, recoveries are taken into consideration in a future reimbursement claim received by the Commission, and therefore can be reused for the programme within the programming period – after the end of the eligibility period it is credited to the EU budget as assigned revenue.</w:t>
      </w:r>
    </w:p>
    <w:p w:rsidR="00F50689" w:rsidRDefault="005A36C4" w:rsidP="00F50689">
      <w:pPr>
        <w:pStyle w:val="Textstand-alone"/>
      </w:pPr>
      <w:r>
        <w:t xml:space="preserve">Under direct and indirect management, and in accordance with the Financial Regulation, recovery orders should be established by the authorising officer for amounts unduly paid. Recoveries are then implemented by direct bank transfer from the debtor or by offsetting from other amounts that the Commission owes to the debtor. The Financial Regulation foresees additional procedures to ensure the collection of recovery orders overdue, which are the object of a specific follow up by the Accounting Officer of the Commission. Commission services implement recoveries also "at source" by deducting ineligible expenditure (which has been identified in previous or current cost claims) from payments made. </w:t>
      </w:r>
    </w:p>
    <w:p w:rsidR="00F50689" w:rsidRPr="007C7C41" w:rsidRDefault="005A36C4" w:rsidP="00F50689">
      <w:pPr>
        <w:pStyle w:val="HEADER3Part2"/>
      </w:pPr>
      <w:r w:rsidRPr="007C7C41">
        <w:t>Impact of financial corrections and recoveries</w:t>
      </w:r>
    </w:p>
    <w:p w:rsidR="00F50689" w:rsidRDefault="005A36C4" w:rsidP="00F50689">
      <w:pPr>
        <w:pStyle w:val="Textstand-alone"/>
      </w:pPr>
      <w:r>
        <w:t xml:space="preserve">The primary objective of financial corrections and recoveries is to ensure that EU funds are used in accordance with the legal framework. However, the methods used, and thus the impact of corrective measures, varies significantly between different areas of spending, and between the different corrective measures. Financial corrections and recoveries related to the Common Agricultural Policy (CAP), as well as recoveries under EAGF and internal and external policies, result in the return of previously paid irregular amounts to the EU budget. Irregular amounts detected under Cohesion policy and recoveries under rural development are, up to now, often corrected by the Member State and consequently replaced by other eligible projects – these amounts do not return to the EU budget. </w:t>
      </w:r>
      <w:r w:rsidR="00F32A23">
        <w:t>However, after the end of the eligibility period/after closure of the programme, amounts are credited to the EU budget as revenue</w:t>
      </w:r>
      <w:r>
        <w:t xml:space="preserve">. See </w:t>
      </w:r>
      <w:r w:rsidRPr="000B2394">
        <w:rPr>
          <w:b/>
        </w:rPr>
        <w:t>6.2.2</w:t>
      </w:r>
      <w:r>
        <w:t xml:space="preserve"> below for more details.</w:t>
      </w:r>
    </w:p>
    <w:p w:rsidR="00F50689" w:rsidRDefault="005A36C4" w:rsidP="00F50689">
      <w:pPr>
        <w:pStyle w:val="Textstand-alone"/>
      </w:pPr>
      <w:r>
        <w:t xml:space="preserve">Furthermore, the corrective capacity is based on a wide range of measures, which apply both before and after the Commission makes (or reimburses) expenditure. Corrections are applied by the Commission following cost claims made by Member States </w:t>
      </w:r>
      <w:r w:rsidR="001A472B">
        <w:t xml:space="preserve">and other beneficiaries </w:t>
      </w:r>
      <w:r>
        <w:t>and/or p</w:t>
      </w:r>
      <w:r w:rsidR="001A472B">
        <w:t>ayments made by the Commission.</w:t>
      </w:r>
    </w:p>
    <w:p w:rsidR="00F50689" w:rsidRPr="00A675FE" w:rsidRDefault="00F50689">
      <w:pPr>
        <w:rPr>
          <w:rFonts w:ascii="Verdana" w:hAnsi="Verdana"/>
          <w:b/>
          <w:color w:val="016794"/>
          <w:sz w:val="28"/>
          <w:szCs w:val="28"/>
        </w:rPr>
      </w:pPr>
      <w:r w:rsidRPr="00A675FE">
        <w:br w:type="page"/>
      </w:r>
    </w:p>
    <w:p w:rsidR="00F50689" w:rsidRDefault="005A36C4" w:rsidP="00F50689">
      <w:pPr>
        <w:pStyle w:val="HEADER2Part2"/>
        <w:rPr>
          <w:lang w:val="fr-BE"/>
        </w:rPr>
      </w:pPr>
      <w:r>
        <w:rPr>
          <w:lang w:val="fr-BE"/>
        </w:rPr>
        <w:t>FINANCIAL CORRECTIONS AND RECOVERIES 2014</w:t>
      </w:r>
    </w:p>
    <w:p w:rsidR="00F50689" w:rsidRPr="007C7C41" w:rsidRDefault="005A36C4" w:rsidP="00F50689">
      <w:pPr>
        <w:pStyle w:val="HEADER3Part2"/>
      </w:pPr>
      <w:r w:rsidRPr="007C7C41">
        <w:t>Financial corrections and recoveries confirmed/decided in 2014</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1488"/>
        <w:gridCol w:w="1488"/>
        <w:gridCol w:w="1418"/>
        <w:gridCol w:w="1559"/>
      </w:tblGrid>
      <w:tr w:rsidR="00E7728E">
        <w:tc>
          <w:tcPr>
            <w:tcW w:w="3794"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73" w:name="DOC_TBL00074_1_1"/>
            <w:bookmarkEnd w:id="173"/>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1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rPr>
                <w:rFonts w:cs="Verdana"/>
              </w:rPr>
              <w:t>EUR millions</w:t>
            </w:r>
          </w:p>
        </w:tc>
      </w:tr>
      <w:tr w:rsidR="00E7728E">
        <w:tc>
          <w:tcPr>
            <w:tcW w:w="3794"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148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Financial Corrections</w:t>
            </w:r>
          </w:p>
        </w:tc>
        <w:tc>
          <w:tcPr>
            <w:tcW w:w="148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Recoveries</w:t>
            </w:r>
          </w:p>
        </w:tc>
        <w:tc>
          <w:tcPr>
            <w:tcW w:w="141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2014 Total</w:t>
            </w:r>
          </w:p>
        </w:tc>
        <w:tc>
          <w:tcPr>
            <w:tcW w:w="155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2013 Total</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NormalLeft"/>
              <w:rPr>
                <w:rFonts w:cs="Verdana"/>
              </w:rPr>
            </w:pPr>
            <w:r>
              <w:rPr>
                <w:rFonts w:cs="Verdana"/>
              </w:rPr>
              <w:t>Agriculture:</w:t>
            </w:r>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Figures9pNormalRight025"/>
              <w:rPr>
                <w:rFonts w:cs="Verdana"/>
              </w:rPr>
            </w:pPr>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Figures9pNormalRight025"/>
              <w:rPr>
                <w:rFonts w:cs="Verdana"/>
              </w:rPr>
            </w:pPr>
          </w:p>
        </w:tc>
        <w:tc>
          <w:tcPr>
            <w:tcW w:w="1418" w:type="dxa"/>
            <w:tcBorders>
              <w:top w:val="nil"/>
              <w:left w:val="nil"/>
              <w:bottom w:val="nil"/>
              <w:right w:val="nil"/>
            </w:tcBorders>
            <w:tcMar>
              <w:top w:w="0" w:type="dxa"/>
              <w:left w:w="0" w:type="dxa"/>
              <w:bottom w:w="0" w:type="dxa"/>
              <w:right w:w="0" w:type="dxa"/>
            </w:tcMar>
          </w:tcPr>
          <w:p w:rsidR="00F50689" w:rsidRDefault="00F50689" w:rsidP="00F50689">
            <w:pPr>
              <w:pStyle w:val="Figures9pNormalRight025"/>
              <w:rPr>
                <w:rFonts w:cs="Verdana"/>
              </w:rPr>
            </w:pPr>
          </w:p>
        </w:tc>
        <w:tc>
          <w:tcPr>
            <w:tcW w:w="1559" w:type="dxa"/>
            <w:tcBorders>
              <w:top w:val="nil"/>
              <w:left w:val="nil"/>
              <w:bottom w:val="nil"/>
              <w:right w:val="nil"/>
            </w:tcBorders>
            <w:tcMar>
              <w:top w:w="0" w:type="dxa"/>
              <w:left w:w="0" w:type="dxa"/>
              <w:bottom w:w="0" w:type="dxa"/>
              <w:right w:w="0" w:type="dxa"/>
            </w:tcMar>
          </w:tcPr>
          <w:p w:rsidR="00F50689" w:rsidRDefault="00F50689" w:rsidP="00F50689">
            <w:pPr>
              <w:pStyle w:val="Figures9pNormalRight025"/>
              <w:rPr>
                <w:rFonts w:cs="Verdana"/>
              </w:rPr>
            </w:pP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rPr>
                <w:rFonts w:cs="Verdana"/>
              </w:rPr>
              <w:t>EAGF</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1 649</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 xml:space="preserve"> 213</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1 862</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1 070</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rPr>
                <w:rFonts w:cs="Verdana"/>
              </w:rPr>
              <w:t>Rural Development</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 xml:space="preserve"> 220</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 xml:space="preserve"> 165</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 xml:space="preserve"> 385</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 xml:space="preserve"> 386</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NormalLeft"/>
              <w:rPr>
                <w:rFonts w:cs="Verdana"/>
              </w:rPr>
            </w:pPr>
            <w:r>
              <w:rPr>
                <w:rFonts w:cs="Verdana"/>
              </w:rPr>
              <w:t>Cohesion Policy:</w:t>
            </w:r>
          </w:p>
        </w:tc>
        <w:tc>
          <w:tcPr>
            <w:tcW w:w="1488" w:type="dxa"/>
            <w:tcBorders>
              <w:top w:val="nil"/>
              <w:left w:val="nil"/>
              <w:bottom w:val="nil"/>
              <w:right w:val="nil"/>
            </w:tcBorders>
            <w:tcMar>
              <w:top w:w="0" w:type="dxa"/>
              <w:left w:w="0" w:type="dxa"/>
              <w:bottom w:w="0" w:type="dxa"/>
              <w:right w:w="0" w:type="dxa"/>
            </w:tcMar>
          </w:tcPr>
          <w:p w:rsidR="00F50689" w:rsidRPr="00C36EFA" w:rsidRDefault="00F50689" w:rsidP="00F50689">
            <w:pPr>
              <w:pStyle w:val="Figures9pNormalRight025"/>
              <w:rPr>
                <w:rFonts w:cs="Verdana"/>
                <w:i/>
              </w:rPr>
            </w:pPr>
          </w:p>
        </w:tc>
        <w:tc>
          <w:tcPr>
            <w:tcW w:w="1488" w:type="dxa"/>
            <w:tcBorders>
              <w:top w:val="nil"/>
              <w:left w:val="nil"/>
              <w:bottom w:val="nil"/>
              <w:right w:val="nil"/>
            </w:tcBorders>
            <w:tcMar>
              <w:top w:w="0" w:type="dxa"/>
              <w:left w:w="0" w:type="dxa"/>
              <w:bottom w:w="0" w:type="dxa"/>
              <w:right w:w="0" w:type="dxa"/>
            </w:tcMar>
          </w:tcPr>
          <w:p w:rsidR="00F50689" w:rsidRPr="00C36EFA" w:rsidRDefault="00F50689" w:rsidP="00F50689">
            <w:pPr>
              <w:pStyle w:val="Figures9pNormalRight025"/>
              <w:rPr>
                <w:rFonts w:cs="Verdana"/>
                <w:i/>
              </w:rPr>
            </w:pPr>
          </w:p>
        </w:tc>
        <w:tc>
          <w:tcPr>
            <w:tcW w:w="1418" w:type="dxa"/>
            <w:tcBorders>
              <w:top w:val="nil"/>
              <w:left w:val="nil"/>
              <w:bottom w:val="nil"/>
              <w:right w:val="nil"/>
            </w:tcBorders>
            <w:tcMar>
              <w:top w:w="0" w:type="dxa"/>
              <w:left w:w="0" w:type="dxa"/>
              <w:bottom w:w="0" w:type="dxa"/>
              <w:right w:w="0" w:type="dxa"/>
            </w:tcMar>
          </w:tcPr>
          <w:p w:rsidR="00F50689" w:rsidRPr="00C36EFA" w:rsidRDefault="00F50689" w:rsidP="00F50689">
            <w:pPr>
              <w:pStyle w:val="Figures9pNormalRight025"/>
              <w:rPr>
                <w:rFonts w:cs="Verdana"/>
                <w:i/>
              </w:rPr>
            </w:pPr>
          </w:p>
        </w:tc>
        <w:tc>
          <w:tcPr>
            <w:tcW w:w="1559" w:type="dxa"/>
            <w:tcBorders>
              <w:top w:val="nil"/>
              <w:left w:val="nil"/>
              <w:bottom w:val="nil"/>
              <w:right w:val="nil"/>
            </w:tcBorders>
            <w:tcMar>
              <w:top w:w="0" w:type="dxa"/>
              <w:left w:w="0" w:type="dxa"/>
              <w:bottom w:w="0" w:type="dxa"/>
              <w:right w:w="0" w:type="dxa"/>
            </w:tcMar>
          </w:tcPr>
          <w:p w:rsidR="00F50689" w:rsidRPr="00C36EFA" w:rsidRDefault="00F50689" w:rsidP="00F50689">
            <w:pPr>
              <w:pStyle w:val="Figures9pNormalRight025"/>
              <w:rPr>
                <w:rFonts w:cs="Verdana"/>
                <w:i/>
              </w:rPr>
            </w:pP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rPr>
                <w:rFonts w:cs="Verdana"/>
              </w:rPr>
              <w:t>ERDF*</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1 330</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1 330</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 xml:space="preserve"> 338</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rPr>
                <w:rFonts w:cs="Verdana"/>
              </w:rPr>
              <w:t>Cohesion Fund</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 xml:space="preserve"> 292</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 xml:space="preserve"> 292</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 xml:space="preserve"> 220</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rPr>
                <w:rFonts w:cs="Verdana"/>
              </w:rPr>
              <w:t>ESF</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 xml:space="preserve"> 342</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 xml:space="preserve"> 1</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 xml:space="preserve"> 343</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 xml:space="preserve"> 874</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rPr>
                <w:rFonts w:cs="Verdana"/>
              </w:rPr>
              <w:t>FIFG/EFF</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 xml:space="preserve"> 39</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 xml:space="preserve"> 29</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 xml:space="preserve"> 67</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 xml:space="preserve"> 34</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rPr>
                <w:rFonts w:cs="Verdana"/>
              </w:rPr>
              <w:t>EAGGF Guidance</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 xml:space="preserve"> 13</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 xml:space="preserve"> 5</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 xml:space="preserve"> 18</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 xml:space="preserve"> 3</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rPr>
                <w:rFonts w:cs="Verdana"/>
              </w:rPr>
              <w:t>Other</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 xml:space="preserve">- </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 xml:space="preserve"> 16</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NormalLeft"/>
              <w:rPr>
                <w:rFonts w:cs="Verdana"/>
              </w:rPr>
            </w:pPr>
            <w:r>
              <w:rPr>
                <w:rFonts w:cs="Verdana"/>
              </w:rPr>
              <w:t>Internal policy areas</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sidRPr="00C36EFA">
              <w:rPr>
                <w:rFonts w:cs="Verdana"/>
                <w:i/>
              </w:rPr>
              <w:t xml:space="preserve"> 5</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sidRPr="00C36EFA">
              <w:rPr>
                <w:rFonts w:cs="Verdana"/>
                <w:i/>
              </w:rPr>
              <w:t xml:space="preserve"> 293</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sidRPr="00C36EFA">
              <w:rPr>
                <w:rFonts w:cs="Verdana"/>
                <w:i/>
              </w:rPr>
              <w:t xml:space="preserve"> 298</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sidRPr="00C36EFA">
              <w:rPr>
                <w:rFonts w:cs="Verdana"/>
                <w:i/>
              </w:rPr>
              <w:t xml:space="preserve"> 396</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NormalLeft"/>
              <w:rPr>
                <w:rFonts w:cs="Verdana"/>
              </w:rPr>
            </w:pPr>
            <w:r>
              <w:rPr>
                <w:rFonts w:cs="Verdana"/>
              </w:rPr>
              <w:t>External policy areas</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sidRPr="00C36EFA">
              <w:rPr>
                <w:rFonts w:cs="Verdana"/>
                <w:i/>
              </w:rPr>
              <w:t>N/A</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sidRPr="00C36EFA">
              <w:rPr>
                <w:rFonts w:cs="Verdana"/>
                <w:i/>
              </w:rPr>
              <w:t xml:space="preserve"> 127</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sidRPr="00C36EFA">
              <w:rPr>
                <w:rFonts w:cs="Verdana"/>
                <w:i/>
              </w:rPr>
              <w:t xml:space="preserve"> 127</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sidRPr="00C36EFA">
              <w:rPr>
                <w:rFonts w:cs="Verdana"/>
                <w:i/>
              </w:rPr>
              <w:t xml:space="preserve"> 93</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NormalLeft"/>
              <w:rPr>
                <w:rFonts w:cs="Verdana"/>
              </w:rPr>
            </w:pPr>
            <w:r>
              <w:rPr>
                <w:rFonts w:cs="Verdana"/>
              </w:rPr>
              <w:t>Administration</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sidRPr="00C36EFA">
              <w:rPr>
                <w:rFonts w:cs="Verdana"/>
                <w:i/>
              </w:rPr>
              <w:t>N/A</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sidRPr="00C36EFA">
              <w:rPr>
                <w:rFonts w:cs="Verdana"/>
                <w:i/>
              </w:rPr>
              <w:t xml:space="preserve"> 5</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sidRPr="00C36EFA">
              <w:rPr>
                <w:rFonts w:cs="Verdana"/>
                <w:i/>
              </w:rPr>
              <w:t xml:space="preserve"> 5</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sidRPr="00C36EFA">
              <w:rPr>
                <w:rFonts w:cs="Verdana"/>
                <w:i/>
              </w:rPr>
              <w:t xml:space="preserve"> 6</w:t>
            </w:r>
          </w:p>
        </w:tc>
      </w:tr>
      <w:tr w:rsidR="00E7728E">
        <w:tc>
          <w:tcPr>
            <w:tcW w:w="379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Total confirmed/decided in 2014</w:t>
            </w: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3 890</w:t>
            </w: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 xml:space="preserve"> 838</w:t>
            </w:r>
          </w:p>
        </w:tc>
        <w:tc>
          <w:tcPr>
            <w:tcW w:w="141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4 728</w:t>
            </w:r>
          </w:p>
        </w:tc>
        <w:tc>
          <w:tcPr>
            <w:tcW w:w="1559"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9pBoldRight025"/>
              <w:rPr>
                <w:rFonts w:cs="Verdana"/>
              </w:rPr>
            </w:pPr>
          </w:p>
        </w:tc>
      </w:tr>
      <w:tr w:rsidR="00E7728E" w:rsidRPr="00C36EFA">
        <w:tc>
          <w:tcPr>
            <w:tcW w:w="3794" w:type="dxa"/>
            <w:tcBorders>
              <w:top w:val="nil"/>
              <w:left w:val="nil"/>
              <w:bottom w:val="nil"/>
              <w:right w:val="nil"/>
            </w:tcBorders>
            <w:tcMar>
              <w:top w:w="0" w:type="dxa"/>
              <w:left w:w="0" w:type="dxa"/>
              <w:bottom w:w="0" w:type="dxa"/>
              <w:right w:w="0" w:type="dxa"/>
            </w:tcMar>
          </w:tcPr>
          <w:p w:rsidR="00F50689" w:rsidRPr="00C36EFA" w:rsidRDefault="005A36C4" w:rsidP="00F50689">
            <w:pPr>
              <w:pStyle w:val="Text9pNormalLeft"/>
              <w:rPr>
                <w:rFonts w:cs="Verdana"/>
                <w:i/>
              </w:rPr>
            </w:pPr>
            <w:r w:rsidRPr="00C36EFA">
              <w:rPr>
                <w:rFonts w:cs="Verdana"/>
                <w:i/>
              </w:rPr>
              <w:t>Total confirmed/decided in 2013</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sidRPr="00C36EFA">
              <w:rPr>
                <w:rFonts w:cs="Verdana"/>
                <w:i/>
              </w:rPr>
              <w:t>2 495</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sidRPr="00C36EFA">
              <w:rPr>
                <w:rFonts w:cs="Verdana"/>
                <w:i/>
              </w:rPr>
              <w:t xml:space="preserve"> 941</w:t>
            </w:r>
          </w:p>
        </w:tc>
        <w:tc>
          <w:tcPr>
            <w:tcW w:w="1418" w:type="dxa"/>
            <w:tcBorders>
              <w:top w:val="nil"/>
              <w:left w:val="nil"/>
              <w:bottom w:val="nil"/>
              <w:right w:val="nil"/>
            </w:tcBorders>
            <w:tcMar>
              <w:top w:w="0" w:type="dxa"/>
              <w:left w:w="0" w:type="dxa"/>
              <w:bottom w:w="0" w:type="dxa"/>
              <w:right w:w="0" w:type="dxa"/>
            </w:tcMar>
          </w:tcPr>
          <w:p w:rsidR="00F50689" w:rsidRPr="00C36EFA" w:rsidRDefault="00F50689" w:rsidP="00F50689">
            <w:pPr>
              <w:pStyle w:val="Figures9pNormalRight025"/>
              <w:rPr>
                <w:rFonts w:cs="Verdana"/>
                <w:i/>
              </w:rPr>
            </w:pP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sidRPr="00C36EFA">
              <w:rPr>
                <w:rFonts w:cs="Verdana"/>
                <w:i/>
              </w:rPr>
              <w:t>3 436</w:t>
            </w:r>
          </w:p>
        </w:tc>
      </w:tr>
    </w:tbl>
    <w:p w:rsidR="00F50689" w:rsidRDefault="005A36C4" w:rsidP="00F50689">
      <w:pPr>
        <w:pStyle w:val="Textstand-alone"/>
      </w:pPr>
      <w:r>
        <w:t xml:space="preserve">Included in the above amounts for 2014 are </w:t>
      </w:r>
      <w:r w:rsidRPr="00707D46">
        <w:t>financial corrections and recoveries</w:t>
      </w:r>
      <w:r>
        <w:t xml:space="preserve"> made at source totalling EUR</w:t>
      </w:r>
      <w:r w:rsidR="00E8741F">
        <w:t> </w:t>
      </w:r>
      <w:r>
        <w:t>1</w:t>
      </w:r>
      <w:r w:rsidR="00E8741F">
        <w:t> </w:t>
      </w:r>
      <w:r>
        <w:t>137</w:t>
      </w:r>
      <w:r w:rsidR="00E8741F">
        <w:t> </w:t>
      </w:r>
      <w:r>
        <w:t>million – Agriculture EUR</w:t>
      </w:r>
      <w:r w:rsidR="00E8741F">
        <w:t> </w:t>
      </w:r>
      <w:r>
        <w:t>21</w:t>
      </w:r>
      <w:r w:rsidR="00E8741F">
        <w:t> </w:t>
      </w:r>
      <w:r>
        <w:t>million, Cohesion EUR</w:t>
      </w:r>
      <w:r w:rsidR="00E8741F">
        <w:t> </w:t>
      </w:r>
      <w:r>
        <w:t>834</w:t>
      </w:r>
      <w:r w:rsidR="00E8741F">
        <w:t> </w:t>
      </w:r>
      <w:r>
        <w:t>million, internal policies EUR</w:t>
      </w:r>
      <w:r w:rsidR="00E8741F">
        <w:t> </w:t>
      </w:r>
      <w:r>
        <w:t>207</w:t>
      </w:r>
      <w:r w:rsidR="00E8741F">
        <w:t> </w:t>
      </w:r>
      <w:r>
        <w:t>million, external policies EUR</w:t>
      </w:r>
      <w:r w:rsidR="00E8741F">
        <w:t> </w:t>
      </w:r>
      <w:r>
        <w:t>71</w:t>
      </w:r>
      <w:r w:rsidR="00E8741F">
        <w:t> </w:t>
      </w:r>
      <w:r>
        <w:t>million and administration EUR</w:t>
      </w:r>
      <w:r w:rsidR="00E8741F">
        <w:t> </w:t>
      </w:r>
      <w:r>
        <w:t>4</w:t>
      </w:r>
      <w:r w:rsidR="00E8741F">
        <w:t> </w:t>
      </w:r>
      <w:r>
        <w:t>million.</w:t>
      </w:r>
    </w:p>
    <w:p w:rsidR="00F50689" w:rsidRDefault="005A36C4" w:rsidP="00F50689">
      <w:pPr>
        <w:pStyle w:val="Textstand-alone"/>
      </w:pPr>
      <w:r>
        <w:t xml:space="preserve">Corrections at source for ERDF and Cohesion Fund are disclosed in 2014 for the first time in both tables </w:t>
      </w:r>
      <w:r w:rsidRPr="00A875AB">
        <w:rPr>
          <w:b/>
        </w:rPr>
        <w:t>6.2.1</w:t>
      </w:r>
      <w:r>
        <w:t xml:space="preserve"> &amp; </w:t>
      </w:r>
      <w:r w:rsidRPr="00A875AB">
        <w:rPr>
          <w:b/>
        </w:rPr>
        <w:t>6.2.2</w:t>
      </w:r>
      <w:r>
        <w:t xml:space="preserve"> – the 2013 comparative amounts do not, therefore, include such corrections. The amounts disclosed for these funds in 2014 are cumulative and thus include amounts relating to prior years.</w:t>
      </w:r>
    </w:p>
    <w:p w:rsidR="00F50689" w:rsidRPr="007C7C41" w:rsidRDefault="005A36C4" w:rsidP="00F50689">
      <w:pPr>
        <w:pStyle w:val="HEADER3Part2"/>
      </w:pPr>
      <w:r w:rsidRPr="007C7C41">
        <w:t>Financial corrections and recoveries implemented in 2014</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1488"/>
        <w:gridCol w:w="1488"/>
        <w:gridCol w:w="1418"/>
        <w:gridCol w:w="1559"/>
      </w:tblGrid>
      <w:tr w:rsidR="00E7728E">
        <w:tc>
          <w:tcPr>
            <w:tcW w:w="3794"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74" w:name="DOC_TBL00075_1_1"/>
            <w:bookmarkEnd w:id="174"/>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1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rPr>
                <w:rFonts w:cs="Verdana"/>
              </w:rPr>
              <w:t>EUR millions</w:t>
            </w:r>
          </w:p>
        </w:tc>
      </w:tr>
      <w:tr w:rsidR="00E7728E">
        <w:tc>
          <w:tcPr>
            <w:tcW w:w="3794"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148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Financial Corrections</w:t>
            </w:r>
          </w:p>
        </w:tc>
        <w:tc>
          <w:tcPr>
            <w:tcW w:w="148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Recoveries</w:t>
            </w:r>
          </w:p>
        </w:tc>
        <w:tc>
          <w:tcPr>
            <w:tcW w:w="141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2014 Total</w:t>
            </w:r>
          </w:p>
        </w:tc>
        <w:tc>
          <w:tcPr>
            <w:tcW w:w="155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2013 Total</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NormalLeft"/>
              <w:rPr>
                <w:rFonts w:cs="Verdana"/>
              </w:rPr>
            </w:pPr>
            <w:r>
              <w:rPr>
                <w:rFonts w:cs="Verdana"/>
              </w:rPr>
              <w:t>Agriculture:</w:t>
            </w:r>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Figures9pNormalRight025"/>
              <w:rPr>
                <w:rFonts w:cs="Verdana"/>
              </w:rPr>
            </w:pPr>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Figures9pNormalRight025"/>
              <w:rPr>
                <w:rFonts w:cs="Verdana"/>
              </w:rPr>
            </w:pPr>
          </w:p>
        </w:tc>
        <w:tc>
          <w:tcPr>
            <w:tcW w:w="1418" w:type="dxa"/>
            <w:tcBorders>
              <w:top w:val="nil"/>
              <w:left w:val="nil"/>
              <w:bottom w:val="nil"/>
              <w:right w:val="nil"/>
            </w:tcBorders>
            <w:tcMar>
              <w:top w:w="0" w:type="dxa"/>
              <w:left w:w="0" w:type="dxa"/>
              <w:bottom w:w="0" w:type="dxa"/>
              <w:right w:w="0" w:type="dxa"/>
            </w:tcMar>
          </w:tcPr>
          <w:p w:rsidR="00F50689" w:rsidRDefault="00F50689" w:rsidP="00F50689">
            <w:pPr>
              <w:pStyle w:val="Figures9pNormalRight025"/>
              <w:rPr>
                <w:rFonts w:cs="Verdana"/>
              </w:rPr>
            </w:pPr>
          </w:p>
        </w:tc>
        <w:tc>
          <w:tcPr>
            <w:tcW w:w="1559" w:type="dxa"/>
            <w:tcBorders>
              <w:top w:val="nil"/>
              <w:left w:val="nil"/>
              <w:bottom w:val="nil"/>
              <w:right w:val="nil"/>
            </w:tcBorders>
            <w:tcMar>
              <w:top w:w="0" w:type="dxa"/>
              <w:left w:w="0" w:type="dxa"/>
              <w:bottom w:w="0" w:type="dxa"/>
              <w:right w:w="0" w:type="dxa"/>
            </w:tcMar>
          </w:tcPr>
          <w:p w:rsidR="00F50689" w:rsidRDefault="00F50689" w:rsidP="00F50689">
            <w:pPr>
              <w:pStyle w:val="Figures9pNormalRight025"/>
              <w:rPr>
                <w:rFonts w:cs="Verdana"/>
              </w:rPr>
            </w:pP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rPr>
                <w:rFonts w:cs="Verdana"/>
              </w:rPr>
              <w:t>EAGF</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 xml:space="preserve"> 796</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 xml:space="preserve"> 150</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 xml:space="preserve"> 946</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 xml:space="preserve"> 636</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rPr>
                <w:rFonts w:cs="Verdana"/>
              </w:rPr>
              <w:t>Rural Development</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 xml:space="preserve"> 86</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 xml:space="preserve"> 167</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 xml:space="preserve"> 252</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 xml:space="preserve"> 359</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NormalLeft"/>
              <w:rPr>
                <w:rFonts w:cs="Verdana"/>
              </w:rPr>
            </w:pPr>
            <w:r>
              <w:rPr>
                <w:rFonts w:cs="Verdana"/>
              </w:rPr>
              <w:t>Cohesion Policy:</w:t>
            </w:r>
          </w:p>
        </w:tc>
        <w:tc>
          <w:tcPr>
            <w:tcW w:w="1488" w:type="dxa"/>
            <w:tcBorders>
              <w:top w:val="nil"/>
              <w:left w:val="nil"/>
              <w:bottom w:val="nil"/>
              <w:right w:val="nil"/>
            </w:tcBorders>
            <w:tcMar>
              <w:top w:w="0" w:type="dxa"/>
              <w:left w:w="0" w:type="dxa"/>
              <w:bottom w:w="0" w:type="dxa"/>
              <w:right w:w="0" w:type="dxa"/>
            </w:tcMar>
          </w:tcPr>
          <w:p w:rsidR="00F50689" w:rsidRPr="00C36EFA" w:rsidRDefault="00F50689" w:rsidP="00F50689">
            <w:pPr>
              <w:pStyle w:val="Figures9pNormalRight025"/>
              <w:rPr>
                <w:rFonts w:cs="Verdana"/>
                <w:i/>
              </w:rPr>
            </w:pPr>
          </w:p>
        </w:tc>
        <w:tc>
          <w:tcPr>
            <w:tcW w:w="1488" w:type="dxa"/>
            <w:tcBorders>
              <w:top w:val="nil"/>
              <w:left w:val="nil"/>
              <w:bottom w:val="nil"/>
              <w:right w:val="nil"/>
            </w:tcBorders>
            <w:tcMar>
              <w:top w:w="0" w:type="dxa"/>
              <w:left w:w="0" w:type="dxa"/>
              <w:bottom w:w="0" w:type="dxa"/>
              <w:right w:w="0" w:type="dxa"/>
            </w:tcMar>
          </w:tcPr>
          <w:p w:rsidR="00F50689" w:rsidRPr="00C36EFA" w:rsidRDefault="00F50689" w:rsidP="00F50689">
            <w:pPr>
              <w:pStyle w:val="Figures9pNormalRight025"/>
              <w:rPr>
                <w:rFonts w:cs="Verdana"/>
                <w:i/>
              </w:rPr>
            </w:pPr>
          </w:p>
        </w:tc>
        <w:tc>
          <w:tcPr>
            <w:tcW w:w="1418" w:type="dxa"/>
            <w:tcBorders>
              <w:top w:val="nil"/>
              <w:left w:val="nil"/>
              <w:bottom w:val="nil"/>
              <w:right w:val="nil"/>
            </w:tcBorders>
            <w:tcMar>
              <w:top w:w="0" w:type="dxa"/>
              <w:left w:w="0" w:type="dxa"/>
              <w:bottom w:w="0" w:type="dxa"/>
              <w:right w:w="0" w:type="dxa"/>
            </w:tcMar>
          </w:tcPr>
          <w:p w:rsidR="00F50689" w:rsidRPr="00C36EFA" w:rsidRDefault="00F50689" w:rsidP="00F50689">
            <w:pPr>
              <w:pStyle w:val="Figures9pNormalRight025"/>
              <w:rPr>
                <w:rFonts w:cs="Verdana"/>
                <w:i/>
              </w:rPr>
            </w:pPr>
          </w:p>
        </w:tc>
        <w:tc>
          <w:tcPr>
            <w:tcW w:w="1559" w:type="dxa"/>
            <w:tcBorders>
              <w:top w:val="nil"/>
              <w:left w:val="nil"/>
              <w:bottom w:val="nil"/>
              <w:right w:val="nil"/>
            </w:tcBorders>
            <w:tcMar>
              <w:top w:w="0" w:type="dxa"/>
              <w:left w:w="0" w:type="dxa"/>
              <w:bottom w:w="0" w:type="dxa"/>
              <w:right w:w="0" w:type="dxa"/>
            </w:tcMar>
          </w:tcPr>
          <w:p w:rsidR="00F50689" w:rsidRPr="00C36EFA" w:rsidRDefault="00F50689" w:rsidP="00F50689">
            <w:pPr>
              <w:pStyle w:val="Figures9pNormalRight025"/>
              <w:rPr>
                <w:rFonts w:cs="Verdana"/>
                <w:i/>
              </w:rPr>
            </w:pP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rPr>
                <w:rFonts w:cs="Verdana"/>
              </w:rPr>
              <w:t>ERDF*</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1 083</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 xml:space="preserve"> 1</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1 084</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 xml:space="preserve"> 622</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rPr>
                <w:rFonts w:cs="Verdana"/>
              </w:rPr>
              <w:t>Cohesion Fund</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 xml:space="preserve"> 236</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 xml:space="preserve"> 236</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 xml:space="preserve"> 277</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rPr>
                <w:rFonts w:cs="Verdana"/>
              </w:rPr>
              <w:t>ESF</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 xml:space="preserve"> 289</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 xml:space="preserve"> 1</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 xml:space="preserve"> 290</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 xml:space="preserve"> 882</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rPr>
                <w:rFonts w:cs="Verdana"/>
              </w:rPr>
              <w:t>FIFG/EFF</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 xml:space="preserve"> 41</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 xml:space="preserve"> 25</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 xml:space="preserve"> 66</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 xml:space="preserve"> 28</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rPr>
                <w:rFonts w:cs="Verdana"/>
              </w:rPr>
              <w:t>EAGGF Guidance</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 xml:space="preserve"> 13</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 xml:space="preserve"> 5</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 xml:space="preserve"> 18</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 xml:space="preserve"> 16</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rPr>
                <w:rFonts w:cs="Verdana"/>
              </w:rPr>
              <w:t>Other</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 xml:space="preserve">- </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rsidRPr="00C36EFA">
              <w:rPr>
                <w:rFonts w:cs="Verdana"/>
              </w:rPr>
              <w:t xml:space="preserve"> 16</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NormalLeft"/>
              <w:rPr>
                <w:rFonts w:cs="Verdana"/>
              </w:rPr>
            </w:pPr>
            <w:r>
              <w:rPr>
                <w:rFonts w:cs="Verdana"/>
              </w:rPr>
              <w:t>Internal policy areas</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sidRPr="00C36EFA">
              <w:rPr>
                <w:rFonts w:cs="Verdana"/>
                <w:i/>
              </w:rPr>
              <w:t xml:space="preserve"> 5</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sidRPr="00C36EFA">
              <w:rPr>
                <w:rFonts w:cs="Verdana"/>
                <w:i/>
              </w:rPr>
              <w:t xml:space="preserve"> 274</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sidRPr="00C36EFA">
              <w:rPr>
                <w:rFonts w:cs="Verdana"/>
                <w:i/>
              </w:rPr>
              <w:t xml:space="preserve"> 279</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sidRPr="00C36EFA">
              <w:rPr>
                <w:rFonts w:cs="Verdana"/>
                <w:i/>
              </w:rPr>
              <w:t xml:space="preserve"> 401</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NormalLeft"/>
              <w:rPr>
                <w:rFonts w:cs="Verdana"/>
              </w:rPr>
            </w:pPr>
            <w:r>
              <w:rPr>
                <w:rFonts w:cs="Verdana"/>
              </w:rPr>
              <w:t>External policy areas</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sidRPr="00C36EFA">
              <w:rPr>
                <w:rFonts w:cs="Verdana"/>
                <w:i/>
              </w:rPr>
              <w:t>N/A</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sidRPr="00C36EFA">
              <w:rPr>
                <w:rFonts w:cs="Verdana"/>
                <w:i/>
              </w:rPr>
              <w:t xml:space="preserve"> 108</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sidRPr="00C36EFA">
              <w:rPr>
                <w:rFonts w:cs="Verdana"/>
                <w:i/>
              </w:rPr>
              <w:t xml:space="preserve"> 108</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sidRPr="00C36EFA">
              <w:rPr>
                <w:rFonts w:cs="Verdana"/>
                <w:i/>
              </w:rPr>
              <w:t xml:space="preserve"> 93</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NormalLeft"/>
              <w:rPr>
                <w:rFonts w:cs="Verdana"/>
              </w:rPr>
            </w:pPr>
            <w:r>
              <w:rPr>
                <w:rFonts w:cs="Verdana"/>
              </w:rPr>
              <w:t>Administration</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sidRPr="00C36EFA">
              <w:rPr>
                <w:rFonts w:cs="Verdana"/>
                <w:i/>
              </w:rPr>
              <w:t>N/A</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sidRPr="00C36EFA">
              <w:rPr>
                <w:rFonts w:cs="Verdana"/>
                <w:i/>
              </w:rPr>
              <w:t xml:space="preserve"> 5</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sidRPr="00C36EFA">
              <w:rPr>
                <w:rFonts w:cs="Verdana"/>
                <w:i/>
              </w:rPr>
              <w:t xml:space="preserve"> 5</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sidRPr="00C36EFA">
              <w:rPr>
                <w:rFonts w:cs="Verdana"/>
                <w:i/>
              </w:rPr>
              <w:t xml:space="preserve"> 6</w:t>
            </w:r>
          </w:p>
        </w:tc>
      </w:tr>
      <w:tr w:rsidR="00E7728E">
        <w:tc>
          <w:tcPr>
            <w:tcW w:w="379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Total implemented in 2014</w:t>
            </w: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2 549</w:t>
            </w: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 xml:space="preserve"> 736</w:t>
            </w:r>
          </w:p>
        </w:tc>
        <w:tc>
          <w:tcPr>
            <w:tcW w:w="141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3 285</w:t>
            </w:r>
          </w:p>
        </w:tc>
        <w:tc>
          <w:tcPr>
            <w:tcW w:w="1559"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9pBoldRight025"/>
              <w:rPr>
                <w:rFonts w:cs="Verdana"/>
              </w:rPr>
            </w:pPr>
          </w:p>
        </w:tc>
      </w:tr>
      <w:tr w:rsidR="00E7728E" w:rsidRPr="00C36EFA">
        <w:tc>
          <w:tcPr>
            <w:tcW w:w="3794" w:type="dxa"/>
            <w:tcBorders>
              <w:top w:val="nil"/>
              <w:left w:val="nil"/>
              <w:bottom w:val="nil"/>
              <w:right w:val="nil"/>
            </w:tcBorders>
            <w:tcMar>
              <w:top w:w="0" w:type="dxa"/>
              <w:left w:w="0" w:type="dxa"/>
              <w:bottom w:w="0" w:type="dxa"/>
              <w:right w:w="0" w:type="dxa"/>
            </w:tcMar>
          </w:tcPr>
          <w:p w:rsidR="00F50689" w:rsidRPr="00C36EFA" w:rsidRDefault="005A36C4" w:rsidP="00F50689">
            <w:pPr>
              <w:pStyle w:val="Text9pNormalLeft"/>
              <w:rPr>
                <w:rFonts w:cs="Verdana"/>
                <w:i/>
              </w:rPr>
            </w:pPr>
            <w:r w:rsidRPr="00C36EFA">
              <w:rPr>
                <w:rFonts w:cs="Verdana"/>
                <w:i/>
              </w:rPr>
              <w:t>Total implemented in 2013</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sidRPr="00C36EFA">
              <w:rPr>
                <w:rFonts w:cs="Verdana"/>
                <w:i/>
              </w:rPr>
              <w:t>2 472</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sidRPr="00C36EFA">
              <w:rPr>
                <w:rFonts w:cs="Verdana"/>
                <w:i/>
              </w:rPr>
              <w:t xml:space="preserve"> 862</w:t>
            </w:r>
          </w:p>
        </w:tc>
        <w:tc>
          <w:tcPr>
            <w:tcW w:w="1418" w:type="dxa"/>
            <w:tcBorders>
              <w:top w:val="nil"/>
              <w:left w:val="nil"/>
              <w:bottom w:val="nil"/>
              <w:right w:val="nil"/>
            </w:tcBorders>
            <w:tcMar>
              <w:top w:w="0" w:type="dxa"/>
              <w:left w:w="0" w:type="dxa"/>
              <w:bottom w:w="0" w:type="dxa"/>
              <w:right w:w="0" w:type="dxa"/>
            </w:tcMar>
          </w:tcPr>
          <w:p w:rsidR="00F50689" w:rsidRPr="00C36EFA" w:rsidRDefault="00F50689" w:rsidP="00F50689">
            <w:pPr>
              <w:pStyle w:val="Figures9pNormalRight025"/>
              <w:rPr>
                <w:rFonts w:cs="Verdana"/>
                <w:i/>
              </w:rPr>
            </w:pP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sidRPr="00C36EFA">
              <w:rPr>
                <w:rFonts w:cs="Verdana"/>
                <w:i/>
              </w:rPr>
              <w:t>3 334</w:t>
            </w:r>
          </w:p>
        </w:tc>
      </w:tr>
    </w:tbl>
    <w:p w:rsidR="00F50689" w:rsidRPr="00101459" w:rsidRDefault="005A36C4" w:rsidP="00101459">
      <w:pPr>
        <w:pStyle w:val="Textstand-alone"/>
        <w:spacing w:before="60"/>
        <w:rPr>
          <w:i/>
          <w:sz w:val="16"/>
        </w:rPr>
      </w:pPr>
      <w:r w:rsidRPr="00101459">
        <w:rPr>
          <w:i/>
          <w:sz w:val="14"/>
          <w:szCs w:val="16"/>
        </w:rPr>
        <w:t>* The figures reported for ERDF include amounts not split between ERDF and the Cohesion Fund for the programming period 2007-2013 due to the multi-funds character of the programmes (EUR 354 million for financial corrections confirmed/decided and EUR 15 million for financial corrections implemented).</w:t>
      </w:r>
    </w:p>
    <w:p w:rsidR="00F50689" w:rsidRPr="009F1FDC" w:rsidRDefault="005A36C4" w:rsidP="00F50689">
      <w:pPr>
        <w:pStyle w:val="Textstand-alone"/>
      </w:pPr>
      <w:r>
        <w:t xml:space="preserve">Included in the above amounts for 2014 are </w:t>
      </w:r>
      <w:r w:rsidRPr="00707D46">
        <w:t>financial corrections and recoveries made at source totalling EUR</w:t>
      </w:r>
      <w:r w:rsidR="00E8741F">
        <w:t> </w:t>
      </w:r>
      <w:r w:rsidRPr="00707D46">
        <w:t>78</w:t>
      </w:r>
      <w:r>
        <w:t>2</w:t>
      </w:r>
      <w:r w:rsidR="00E8741F">
        <w:t> </w:t>
      </w:r>
      <w:r w:rsidRPr="00707D46">
        <w:t>million – Agriculture EUR</w:t>
      </w:r>
      <w:r w:rsidR="003A3A39">
        <w:t> </w:t>
      </w:r>
      <w:r w:rsidRPr="00707D46">
        <w:t>6</w:t>
      </w:r>
      <w:r w:rsidR="003A3A39">
        <w:t> </w:t>
      </w:r>
      <w:r w:rsidRPr="00707D46">
        <w:t>million, Cohesion EUR</w:t>
      </w:r>
      <w:r w:rsidR="003A3A39">
        <w:t> </w:t>
      </w:r>
      <w:r w:rsidRPr="00707D46">
        <w:t>49</w:t>
      </w:r>
      <w:r>
        <w:t>4</w:t>
      </w:r>
      <w:r w:rsidR="003A3A39">
        <w:t> </w:t>
      </w:r>
      <w:r w:rsidRPr="00707D46">
        <w:t>million, internal</w:t>
      </w:r>
      <w:r>
        <w:t xml:space="preserve"> policies EUR</w:t>
      </w:r>
      <w:r w:rsidR="00E8741F">
        <w:t> </w:t>
      </w:r>
      <w:r>
        <w:t>207</w:t>
      </w:r>
      <w:r w:rsidR="00E8741F">
        <w:t> </w:t>
      </w:r>
      <w:r>
        <w:t>million, external policies EUR</w:t>
      </w:r>
      <w:r w:rsidR="003A3A39">
        <w:t> </w:t>
      </w:r>
      <w:r>
        <w:t>71</w:t>
      </w:r>
      <w:r w:rsidR="003A3A39">
        <w:t> </w:t>
      </w:r>
      <w:r>
        <w:t>million and administration EUR</w:t>
      </w:r>
      <w:r w:rsidR="003A3A39">
        <w:t> </w:t>
      </w:r>
      <w:r>
        <w:t>4</w:t>
      </w:r>
      <w:r w:rsidR="003A3A39">
        <w:t> </w:t>
      </w:r>
      <w:r>
        <w:t xml:space="preserve">million. </w:t>
      </w:r>
    </w:p>
    <w:p w:rsidR="00F50689" w:rsidRDefault="00F50689">
      <w:pPr>
        <w:rPr>
          <w:rFonts w:ascii="Verdana" w:hAnsi="Verdana"/>
          <w:b/>
          <w:color w:val="016794"/>
          <w:sz w:val="18"/>
          <w:szCs w:val="18"/>
        </w:rPr>
      </w:pPr>
      <w:r>
        <w:br w:type="page"/>
      </w:r>
    </w:p>
    <w:p w:rsidR="00F50689" w:rsidRDefault="005A36C4" w:rsidP="00F50689">
      <w:pPr>
        <w:pStyle w:val="HEADER5"/>
      </w:pPr>
      <w:r w:rsidRPr="00111411">
        <w:t xml:space="preserve">Agriculture and Rural Development: </w:t>
      </w:r>
    </w:p>
    <w:p w:rsidR="00F50689" w:rsidRPr="004527CF" w:rsidRDefault="005A36C4" w:rsidP="00F50689">
      <w:pPr>
        <w:pStyle w:val="Textstand-alone"/>
        <w:rPr>
          <w:rFonts w:cs="Arial"/>
        </w:rPr>
      </w:pPr>
      <w:r>
        <w:t>Financial corrections relate to weaknesses detected in Member States' management and control systems based on audits performed by the Commission within the multiannual conformity clearance procedures</w:t>
      </w:r>
      <w:r w:rsidRPr="004527CF">
        <w:rPr>
          <w:rFonts w:cs="Arial"/>
        </w:rPr>
        <w:t xml:space="preserve">. </w:t>
      </w:r>
      <w:r>
        <w:rPr>
          <w:rFonts w:cs="Arial"/>
        </w:rPr>
        <w:t>In addtion, corrections also come from the annual financial clearance decisions. Financial corrections</w:t>
      </w:r>
      <w:r w:rsidRPr="004527CF">
        <w:rPr>
          <w:rFonts w:cs="Arial"/>
        </w:rPr>
        <w:t xml:space="preserve"> are an incentive for Member States to improve their management and control systems and</w:t>
      </w:r>
      <w:r>
        <w:rPr>
          <w:rFonts w:cs="Arial"/>
        </w:rPr>
        <w:t>, together with recoveries protect the EU budget from expenditure</w:t>
      </w:r>
      <w:r w:rsidRPr="004527CF">
        <w:rPr>
          <w:rFonts w:cs="Arial"/>
        </w:rPr>
        <w:t xml:space="preserve"> in breach of law. </w:t>
      </w:r>
    </w:p>
    <w:p w:rsidR="00F50689" w:rsidRDefault="005A36C4" w:rsidP="00F50689">
      <w:pPr>
        <w:pStyle w:val="Textstand-alone"/>
      </w:pPr>
      <w:r>
        <w:t xml:space="preserve">The amount confirmed/decided includes Conformity clearance decision No </w:t>
      </w:r>
      <w:r w:rsidRPr="002435D0">
        <w:rPr>
          <w:rStyle w:val="DGTextstand-aloneChar"/>
        </w:rPr>
        <w:t>2015/103</w:t>
      </w:r>
      <w:r>
        <w:t xml:space="preserve"> (EUR 1 243 million and EUR 166 million for EAGF and EAFRD respectively), which was established before the year-end by the Commission services but formally adopted by the Commission in January 2015 only. These amounts are also included as accrued income as at 31</w:t>
      </w:r>
      <w:r w:rsidR="00F12CBE">
        <w:t> </w:t>
      </w:r>
      <w:r>
        <w:t>December</w:t>
      </w:r>
      <w:r w:rsidR="00F12CBE">
        <w:t> </w:t>
      </w:r>
      <w:r>
        <w:t>2014.</w:t>
      </w:r>
      <w:r w:rsidRPr="008E5B11">
        <w:t xml:space="preserve"> </w:t>
      </w:r>
    </w:p>
    <w:p w:rsidR="00F50689" w:rsidRDefault="005A36C4" w:rsidP="00F50689">
      <w:pPr>
        <w:pStyle w:val="Textstand-alone"/>
        <w:rPr>
          <w:rStyle w:val="DGTextstand-aloneChar"/>
        </w:rPr>
      </w:pPr>
      <w:r>
        <w:t>F</w:t>
      </w:r>
      <w:r w:rsidRPr="008B3E70">
        <w:t xml:space="preserve">or </w:t>
      </w:r>
      <w:r w:rsidRPr="00B34C96">
        <w:t xml:space="preserve">EAGF and for </w:t>
      </w:r>
      <w:r>
        <w:t>EAFRD,</w:t>
      </w:r>
      <w:r w:rsidRPr="008B3E70">
        <w:t xml:space="preserve"> financial corrections higher than 0</w:t>
      </w:r>
      <w:r>
        <w:t>.</w:t>
      </w:r>
      <w:r w:rsidRPr="008B3E70">
        <w:t>01</w:t>
      </w:r>
      <w:r>
        <w:t> </w:t>
      </w:r>
      <w:r w:rsidRPr="008B3E70">
        <w:t xml:space="preserve">% of the GDP may, at the request of the Member State concerned, be implemented in </w:t>
      </w:r>
      <w:r>
        <w:t>three</w:t>
      </w:r>
      <w:r w:rsidRPr="008B3E70">
        <w:t xml:space="preserve"> annual instalments. In addition, in </w:t>
      </w:r>
      <w:r>
        <w:t xml:space="preserve">a </w:t>
      </w:r>
      <w:r w:rsidRPr="008B3E70">
        <w:t>few cases (Member States subject to financial assistance in accordance with the European Financial Stability Framework Agr</w:t>
      </w:r>
      <w:r>
        <w:t>eement signed on 7</w:t>
      </w:r>
      <w:r w:rsidR="00F12CBE">
        <w:t> </w:t>
      </w:r>
      <w:r>
        <w:t>June</w:t>
      </w:r>
      <w:r w:rsidR="00F12CBE">
        <w:t> </w:t>
      </w:r>
      <w:r>
        <w:t>2010),</w:t>
      </w:r>
      <w:r w:rsidRPr="008B3E70">
        <w:t xml:space="preserve"> the date of implement</w:t>
      </w:r>
      <w:r>
        <w:t>ation was deferred by 18 months</w:t>
      </w:r>
      <w:r w:rsidRPr="008B3E70">
        <w:t>. These modalities aim at ensuring that the actual reimbursement by the Member States concerned to the EU budget can be managed without putting</w:t>
      </w:r>
      <w:r>
        <w:t xml:space="preserve"> at risk the national budgets. </w:t>
      </w:r>
      <w:r w:rsidRPr="008B3E70">
        <w:t>Defer</w:t>
      </w:r>
      <w:r>
        <w:t>r</w:t>
      </w:r>
      <w:r w:rsidRPr="008B3E70">
        <w:t>al</w:t>
      </w:r>
      <w:r>
        <w:t>s</w:t>
      </w:r>
      <w:r w:rsidRPr="008B3E70">
        <w:t xml:space="preserve"> and instalments </w:t>
      </w:r>
      <w:r>
        <w:t xml:space="preserve">have an impact of </w:t>
      </w:r>
      <w:r w:rsidRPr="00F448E7">
        <w:t>EUR 5</w:t>
      </w:r>
      <w:r>
        <w:t>66</w:t>
      </w:r>
      <w:r w:rsidRPr="00F448E7">
        <w:t> million</w:t>
      </w:r>
      <w:r>
        <w:t xml:space="preserve"> (EAGF: EUR</w:t>
      </w:r>
      <w:r w:rsidR="003A3A39">
        <w:t> </w:t>
      </w:r>
      <w:r>
        <w:t>515</w:t>
      </w:r>
      <w:r w:rsidR="003A3A39">
        <w:t> </w:t>
      </w:r>
      <w:r>
        <w:t>million and EAFRD: EUR</w:t>
      </w:r>
      <w:r w:rsidR="003A3A39">
        <w:t> </w:t>
      </w:r>
      <w:r>
        <w:t>51</w:t>
      </w:r>
      <w:r w:rsidR="003A3A39">
        <w:t> </w:t>
      </w:r>
      <w:r>
        <w:t>million) on</w:t>
      </w:r>
      <w:r w:rsidRPr="008B3E70">
        <w:t xml:space="preserve"> the difference observed between the amounts </w:t>
      </w:r>
      <w:r>
        <w:t>confirmed/</w:t>
      </w:r>
      <w:r w:rsidRPr="008B3E70">
        <w:t>decided an</w:t>
      </w:r>
      <w:r>
        <w:t xml:space="preserve">d the actual implementation. The remaining amount is explained by the decision No </w:t>
      </w:r>
      <w:r w:rsidRPr="002435D0">
        <w:rPr>
          <w:rStyle w:val="DGTextstand-aloneChar"/>
        </w:rPr>
        <w:t>2015/103</w:t>
      </w:r>
      <w:r>
        <w:rPr>
          <w:rStyle w:val="DGTextstand-aloneChar"/>
        </w:rPr>
        <w:t xml:space="preserve"> confirmed in December 2014 but adopted in January 2015 only – see above.</w:t>
      </w:r>
    </w:p>
    <w:p w:rsidR="00F50689" w:rsidRPr="008E5B11" w:rsidRDefault="005A36C4" w:rsidP="00F50689">
      <w:pPr>
        <w:pStyle w:val="Textstand-alone"/>
      </w:pPr>
      <w:r w:rsidRPr="00B758A9">
        <w:rPr>
          <w:rFonts w:cs="Arial"/>
        </w:rPr>
        <w:t>Recoveries of irregularities made by paying agencies reduce future claims for reimbursement by the Commission to Member States. For EAGF the Commission records the full amount paid to farmers as spending. It accounts for the difference between payments made to farmers and the amounts reimbursed to paying agencies as assigned revenue, available to fund agricultural spending.</w:t>
      </w:r>
      <w:r>
        <w:rPr>
          <w:rFonts w:cs="Arial"/>
        </w:rPr>
        <w:t xml:space="preserve"> For EAFRD the Commission records as spending the net eligible amount after deduction of corrections and recoveries.</w:t>
      </w:r>
      <w:r w:rsidRPr="008E5B11">
        <w:t xml:space="preserve"> </w:t>
      </w:r>
    </w:p>
    <w:p w:rsidR="00F50689" w:rsidRDefault="005A36C4" w:rsidP="00F50689">
      <w:pPr>
        <w:pStyle w:val="HEADER5"/>
      </w:pPr>
      <w:r w:rsidRPr="00111411">
        <w:t>Cohesion Policy</w:t>
      </w:r>
      <w:r>
        <w:t>:</w:t>
      </w:r>
    </w:p>
    <w:p w:rsidR="00F50689" w:rsidRPr="00854AC4" w:rsidRDefault="005A36C4" w:rsidP="00F50689">
      <w:pPr>
        <w:pStyle w:val="Textstand-alone"/>
        <w:rPr>
          <w:rFonts w:cs="Arial"/>
        </w:rPr>
      </w:pPr>
      <w:r>
        <w:t>Under C</w:t>
      </w:r>
      <w:r w:rsidRPr="00854AC4">
        <w:t>ohesion</w:t>
      </w:r>
      <w:r>
        <w:t xml:space="preserve"> policy,</w:t>
      </w:r>
      <w:r w:rsidRPr="00854AC4">
        <w:t xml:space="preserve"> </w:t>
      </w:r>
      <w:bookmarkStart w:id="175" w:name="_Ref418275743"/>
      <w:r w:rsidRPr="00854AC4">
        <w:rPr>
          <w:rFonts w:cs="Arial"/>
        </w:rPr>
        <w:t xml:space="preserve">financial corrections </w:t>
      </w:r>
      <w:r>
        <w:t xml:space="preserve">relate to weaknesses detected in Member States' management and control systems based on audits performed by the Commission. They  </w:t>
      </w:r>
      <w:r w:rsidRPr="00854AC4">
        <w:rPr>
          <w:rFonts w:cs="Arial"/>
        </w:rPr>
        <w:t>are</w:t>
      </w:r>
      <w:r>
        <w:rPr>
          <w:rFonts w:cs="Arial"/>
        </w:rPr>
        <w:t xml:space="preserve"> mainly applied when</w:t>
      </w:r>
      <w:r w:rsidRPr="00854AC4">
        <w:rPr>
          <w:rFonts w:cs="Arial"/>
        </w:rPr>
        <w:t xml:space="preserve"> authorities in the Member States withdraw expenditure initially declared and replace it with new expenditure.</w:t>
      </w:r>
      <w:bookmarkEnd w:id="175"/>
      <w:r w:rsidRPr="00854AC4">
        <w:rPr>
          <w:rFonts w:cs="Arial"/>
        </w:rPr>
        <w:t xml:space="preserve"> </w:t>
      </w:r>
      <w:r>
        <w:rPr>
          <w:rFonts w:cs="Arial"/>
        </w:rPr>
        <w:t xml:space="preserve">In such cases, the Member States do not lose EU funds. </w:t>
      </w:r>
      <w:r w:rsidRPr="0035502A">
        <w:rPr>
          <w:rFonts w:cs="Arial"/>
        </w:rPr>
        <w:t xml:space="preserve">Member States can </w:t>
      </w:r>
      <w:r>
        <w:rPr>
          <w:rFonts w:cs="Arial"/>
        </w:rPr>
        <w:t xml:space="preserve">also </w:t>
      </w:r>
      <w:r w:rsidRPr="0035502A">
        <w:rPr>
          <w:rFonts w:cs="Arial"/>
        </w:rPr>
        <w:t xml:space="preserve">declare additional projects and </w:t>
      </w:r>
      <w:r>
        <w:t>would in practice be equivalent to receiving a lower co-financing rate at the level of the priority axis/programme since the excluded ineligible expenditure may need to be financed by the national public budget.</w:t>
      </w:r>
    </w:p>
    <w:p w:rsidR="00F50689" w:rsidRDefault="005A36C4" w:rsidP="00F50689">
      <w:pPr>
        <w:pStyle w:val="Textstand-alone"/>
      </w:pPr>
      <w:bookmarkStart w:id="176" w:name="_Ref418177935"/>
      <w:r w:rsidRPr="00854AC4">
        <w:t xml:space="preserve">Where </w:t>
      </w:r>
      <w:r>
        <w:t>these measures are</w:t>
      </w:r>
      <w:r w:rsidRPr="00854AC4">
        <w:t xml:space="preserve"> not possible</w:t>
      </w:r>
      <w:r>
        <w:t xml:space="preserve"> or not allowed</w:t>
      </w:r>
      <w:r w:rsidRPr="00854AC4">
        <w:t xml:space="preserve">, </w:t>
      </w:r>
      <w:r>
        <w:t xml:space="preserve">financial </w:t>
      </w:r>
      <w:r w:rsidRPr="00854AC4">
        <w:t>corrections lead</w:t>
      </w:r>
      <w:r>
        <w:t>ing</w:t>
      </w:r>
      <w:r w:rsidRPr="00854AC4">
        <w:t xml:space="preserve"> to a loss of EU funds for the Member State concerned</w:t>
      </w:r>
      <w:r>
        <w:t xml:space="preserve"> are applied</w:t>
      </w:r>
      <w:r w:rsidRPr="00854AC4">
        <w:t>.</w:t>
      </w:r>
      <w:r>
        <w:t xml:space="preserve"> </w:t>
      </w:r>
      <w:r w:rsidRPr="00854AC4">
        <w:t>This may occur</w:t>
      </w:r>
      <w:bookmarkEnd w:id="176"/>
      <w:r w:rsidRPr="00854AC4">
        <w:t xml:space="preserve"> </w:t>
      </w:r>
      <w:r>
        <w:t xml:space="preserve">after programmes are closed or </w:t>
      </w:r>
      <w:r w:rsidRPr="00854AC4">
        <w:t xml:space="preserve">where Member States are unable to present sufficient eligible expenditure </w:t>
      </w:r>
      <w:r>
        <w:t>or projects</w:t>
      </w:r>
      <w:r w:rsidRPr="00854AC4">
        <w:t>.</w:t>
      </w:r>
    </w:p>
    <w:p w:rsidR="00F50689" w:rsidRDefault="005A36C4" w:rsidP="00F50689">
      <w:pPr>
        <w:pStyle w:val="Textstand-alone"/>
      </w:pPr>
      <w:r>
        <w:t>F</w:t>
      </w:r>
      <w:r w:rsidRPr="00501689">
        <w:t>inancial corrections implemented in 2014 refe</w:t>
      </w:r>
      <w:r>
        <w:t>r</w:t>
      </w:r>
      <w:r w:rsidRPr="00501689">
        <w:t xml:space="preserve">red to corrections confirmed/decided in 2014 </w:t>
      </w:r>
      <w:r>
        <w:t xml:space="preserve">(being EUR 1 365 million) </w:t>
      </w:r>
      <w:r w:rsidRPr="00501689">
        <w:t>or in previous periods</w:t>
      </w:r>
      <w:r>
        <w:t xml:space="preserve"> (EUR 297 million)</w:t>
      </w:r>
      <w:r w:rsidRPr="00501689">
        <w:t xml:space="preserve">. </w:t>
      </w:r>
    </w:p>
    <w:p w:rsidR="00F50689" w:rsidRDefault="005A36C4" w:rsidP="00F50689">
      <w:pPr>
        <w:pStyle w:val="Textstand-alone"/>
      </w:pPr>
      <w:r>
        <w:t>Cohesion policy financial corrections were implemented as follows in 2014:</w:t>
      </w:r>
    </w:p>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8"/>
        <w:gridCol w:w="24"/>
        <w:gridCol w:w="1155"/>
        <w:gridCol w:w="24"/>
        <w:gridCol w:w="1179"/>
        <w:gridCol w:w="1099"/>
        <w:gridCol w:w="1099"/>
        <w:gridCol w:w="1048"/>
        <w:gridCol w:w="1151"/>
      </w:tblGrid>
      <w:tr w:rsidR="00E7728E" w:rsidTr="00F50689">
        <w:trPr>
          <w:trHeight w:val="218"/>
        </w:trPr>
        <w:tc>
          <w:tcPr>
            <w:tcW w:w="2722" w:type="dxa"/>
            <w:gridSpan w:val="2"/>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p>
        </w:tc>
        <w:tc>
          <w:tcPr>
            <w:tcW w:w="1179" w:type="dxa"/>
            <w:gridSpan w:val="2"/>
            <w:tcBorders>
              <w:top w:val="nil"/>
              <w:left w:val="nil"/>
              <w:bottom w:val="nil"/>
              <w:right w:val="nil"/>
            </w:tcBorders>
          </w:tcPr>
          <w:p w:rsidR="00F50689" w:rsidRDefault="00F50689" w:rsidP="00F50689">
            <w:pPr>
              <w:pStyle w:val="Text8pItalicRight025EUR"/>
              <w:rPr>
                <w:rFonts w:cs="Verdana"/>
                <w:i w:val="0"/>
              </w:rPr>
            </w:pPr>
          </w:p>
        </w:tc>
        <w:tc>
          <w:tcPr>
            <w:tcW w:w="1179" w:type="dxa"/>
            <w:tcBorders>
              <w:top w:val="nil"/>
              <w:left w:val="nil"/>
              <w:bottom w:val="nil"/>
              <w:right w:val="nil"/>
            </w:tcBorders>
          </w:tcPr>
          <w:p w:rsidR="00F50689" w:rsidRDefault="00F50689" w:rsidP="00F50689">
            <w:pPr>
              <w:pStyle w:val="Text8pItalicRight025EUR"/>
              <w:rPr>
                <w:rFonts w:cs="Verdana"/>
                <w:i w:val="0"/>
              </w:rPr>
            </w:pPr>
          </w:p>
        </w:tc>
        <w:tc>
          <w:tcPr>
            <w:tcW w:w="1099"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099"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04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151"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rPr>
                <w:rFonts w:cs="Verdana"/>
              </w:rPr>
              <w:t>EUR millions</w:t>
            </w:r>
          </w:p>
        </w:tc>
      </w:tr>
      <w:tr w:rsidR="00E7728E" w:rsidTr="00F50689">
        <w:trPr>
          <w:trHeight w:val="564"/>
        </w:trPr>
        <w:tc>
          <w:tcPr>
            <w:tcW w:w="2698"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1179" w:type="dxa"/>
            <w:gridSpan w:val="2"/>
            <w:tcBorders>
              <w:top w:val="nil"/>
              <w:left w:val="nil"/>
              <w:bottom w:val="nil"/>
              <w:right w:val="nil"/>
            </w:tcBorders>
            <w:shd w:val="clear" w:color="auto" w:fill="016794"/>
          </w:tcPr>
          <w:p w:rsidR="00F50689" w:rsidRPr="00D34307" w:rsidRDefault="005A36C4" w:rsidP="00F50689">
            <w:pPr>
              <w:pStyle w:val="Heading10pNormalRight025"/>
              <w:rPr>
                <w:rFonts w:cs="Verdana"/>
                <w:sz w:val="18"/>
                <w:szCs w:val="18"/>
              </w:rPr>
            </w:pPr>
            <w:r>
              <w:rPr>
                <w:rFonts w:cs="Verdana"/>
                <w:sz w:val="18"/>
                <w:szCs w:val="18"/>
              </w:rPr>
              <w:t>ERDF</w:t>
            </w:r>
          </w:p>
        </w:tc>
        <w:tc>
          <w:tcPr>
            <w:tcW w:w="1203" w:type="dxa"/>
            <w:gridSpan w:val="2"/>
            <w:tcBorders>
              <w:top w:val="nil"/>
              <w:left w:val="nil"/>
              <w:bottom w:val="nil"/>
              <w:right w:val="nil"/>
            </w:tcBorders>
            <w:shd w:val="clear" w:color="auto" w:fill="016794"/>
          </w:tcPr>
          <w:p w:rsidR="00F50689" w:rsidRPr="00D34307" w:rsidRDefault="005A36C4" w:rsidP="00F50689">
            <w:pPr>
              <w:pStyle w:val="Heading10pNormalRight025"/>
              <w:rPr>
                <w:rFonts w:cs="Verdana"/>
                <w:sz w:val="18"/>
                <w:szCs w:val="18"/>
              </w:rPr>
            </w:pPr>
            <w:r>
              <w:rPr>
                <w:rFonts w:cs="Verdana"/>
                <w:sz w:val="18"/>
                <w:szCs w:val="18"/>
              </w:rPr>
              <w:t>Cohesion Fund</w:t>
            </w:r>
          </w:p>
        </w:tc>
        <w:tc>
          <w:tcPr>
            <w:tcW w:w="1099" w:type="dxa"/>
            <w:tcBorders>
              <w:top w:val="nil"/>
              <w:left w:val="nil"/>
              <w:bottom w:val="nil"/>
              <w:right w:val="nil"/>
            </w:tcBorders>
            <w:shd w:val="clear" w:color="auto" w:fill="016794"/>
            <w:tcMar>
              <w:top w:w="0" w:type="dxa"/>
              <w:left w:w="0" w:type="dxa"/>
              <w:bottom w:w="0" w:type="dxa"/>
              <w:right w:w="0" w:type="dxa"/>
            </w:tcMar>
          </w:tcPr>
          <w:p w:rsidR="00F50689" w:rsidRPr="00D34307" w:rsidRDefault="005A36C4" w:rsidP="00F50689">
            <w:pPr>
              <w:pStyle w:val="Heading10pNormalRight025"/>
              <w:rPr>
                <w:rFonts w:cs="Verdana"/>
                <w:sz w:val="18"/>
                <w:szCs w:val="18"/>
              </w:rPr>
            </w:pPr>
            <w:r>
              <w:rPr>
                <w:rFonts w:cs="Verdana"/>
                <w:sz w:val="18"/>
                <w:szCs w:val="18"/>
              </w:rPr>
              <w:t>ESF</w:t>
            </w:r>
          </w:p>
        </w:tc>
        <w:tc>
          <w:tcPr>
            <w:tcW w:w="1099" w:type="dxa"/>
            <w:tcBorders>
              <w:top w:val="nil"/>
              <w:left w:val="nil"/>
              <w:bottom w:val="nil"/>
              <w:right w:val="nil"/>
            </w:tcBorders>
            <w:shd w:val="clear" w:color="auto" w:fill="016794"/>
            <w:tcMar>
              <w:top w:w="0" w:type="dxa"/>
              <w:left w:w="0" w:type="dxa"/>
              <w:bottom w:w="0" w:type="dxa"/>
              <w:right w:w="0" w:type="dxa"/>
            </w:tcMar>
          </w:tcPr>
          <w:p w:rsidR="00F50689" w:rsidRPr="00D34307" w:rsidRDefault="005A36C4" w:rsidP="00F50689">
            <w:pPr>
              <w:pStyle w:val="Heading10pNormalRight025"/>
              <w:rPr>
                <w:rFonts w:cs="Verdana"/>
                <w:sz w:val="18"/>
                <w:szCs w:val="18"/>
              </w:rPr>
            </w:pPr>
            <w:r>
              <w:rPr>
                <w:rFonts w:cs="Verdana"/>
                <w:sz w:val="18"/>
                <w:szCs w:val="18"/>
              </w:rPr>
              <w:t>FIFG/EFF</w:t>
            </w:r>
          </w:p>
        </w:tc>
        <w:tc>
          <w:tcPr>
            <w:tcW w:w="1048" w:type="dxa"/>
            <w:tcBorders>
              <w:top w:val="nil"/>
              <w:left w:val="nil"/>
              <w:bottom w:val="nil"/>
              <w:right w:val="nil"/>
            </w:tcBorders>
            <w:shd w:val="clear" w:color="auto" w:fill="016794"/>
            <w:tcMar>
              <w:top w:w="0" w:type="dxa"/>
              <w:left w:w="0" w:type="dxa"/>
              <w:bottom w:w="0" w:type="dxa"/>
              <w:right w:w="0" w:type="dxa"/>
            </w:tcMar>
          </w:tcPr>
          <w:p w:rsidR="00F50689" w:rsidRPr="00D34307" w:rsidRDefault="005A36C4" w:rsidP="00F50689">
            <w:pPr>
              <w:pStyle w:val="Heading10pNormalRight025"/>
              <w:rPr>
                <w:rFonts w:cs="Verdana"/>
                <w:sz w:val="18"/>
                <w:szCs w:val="18"/>
              </w:rPr>
            </w:pPr>
            <w:r>
              <w:rPr>
                <w:rFonts w:cs="Verdana"/>
                <w:sz w:val="18"/>
                <w:szCs w:val="18"/>
              </w:rPr>
              <w:t>EAGGF Guidance</w:t>
            </w:r>
          </w:p>
        </w:tc>
        <w:tc>
          <w:tcPr>
            <w:tcW w:w="1151" w:type="dxa"/>
            <w:tcBorders>
              <w:top w:val="nil"/>
              <w:left w:val="nil"/>
              <w:bottom w:val="nil"/>
              <w:right w:val="nil"/>
            </w:tcBorders>
            <w:shd w:val="clear" w:color="auto" w:fill="016794"/>
            <w:tcMar>
              <w:top w:w="0" w:type="dxa"/>
              <w:left w:w="0" w:type="dxa"/>
              <w:bottom w:w="0" w:type="dxa"/>
              <w:right w:w="0" w:type="dxa"/>
            </w:tcMar>
          </w:tcPr>
          <w:p w:rsidR="00F50689" w:rsidRPr="00D34307" w:rsidRDefault="005A36C4" w:rsidP="00F50689">
            <w:pPr>
              <w:pStyle w:val="Heading10pNormalRight025"/>
              <w:rPr>
                <w:rFonts w:cs="Verdana"/>
                <w:sz w:val="18"/>
                <w:szCs w:val="18"/>
              </w:rPr>
            </w:pPr>
            <w:r w:rsidRPr="00D34307">
              <w:rPr>
                <w:rFonts w:cs="Verdana"/>
                <w:sz w:val="18"/>
                <w:szCs w:val="18"/>
              </w:rPr>
              <w:t>Total</w:t>
            </w:r>
          </w:p>
        </w:tc>
      </w:tr>
      <w:tr w:rsidR="00E7728E" w:rsidRPr="00C36EFA" w:rsidTr="00F50689">
        <w:trPr>
          <w:trHeight w:val="246"/>
        </w:trPr>
        <w:tc>
          <w:tcPr>
            <w:tcW w:w="2722" w:type="dxa"/>
            <w:gridSpan w:val="2"/>
            <w:tcBorders>
              <w:top w:val="nil"/>
              <w:left w:val="nil"/>
              <w:bottom w:val="nil"/>
              <w:right w:val="nil"/>
            </w:tcBorders>
            <w:tcMar>
              <w:top w:w="0" w:type="dxa"/>
              <w:left w:w="0" w:type="dxa"/>
              <w:bottom w:w="0" w:type="dxa"/>
              <w:right w:w="0" w:type="dxa"/>
            </w:tcMar>
          </w:tcPr>
          <w:p w:rsidR="00F50689" w:rsidRPr="00C36EFA" w:rsidRDefault="005A36C4" w:rsidP="00F50689">
            <w:pPr>
              <w:pStyle w:val="Text9pNormalLeft"/>
              <w:rPr>
                <w:rFonts w:cs="Verdana"/>
                <w:i/>
              </w:rPr>
            </w:pPr>
            <w:r w:rsidRPr="00C36EFA">
              <w:rPr>
                <w:rFonts w:cs="Verdana"/>
                <w:i/>
              </w:rPr>
              <w:t>Decommitment</w:t>
            </w:r>
            <w:r w:rsidR="00C36EFA">
              <w:rPr>
                <w:rFonts w:cs="Verdana"/>
                <w:i/>
              </w:rPr>
              <w:t xml:space="preserve"> </w:t>
            </w:r>
            <w:r w:rsidRPr="00C36EFA">
              <w:rPr>
                <w:rFonts w:cs="Verdana"/>
                <w:i/>
              </w:rPr>
              <w:t>/ Deduction at closure 2000-2006</w:t>
            </w:r>
          </w:p>
        </w:tc>
        <w:tc>
          <w:tcPr>
            <w:tcW w:w="1179" w:type="dxa"/>
            <w:gridSpan w:val="2"/>
            <w:tcBorders>
              <w:top w:val="nil"/>
              <w:left w:val="nil"/>
              <w:bottom w:val="nil"/>
              <w:right w:val="nil"/>
            </w:tcBorders>
          </w:tcPr>
          <w:p w:rsidR="00F50689" w:rsidRPr="00C36EFA" w:rsidRDefault="005A36C4" w:rsidP="00F50689">
            <w:pPr>
              <w:pStyle w:val="Figures9pNormalRight025"/>
              <w:rPr>
                <w:rFonts w:cs="Verdana"/>
                <w:i/>
              </w:rPr>
            </w:pPr>
            <w:r w:rsidRPr="00C36EFA">
              <w:rPr>
                <w:rFonts w:cs="Verdana"/>
                <w:i/>
              </w:rPr>
              <w:t>448</w:t>
            </w:r>
          </w:p>
        </w:tc>
        <w:tc>
          <w:tcPr>
            <w:tcW w:w="1179" w:type="dxa"/>
            <w:tcBorders>
              <w:top w:val="nil"/>
              <w:left w:val="nil"/>
              <w:bottom w:val="nil"/>
              <w:right w:val="nil"/>
            </w:tcBorders>
          </w:tcPr>
          <w:p w:rsidR="00F50689" w:rsidRPr="00C36EFA" w:rsidRDefault="005A36C4" w:rsidP="00F50689">
            <w:pPr>
              <w:pStyle w:val="Figures9pNormalRight025"/>
              <w:rPr>
                <w:rFonts w:cs="Verdana"/>
                <w:i/>
              </w:rPr>
            </w:pPr>
            <w:r w:rsidRPr="00C36EFA">
              <w:rPr>
                <w:rFonts w:cs="Verdana"/>
                <w:i/>
              </w:rPr>
              <w:t>136</w:t>
            </w:r>
          </w:p>
        </w:tc>
        <w:tc>
          <w:tcPr>
            <w:tcW w:w="109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sidRPr="00C36EFA">
              <w:rPr>
                <w:rFonts w:cs="Verdana"/>
                <w:i/>
              </w:rPr>
              <w:t>114</w:t>
            </w:r>
          </w:p>
        </w:tc>
        <w:tc>
          <w:tcPr>
            <w:tcW w:w="109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sidRPr="00C36EFA">
              <w:rPr>
                <w:rFonts w:cs="Verdana"/>
                <w:i/>
              </w:rPr>
              <w:t>8</w:t>
            </w:r>
          </w:p>
        </w:tc>
        <w:tc>
          <w:tcPr>
            <w:tcW w:w="104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sidRPr="00C36EFA">
              <w:rPr>
                <w:rFonts w:cs="Verdana"/>
                <w:i/>
              </w:rPr>
              <w:t>8</w:t>
            </w:r>
          </w:p>
        </w:tc>
        <w:tc>
          <w:tcPr>
            <w:tcW w:w="1151"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sidRPr="00C36EFA">
              <w:rPr>
                <w:rFonts w:cs="Verdana"/>
                <w:i/>
              </w:rPr>
              <w:t>714</w:t>
            </w:r>
          </w:p>
        </w:tc>
      </w:tr>
      <w:tr w:rsidR="00E7728E" w:rsidRPr="00C36EFA" w:rsidTr="00F50689">
        <w:trPr>
          <w:trHeight w:val="260"/>
        </w:trPr>
        <w:tc>
          <w:tcPr>
            <w:tcW w:w="2722" w:type="dxa"/>
            <w:gridSpan w:val="2"/>
            <w:tcBorders>
              <w:top w:val="nil"/>
              <w:left w:val="nil"/>
              <w:bottom w:val="nil"/>
              <w:right w:val="nil"/>
            </w:tcBorders>
            <w:tcMar>
              <w:top w:w="0" w:type="dxa"/>
              <w:left w:w="0" w:type="dxa"/>
              <w:bottom w:w="0" w:type="dxa"/>
              <w:right w:w="0" w:type="dxa"/>
            </w:tcMar>
          </w:tcPr>
          <w:p w:rsidR="00F50689" w:rsidRPr="00C36EFA" w:rsidRDefault="005A36C4" w:rsidP="00F50689">
            <w:pPr>
              <w:pStyle w:val="Text9pNormalLeft"/>
              <w:rPr>
                <w:rFonts w:cs="Verdana"/>
                <w:i/>
              </w:rPr>
            </w:pPr>
            <w:r w:rsidRPr="00C36EFA">
              <w:rPr>
                <w:rFonts w:cs="Verdana"/>
                <w:i/>
              </w:rPr>
              <w:t>Withdrawal by Member State 2007-2013</w:t>
            </w:r>
          </w:p>
        </w:tc>
        <w:tc>
          <w:tcPr>
            <w:tcW w:w="1179" w:type="dxa"/>
            <w:gridSpan w:val="2"/>
            <w:tcBorders>
              <w:top w:val="nil"/>
              <w:left w:val="nil"/>
              <w:bottom w:val="nil"/>
              <w:right w:val="nil"/>
            </w:tcBorders>
          </w:tcPr>
          <w:p w:rsidR="00F50689" w:rsidRPr="00C36EFA" w:rsidRDefault="005A36C4" w:rsidP="00F50689">
            <w:pPr>
              <w:pStyle w:val="Figures9pNormalRight025"/>
              <w:rPr>
                <w:rFonts w:cs="Verdana"/>
                <w:i/>
              </w:rPr>
            </w:pPr>
            <w:r w:rsidRPr="00C36EFA">
              <w:rPr>
                <w:rFonts w:cs="Verdana"/>
                <w:i/>
              </w:rPr>
              <w:t>242</w:t>
            </w:r>
          </w:p>
        </w:tc>
        <w:tc>
          <w:tcPr>
            <w:tcW w:w="1179" w:type="dxa"/>
            <w:tcBorders>
              <w:top w:val="nil"/>
              <w:left w:val="nil"/>
              <w:bottom w:val="nil"/>
              <w:right w:val="nil"/>
            </w:tcBorders>
          </w:tcPr>
          <w:p w:rsidR="00F50689" w:rsidRPr="00C36EFA" w:rsidRDefault="005A36C4" w:rsidP="00F50689">
            <w:pPr>
              <w:pStyle w:val="Figures9pNormalRight025"/>
              <w:rPr>
                <w:rFonts w:cs="Verdana"/>
                <w:i/>
              </w:rPr>
            </w:pPr>
            <w:r w:rsidRPr="00C36EFA">
              <w:rPr>
                <w:rFonts w:cs="Verdana"/>
                <w:i/>
              </w:rPr>
              <w:t>22</w:t>
            </w:r>
          </w:p>
        </w:tc>
        <w:tc>
          <w:tcPr>
            <w:tcW w:w="109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sidRPr="00C36EFA">
              <w:rPr>
                <w:rFonts w:cs="Verdana"/>
                <w:i/>
              </w:rPr>
              <w:t>92</w:t>
            </w:r>
          </w:p>
        </w:tc>
        <w:tc>
          <w:tcPr>
            <w:tcW w:w="109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sidRPr="00C36EFA">
              <w:rPr>
                <w:rFonts w:cs="Verdana"/>
                <w:i/>
              </w:rPr>
              <w:t>16</w:t>
            </w:r>
          </w:p>
        </w:tc>
        <w:tc>
          <w:tcPr>
            <w:tcW w:w="104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sidRPr="00C36EFA">
              <w:rPr>
                <w:rFonts w:cs="Verdana"/>
                <w:i/>
              </w:rPr>
              <w:t>-</w:t>
            </w:r>
          </w:p>
        </w:tc>
        <w:tc>
          <w:tcPr>
            <w:tcW w:w="1151"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sidRPr="00C36EFA">
              <w:rPr>
                <w:rFonts w:cs="Verdana"/>
                <w:i/>
              </w:rPr>
              <w:t>372</w:t>
            </w:r>
          </w:p>
        </w:tc>
      </w:tr>
      <w:tr w:rsidR="00E7728E" w:rsidRPr="00C36EFA" w:rsidTr="00F50689">
        <w:trPr>
          <w:trHeight w:val="246"/>
        </w:trPr>
        <w:tc>
          <w:tcPr>
            <w:tcW w:w="2722" w:type="dxa"/>
            <w:gridSpan w:val="2"/>
            <w:tcBorders>
              <w:top w:val="nil"/>
              <w:left w:val="nil"/>
              <w:bottom w:val="nil"/>
              <w:right w:val="nil"/>
            </w:tcBorders>
            <w:tcMar>
              <w:top w:w="0" w:type="dxa"/>
              <w:left w:w="0" w:type="dxa"/>
              <w:bottom w:w="0" w:type="dxa"/>
              <w:right w:w="0" w:type="dxa"/>
            </w:tcMar>
          </w:tcPr>
          <w:p w:rsidR="00F50689" w:rsidRPr="00C36EFA" w:rsidRDefault="005A36C4" w:rsidP="00F50689">
            <w:pPr>
              <w:pStyle w:val="Text9pNormalLeft"/>
              <w:rPr>
                <w:rFonts w:cs="Verdana"/>
                <w:i/>
              </w:rPr>
            </w:pPr>
            <w:r w:rsidRPr="00C36EFA">
              <w:rPr>
                <w:rFonts w:cs="Verdana"/>
                <w:i/>
              </w:rPr>
              <w:t>Recovery orders</w:t>
            </w:r>
          </w:p>
        </w:tc>
        <w:tc>
          <w:tcPr>
            <w:tcW w:w="1179" w:type="dxa"/>
            <w:gridSpan w:val="2"/>
            <w:tcBorders>
              <w:top w:val="nil"/>
              <w:left w:val="nil"/>
              <w:bottom w:val="nil"/>
              <w:right w:val="nil"/>
            </w:tcBorders>
          </w:tcPr>
          <w:p w:rsidR="00F50689" w:rsidRPr="00C36EFA" w:rsidRDefault="005A36C4" w:rsidP="00F50689">
            <w:pPr>
              <w:pStyle w:val="Figures9pNormalRight025"/>
              <w:rPr>
                <w:rFonts w:cs="Verdana"/>
                <w:i/>
              </w:rPr>
            </w:pPr>
            <w:r w:rsidRPr="00C36EFA">
              <w:rPr>
                <w:rFonts w:cs="Verdana"/>
                <w:i/>
              </w:rPr>
              <w:t>24</w:t>
            </w:r>
          </w:p>
        </w:tc>
        <w:tc>
          <w:tcPr>
            <w:tcW w:w="1179" w:type="dxa"/>
            <w:tcBorders>
              <w:top w:val="nil"/>
              <w:left w:val="nil"/>
              <w:bottom w:val="nil"/>
              <w:right w:val="nil"/>
            </w:tcBorders>
          </w:tcPr>
          <w:p w:rsidR="00F50689" w:rsidRPr="00C36EFA" w:rsidRDefault="005A36C4" w:rsidP="00F50689">
            <w:pPr>
              <w:pStyle w:val="Figures9pNormalRight025"/>
              <w:rPr>
                <w:rFonts w:cs="Verdana"/>
                <w:i/>
              </w:rPr>
            </w:pPr>
            <w:r w:rsidRPr="00C36EFA">
              <w:rPr>
                <w:rFonts w:cs="Verdana"/>
                <w:i/>
              </w:rPr>
              <w:t>17</w:t>
            </w:r>
          </w:p>
        </w:tc>
        <w:tc>
          <w:tcPr>
            <w:tcW w:w="109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sidRPr="00C36EFA">
              <w:rPr>
                <w:rFonts w:cs="Verdana"/>
                <w:i/>
              </w:rPr>
              <w:t>19</w:t>
            </w:r>
          </w:p>
        </w:tc>
        <w:tc>
          <w:tcPr>
            <w:tcW w:w="109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sidRPr="00C36EFA">
              <w:rPr>
                <w:rFonts w:cs="Verdana"/>
                <w:i/>
              </w:rPr>
              <w:t xml:space="preserve"> 17</w:t>
            </w:r>
          </w:p>
        </w:tc>
        <w:tc>
          <w:tcPr>
            <w:tcW w:w="104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sidRPr="00C36EFA">
              <w:rPr>
                <w:rFonts w:cs="Verdana"/>
                <w:i/>
              </w:rPr>
              <w:t xml:space="preserve"> 5</w:t>
            </w:r>
          </w:p>
        </w:tc>
        <w:tc>
          <w:tcPr>
            <w:tcW w:w="1151"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sidRPr="00C36EFA">
              <w:rPr>
                <w:rFonts w:cs="Verdana"/>
                <w:i/>
              </w:rPr>
              <w:t xml:space="preserve"> 82</w:t>
            </w:r>
          </w:p>
        </w:tc>
      </w:tr>
      <w:tr w:rsidR="00E7728E" w:rsidRPr="00C36EFA" w:rsidTr="00F50689">
        <w:trPr>
          <w:trHeight w:val="246"/>
        </w:trPr>
        <w:tc>
          <w:tcPr>
            <w:tcW w:w="2722" w:type="dxa"/>
            <w:gridSpan w:val="2"/>
            <w:tcBorders>
              <w:top w:val="nil"/>
              <w:left w:val="nil"/>
              <w:bottom w:val="nil"/>
              <w:right w:val="nil"/>
            </w:tcBorders>
            <w:tcMar>
              <w:top w:w="0" w:type="dxa"/>
              <w:left w:w="0" w:type="dxa"/>
              <w:bottom w:w="0" w:type="dxa"/>
              <w:right w:w="0" w:type="dxa"/>
            </w:tcMar>
          </w:tcPr>
          <w:p w:rsidR="00F50689" w:rsidRPr="00C36EFA" w:rsidRDefault="005A36C4" w:rsidP="00F50689">
            <w:pPr>
              <w:pStyle w:val="Text9pNormalLeft"/>
              <w:rPr>
                <w:rFonts w:cs="Verdana"/>
                <w:i/>
              </w:rPr>
            </w:pPr>
            <w:r w:rsidRPr="00C36EFA">
              <w:rPr>
                <w:rFonts w:cs="Verdana"/>
                <w:i/>
              </w:rPr>
              <w:t>Corrections at source</w:t>
            </w:r>
          </w:p>
        </w:tc>
        <w:tc>
          <w:tcPr>
            <w:tcW w:w="1179" w:type="dxa"/>
            <w:gridSpan w:val="2"/>
            <w:tcBorders>
              <w:top w:val="nil"/>
              <w:left w:val="nil"/>
              <w:bottom w:val="nil"/>
              <w:right w:val="nil"/>
            </w:tcBorders>
          </w:tcPr>
          <w:p w:rsidR="00F50689" w:rsidRPr="00C36EFA" w:rsidRDefault="005A36C4" w:rsidP="00F50689">
            <w:pPr>
              <w:pStyle w:val="Figures9pNormalRight025"/>
              <w:rPr>
                <w:rFonts w:cs="Verdana"/>
                <w:i/>
              </w:rPr>
            </w:pPr>
            <w:r w:rsidRPr="00C36EFA">
              <w:rPr>
                <w:rFonts w:cs="Verdana"/>
                <w:i/>
              </w:rPr>
              <w:t>370</w:t>
            </w:r>
          </w:p>
        </w:tc>
        <w:tc>
          <w:tcPr>
            <w:tcW w:w="1179" w:type="dxa"/>
            <w:tcBorders>
              <w:top w:val="nil"/>
              <w:left w:val="nil"/>
              <w:bottom w:val="nil"/>
              <w:right w:val="nil"/>
            </w:tcBorders>
          </w:tcPr>
          <w:p w:rsidR="00F50689" w:rsidRPr="00C36EFA" w:rsidRDefault="005A36C4" w:rsidP="00F50689">
            <w:pPr>
              <w:pStyle w:val="Figures9pNormalRight025"/>
              <w:rPr>
                <w:rFonts w:cs="Verdana"/>
                <w:i/>
              </w:rPr>
            </w:pPr>
            <w:r w:rsidRPr="00C36EFA">
              <w:rPr>
                <w:rFonts w:cs="Verdana"/>
                <w:i/>
              </w:rPr>
              <w:t>60</w:t>
            </w:r>
          </w:p>
        </w:tc>
        <w:tc>
          <w:tcPr>
            <w:tcW w:w="109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sidRPr="00C36EFA">
              <w:rPr>
                <w:rFonts w:cs="Verdana"/>
                <w:i/>
              </w:rPr>
              <w:t>64</w:t>
            </w:r>
          </w:p>
        </w:tc>
        <w:tc>
          <w:tcPr>
            <w:tcW w:w="109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sidRPr="00C36EFA">
              <w:rPr>
                <w:rFonts w:cs="Verdana"/>
                <w:i/>
              </w:rPr>
              <w:t>-</w:t>
            </w:r>
          </w:p>
        </w:tc>
        <w:tc>
          <w:tcPr>
            <w:tcW w:w="104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sidRPr="00C36EFA">
              <w:rPr>
                <w:rFonts w:cs="Verdana"/>
                <w:i/>
              </w:rPr>
              <w:t>-</w:t>
            </w:r>
          </w:p>
        </w:tc>
        <w:tc>
          <w:tcPr>
            <w:tcW w:w="1151"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sidRPr="00C36EFA">
              <w:rPr>
                <w:rFonts w:cs="Verdana"/>
                <w:i/>
              </w:rPr>
              <w:t>494</w:t>
            </w:r>
          </w:p>
        </w:tc>
      </w:tr>
      <w:tr w:rsidR="00E7728E" w:rsidTr="00F50689">
        <w:trPr>
          <w:trHeight w:val="246"/>
        </w:trPr>
        <w:tc>
          <w:tcPr>
            <w:tcW w:w="2722" w:type="dxa"/>
            <w:gridSpan w:val="2"/>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Total implemented in 2014</w:t>
            </w:r>
          </w:p>
        </w:tc>
        <w:tc>
          <w:tcPr>
            <w:tcW w:w="1179" w:type="dxa"/>
            <w:gridSpan w:val="2"/>
            <w:tcBorders>
              <w:top w:val="nil"/>
              <w:left w:val="nil"/>
              <w:bottom w:val="nil"/>
              <w:right w:val="nil"/>
            </w:tcBorders>
            <w:shd w:val="clear" w:color="auto" w:fill="CCE1EA"/>
          </w:tcPr>
          <w:p w:rsidR="00F50689" w:rsidRPr="0055103F" w:rsidRDefault="005A36C4" w:rsidP="00F50689">
            <w:pPr>
              <w:pStyle w:val="Figures9pBoldRight025"/>
              <w:rPr>
                <w:rFonts w:cs="Verdana"/>
              </w:rPr>
            </w:pPr>
            <w:r>
              <w:rPr>
                <w:rFonts w:cs="Verdana"/>
              </w:rPr>
              <w:t>1 083</w:t>
            </w:r>
          </w:p>
        </w:tc>
        <w:tc>
          <w:tcPr>
            <w:tcW w:w="1179" w:type="dxa"/>
            <w:tcBorders>
              <w:top w:val="nil"/>
              <w:left w:val="nil"/>
              <w:bottom w:val="nil"/>
              <w:right w:val="nil"/>
            </w:tcBorders>
            <w:shd w:val="clear" w:color="auto" w:fill="CCE1EA"/>
          </w:tcPr>
          <w:p w:rsidR="00F50689" w:rsidRPr="0055103F" w:rsidRDefault="005A36C4" w:rsidP="00F50689">
            <w:pPr>
              <w:pStyle w:val="Figures9pBoldRight025"/>
              <w:rPr>
                <w:rFonts w:cs="Verdana"/>
              </w:rPr>
            </w:pPr>
            <w:r>
              <w:rPr>
                <w:rFonts w:cs="Verdana"/>
              </w:rPr>
              <w:t>236</w:t>
            </w:r>
          </w:p>
        </w:tc>
        <w:tc>
          <w:tcPr>
            <w:tcW w:w="109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289</w:t>
            </w:r>
          </w:p>
        </w:tc>
        <w:tc>
          <w:tcPr>
            <w:tcW w:w="109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41</w:t>
            </w:r>
          </w:p>
        </w:tc>
        <w:tc>
          <w:tcPr>
            <w:tcW w:w="104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13</w:t>
            </w:r>
          </w:p>
        </w:tc>
        <w:tc>
          <w:tcPr>
            <w:tcW w:w="11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1 662</w:t>
            </w:r>
          </w:p>
        </w:tc>
      </w:tr>
    </w:tbl>
    <w:p w:rsidR="00F50689" w:rsidRDefault="00F50689">
      <w:pPr>
        <w:rPr>
          <w:rFonts w:ascii="Verdana" w:hAnsi="Verdana"/>
          <w:noProof/>
          <w:sz w:val="18"/>
          <w:szCs w:val="18"/>
        </w:rPr>
      </w:pPr>
    </w:p>
    <w:p w:rsidR="00F50689" w:rsidRDefault="00F50689">
      <w:pPr>
        <w:rPr>
          <w:rFonts w:ascii="Verdana" w:hAnsi="Verdana"/>
          <w:b/>
          <w:caps/>
          <w:color w:val="016794"/>
          <w:sz w:val="28"/>
          <w:szCs w:val="28"/>
        </w:rPr>
      </w:pPr>
      <w:r>
        <w:rPr>
          <w:caps/>
        </w:rPr>
        <w:br w:type="page"/>
      </w:r>
    </w:p>
    <w:p w:rsidR="00F50689" w:rsidRPr="00544E51" w:rsidRDefault="005A36C4" w:rsidP="00F50689">
      <w:pPr>
        <w:pStyle w:val="HEADER2Part2"/>
        <w:spacing w:after="0"/>
        <w:rPr>
          <w:caps/>
        </w:rPr>
      </w:pPr>
      <w:r w:rsidRPr="00544E51">
        <w:rPr>
          <w:caps/>
        </w:rPr>
        <w:t>Pr</w:t>
      </w:r>
      <w:r>
        <w:rPr>
          <w:caps/>
        </w:rPr>
        <w:t xml:space="preserve">EVENTIVE MECHANISMS </w:t>
      </w:r>
      <w:r w:rsidRPr="00544E51">
        <w:rPr>
          <w:caps/>
        </w:rPr>
        <w:t xml:space="preserve">of the </w:t>
      </w:r>
      <w:r>
        <w:rPr>
          <w:caps/>
        </w:rPr>
        <w:t>COMMISSION</w:t>
      </w:r>
    </w:p>
    <w:p w:rsidR="00F50689" w:rsidRDefault="005A36C4" w:rsidP="00F50689">
      <w:pPr>
        <w:pStyle w:val="Textstand-alone"/>
      </w:pPr>
      <w:r>
        <w:t>The Commission uses a number of preventive mechanisms to protect the EU budget. Under direct management, preventive actions include checks made by the responsible services on eligibility of expenditure being claimed by beneficiaries. These ex-ante controls are embedded in the programmes’ management processes and are intended to provide reasonable assurance on the legality and regularity of expenditure being paid. The Commission services can also provide guidance, particularly on contractual issues, with the aim of ensuring a sound and efficient management of funding and therefore a lower risk of irregularities.</w:t>
      </w:r>
    </w:p>
    <w:p w:rsidR="00F50689" w:rsidRDefault="005A36C4" w:rsidP="00F50689">
      <w:pPr>
        <w:pStyle w:val="Textstand-alone"/>
      </w:pPr>
      <w:r>
        <w:t>Under the shared management mode (i.e. agricultural and cohesion policy expenditure), Member States are primarily responsible throughout the expenditure life cycle for ensuring that expenditure paid out from the EU budget is legal and regular. Preventive mechanisms also exist at the level of the Commission in its role of supervising body. The Commission may:</w:t>
      </w:r>
    </w:p>
    <w:p w:rsidR="00F50689" w:rsidRDefault="005A36C4" w:rsidP="00F50689">
      <w:pPr>
        <w:pStyle w:val="Textstand-alone"/>
      </w:pPr>
      <w:r>
        <w:t>- interrupt the payment deadline for a maximum period of 6 months if:</w:t>
      </w:r>
    </w:p>
    <w:p w:rsidR="00F50689" w:rsidRDefault="005A36C4" w:rsidP="00F50689">
      <w:pPr>
        <w:pStyle w:val="Textstand-alone"/>
        <w:ind w:left="567"/>
      </w:pPr>
      <w:r>
        <w:t>(a) There is evidence to suggest a significant deficiency in the functioning of the management and control systems of the Member State concerned; or</w:t>
      </w:r>
    </w:p>
    <w:p w:rsidR="00F50689" w:rsidRDefault="005A36C4" w:rsidP="00F50689">
      <w:pPr>
        <w:pStyle w:val="Textstand-alone"/>
        <w:ind w:left="567"/>
      </w:pPr>
      <w:r>
        <w:t>(b) The Commission services have to carry out additional verifications following information that expenditure in a certified statement of expenditure is linked to a serious irregularity which has not been corrected.</w:t>
      </w:r>
    </w:p>
    <w:p w:rsidR="00F50689" w:rsidRDefault="005A36C4" w:rsidP="00F50689">
      <w:pPr>
        <w:pStyle w:val="Textstand-alone"/>
      </w:pPr>
      <w:r>
        <w:t>Once a case is closed (after a lifting letter is sent), the interrupted amount can be processed and paid out to the Member State authorities under the condition that sufficient credits are available and that there are no other issues affecting the programme.</w:t>
      </w:r>
    </w:p>
    <w:p w:rsidR="00F50689" w:rsidRDefault="005A36C4" w:rsidP="00F50689">
      <w:pPr>
        <w:pStyle w:val="Textstand-alone"/>
      </w:pPr>
      <w:r>
        <w:t>- suspend all or part of an interim payment to a Member State in the following three cases:</w:t>
      </w:r>
    </w:p>
    <w:p w:rsidR="00F50689" w:rsidRDefault="005A36C4" w:rsidP="00F50689">
      <w:pPr>
        <w:pStyle w:val="Textstand-alone"/>
        <w:ind w:left="567"/>
      </w:pPr>
      <w:r>
        <w:t>(a) Where there is evidence of serious deficiency in the management and control system of the programme and the Member State has not taken the necessary corrective measures; or</w:t>
      </w:r>
    </w:p>
    <w:p w:rsidR="00F50689" w:rsidRDefault="005A36C4" w:rsidP="00F50689">
      <w:pPr>
        <w:pStyle w:val="Textstand-alone"/>
        <w:ind w:left="567"/>
      </w:pPr>
      <w:r>
        <w:t>(b) Where expenditure in a certified statement of expenditure is linked to a serious irregularity which has not been corrected; or</w:t>
      </w:r>
    </w:p>
    <w:p w:rsidR="00F50689" w:rsidRDefault="005A36C4" w:rsidP="00F50689">
      <w:pPr>
        <w:pStyle w:val="Textstand-alone"/>
        <w:ind w:left="567"/>
      </w:pPr>
      <w:r>
        <w:t>(c) If there has been a serious breach by a Member State of its management and control obligations.</w:t>
      </w:r>
    </w:p>
    <w:p w:rsidR="00F50689" w:rsidRDefault="005A36C4" w:rsidP="00F50689">
      <w:pPr>
        <w:pStyle w:val="Textstand-alone"/>
      </w:pPr>
      <w:r>
        <w:t>Where the required measures are not taken by the Member State, the Commission may decide to impose a financial correction.</w:t>
      </w:r>
    </w:p>
    <w:p w:rsidR="00F50689" w:rsidRDefault="005A36C4" w:rsidP="00F50689">
      <w:pPr>
        <w:pStyle w:val="HEADER5"/>
      </w:pPr>
      <w:r w:rsidRPr="005C2377">
        <w:t>Interruptions: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993"/>
        <w:gridCol w:w="992"/>
        <w:gridCol w:w="992"/>
        <w:gridCol w:w="992"/>
        <w:gridCol w:w="993"/>
        <w:gridCol w:w="992"/>
        <w:gridCol w:w="992"/>
        <w:gridCol w:w="992"/>
      </w:tblGrid>
      <w:tr w:rsidR="00E7728E">
        <w:tc>
          <w:tcPr>
            <w:tcW w:w="1809"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rPr>
            </w:pPr>
            <w:bookmarkStart w:id="177" w:name="DOC_TBL00076_1_1"/>
            <w:bookmarkEnd w:id="177"/>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984" w:type="dxa"/>
            <w:gridSpan w:val="2"/>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rPr>
                <w:rFonts w:cs="Verdana"/>
              </w:rPr>
              <w:t>EUR millions</w:t>
            </w:r>
          </w:p>
        </w:tc>
      </w:tr>
      <w:tr w:rsidR="00E7728E">
        <w:tc>
          <w:tcPr>
            <w:tcW w:w="180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rPr>
                <w:rFonts w:cs="Verdana"/>
              </w:rPr>
              <w:t>2007-2013 programming period</w:t>
            </w:r>
          </w:p>
        </w:tc>
        <w:tc>
          <w:tcPr>
            <w:tcW w:w="7938" w:type="dxa"/>
            <w:gridSpan w:val="8"/>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9pNormalCentered"/>
              <w:rPr>
                <w:rFonts w:cs="Verdana"/>
              </w:rPr>
            </w:pPr>
          </w:p>
        </w:tc>
      </w:tr>
      <w:tr w:rsidR="00E7728E" w:rsidTr="003A3A39">
        <w:tc>
          <w:tcPr>
            <w:tcW w:w="1809"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9pNormalCentered"/>
              <w:rPr>
                <w:rFonts w:cs="Verdana"/>
              </w:rPr>
            </w:pPr>
          </w:p>
        </w:tc>
        <w:tc>
          <w:tcPr>
            <w:tcW w:w="1985" w:type="dxa"/>
            <w:gridSpan w:val="2"/>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Centered"/>
              <w:rPr>
                <w:rFonts w:cs="Verdana"/>
              </w:rPr>
            </w:pPr>
            <w:r>
              <w:rPr>
                <w:rFonts w:cs="Verdana"/>
              </w:rPr>
              <w:t>Total open cases at 31.12.2013</w:t>
            </w:r>
          </w:p>
        </w:tc>
        <w:tc>
          <w:tcPr>
            <w:tcW w:w="1984" w:type="dxa"/>
            <w:gridSpan w:val="2"/>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Centered"/>
              <w:rPr>
                <w:rFonts w:cs="Verdana"/>
              </w:rPr>
            </w:pPr>
            <w:r>
              <w:rPr>
                <w:rFonts w:cs="Verdana"/>
              </w:rPr>
              <w:t>New cases 2014</w:t>
            </w:r>
          </w:p>
        </w:tc>
        <w:tc>
          <w:tcPr>
            <w:tcW w:w="1985" w:type="dxa"/>
            <w:gridSpan w:val="2"/>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Centered"/>
              <w:rPr>
                <w:rFonts w:cs="Verdana"/>
              </w:rPr>
            </w:pPr>
            <w:r>
              <w:rPr>
                <w:rFonts w:cs="Verdana"/>
              </w:rPr>
              <w:t>Closed cases during 2014</w:t>
            </w:r>
          </w:p>
        </w:tc>
        <w:tc>
          <w:tcPr>
            <w:tcW w:w="1984" w:type="dxa"/>
            <w:gridSpan w:val="2"/>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rPr>
                <w:rFonts w:cs="Verdana"/>
              </w:rPr>
              <w:t>Total open cases at 31.12.2014</w:t>
            </w:r>
          </w:p>
        </w:tc>
      </w:tr>
      <w:tr w:rsidR="00E7728E" w:rsidTr="003A3A39">
        <w:tc>
          <w:tcPr>
            <w:tcW w:w="1809" w:type="dxa"/>
            <w:tcBorders>
              <w:top w:val="nil"/>
              <w:left w:val="nil"/>
              <w:bottom w:val="nil"/>
              <w:right w:val="nil"/>
            </w:tcBorders>
            <w:shd w:val="clear" w:color="auto" w:fill="8DB3E2" w:themeFill="text2" w:themeFillTint="66"/>
            <w:tcMar>
              <w:top w:w="0" w:type="dxa"/>
              <w:left w:w="0" w:type="dxa"/>
              <w:bottom w:w="0" w:type="dxa"/>
              <w:right w:w="0" w:type="dxa"/>
            </w:tcMar>
          </w:tcPr>
          <w:p w:rsidR="00F50689" w:rsidRDefault="005A36C4" w:rsidP="00F50689">
            <w:pPr>
              <w:pStyle w:val="Text9pBoldLeft"/>
              <w:rPr>
                <w:rFonts w:cs="Verdana"/>
              </w:rPr>
            </w:pPr>
            <w:r>
              <w:rPr>
                <w:rFonts w:cs="Verdana"/>
              </w:rPr>
              <w:t>Fund</w:t>
            </w:r>
          </w:p>
        </w:tc>
        <w:tc>
          <w:tcPr>
            <w:tcW w:w="993" w:type="dxa"/>
            <w:tcBorders>
              <w:top w:val="nil"/>
              <w:left w:val="nil"/>
              <w:bottom w:val="nil"/>
              <w:right w:val="nil"/>
            </w:tcBorders>
            <w:shd w:val="clear" w:color="auto" w:fill="8DB3E2" w:themeFill="text2" w:themeFillTint="66"/>
            <w:tcMar>
              <w:top w:w="0" w:type="dxa"/>
              <w:left w:w="0" w:type="dxa"/>
              <w:bottom w:w="0" w:type="dxa"/>
              <w:right w:w="0" w:type="dxa"/>
            </w:tcMar>
          </w:tcPr>
          <w:p w:rsidR="00F50689" w:rsidRDefault="005A36C4" w:rsidP="00F50689">
            <w:pPr>
              <w:pStyle w:val="Heading8pNormalLeft"/>
              <w:rPr>
                <w:rFonts w:cs="Verdana"/>
              </w:rPr>
            </w:pPr>
            <w:r>
              <w:rPr>
                <w:rFonts w:cs="Verdana"/>
              </w:rPr>
              <w:t>Number of cases</w:t>
            </w:r>
          </w:p>
        </w:tc>
        <w:tc>
          <w:tcPr>
            <w:tcW w:w="992" w:type="dxa"/>
            <w:tcBorders>
              <w:top w:val="nil"/>
              <w:left w:val="nil"/>
              <w:bottom w:val="nil"/>
              <w:right w:val="nil"/>
            </w:tcBorders>
            <w:shd w:val="clear" w:color="auto" w:fill="8DB3E2" w:themeFill="text2" w:themeFillTint="66"/>
            <w:tcMar>
              <w:top w:w="0" w:type="dxa"/>
              <w:left w:w="0" w:type="dxa"/>
              <w:bottom w:w="0" w:type="dxa"/>
              <w:right w:w="0" w:type="dxa"/>
            </w:tcMar>
          </w:tcPr>
          <w:p w:rsidR="00F50689" w:rsidRDefault="005A36C4" w:rsidP="00F50689">
            <w:pPr>
              <w:pStyle w:val="Heading8pNormalLeft"/>
              <w:rPr>
                <w:rFonts w:cs="Verdana"/>
              </w:rPr>
            </w:pPr>
            <w:r>
              <w:rPr>
                <w:rFonts w:cs="Verdana"/>
              </w:rPr>
              <w:t>Amount</w:t>
            </w:r>
          </w:p>
        </w:tc>
        <w:tc>
          <w:tcPr>
            <w:tcW w:w="992" w:type="dxa"/>
            <w:tcBorders>
              <w:top w:val="nil"/>
              <w:left w:val="nil"/>
              <w:bottom w:val="nil"/>
              <w:right w:val="nil"/>
            </w:tcBorders>
            <w:shd w:val="clear" w:color="auto" w:fill="8DB3E2" w:themeFill="text2" w:themeFillTint="66"/>
            <w:tcMar>
              <w:top w:w="0" w:type="dxa"/>
              <w:left w:w="0" w:type="dxa"/>
              <w:bottom w:w="0" w:type="dxa"/>
              <w:right w:w="0" w:type="dxa"/>
            </w:tcMar>
          </w:tcPr>
          <w:p w:rsidR="00F50689" w:rsidRDefault="005A36C4" w:rsidP="00F50689">
            <w:pPr>
              <w:pStyle w:val="Heading8pNormalLeft"/>
              <w:rPr>
                <w:rFonts w:cs="Verdana"/>
              </w:rPr>
            </w:pPr>
            <w:r>
              <w:rPr>
                <w:rFonts w:cs="Verdana"/>
              </w:rPr>
              <w:t>Number of cases</w:t>
            </w:r>
          </w:p>
        </w:tc>
        <w:tc>
          <w:tcPr>
            <w:tcW w:w="992" w:type="dxa"/>
            <w:tcBorders>
              <w:top w:val="nil"/>
              <w:left w:val="nil"/>
              <w:bottom w:val="nil"/>
              <w:right w:val="nil"/>
            </w:tcBorders>
            <w:shd w:val="clear" w:color="auto" w:fill="8DB3E2" w:themeFill="text2" w:themeFillTint="66"/>
            <w:tcMar>
              <w:top w:w="0" w:type="dxa"/>
              <w:left w:w="0" w:type="dxa"/>
              <w:bottom w:w="0" w:type="dxa"/>
              <w:right w:w="0" w:type="dxa"/>
            </w:tcMar>
          </w:tcPr>
          <w:p w:rsidR="00F50689" w:rsidRDefault="005A36C4" w:rsidP="00F50689">
            <w:pPr>
              <w:pStyle w:val="Heading8pNormalLeft"/>
              <w:rPr>
                <w:rFonts w:cs="Verdana"/>
              </w:rPr>
            </w:pPr>
            <w:r>
              <w:rPr>
                <w:rFonts w:cs="Verdana"/>
              </w:rPr>
              <w:t>Amount</w:t>
            </w:r>
          </w:p>
        </w:tc>
        <w:tc>
          <w:tcPr>
            <w:tcW w:w="993" w:type="dxa"/>
            <w:tcBorders>
              <w:top w:val="nil"/>
              <w:left w:val="nil"/>
              <w:bottom w:val="nil"/>
              <w:right w:val="nil"/>
            </w:tcBorders>
            <w:shd w:val="clear" w:color="auto" w:fill="8DB3E2" w:themeFill="text2" w:themeFillTint="66"/>
            <w:tcMar>
              <w:top w:w="0" w:type="dxa"/>
              <w:left w:w="0" w:type="dxa"/>
              <w:bottom w:w="0" w:type="dxa"/>
              <w:right w:w="0" w:type="dxa"/>
            </w:tcMar>
          </w:tcPr>
          <w:p w:rsidR="00F50689" w:rsidRDefault="005A36C4" w:rsidP="00F50689">
            <w:pPr>
              <w:pStyle w:val="Heading8pNormalLeft"/>
              <w:rPr>
                <w:rFonts w:cs="Verdana"/>
              </w:rPr>
            </w:pPr>
            <w:r>
              <w:rPr>
                <w:rFonts w:cs="Verdana"/>
              </w:rPr>
              <w:t>Number of cases</w:t>
            </w:r>
          </w:p>
        </w:tc>
        <w:tc>
          <w:tcPr>
            <w:tcW w:w="992" w:type="dxa"/>
            <w:tcBorders>
              <w:top w:val="nil"/>
              <w:left w:val="nil"/>
              <w:bottom w:val="nil"/>
              <w:right w:val="nil"/>
            </w:tcBorders>
            <w:shd w:val="clear" w:color="auto" w:fill="8DB3E2" w:themeFill="text2" w:themeFillTint="66"/>
            <w:tcMar>
              <w:top w:w="0" w:type="dxa"/>
              <w:left w:w="0" w:type="dxa"/>
              <w:bottom w:w="0" w:type="dxa"/>
              <w:right w:w="0" w:type="dxa"/>
            </w:tcMar>
          </w:tcPr>
          <w:p w:rsidR="00F50689" w:rsidRDefault="005A36C4" w:rsidP="00F50689">
            <w:pPr>
              <w:pStyle w:val="Heading8pNormalLeft"/>
              <w:rPr>
                <w:rFonts w:cs="Verdana"/>
              </w:rPr>
            </w:pPr>
            <w:r>
              <w:rPr>
                <w:rFonts w:cs="Verdana"/>
              </w:rPr>
              <w:t>Amount</w:t>
            </w:r>
          </w:p>
        </w:tc>
        <w:tc>
          <w:tcPr>
            <w:tcW w:w="992" w:type="dxa"/>
            <w:tcBorders>
              <w:top w:val="nil"/>
              <w:left w:val="nil"/>
              <w:bottom w:val="nil"/>
              <w:right w:val="nil"/>
            </w:tcBorders>
            <w:shd w:val="clear" w:color="auto" w:fill="8DB3E2" w:themeFill="text2" w:themeFillTint="66"/>
            <w:tcMar>
              <w:top w:w="0" w:type="dxa"/>
              <w:left w:w="0" w:type="dxa"/>
              <w:bottom w:w="0" w:type="dxa"/>
              <w:right w:w="0" w:type="dxa"/>
            </w:tcMar>
          </w:tcPr>
          <w:p w:rsidR="00F50689" w:rsidRDefault="005A36C4" w:rsidP="00F50689">
            <w:pPr>
              <w:pStyle w:val="Heading8pNormalLeft"/>
              <w:rPr>
                <w:rFonts w:cs="Verdana"/>
              </w:rPr>
            </w:pPr>
            <w:r>
              <w:rPr>
                <w:rFonts w:cs="Verdana"/>
              </w:rPr>
              <w:t>Number of cases</w:t>
            </w:r>
          </w:p>
        </w:tc>
        <w:tc>
          <w:tcPr>
            <w:tcW w:w="992" w:type="dxa"/>
            <w:tcBorders>
              <w:top w:val="nil"/>
              <w:left w:val="nil"/>
              <w:bottom w:val="nil"/>
              <w:right w:val="nil"/>
            </w:tcBorders>
            <w:shd w:val="clear" w:color="auto" w:fill="8DB3E2" w:themeFill="text2" w:themeFillTint="66"/>
            <w:tcMar>
              <w:top w:w="0" w:type="dxa"/>
              <w:left w:w="0" w:type="dxa"/>
              <w:bottom w:w="0" w:type="dxa"/>
              <w:right w:w="0" w:type="dxa"/>
            </w:tcMar>
          </w:tcPr>
          <w:p w:rsidR="00F50689" w:rsidRDefault="005A36C4" w:rsidP="00F50689">
            <w:pPr>
              <w:pStyle w:val="Heading8pNormalLeft"/>
              <w:rPr>
                <w:rFonts w:cs="Verdana"/>
              </w:rPr>
            </w:pPr>
            <w:r>
              <w:rPr>
                <w:rFonts w:cs="Verdana"/>
              </w:rPr>
              <w:t>Amount</w:t>
            </w:r>
          </w:p>
        </w:tc>
      </w:tr>
      <w:tr w:rsidR="00E7728E">
        <w:tc>
          <w:tcPr>
            <w:tcW w:w="180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EAFRD*</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i w:val="0"/>
              </w:rPr>
            </w:pPr>
            <w:r>
              <w:rPr>
                <w:rFonts w:cs="Verdana"/>
                <w:i w:val="0"/>
              </w:rPr>
              <w:t xml:space="preserve"> 2</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15</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79</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17</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80</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r>
      <w:tr w:rsidR="00E7728E">
        <w:tc>
          <w:tcPr>
            <w:tcW w:w="180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ERDF &amp; Cohesion Fund</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i w:val="0"/>
              </w:rPr>
            </w:pPr>
            <w:r>
              <w:rPr>
                <w:rFonts w:cs="Verdana"/>
                <w:i w:val="0"/>
              </w:rPr>
              <w:t xml:space="preserve"> 101</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1 608</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134</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6 227</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137</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3 998</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98</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3 837</w:t>
            </w:r>
          </w:p>
        </w:tc>
      </w:tr>
      <w:tr w:rsidR="00E7728E">
        <w:tc>
          <w:tcPr>
            <w:tcW w:w="180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ESF</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i w:val="0"/>
              </w:rPr>
            </w:pPr>
            <w:r>
              <w:rPr>
                <w:rFonts w:cs="Verdana"/>
                <w:i w:val="0"/>
              </w:rPr>
              <w:t xml:space="preserve"> 20</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272</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31</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1 323</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19</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625</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32</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970</w:t>
            </w:r>
          </w:p>
        </w:tc>
      </w:tr>
      <w:tr w:rsidR="00E7728E">
        <w:tc>
          <w:tcPr>
            <w:tcW w:w="180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EFF</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i w:val="0"/>
              </w:rPr>
            </w:pPr>
            <w:r>
              <w:rPr>
                <w:rFonts w:cs="Verdana"/>
                <w:i w:val="0"/>
              </w:rPr>
              <w:t xml:space="preserve"> 10</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97</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13</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103</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15</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186</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8</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14</w:t>
            </w:r>
          </w:p>
        </w:tc>
      </w:tr>
      <w:tr w:rsidR="00E7728E">
        <w:tc>
          <w:tcPr>
            <w:tcW w:w="180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 xml:space="preserve">Total </w:t>
            </w:r>
          </w:p>
        </w:tc>
        <w:tc>
          <w:tcPr>
            <w:tcW w:w="99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 xml:space="preserve"> 133</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1 978</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 xml:space="preserve"> 193</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7 732</w:t>
            </w:r>
          </w:p>
        </w:tc>
        <w:tc>
          <w:tcPr>
            <w:tcW w:w="99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 xml:space="preserve"> 188</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4 889</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 xml:space="preserve"> 138</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4 821</w:t>
            </w:r>
          </w:p>
        </w:tc>
      </w:tr>
    </w:tbl>
    <w:p w:rsidR="00F50689" w:rsidRPr="00101459" w:rsidRDefault="005A36C4" w:rsidP="008A7D59">
      <w:pPr>
        <w:pStyle w:val="HEADER5"/>
        <w:spacing w:before="60"/>
        <w:jc w:val="both"/>
        <w:rPr>
          <w:b w:val="0"/>
          <w:i/>
          <w:color w:val="auto"/>
          <w:sz w:val="14"/>
          <w:szCs w:val="16"/>
        </w:rPr>
      </w:pPr>
      <w:r w:rsidRPr="00101459">
        <w:rPr>
          <w:b w:val="0"/>
          <w:i/>
          <w:color w:val="auto"/>
          <w:sz w:val="14"/>
          <w:szCs w:val="16"/>
        </w:rPr>
        <w:t xml:space="preserve">* For EAFRD the system of interruptions was aligned with the Cohesion funds in 2014. For EAGF, the interruption mechanism does not </w:t>
      </w:r>
      <w:proofErr w:type="gramStart"/>
      <w:r w:rsidRPr="00101459">
        <w:rPr>
          <w:b w:val="0"/>
          <w:i/>
          <w:color w:val="auto"/>
          <w:sz w:val="14"/>
          <w:szCs w:val="16"/>
        </w:rPr>
        <w:t>apply,</w:t>
      </w:r>
      <w:proofErr w:type="gramEnd"/>
      <w:r w:rsidRPr="00101459">
        <w:rPr>
          <w:b w:val="0"/>
          <w:i/>
          <w:color w:val="auto"/>
          <w:sz w:val="14"/>
          <w:szCs w:val="16"/>
        </w:rPr>
        <w:t xml:space="preserve"> suspension and reduction mechanisms apply from 2014 onwards.</w:t>
      </w:r>
    </w:p>
    <w:p w:rsidR="00F50689" w:rsidRDefault="00F50689" w:rsidP="00F50689">
      <w:pPr>
        <w:pStyle w:val="HEADER5"/>
        <w:rPr>
          <w:lang w:bidi="en-GB"/>
        </w:rPr>
      </w:pPr>
    </w:p>
    <w:p w:rsidR="0072577F" w:rsidRDefault="0072577F">
      <w:pPr>
        <w:rPr>
          <w:rFonts w:ascii="Verdana" w:hAnsi="Verdana"/>
          <w:b/>
          <w:color w:val="016794"/>
          <w:sz w:val="18"/>
          <w:szCs w:val="18"/>
        </w:rPr>
      </w:pPr>
      <w:r>
        <w:br w:type="page"/>
      </w:r>
    </w:p>
    <w:p w:rsidR="00F50689" w:rsidRPr="005C2377" w:rsidRDefault="005A36C4" w:rsidP="00F50689">
      <w:pPr>
        <w:pStyle w:val="HEADER5"/>
      </w:pPr>
      <w:r w:rsidRPr="005C2377">
        <w:t>Suspensions</w:t>
      </w:r>
      <w:r>
        <w:t xml:space="preserve"> and reductions</w:t>
      </w:r>
      <w:r w:rsidRPr="005C2377">
        <w:t>:</w:t>
      </w:r>
    </w:p>
    <w:p w:rsidR="00F50689" w:rsidRDefault="005A36C4" w:rsidP="00F50689">
      <w:pPr>
        <w:pStyle w:val="Textstand-alone"/>
      </w:pPr>
      <w:r>
        <w:t xml:space="preserve">Concerning </w:t>
      </w:r>
      <w:r w:rsidRPr="00FE0E63">
        <w:rPr>
          <w:b/>
        </w:rPr>
        <w:t>ERDF</w:t>
      </w:r>
      <w:r>
        <w:t xml:space="preserve"> and the </w:t>
      </w:r>
      <w:r w:rsidRPr="00FE0E63">
        <w:rPr>
          <w:b/>
        </w:rPr>
        <w:t>Cohesion Fund</w:t>
      </w:r>
      <w:r>
        <w:t>, five suspension decisions were still in force at the end of 2013 (</w:t>
      </w:r>
      <w:r w:rsidRPr="00A852CF">
        <w:t xml:space="preserve">the decision for lifting </w:t>
      </w:r>
      <w:r>
        <w:t xml:space="preserve">one </w:t>
      </w:r>
      <w:r w:rsidRPr="00A852CF">
        <w:t>was taken in 2013 but officially notified in 2014</w:t>
      </w:r>
      <w:r>
        <w:t xml:space="preserve">). Decisions to lift the suspensions for two programmes were taken during 2014. The other three suspension decisions remained in force at the end of 2014. Four new suspension decisions were adopted in 2014. Two were still in force at year-end.  </w:t>
      </w:r>
    </w:p>
    <w:p w:rsidR="00F50689" w:rsidRDefault="005A36C4" w:rsidP="00F50689">
      <w:pPr>
        <w:pStyle w:val="Textstand-alone"/>
      </w:pPr>
      <w:r>
        <w:t xml:space="preserve">Concerning </w:t>
      </w:r>
      <w:r w:rsidRPr="00FE0E63">
        <w:rPr>
          <w:b/>
        </w:rPr>
        <w:t>ESF</w:t>
      </w:r>
      <w:r>
        <w:t>, one suspension decision adopted in 2011 was still in force at end of 2014. Out of the eleven suspension decisions adopted in 2013, seven remained in force at the end of 2014. During 2014, eleven new suspension decisions were adopted and were still effective at end 2014.</w:t>
      </w:r>
    </w:p>
    <w:p w:rsidR="00F50689" w:rsidRDefault="005A36C4" w:rsidP="00F50689">
      <w:pPr>
        <w:pStyle w:val="Textstand-alone"/>
      </w:pPr>
      <w:r>
        <w:t xml:space="preserve">One suspension decision was taken in 2014 for </w:t>
      </w:r>
      <w:r w:rsidRPr="00FE0E63">
        <w:rPr>
          <w:b/>
        </w:rPr>
        <w:t>EFF</w:t>
      </w:r>
      <w:r>
        <w:t xml:space="preserve"> following a deficiency identified in the management and control system of a Member State related to the EU measure to reduce fishing overcapacity.</w:t>
      </w:r>
    </w:p>
    <w:p w:rsidR="00F50689" w:rsidRDefault="005A36C4" w:rsidP="00F50689">
      <w:pPr>
        <w:pStyle w:val="Textstand-alone"/>
        <w:rPr>
          <w:szCs w:val="20"/>
        </w:rPr>
      </w:pPr>
      <w:r>
        <w:rPr>
          <w:szCs w:val="20"/>
        </w:rPr>
        <w:t xml:space="preserve">There were no suspension decisions taken in 2014 for </w:t>
      </w:r>
      <w:r w:rsidRPr="005107E5">
        <w:rPr>
          <w:b/>
          <w:szCs w:val="20"/>
        </w:rPr>
        <w:t>EAFRD</w:t>
      </w:r>
      <w:r>
        <w:rPr>
          <w:szCs w:val="20"/>
        </w:rPr>
        <w:t xml:space="preserve">. </w:t>
      </w:r>
      <w:r w:rsidRPr="005A2FFD">
        <w:rPr>
          <w:szCs w:val="20"/>
        </w:rPr>
        <w:t xml:space="preserve">For </w:t>
      </w:r>
      <w:r w:rsidRPr="00B34C96">
        <w:rPr>
          <w:b/>
          <w:szCs w:val="20"/>
        </w:rPr>
        <w:t>EAGF</w:t>
      </w:r>
      <w:r w:rsidRPr="005A2FFD">
        <w:rPr>
          <w:szCs w:val="20"/>
        </w:rPr>
        <w:t xml:space="preserve">, there was </w:t>
      </w:r>
      <w:r>
        <w:rPr>
          <w:szCs w:val="20"/>
        </w:rPr>
        <w:t>one</w:t>
      </w:r>
      <w:r w:rsidRPr="005A2FFD">
        <w:rPr>
          <w:szCs w:val="20"/>
        </w:rPr>
        <w:t xml:space="preserve"> </w:t>
      </w:r>
      <w:r w:rsidRPr="00B34C96">
        <w:rPr>
          <w:bCs/>
        </w:rPr>
        <w:t>reduction</w:t>
      </w:r>
      <w:r w:rsidRPr="005A2FFD">
        <w:t xml:space="preserve"> made in 2014 </w:t>
      </w:r>
      <w:r>
        <w:t>while</w:t>
      </w:r>
      <w:r w:rsidRPr="005A2FFD">
        <w:t xml:space="preserve"> there were 3 reduct</w:t>
      </w:r>
      <w:r>
        <w:t xml:space="preserve">ion decisions adopted for EAFRD. At year-end </w:t>
      </w:r>
      <w:r w:rsidRPr="005A2FFD">
        <w:t>there were 5 EAFRD reduction cases ongoing</w:t>
      </w:r>
      <w:r>
        <w:rPr>
          <w:szCs w:val="20"/>
        </w:rPr>
        <w:t>.</w:t>
      </w:r>
    </w:p>
    <w:p w:rsidR="00F50689" w:rsidRPr="003C437C" w:rsidRDefault="005A36C4" w:rsidP="00E8741F">
      <w:pPr>
        <w:pStyle w:val="HEADER2Part2"/>
        <w:spacing w:before="480"/>
      </w:pPr>
      <w:r>
        <w:t>R</w:t>
      </w:r>
      <w:r w:rsidRPr="003C437C">
        <w:t>ECOVERY OF UNUSED PRE-FINANCING AMOUNTS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78" w:name="DOC_TBL00077_1_1"/>
            <w:bookmarkEnd w:id="178"/>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rPr>
                <w:rFonts w:cs="Verdana"/>
              </w:rPr>
              <w:t>EUR millions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2013</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Agriculture:</w:t>
            </w:r>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98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200"/>
              <w:rPr>
                <w:rFonts w:cs="Verdana"/>
              </w:rPr>
            </w:pPr>
            <w:r>
              <w:rPr>
                <w:rFonts w:cs="Verdana"/>
              </w:rPr>
              <w:t>EAGF</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200"/>
              <w:rPr>
                <w:rFonts w:cs="Verdana"/>
              </w:rPr>
            </w:pPr>
            <w:r>
              <w:rPr>
                <w:rFonts w:cs="Verdana"/>
              </w:rPr>
              <w:t>Rural Development</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Cohesion Policy:</w:t>
            </w:r>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98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200"/>
              <w:rPr>
                <w:rFonts w:cs="Verdana"/>
              </w:rPr>
            </w:pPr>
            <w:r>
              <w:rPr>
                <w:rFonts w:cs="Verdana"/>
              </w:rPr>
              <w:t>ERDF</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68</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200"/>
              <w:rPr>
                <w:rFonts w:cs="Verdana"/>
              </w:rPr>
            </w:pPr>
            <w:r>
              <w:rPr>
                <w:rFonts w:cs="Verdana"/>
              </w:rPr>
              <w:t>Cohesion Fund</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4</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200"/>
              <w:rPr>
                <w:rFonts w:cs="Verdana"/>
              </w:rPr>
            </w:pPr>
            <w:r>
              <w:rPr>
                <w:rFonts w:cs="Verdana"/>
              </w:rPr>
              <w:t>ESF</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9</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53</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200"/>
              <w:rPr>
                <w:rFonts w:cs="Verdana"/>
              </w:rPr>
            </w:pPr>
            <w:r>
              <w:rPr>
                <w:rFonts w:cs="Verdana"/>
              </w:rPr>
              <w:t>FIFG/EFF</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10</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7</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200"/>
              <w:rPr>
                <w:rFonts w:cs="Verdana"/>
              </w:rPr>
            </w:pPr>
            <w:r>
              <w:rPr>
                <w:rFonts w:cs="Verdana"/>
              </w:rPr>
              <w:t>EAGGF Guidance</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6</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3</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Internal policy areas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278</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208</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External policy areas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95</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91</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Administration</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Total recovered</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 xml:space="preserve"> 400</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 xml:space="preserve"> 435</w:t>
            </w:r>
          </w:p>
        </w:tc>
      </w:tr>
    </w:tbl>
    <w:p w:rsidR="00F50689" w:rsidRDefault="005A36C4" w:rsidP="00F50689">
      <w:pPr>
        <w:pStyle w:val="Textstand-alone"/>
        <w:spacing w:after="0"/>
      </w:pPr>
      <w:r w:rsidRPr="009F6B3D">
        <w:t xml:space="preserve">Recoveries of unused pre-financing amounts should not be confused with irregular expenditure recovered. Where the Commission services identify and recover such expenditure in relation to pre-financing amounts paid out, these are included in the normal financial correction or recovery processes described above. For more details on prefinancing, see also note </w:t>
      </w:r>
      <w:r w:rsidRPr="009F6B3D">
        <w:rPr>
          <w:b/>
          <w:color w:val="17365D"/>
          <w:szCs w:val="20"/>
        </w:rPr>
        <w:t>2.5.</w:t>
      </w:r>
    </w:p>
    <w:p w:rsidR="00F50689" w:rsidRPr="0034662F" w:rsidRDefault="005A36C4" w:rsidP="00F50689">
      <w:pPr>
        <w:pStyle w:val="Textstand-alone"/>
        <w:spacing w:before="0" w:after="0"/>
        <w:sectPr w:rsidR="00F50689" w:rsidRPr="0034662F" w:rsidSect="00F50689">
          <w:headerReference w:type="even" r:id="rId359"/>
          <w:headerReference w:type="default" r:id="rId360"/>
          <w:footerReference w:type="even" r:id="rId361"/>
          <w:footerReference w:type="default" r:id="rId362"/>
          <w:headerReference w:type="first" r:id="rId363"/>
          <w:footerReference w:type="first" r:id="rId364"/>
          <w:pgSz w:w="11906" w:h="16838"/>
          <w:pgMar w:top="1134" w:right="1134" w:bottom="1134" w:left="1134" w:header="709" w:footer="709" w:gutter="0"/>
          <w:cols w:space="708"/>
          <w:docGrid w:linePitch="360"/>
        </w:sectPr>
      </w:pPr>
      <w:r>
        <w:t xml:space="preserve"> </w:t>
      </w:r>
      <w:bookmarkEnd w:id="172"/>
    </w:p>
    <w:p w:rsidR="00F50689" w:rsidRDefault="00F50689">
      <w:pPr>
        <w:rPr>
          <w:rFonts w:ascii="Verdana" w:hAnsi="Verdana"/>
          <w:b/>
          <w:color w:val="016794"/>
          <w:sz w:val="32"/>
          <w:szCs w:val="32"/>
        </w:rPr>
      </w:pPr>
      <w:bookmarkStart w:id="179" w:name="_Toc424652045"/>
      <w:bookmarkStart w:id="180" w:name="_DMBM_2608"/>
      <w:r>
        <w:br w:type="page"/>
      </w:r>
    </w:p>
    <w:p w:rsidR="00F50689" w:rsidRPr="00E01B1D" w:rsidRDefault="005A36C4" w:rsidP="00F50689">
      <w:pPr>
        <w:pStyle w:val="HEADER1Part2"/>
      </w:pPr>
      <w:r w:rsidRPr="00E01B1D">
        <w:t>FINANCIAL RISK MANAGEMENT</w:t>
      </w:r>
      <w:bookmarkEnd w:id="179"/>
    </w:p>
    <w:p w:rsidR="00F50689" w:rsidRDefault="005A36C4" w:rsidP="00F50689">
      <w:pPr>
        <w:pStyle w:val="Textstand-alone"/>
      </w:pPr>
      <w:r>
        <w:t>The following disclosures with regard to the financial risk management of the EU relate to:</w:t>
      </w:r>
    </w:p>
    <w:p w:rsidR="00F50689" w:rsidRDefault="005A36C4" w:rsidP="00F50689">
      <w:pPr>
        <w:pStyle w:val="Textstand-alonebulletpointJustified"/>
      </w:pPr>
      <w:r>
        <w:t xml:space="preserve">Lending and </w:t>
      </w:r>
      <w:r w:rsidRPr="000C3655">
        <w:t>borrowing</w:t>
      </w:r>
      <w:r>
        <w:t xml:space="preserve"> activities carried out by the Commission through: EFSM, BOP, MFA, and Euratom actions and the ECSC in Liquidation; </w:t>
      </w:r>
    </w:p>
    <w:p w:rsidR="00F50689" w:rsidRDefault="00F50689" w:rsidP="00F50689">
      <w:pPr>
        <w:pStyle w:val="Textstand-alonebulletpointJustified"/>
        <w:numPr>
          <w:ilvl w:val="0"/>
          <w:numId w:val="0"/>
        </w:numPr>
        <w:ind w:left="357"/>
      </w:pPr>
    </w:p>
    <w:p w:rsidR="00F50689" w:rsidRDefault="005A36C4" w:rsidP="00F50689">
      <w:pPr>
        <w:pStyle w:val="Textstand-alonebulletpointJustified"/>
      </w:pPr>
      <w:r>
        <w:t xml:space="preserve">The treasury operations carried out by the Commission in order to implement the EU budget, including the receipt of fines; </w:t>
      </w:r>
    </w:p>
    <w:p w:rsidR="00F50689" w:rsidRDefault="00F50689" w:rsidP="00F50689">
      <w:pPr>
        <w:pStyle w:val="Textstand-alonebulletpointJustified"/>
        <w:numPr>
          <w:ilvl w:val="0"/>
          <w:numId w:val="0"/>
        </w:numPr>
        <w:ind w:left="357"/>
      </w:pPr>
    </w:p>
    <w:p w:rsidR="00F50689" w:rsidRDefault="005A36C4" w:rsidP="00F50689">
      <w:pPr>
        <w:pStyle w:val="Textstand-alonebulletpointJustified"/>
      </w:pPr>
      <w:r>
        <w:t>The Guarantee Fund for external actions; and</w:t>
      </w:r>
    </w:p>
    <w:p w:rsidR="00F50689" w:rsidRDefault="00F50689" w:rsidP="00F50689">
      <w:pPr>
        <w:pStyle w:val="Textstand-alonebulletpointJustified"/>
        <w:numPr>
          <w:ilvl w:val="0"/>
          <w:numId w:val="0"/>
        </w:numPr>
        <w:ind w:left="357"/>
      </w:pPr>
    </w:p>
    <w:p w:rsidR="00F50689" w:rsidRDefault="005A36C4" w:rsidP="00F50689">
      <w:pPr>
        <w:pStyle w:val="Textstand-alonebulletpointJustified"/>
      </w:pPr>
      <w:r>
        <w:t>Financial instruments financed by the budget.</w:t>
      </w:r>
    </w:p>
    <w:p w:rsidR="00F50689" w:rsidRPr="00E01B1D" w:rsidRDefault="005A36C4" w:rsidP="00F50689">
      <w:pPr>
        <w:pStyle w:val="HEADER2Part2"/>
      </w:pPr>
      <w:bookmarkStart w:id="181" w:name="_DMBM_120"/>
      <w:r w:rsidRPr="00E01B1D">
        <w:t>TYPES OF RISK</w:t>
      </w:r>
    </w:p>
    <w:p w:rsidR="00F50689" w:rsidRDefault="005A36C4" w:rsidP="00F50689">
      <w:pPr>
        <w:pStyle w:val="Textstand-alone"/>
      </w:pPr>
      <w:r w:rsidRPr="000C3655">
        <w:rPr>
          <w:b/>
        </w:rPr>
        <w:t>Market risk</w:t>
      </w:r>
      <w:r>
        <w:t xml:space="preserve"> is the risk that the fair value or future cashflows of a financial instrument will fluctuate, because of variations in market prices. Market risk embodies not only the potential for loss, but also the potential for gain. It comprises </w:t>
      </w:r>
      <w:r w:rsidRPr="001C635F">
        <w:rPr>
          <w:color w:val="000000" w:themeColor="text1"/>
        </w:rPr>
        <w:t xml:space="preserve">currency risk, interest rate risk and other price risk </w:t>
      </w:r>
      <w:r>
        <w:t>(the EU has no significant other price risk).</w:t>
      </w:r>
    </w:p>
    <w:p w:rsidR="00F50689" w:rsidRPr="000C3655" w:rsidRDefault="005A36C4" w:rsidP="00F50689">
      <w:pPr>
        <w:pStyle w:val="Textstand-alonenumberingJustified"/>
      </w:pPr>
      <w:r w:rsidRPr="008F3D50">
        <w:rPr>
          <w:i/>
        </w:rPr>
        <w:t>Currency risk</w:t>
      </w:r>
      <w:r w:rsidRPr="000C3655">
        <w:t xml:space="preserve"> is the risk that the EU's operations or its investments' value will be affected by changes in exchange rates. This risk arises from the change in price of one currency against another. </w:t>
      </w:r>
    </w:p>
    <w:p w:rsidR="00F50689" w:rsidRDefault="005A36C4" w:rsidP="00F50689">
      <w:pPr>
        <w:pStyle w:val="Textstand-alonenumberingJustified"/>
      </w:pPr>
      <w:r w:rsidRPr="008F3D50">
        <w:rPr>
          <w:i/>
        </w:rPr>
        <w:t>Interest rate risk</w:t>
      </w:r>
      <w:r>
        <w:t xml:space="preserve"> is the possibility of a reduction in the value of a security, especially a bond, resulting from an increase in interest rates. In general, higher interest rates will lead to lower prices of fixed rate bonds, and vice versa.</w:t>
      </w:r>
    </w:p>
    <w:p w:rsidR="00F50689" w:rsidRDefault="005A36C4" w:rsidP="00F50689">
      <w:pPr>
        <w:pStyle w:val="Textstand-alone"/>
      </w:pPr>
      <w:r w:rsidRPr="000C3655">
        <w:rPr>
          <w:b/>
        </w:rPr>
        <w:t>Credit risk</w:t>
      </w:r>
      <w:r>
        <w:t xml:space="preserve"> is the risk of loss due to a debtor's/borrower's non-payment of a loan or other line of credit (either the principal or interest or both) or other failure to meet a contractual obligation. The default events include a delay in repayments, restructuring of borrower repayments and bankruptcy.</w:t>
      </w:r>
    </w:p>
    <w:p w:rsidR="00F50689" w:rsidRDefault="005A36C4" w:rsidP="00F50689">
      <w:pPr>
        <w:pStyle w:val="Textstand-alone"/>
      </w:pPr>
      <w:r w:rsidRPr="000C3655">
        <w:rPr>
          <w:b/>
        </w:rPr>
        <w:t>Liquidity risk</w:t>
      </w:r>
      <w:r>
        <w:t xml:space="preserve"> is the risk that arises from the difficulty of selling an asset; for example, the risk that a given security or asset cannot be traded quickly enough in the market to prevent a loss or meet an obligation.</w:t>
      </w:r>
      <w:bookmarkEnd w:id="181"/>
    </w:p>
    <w:p w:rsidR="00F50689" w:rsidRDefault="005A36C4" w:rsidP="00F50689">
      <w:pPr>
        <w:pStyle w:val="HEADER2Part2"/>
        <w:spacing w:after="0"/>
      </w:pPr>
      <w:r>
        <w:t xml:space="preserve">RISK MANAGEMENT POLICIES </w:t>
      </w:r>
    </w:p>
    <w:p w:rsidR="00F50689" w:rsidRPr="008F3D50" w:rsidRDefault="005A36C4" w:rsidP="00F50689">
      <w:pPr>
        <w:pStyle w:val="Textstand-alone"/>
      </w:pPr>
      <w:r>
        <w:t xml:space="preserve">The implementation of the EU budget relies increasingly on the use of </w:t>
      </w:r>
      <w:r w:rsidRPr="008F3D50">
        <w:t xml:space="preserve">of financial instruments. The basic concept behind this </w:t>
      </w:r>
      <w:r>
        <w:t xml:space="preserve">new </w:t>
      </w:r>
      <w:r w:rsidRPr="008F3D50">
        <w:t>approach, in contrast to the traditional method of budget implementation by giving grants and subsidies, is that for each euro spent from the budget via financial instruments, the final beneficiary receives more than EUR 1 as financial support due to the leverage effect. This intelligent use of the EU budget maximis</w:t>
      </w:r>
      <w:r>
        <w:t>es</w:t>
      </w:r>
      <w:r w:rsidRPr="008F3D50">
        <w:t xml:space="preserve"> the impact of the funds available. For </w:t>
      </w:r>
      <w:r>
        <w:t xml:space="preserve">more information on the amounts concerned, see </w:t>
      </w:r>
      <w:r w:rsidRPr="003A3A39">
        <w:t>note</w:t>
      </w:r>
      <w:r w:rsidRPr="00EF0021">
        <w:rPr>
          <w:b/>
        </w:rPr>
        <w:t xml:space="preserve"> 2.4</w:t>
      </w:r>
      <w:r>
        <w:t>.</w:t>
      </w:r>
    </w:p>
    <w:p w:rsidR="00F50689" w:rsidRPr="008F3D50" w:rsidRDefault="005A36C4" w:rsidP="00F50689">
      <w:pPr>
        <w:pStyle w:val="Textstand-alone"/>
      </w:pPr>
      <w:r w:rsidRPr="008F3D50">
        <w:t>Common to most financial instruments is the fact that the implementation is delegated to either the EIB group (including EIF) based on a</w:t>
      </w:r>
      <w:r>
        <w:t>n</w:t>
      </w:r>
      <w:r w:rsidRPr="008F3D50">
        <w:t xml:space="preserve"> agreement between the EC and the EIB or to other financial intermediaries. Agreements signed with these intermediaries include strict conditions and obligations on the intermediaries so as ensure that EU monies are properly </w:t>
      </w:r>
      <w:r>
        <w:t>managed</w:t>
      </w:r>
      <w:r w:rsidRPr="008F3D50">
        <w:t xml:space="preserve"> and properly reported on. Once a financial contribution to one of the instruments has been committed</w:t>
      </w:r>
      <w:r>
        <w:t>,</w:t>
      </w:r>
      <w:r w:rsidRPr="008F3D50">
        <w:t xml:space="preserve"> the funds are transferred to a specifically created bank account of the financial intermediary (i.e. a fiduciary account). The financial intermediary may, depending on the instrument in question, use the funds on this fiduciary account to provide loans, issue debt instruments</w:t>
      </w:r>
      <w:r>
        <w:t>,</w:t>
      </w:r>
      <w:r w:rsidRPr="008F3D50">
        <w:t xml:space="preserve"> etc. Proceeds from financial instruments have to, as a general rule, be reimbursed to the EU budget.</w:t>
      </w:r>
    </w:p>
    <w:p w:rsidR="00F50689" w:rsidRPr="008F3D50" w:rsidRDefault="005A36C4" w:rsidP="00F50689">
      <w:pPr>
        <w:pStyle w:val="Textstand-alone"/>
      </w:pPr>
      <w:r w:rsidRPr="008F3D50">
        <w:t>The risk as regards these financial instruments is usually limited to a ceiling as indicated in the underlying agreements which is the budgeted amount foreseen for the instrument. As the C</w:t>
      </w:r>
      <w:r>
        <w:t>ommission</w:t>
      </w:r>
      <w:r w:rsidRPr="008F3D50">
        <w:t xml:space="preserve"> often bears the "first loss piece" and since instruments are intended to finance riskier beneficiaries (who have difficulties in obtaining funding from commercial lenders), it is therefore likely that at least some losses to the EU budget will occur.</w:t>
      </w:r>
    </w:p>
    <w:p w:rsidR="00F50689" w:rsidRPr="00E01B1D" w:rsidRDefault="005A36C4" w:rsidP="00F50689">
      <w:pPr>
        <w:pStyle w:val="HEADER5"/>
      </w:pPr>
      <w:r w:rsidRPr="00E01B1D">
        <w:t>Borrowing &amp; Lending activities</w:t>
      </w:r>
    </w:p>
    <w:p w:rsidR="00F50689" w:rsidRDefault="005A36C4" w:rsidP="00F50689">
      <w:pPr>
        <w:pStyle w:val="Textstand-alone"/>
      </w:pPr>
      <w:r>
        <w:t>The lending and borrowing transactions, as well as related treasury management, are carried out by the EU according to the respective Council Decisions, if applicable, and internal guidelines. Written procedure manuals covering specific areas such as borrowings, loans and treasury management have been developed and are used by the relevant operating units. As a general rule, there are no activities to compensate interest rate variations or foreign currency variations ("hedging" activities) carried-out as lending operations are generally financed by "back-to-back" borrowings, which thus do not generate open interest rate or currency positions. The application of the "back-to-back" character is checked regularly.</w:t>
      </w:r>
    </w:p>
    <w:p w:rsidR="00F50689" w:rsidRPr="00E01B1D" w:rsidRDefault="005A36C4" w:rsidP="00F50689">
      <w:pPr>
        <w:pStyle w:val="HEADER5"/>
      </w:pPr>
      <w:r w:rsidRPr="00E01B1D">
        <w:t>Treasury</w:t>
      </w:r>
    </w:p>
    <w:p w:rsidR="00F50689" w:rsidRDefault="005A36C4" w:rsidP="00F50689">
      <w:pPr>
        <w:pStyle w:val="Textstand-alone"/>
      </w:pPr>
      <w:r>
        <w:t>The rules and principles for the management of the Commission's treasury operations are laid down in the Council Regulation 1150/2000 (amended by Council Regulations 2028/2004 and 105/2009) and in the Financial Regulation and its rules of application.</w:t>
      </w:r>
    </w:p>
    <w:p w:rsidR="00F50689" w:rsidRDefault="005A36C4" w:rsidP="00F50689">
      <w:pPr>
        <w:pStyle w:val="Textstand-alone"/>
      </w:pPr>
      <w:r>
        <w:t>As a result of the above regulations, the following main principles apply:</w:t>
      </w:r>
    </w:p>
    <w:p w:rsidR="00F50689" w:rsidRDefault="005A36C4" w:rsidP="00F50689">
      <w:pPr>
        <w:pStyle w:val="Textstand-alonebulletpointJustified"/>
      </w:pPr>
      <w:r>
        <w:t xml:space="preserve">Own resources are paid by the Member States into accounts opened for this purpose in the name </w:t>
      </w:r>
      <w:r w:rsidRPr="008E4544">
        <w:t>of the Commission with the Treasury or the body appointed by each Member State. The Commission may draw on the above accounts solely to cover its cash requirements.</w:t>
      </w:r>
    </w:p>
    <w:p w:rsidR="00F50689" w:rsidRPr="008E4544" w:rsidRDefault="00F50689" w:rsidP="00F50689">
      <w:pPr>
        <w:pStyle w:val="Textstand-alonebulletpointJustified"/>
        <w:numPr>
          <w:ilvl w:val="0"/>
          <w:numId w:val="0"/>
        </w:numPr>
        <w:ind w:left="357"/>
      </w:pPr>
    </w:p>
    <w:p w:rsidR="00F50689" w:rsidRDefault="005A36C4" w:rsidP="00F50689">
      <w:pPr>
        <w:pStyle w:val="Textstand-alonebulletpointJustified"/>
      </w:pPr>
      <w:r w:rsidRPr="008E4544">
        <w:t>Own Resources are paid by Member States in their own national currencies, while the Commission's payments are mostly denominated in EUR.</w:t>
      </w:r>
    </w:p>
    <w:p w:rsidR="00F50689" w:rsidRPr="008E4544" w:rsidRDefault="00F50689" w:rsidP="00F50689">
      <w:pPr>
        <w:pStyle w:val="Textstand-alonebulletpointJustified"/>
        <w:numPr>
          <w:ilvl w:val="0"/>
          <w:numId w:val="0"/>
        </w:numPr>
        <w:ind w:left="357"/>
      </w:pPr>
    </w:p>
    <w:p w:rsidR="00F50689" w:rsidRDefault="005A36C4" w:rsidP="00F50689">
      <w:pPr>
        <w:pStyle w:val="Textstand-alonebulletpointJustified"/>
      </w:pPr>
      <w:r w:rsidRPr="008E4544">
        <w:t>Bank accounts opened in the name of the Commission may not be overdrawn. This restriction does not apply to the Commission's own resource accounts in case of a default on loans contracted or guaranteed pursuant to EU Council regulations and decision and under certain conditions in case the cash resource requirements are in excess of the assets of the accounts.</w:t>
      </w:r>
    </w:p>
    <w:p w:rsidR="00F50689" w:rsidRPr="008E4544" w:rsidRDefault="00F50689" w:rsidP="00F50689">
      <w:pPr>
        <w:pStyle w:val="Textstand-alonebulletpointJustified"/>
        <w:numPr>
          <w:ilvl w:val="0"/>
          <w:numId w:val="0"/>
        </w:numPr>
        <w:ind w:left="357"/>
      </w:pPr>
    </w:p>
    <w:p w:rsidR="00F50689" w:rsidRPr="008E4544" w:rsidRDefault="005A36C4" w:rsidP="00F50689">
      <w:pPr>
        <w:pStyle w:val="Textstand-alonebulletpointJustified"/>
      </w:pPr>
      <w:r w:rsidRPr="008E4544">
        <w:t>Funds held in bank accounts denominated in currencies other than EUR are either used for payments in the same currencies or periodically converted in EUR.</w:t>
      </w:r>
    </w:p>
    <w:p w:rsidR="00F50689" w:rsidRDefault="005A36C4" w:rsidP="00F50689">
      <w:pPr>
        <w:pStyle w:val="Textstand-alone"/>
      </w:pPr>
      <w:r w:rsidRPr="008E4544">
        <w:t>In addition to the own resources accounts, other bank accounts are opened by the Commission, with central banks and commercial banks, for the purpose of executing payments and receiving receipts other than the Member State contributions to the budget</w:t>
      </w:r>
      <w:r>
        <w:t xml:space="preserve">. </w:t>
      </w:r>
    </w:p>
    <w:p w:rsidR="00F50689" w:rsidRDefault="005A36C4" w:rsidP="00F50689">
      <w:pPr>
        <w:pStyle w:val="Textstand-alone"/>
      </w:pPr>
      <w:r>
        <w:t>Treasury and payment operations are highly automated and rely on modern information systems. Specific procedures are applied to guarantee system security and to ensure segregation of duties in line with the Financial Regulation, the Commission’s internal control standards, and audit principles.</w:t>
      </w:r>
    </w:p>
    <w:p w:rsidR="00F50689" w:rsidRDefault="005A36C4" w:rsidP="00F50689">
      <w:pPr>
        <w:pStyle w:val="Textstand-alone"/>
      </w:pPr>
      <w:r>
        <w:t xml:space="preserve">A written set of guidelines and procedures regulates the management of the Commission's treasury and payment operations with the objective of limiting operational and financial risk and ensuring an adequate level of control. They cover the different areas of operation (for example: payment execution and cash management, cashflow forecasting, business continuity, etc.), and compliance with the guidelines and procedures is checked regularly. Additionally, information is exchanged between Directorate General for the Budget and Directorate-General for Economic and Financial Affairs on risk management and best exposures. </w:t>
      </w:r>
    </w:p>
    <w:p w:rsidR="00F50689" w:rsidRPr="00E01B1D" w:rsidRDefault="005A36C4" w:rsidP="00F50689">
      <w:pPr>
        <w:pStyle w:val="HEADER5"/>
      </w:pPr>
      <w:r w:rsidRPr="00E01B1D">
        <w:t>Fines</w:t>
      </w:r>
    </w:p>
    <w:p w:rsidR="00F50689" w:rsidRPr="000C3655" w:rsidRDefault="005A36C4" w:rsidP="00F50689">
      <w:pPr>
        <w:pStyle w:val="Textstand-alone"/>
        <w:rPr>
          <w:i/>
        </w:rPr>
      </w:pPr>
      <w:r w:rsidRPr="000C3655">
        <w:rPr>
          <w:i/>
        </w:rPr>
        <w:t>Provisionally cashed fines: deposits</w:t>
      </w:r>
    </w:p>
    <w:p w:rsidR="00F50689" w:rsidRDefault="005A36C4" w:rsidP="00F50689">
      <w:pPr>
        <w:pStyle w:val="Textstand-alone"/>
      </w:pPr>
      <w:r>
        <w:t>Amounts received before 2010 remain in bank accounts with banks specifically selected for the deposit of provisionally cashed fines. The selection of banks is conducted in compliance with tender procedures defined by the Financial Regulation. Placement of funds with specific banks is determined by the internal risk management policy defining the credit rating requirements and the amount of funds which could be placed in proportion to the counterparty equity. Financial and operational risks are identified and evaluated and compliance with internal policies and procedures is checked regularly.</w:t>
      </w:r>
    </w:p>
    <w:p w:rsidR="00F50689" w:rsidRPr="000C3655" w:rsidRDefault="005A36C4" w:rsidP="00F50689">
      <w:pPr>
        <w:pStyle w:val="Textstand-alone"/>
        <w:rPr>
          <w:i/>
        </w:rPr>
      </w:pPr>
      <w:r w:rsidRPr="000C3655">
        <w:rPr>
          <w:i/>
        </w:rPr>
        <w:t>Provisionally cashed fines: BUFI portfolio</w:t>
      </w:r>
    </w:p>
    <w:p w:rsidR="00F50689" w:rsidRPr="0072779C" w:rsidRDefault="005A36C4" w:rsidP="00F50689">
      <w:pPr>
        <w:pStyle w:val="Textstand-alone"/>
      </w:pPr>
      <w:r w:rsidRPr="0072779C">
        <w:t>Fines imposed and provisiona</w:t>
      </w:r>
      <w:r>
        <w:t>l</w:t>
      </w:r>
      <w:r w:rsidRPr="0072779C">
        <w:t>ly cashed from 2010 onwards are invested in a specifically created fund, BUFI. The main objectives of the Fund are the reduction of risks associated with financial markets and the equal treatment of all fined entities by offering a guaranteed return calculated on the same basis. The asset management for provisionally cashed fines is carried out by the Commission in accordance with internal asset management guidelines. Procedural manuals covering specific areas such as treasury management have been developed and are used by the relevant operating units. Financial and operational risks are identified and evaluated and compliance with internal guidelines and procedures is checked regularly.</w:t>
      </w:r>
    </w:p>
    <w:p w:rsidR="00F50689" w:rsidRPr="0072779C" w:rsidRDefault="005A36C4" w:rsidP="00F50689">
      <w:pPr>
        <w:pStyle w:val="Textstand-alone"/>
      </w:pPr>
      <w:r w:rsidRPr="0072779C">
        <w:t>The objectives of the asset management activities are to invest the fines provisionally paid to the Commission in such a way as to:</w:t>
      </w:r>
    </w:p>
    <w:p w:rsidR="00F50689" w:rsidRPr="0072779C" w:rsidRDefault="005A36C4" w:rsidP="00F50689">
      <w:pPr>
        <w:pStyle w:val="Textstand-alonenumberingLetters"/>
      </w:pPr>
      <w:r w:rsidRPr="0072779C">
        <w:t xml:space="preserve">ensure that the funds are </w:t>
      </w:r>
      <w:r w:rsidRPr="000C3655">
        <w:t>easily</w:t>
      </w:r>
      <w:r w:rsidRPr="0072779C">
        <w:t xml:space="preserve"> available when needed, while</w:t>
      </w:r>
    </w:p>
    <w:p w:rsidR="00F50689" w:rsidRPr="0072779C" w:rsidRDefault="005A36C4" w:rsidP="00F50689">
      <w:pPr>
        <w:pStyle w:val="Textstand-alonenumberingLetters"/>
      </w:pPr>
      <w:proofErr w:type="gramStart"/>
      <w:r w:rsidRPr="0072779C">
        <w:t>aiming</w:t>
      </w:r>
      <w:proofErr w:type="gramEnd"/>
      <w:r w:rsidRPr="0072779C">
        <w:t xml:space="preserve"> at delivering, under normal circumstances, a return which on average is at least equal to the return of the BUFI Benchmark minus costs incurred.</w:t>
      </w:r>
    </w:p>
    <w:p w:rsidR="00F50689" w:rsidRPr="0072779C" w:rsidRDefault="005A36C4" w:rsidP="00F50689">
      <w:pPr>
        <w:pStyle w:val="Textstand-alone"/>
      </w:pPr>
      <w:r w:rsidRPr="0072779C">
        <w:t>Investments are restricted essentially to the following categories: term deposits with Euro</w:t>
      </w:r>
      <w:r>
        <w:t>-area</w:t>
      </w:r>
      <w:r w:rsidRPr="0072779C">
        <w:t xml:space="preserve"> Central Banks, Euro</w:t>
      </w:r>
      <w:r>
        <w:t>-area</w:t>
      </w:r>
      <w:r w:rsidRPr="0072779C">
        <w:t xml:space="preserve"> sovereign debt agencies, fully state-owned or state-guaranteed banks or supranational institutions, and bonds, bills and Certificates of Deposit issued by either sovereign or supranational institutions.</w:t>
      </w:r>
    </w:p>
    <w:p w:rsidR="00F50689" w:rsidRPr="000C3655" w:rsidRDefault="005A36C4" w:rsidP="00F50689">
      <w:pPr>
        <w:pStyle w:val="Textstand-alone"/>
        <w:rPr>
          <w:i/>
        </w:rPr>
      </w:pPr>
      <w:r w:rsidRPr="000C3655">
        <w:rPr>
          <w:i/>
        </w:rPr>
        <w:t>Bank guarantees</w:t>
      </w:r>
    </w:p>
    <w:p w:rsidR="00F50689" w:rsidRDefault="005A36C4" w:rsidP="00F50689">
      <w:pPr>
        <w:pStyle w:val="Textstand-alone"/>
      </w:pPr>
      <w:r>
        <w:t xml:space="preserve">Significant amounts of guarantees issued by financial institutions are held by the Commission in relation to the fines it imposes on companies breaching EU competition rules (see note </w:t>
      </w:r>
      <w:r w:rsidRPr="008F3D50">
        <w:rPr>
          <w:b/>
        </w:rPr>
        <w:t>2.</w:t>
      </w:r>
      <w:r>
        <w:rPr>
          <w:b/>
        </w:rPr>
        <w:t>6</w:t>
      </w:r>
      <w:r w:rsidRPr="008F3D50">
        <w:rPr>
          <w:b/>
        </w:rPr>
        <w:t>.1</w:t>
      </w:r>
      <w:r>
        <w:rPr>
          <w:b/>
        </w:rPr>
        <w:t>.2</w:t>
      </w:r>
      <w:r>
        <w:t>). These guarantees are provided by fined companies as an alternative to making provisional payments. The guarantees are managed in compliance with the internal risk management policy. Financial and operational risks are identified and evaluated and compliance with internal policies and procedures is checked regularly.</w:t>
      </w:r>
    </w:p>
    <w:p w:rsidR="00F50689" w:rsidRPr="00E01B1D" w:rsidRDefault="005A36C4" w:rsidP="00F50689">
      <w:pPr>
        <w:pStyle w:val="HEADER5"/>
      </w:pPr>
      <w:r w:rsidRPr="00E01B1D">
        <w:t>Guarantee Fund</w:t>
      </w:r>
    </w:p>
    <w:p w:rsidR="00F50689" w:rsidRDefault="005A36C4" w:rsidP="00F50689">
      <w:pPr>
        <w:pStyle w:val="Textstand-alone"/>
        <w:spacing w:after="0"/>
      </w:pPr>
      <w:r>
        <w:t>The rules and principles for the asset management of the Guarantee Fund are laid out in the Convention between the Commission and the EIB dated 25</w:t>
      </w:r>
      <w:r w:rsidR="003A3A39">
        <w:t> </w:t>
      </w:r>
      <w:r>
        <w:t>November</w:t>
      </w:r>
      <w:r w:rsidR="003A3A39">
        <w:t> </w:t>
      </w:r>
      <w:r>
        <w:t>1994 and the subsequent amendments dated 17/23</w:t>
      </w:r>
      <w:r w:rsidR="003A3A39">
        <w:t> </w:t>
      </w:r>
      <w:r>
        <w:t>September</w:t>
      </w:r>
      <w:r w:rsidR="003A3A39">
        <w:t> </w:t>
      </w:r>
      <w:r>
        <w:t>1996, 8</w:t>
      </w:r>
      <w:r w:rsidR="003A3A39">
        <w:t> </w:t>
      </w:r>
      <w:r>
        <w:t>May</w:t>
      </w:r>
      <w:r w:rsidR="003A3A39">
        <w:t> </w:t>
      </w:r>
      <w:r>
        <w:t>2002, 25</w:t>
      </w:r>
      <w:r w:rsidR="003A3A39">
        <w:t> </w:t>
      </w:r>
      <w:r>
        <w:t>February</w:t>
      </w:r>
      <w:r w:rsidR="003A3A39">
        <w:t> </w:t>
      </w:r>
      <w:r>
        <w:t>2008 and 9</w:t>
      </w:r>
      <w:r w:rsidR="003A3A39">
        <w:t> </w:t>
      </w:r>
      <w:r>
        <w:t>November</w:t>
      </w:r>
      <w:r w:rsidR="003A3A39">
        <w:t> </w:t>
      </w:r>
      <w:r>
        <w:t>2010. The Guarantee Fund operates only in euros. It exclusively invests in this currency in order to avoid any foreign currency risk. Management of the assets is based upon the traditional rules of prudence adhered to for financial activities. It is required to pay particular attention to reducing the risks and to ensuring that the managed assets can be sold or transferred without significant delay, taking into account the commitments covered.</w:t>
      </w:r>
    </w:p>
    <w:p w:rsidR="00F50689" w:rsidRDefault="005A36C4" w:rsidP="00F50689">
      <w:pPr>
        <w:pStyle w:val="Textstand-alone"/>
        <w:spacing w:before="0" w:after="0"/>
        <w:sectPr w:rsidR="00F50689" w:rsidSect="00F50689">
          <w:headerReference w:type="even" r:id="rId365"/>
          <w:headerReference w:type="default" r:id="rId366"/>
          <w:footerReference w:type="even" r:id="rId367"/>
          <w:footerReference w:type="default" r:id="rId368"/>
          <w:headerReference w:type="first" r:id="rId369"/>
          <w:footerReference w:type="first" r:id="rId370"/>
          <w:type w:val="continuous"/>
          <w:pgSz w:w="11906" w:h="16838"/>
          <w:pgMar w:top="1134" w:right="1134" w:bottom="1134" w:left="1134" w:header="709" w:footer="709" w:gutter="0"/>
          <w:cols w:space="708"/>
          <w:docGrid w:linePitch="360"/>
        </w:sectPr>
      </w:pPr>
      <w:r>
        <w:t xml:space="preserve"> </w:t>
      </w:r>
      <w:bookmarkEnd w:id="180"/>
    </w:p>
    <w:p w:rsidR="00E8741F" w:rsidRDefault="00E8741F">
      <w:pPr>
        <w:rPr>
          <w:rFonts w:ascii="Verdana" w:hAnsi="Verdana"/>
          <w:color w:val="016794"/>
          <w:sz w:val="20"/>
          <w:szCs w:val="20"/>
        </w:rPr>
      </w:pPr>
      <w:bookmarkStart w:id="182" w:name="_DMBM_3534"/>
      <w:r>
        <w:br w:type="page"/>
      </w:r>
    </w:p>
    <w:p w:rsidR="00F50689" w:rsidRPr="004D4D3E" w:rsidRDefault="005A36C4" w:rsidP="00F50689">
      <w:pPr>
        <w:pStyle w:val="HEADER3Part2"/>
      </w:pPr>
      <w:r w:rsidRPr="004D4D3E">
        <w:t>Reconciliation of carrying amount and fair value of financial instruments</w:t>
      </w:r>
    </w:p>
    <w:p w:rsidR="00F50689" w:rsidRPr="00C442D0" w:rsidRDefault="005A36C4" w:rsidP="003A3A39">
      <w:pPr>
        <w:pStyle w:val="HEADER5"/>
      </w:pPr>
      <w:r w:rsidRPr="00C442D0">
        <w:t>Reconciliation of the carrying amounts and fair value of financial assets</w:t>
      </w:r>
      <w:r w:rsidRPr="007561D8">
        <w:t xml:space="preserve"> </w:t>
      </w:r>
      <w:r w:rsidRPr="00C442D0">
        <w:t>by class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1488"/>
        <w:gridCol w:w="1488"/>
        <w:gridCol w:w="1418"/>
        <w:gridCol w:w="1559"/>
      </w:tblGrid>
      <w:tr w:rsidR="00E7728E">
        <w:tc>
          <w:tcPr>
            <w:tcW w:w="3794"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83" w:name="DOC_TBL00078_1_1"/>
            <w:bookmarkEnd w:id="183"/>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1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rPr>
                <w:rFonts w:cs="Verdana"/>
              </w:rPr>
              <w:t>EUR millions</w:t>
            </w:r>
          </w:p>
        </w:tc>
      </w:tr>
      <w:tr w:rsidR="00E7728E">
        <w:tc>
          <w:tcPr>
            <w:tcW w:w="3794"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976" w:type="dxa"/>
            <w:gridSpan w:val="2"/>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Centered"/>
              <w:rPr>
                <w:rFonts w:eastAsia="Times New Roman" w:cs="Verdana"/>
              </w:rPr>
            </w:pPr>
            <w:r>
              <w:rPr>
                <w:rFonts w:eastAsia="Times New Roman" w:cs="Verdana"/>
              </w:rPr>
              <w:t>31.12.2014</w:t>
            </w:r>
          </w:p>
        </w:tc>
        <w:tc>
          <w:tcPr>
            <w:tcW w:w="2977" w:type="dxa"/>
            <w:gridSpan w:val="2"/>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Centered"/>
              <w:rPr>
                <w:rFonts w:eastAsia="Times New Roman" w:cs="Verdana"/>
              </w:rPr>
            </w:pPr>
            <w:r>
              <w:rPr>
                <w:rFonts w:eastAsia="Times New Roman" w:cs="Verdana"/>
              </w:rPr>
              <w:t>31.12.2013</w:t>
            </w:r>
          </w:p>
        </w:tc>
      </w:tr>
      <w:tr w:rsidR="00E7728E">
        <w:tc>
          <w:tcPr>
            <w:tcW w:w="3794"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148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10pNormalRight025"/>
              <w:rPr>
                <w:rFonts w:cs="Verdana"/>
              </w:rPr>
            </w:pPr>
            <w:r>
              <w:rPr>
                <w:rFonts w:cs="Verdana"/>
              </w:rPr>
              <w:t>Carrying amount</w:t>
            </w:r>
          </w:p>
        </w:tc>
        <w:tc>
          <w:tcPr>
            <w:tcW w:w="148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10pNormalRight025"/>
              <w:rPr>
                <w:rFonts w:cs="Verdana"/>
              </w:rPr>
            </w:pPr>
            <w:r>
              <w:rPr>
                <w:rFonts w:cs="Verdana"/>
              </w:rPr>
              <w:t>Fair value</w:t>
            </w:r>
          </w:p>
        </w:tc>
        <w:tc>
          <w:tcPr>
            <w:tcW w:w="141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10pNormalRight025"/>
              <w:rPr>
                <w:rFonts w:cs="Verdana"/>
              </w:rPr>
            </w:pPr>
            <w:r>
              <w:rPr>
                <w:rFonts w:cs="Verdana"/>
              </w:rPr>
              <w:t>Carrying amount</w:t>
            </w:r>
          </w:p>
        </w:tc>
        <w:tc>
          <w:tcPr>
            <w:tcW w:w="155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10pNormalRight025"/>
              <w:rPr>
                <w:rFonts w:cs="Verdana"/>
              </w:rPr>
            </w:pPr>
            <w:r>
              <w:rPr>
                <w:rFonts w:cs="Verdana"/>
              </w:rPr>
              <w:t>Fair value</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rPr>
                <w:rFonts w:cs="Verdana"/>
              </w:rPr>
              <w:t>Financial assets at fair value</w:t>
            </w:r>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Figures9pItalicBoldRight025"/>
              <w:rPr>
                <w:rFonts w:cs="Verdana"/>
              </w:rPr>
            </w:pPr>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Figures9pItalicBoldRight025"/>
              <w:rPr>
                <w:rFonts w:cs="Verdana"/>
              </w:rPr>
            </w:pPr>
          </w:p>
        </w:tc>
        <w:tc>
          <w:tcPr>
            <w:tcW w:w="1418" w:type="dxa"/>
            <w:tcBorders>
              <w:top w:val="nil"/>
              <w:left w:val="nil"/>
              <w:bottom w:val="nil"/>
              <w:right w:val="nil"/>
            </w:tcBorders>
            <w:tcMar>
              <w:top w:w="0" w:type="dxa"/>
              <w:left w:w="0" w:type="dxa"/>
              <w:bottom w:w="0" w:type="dxa"/>
              <w:right w:w="0" w:type="dxa"/>
            </w:tcMar>
          </w:tcPr>
          <w:p w:rsidR="00F50689" w:rsidRDefault="00F50689" w:rsidP="00F50689">
            <w:pPr>
              <w:pStyle w:val="Figures9pItalicBoldRight025"/>
              <w:rPr>
                <w:rFonts w:cs="Verdana"/>
              </w:rPr>
            </w:pPr>
          </w:p>
        </w:tc>
        <w:tc>
          <w:tcPr>
            <w:tcW w:w="1559" w:type="dxa"/>
            <w:tcBorders>
              <w:top w:val="nil"/>
              <w:left w:val="nil"/>
              <w:bottom w:val="nil"/>
              <w:right w:val="nil"/>
            </w:tcBorders>
            <w:tcMar>
              <w:top w:w="0" w:type="dxa"/>
              <w:left w:w="0" w:type="dxa"/>
              <w:bottom w:w="0" w:type="dxa"/>
              <w:right w:w="0" w:type="dxa"/>
            </w:tcMar>
          </w:tcPr>
          <w:p w:rsidR="00F50689" w:rsidRDefault="00F50689" w:rsidP="00F50689">
            <w:pPr>
              <w:pStyle w:val="Figures9pItalicBoldRight025"/>
              <w:rPr>
                <w:rFonts w:cs="Verdana"/>
              </w:rPr>
            </w:pP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Available for sale financial assets</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9 406</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9 406</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7 870</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7 870</w:t>
            </w:r>
          </w:p>
        </w:tc>
      </w:tr>
      <w:tr w:rsidR="00E7728E">
        <w:tc>
          <w:tcPr>
            <w:tcW w:w="3794"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Cash and cash equivalents</w:t>
            </w:r>
          </w:p>
        </w:tc>
        <w:tc>
          <w:tcPr>
            <w:tcW w:w="148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17 545</w:t>
            </w:r>
          </w:p>
        </w:tc>
        <w:tc>
          <w:tcPr>
            <w:tcW w:w="148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17 545</w:t>
            </w:r>
          </w:p>
        </w:tc>
        <w:tc>
          <w:tcPr>
            <w:tcW w:w="141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9 510</w:t>
            </w:r>
          </w:p>
        </w:tc>
        <w:tc>
          <w:tcPr>
            <w:tcW w:w="1559"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9 510</w:t>
            </w:r>
          </w:p>
        </w:tc>
      </w:tr>
      <w:tr w:rsidR="00E7728E">
        <w:tc>
          <w:tcPr>
            <w:tcW w:w="3794" w:type="dxa"/>
            <w:tcBorders>
              <w:top w:val="single" w:sz="4" w:space="0" w:color="016794"/>
              <w:left w:val="nil"/>
              <w:bottom w:val="single" w:sz="4" w:space="0" w:color="016794"/>
              <w:right w:val="nil"/>
            </w:tcBorders>
            <w:tcMar>
              <w:top w:w="0" w:type="dxa"/>
              <w:left w:w="0" w:type="dxa"/>
              <w:bottom w:w="0" w:type="dxa"/>
              <w:right w:w="0" w:type="dxa"/>
            </w:tcMar>
          </w:tcPr>
          <w:p w:rsidR="00F50689" w:rsidRPr="001C635F" w:rsidRDefault="005A36C4" w:rsidP="00F50689">
            <w:pPr>
              <w:pStyle w:val="Text9pNormalLeft"/>
              <w:rPr>
                <w:rFonts w:cs="Verdana"/>
                <w:i/>
              </w:rPr>
            </w:pPr>
            <w:r w:rsidRPr="001C635F">
              <w:rPr>
                <w:rFonts w:cs="Verdana"/>
                <w:i/>
              </w:rPr>
              <w:t>Total</w:t>
            </w:r>
          </w:p>
        </w:tc>
        <w:tc>
          <w:tcPr>
            <w:tcW w:w="1488"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26 951</w:t>
            </w:r>
          </w:p>
        </w:tc>
        <w:tc>
          <w:tcPr>
            <w:tcW w:w="1488"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26 951</w:t>
            </w:r>
          </w:p>
        </w:tc>
        <w:tc>
          <w:tcPr>
            <w:tcW w:w="1418"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17 380</w:t>
            </w:r>
          </w:p>
        </w:tc>
        <w:tc>
          <w:tcPr>
            <w:tcW w:w="1559"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17 380</w:t>
            </w:r>
          </w:p>
        </w:tc>
      </w:tr>
      <w:tr w:rsidR="00E7728E">
        <w:tc>
          <w:tcPr>
            <w:tcW w:w="3794"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rPr>
                <w:rFonts w:cs="Verdana"/>
              </w:rPr>
              <w:t>Financial assets at amortised cost</w:t>
            </w:r>
          </w:p>
        </w:tc>
        <w:tc>
          <w:tcPr>
            <w:tcW w:w="1488"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BoldRight025"/>
              <w:rPr>
                <w:rFonts w:cs="Verdana"/>
              </w:rPr>
            </w:pPr>
          </w:p>
        </w:tc>
        <w:tc>
          <w:tcPr>
            <w:tcW w:w="1488"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BoldRight025"/>
              <w:rPr>
                <w:rFonts w:cs="Verdana"/>
              </w:rPr>
            </w:pPr>
          </w:p>
        </w:tc>
        <w:tc>
          <w:tcPr>
            <w:tcW w:w="1418"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BoldRight025"/>
              <w:rPr>
                <w:rFonts w:cs="Verdana"/>
              </w:rPr>
            </w:pPr>
          </w:p>
        </w:tc>
        <w:tc>
          <w:tcPr>
            <w:tcW w:w="1559"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BoldRight025"/>
              <w:rPr>
                <w:rFonts w:cs="Verdana"/>
              </w:rPr>
            </w:pP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Loans</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58 843</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58 843</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57 545</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57 545</w:t>
            </w:r>
          </w:p>
        </w:tc>
      </w:tr>
      <w:tr w:rsidR="00E7728E">
        <w:tc>
          <w:tcPr>
            <w:tcW w:w="3794"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Exchange receivables and non-exchange recoverables</w:t>
            </w:r>
          </w:p>
        </w:tc>
        <w:tc>
          <w:tcPr>
            <w:tcW w:w="148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15 578</w:t>
            </w:r>
          </w:p>
        </w:tc>
        <w:tc>
          <w:tcPr>
            <w:tcW w:w="148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15 578</w:t>
            </w:r>
          </w:p>
        </w:tc>
        <w:tc>
          <w:tcPr>
            <w:tcW w:w="141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13 680</w:t>
            </w:r>
          </w:p>
        </w:tc>
        <w:tc>
          <w:tcPr>
            <w:tcW w:w="1559"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13 680</w:t>
            </w:r>
          </w:p>
        </w:tc>
      </w:tr>
      <w:tr w:rsidR="00E7728E">
        <w:tc>
          <w:tcPr>
            <w:tcW w:w="3794" w:type="dxa"/>
            <w:tcBorders>
              <w:top w:val="single" w:sz="4" w:space="0" w:color="016794"/>
              <w:left w:val="nil"/>
              <w:bottom w:val="nil"/>
              <w:right w:val="nil"/>
            </w:tcBorders>
            <w:tcMar>
              <w:top w:w="0" w:type="dxa"/>
              <w:left w:w="0" w:type="dxa"/>
              <w:bottom w:w="0" w:type="dxa"/>
              <w:right w:w="0" w:type="dxa"/>
            </w:tcMar>
          </w:tcPr>
          <w:p w:rsidR="00F50689" w:rsidRPr="001C635F" w:rsidRDefault="005A36C4" w:rsidP="00F50689">
            <w:pPr>
              <w:pStyle w:val="Text9pNormalLeft"/>
              <w:rPr>
                <w:rFonts w:cs="Verdana"/>
                <w:i/>
              </w:rPr>
            </w:pPr>
            <w:r w:rsidRPr="001C635F">
              <w:rPr>
                <w:rFonts w:cs="Verdana"/>
                <w:i/>
              </w:rPr>
              <w:t>Total</w:t>
            </w:r>
          </w:p>
        </w:tc>
        <w:tc>
          <w:tcPr>
            <w:tcW w:w="1488"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74 421</w:t>
            </w:r>
          </w:p>
        </w:tc>
        <w:tc>
          <w:tcPr>
            <w:tcW w:w="1488"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74 421</w:t>
            </w:r>
          </w:p>
        </w:tc>
        <w:tc>
          <w:tcPr>
            <w:tcW w:w="1418"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71 225</w:t>
            </w:r>
          </w:p>
        </w:tc>
        <w:tc>
          <w:tcPr>
            <w:tcW w:w="1559"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BoldRight025"/>
              <w:rPr>
                <w:rFonts w:cs="Verdana"/>
              </w:rPr>
            </w:pPr>
            <w:r>
              <w:rPr>
                <w:rFonts w:cs="Verdana"/>
              </w:rPr>
              <w:t>71 225</w:t>
            </w:r>
          </w:p>
        </w:tc>
      </w:tr>
      <w:tr w:rsidR="00E7728E">
        <w:tc>
          <w:tcPr>
            <w:tcW w:w="379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Total</w:t>
            </w: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101 372</w:t>
            </w: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101 372</w:t>
            </w:r>
          </w:p>
        </w:tc>
        <w:tc>
          <w:tcPr>
            <w:tcW w:w="141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88 605</w:t>
            </w:r>
          </w:p>
        </w:tc>
        <w:tc>
          <w:tcPr>
            <w:tcW w:w="155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88 605</w:t>
            </w:r>
          </w:p>
        </w:tc>
      </w:tr>
    </w:tbl>
    <w:p w:rsidR="00F50689" w:rsidRDefault="005A36C4" w:rsidP="00F50689">
      <w:pPr>
        <w:pStyle w:val="DGTextstand-alone"/>
        <w:spacing w:before="0" w:after="0"/>
      </w:pPr>
      <w:r>
        <w:t xml:space="preserve"> </w:t>
      </w:r>
    </w:p>
    <w:p w:rsidR="00F50689" w:rsidRPr="00424943" w:rsidRDefault="005A36C4" w:rsidP="003A3A39">
      <w:pPr>
        <w:pStyle w:val="HEADER5"/>
        <w:spacing w:before="240" w:after="120"/>
      </w:pPr>
      <w:r w:rsidRPr="00424943">
        <w:t>Reconciliation of the carrying amounts and fair value of financial liabilities</w:t>
      </w:r>
      <w:r w:rsidRPr="00400B63">
        <w:t xml:space="preserve"> </w:t>
      </w:r>
      <w:r w:rsidRPr="00424943">
        <w:t>by class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1488"/>
        <w:gridCol w:w="1488"/>
        <w:gridCol w:w="1418"/>
        <w:gridCol w:w="1559"/>
      </w:tblGrid>
      <w:tr w:rsidR="00E7728E">
        <w:tc>
          <w:tcPr>
            <w:tcW w:w="3794"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84" w:name="DOC_TBL00079_1_1"/>
            <w:bookmarkEnd w:id="184"/>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1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rPr>
                <w:rFonts w:cs="Verdana"/>
              </w:rPr>
              <w:t>EUR millions</w:t>
            </w:r>
          </w:p>
        </w:tc>
      </w:tr>
      <w:tr w:rsidR="00E7728E">
        <w:tc>
          <w:tcPr>
            <w:tcW w:w="3794"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976" w:type="dxa"/>
            <w:gridSpan w:val="2"/>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Centered"/>
              <w:rPr>
                <w:rFonts w:eastAsia="Times New Roman" w:cs="Verdana"/>
              </w:rPr>
            </w:pPr>
            <w:r>
              <w:rPr>
                <w:rFonts w:eastAsia="Times New Roman" w:cs="Verdana"/>
              </w:rPr>
              <w:t>31.12.2014</w:t>
            </w:r>
          </w:p>
        </w:tc>
        <w:tc>
          <w:tcPr>
            <w:tcW w:w="2977" w:type="dxa"/>
            <w:gridSpan w:val="2"/>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Centered"/>
              <w:rPr>
                <w:rFonts w:eastAsia="Times New Roman" w:cs="Verdana"/>
              </w:rPr>
            </w:pPr>
            <w:r>
              <w:rPr>
                <w:rFonts w:eastAsia="Times New Roman" w:cs="Verdana"/>
              </w:rPr>
              <w:t>31.12.2013</w:t>
            </w:r>
          </w:p>
        </w:tc>
      </w:tr>
      <w:tr w:rsidR="00E7728E">
        <w:tc>
          <w:tcPr>
            <w:tcW w:w="3794"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148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10pNormalRight025"/>
              <w:rPr>
                <w:rFonts w:cs="Verdana"/>
              </w:rPr>
            </w:pPr>
            <w:r>
              <w:rPr>
                <w:rFonts w:cs="Verdana"/>
              </w:rPr>
              <w:t>Carrying amount</w:t>
            </w:r>
          </w:p>
        </w:tc>
        <w:tc>
          <w:tcPr>
            <w:tcW w:w="148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10pNormalRight025"/>
              <w:rPr>
                <w:rFonts w:cs="Verdana"/>
              </w:rPr>
            </w:pPr>
            <w:r>
              <w:rPr>
                <w:rFonts w:cs="Verdana"/>
              </w:rPr>
              <w:t>Fair value</w:t>
            </w:r>
          </w:p>
        </w:tc>
        <w:tc>
          <w:tcPr>
            <w:tcW w:w="141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10pNormalRight025"/>
              <w:rPr>
                <w:rFonts w:cs="Verdana"/>
              </w:rPr>
            </w:pPr>
            <w:r>
              <w:rPr>
                <w:rFonts w:cs="Verdana"/>
              </w:rPr>
              <w:t>Carrying amount</w:t>
            </w:r>
          </w:p>
        </w:tc>
        <w:tc>
          <w:tcPr>
            <w:tcW w:w="155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10pNormalRight025"/>
              <w:rPr>
                <w:rFonts w:cs="Verdana"/>
              </w:rPr>
            </w:pPr>
            <w:r>
              <w:rPr>
                <w:rFonts w:cs="Verdana"/>
              </w:rPr>
              <w:t>Fair value</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rPr>
                <w:rFonts w:cs="Verdana"/>
              </w:rPr>
              <w:t>Financial liabilities at fair value</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BoldRight025"/>
              <w:rPr>
                <w:rFonts w:cs="Verdana"/>
              </w:rPr>
            </w:pPr>
            <w:r>
              <w:rPr>
                <w:rFonts w:cs="Verdana"/>
              </w:rPr>
              <w:t>–</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BoldRight025"/>
              <w:rPr>
                <w:rFonts w:cs="Verdana"/>
              </w:rPr>
            </w:pPr>
            <w:r>
              <w:rPr>
                <w:rFonts w:cs="Verdana"/>
              </w:rPr>
              <w:t>–</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BoldRight025"/>
              <w:rPr>
                <w:rFonts w:cs="Verdana"/>
              </w:rPr>
            </w:pPr>
            <w:r>
              <w:rPr>
                <w:rFonts w:cs="Verdana"/>
              </w:rPr>
              <w:t>–</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BoldRight025"/>
              <w:rPr>
                <w:rFonts w:cs="Verdana"/>
              </w:rPr>
            </w:pPr>
            <w:r>
              <w:rPr>
                <w:rFonts w:cs="Verdana"/>
              </w:rPr>
              <w:t>–</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rPr>
                <w:rFonts w:cs="Verdana"/>
              </w:rPr>
              <w:t>Financial liabilities at amortised cost</w:t>
            </w:r>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Figures9pItalicBoldRight025"/>
              <w:rPr>
                <w:rFonts w:cs="Verdana"/>
              </w:rPr>
            </w:pPr>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Figures9pItalicBoldRight025"/>
              <w:rPr>
                <w:rFonts w:cs="Verdana"/>
              </w:rPr>
            </w:pPr>
          </w:p>
        </w:tc>
        <w:tc>
          <w:tcPr>
            <w:tcW w:w="1418" w:type="dxa"/>
            <w:tcBorders>
              <w:top w:val="nil"/>
              <w:left w:val="nil"/>
              <w:bottom w:val="nil"/>
              <w:right w:val="nil"/>
            </w:tcBorders>
            <w:tcMar>
              <w:top w:w="0" w:type="dxa"/>
              <w:left w:w="0" w:type="dxa"/>
              <w:bottom w:w="0" w:type="dxa"/>
              <w:right w:w="0" w:type="dxa"/>
            </w:tcMar>
          </w:tcPr>
          <w:p w:rsidR="00F50689" w:rsidRDefault="00F50689" w:rsidP="00F50689">
            <w:pPr>
              <w:pStyle w:val="Figures9pItalicBoldRight025"/>
              <w:rPr>
                <w:rFonts w:cs="Verdana"/>
              </w:rPr>
            </w:pPr>
          </w:p>
        </w:tc>
        <w:tc>
          <w:tcPr>
            <w:tcW w:w="1559" w:type="dxa"/>
            <w:tcBorders>
              <w:top w:val="nil"/>
              <w:left w:val="nil"/>
              <w:bottom w:val="nil"/>
              <w:right w:val="nil"/>
            </w:tcBorders>
            <w:tcMar>
              <w:top w:w="0" w:type="dxa"/>
              <w:left w:w="0" w:type="dxa"/>
              <w:bottom w:w="0" w:type="dxa"/>
              <w:right w:w="0" w:type="dxa"/>
            </w:tcMar>
          </w:tcPr>
          <w:p w:rsidR="00F50689" w:rsidRDefault="00F50689" w:rsidP="00F50689">
            <w:pPr>
              <w:pStyle w:val="Figures9pItalicBoldRight025"/>
              <w:rPr>
                <w:rFonts w:cs="Verdana"/>
              </w:rPr>
            </w:pP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Borrowings</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58 470</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58 470</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57 218</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57 218</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Finance lease liabilities</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1 755</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1 755</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1 838</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1 838</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Payables</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43 180</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43 180</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36 213</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36 213</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Other</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454</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454</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477</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477</w:t>
            </w:r>
          </w:p>
        </w:tc>
      </w:tr>
      <w:tr w:rsidR="00E7728E">
        <w:tc>
          <w:tcPr>
            <w:tcW w:w="379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Total</w:t>
            </w: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103 859</w:t>
            </w: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103 859</w:t>
            </w:r>
          </w:p>
        </w:tc>
        <w:tc>
          <w:tcPr>
            <w:tcW w:w="141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95 746</w:t>
            </w:r>
          </w:p>
        </w:tc>
        <w:tc>
          <w:tcPr>
            <w:tcW w:w="155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95 746</w:t>
            </w:r>
          </w:p>
        </w:tc>
      </w:tr>
    </w:tbl>
    <w:p w:rsidR="00F50689" w:rsidRPr="003744F0" w:rsidRDefault="005A36C4" w:rsidP="00F50689">
      <w:pPr>
        <w:pStyle w:val="DGTextstand-alone"/>
        <w:spacing w:before="0" w:after="0"/>
        <w:sectPr w:rsidR="00F50689" w:rsidRPr="003744F0" w:rsidSect="00F50689">
          <w:headerReference w:type="even" r:id="rId371"/>
          <w:headerReference w:type="default" r:id="rId372"/>
          <w:footerReference w:type="even" r:id="rId373"/>
          <w:footerReference w:type="default" r:id="rId374"/>
          <w:headerReference w:type="first" r:id="rId375"/>
          <w:footerReference w:type="first" r:id="rId376"/>
          <w:type w:val="continuous"/>
          <w:pgSz w:w="11906" w:h="16838"/>
          <w:pgMar w:top="1134" w:right="1134" w:bottom="1134" w:left="1134" w:header="709" w:footer="709" w:gutter="0"/>
          <w:cols w:space="708"/>
          <w:docGrid w:linePitch="360"/>
        </w:sectPr>
      </w:pPr>
      <w:r>
        <w:t xml:space="preserve"> </w:t>
      </w:r>
      <w:bookmarkEnd w:id="182"/>
    </w:p>
    <w:p w:rsidR="00F50689" w:rsidRDefault="005A36C4" w:rsidP="00F50689">
      <w:pPr>
        <w:pStyle w:val="HEADER2Part2"/>
      </w:pPr>
      <w:bookmarkStart w:id="185" w:name="_DMBM_2664"/>
      <w:r>
        <w:t>CURRENCY RISK</w:t>
      </w:r>
    </w:p>
    <w:p w:rsidR="00F50689" w:rsidRDefault="005A36C4" w:rsidP="00F50689">
      <w:pPr>
        <w:pStyle w:val="HEADER5"/>
      </w:pPr>
      <w:r>
        <w:t>Financial instruments exposure of the EU to currency risk at year end – net position</w:t>
      </w:r>
    </w:p>
    <w:tbl>
      <w:tblPr>
        <w:tblW w:w="14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9"/>
        <w:gridCol w:w="844"/>
        <w:gridCol w:w="853"/>
        <w:gridCol w:w="851"/>
        <w:gridCol w:w="848"/>
        <w:gridCol w:w="708"/>
        <w:gridCol w:w="711"/>
        <w:gridCol w:w="854"/>
        <w:gridCol w:w="285"/>
        <w:gridCol w:w="848"/>
        <w:gridCol w:w="848"/>
        <w:gridCol w:w="851"/>
        <w:gridCol w:w="848"/>
        <w:gridCol w:w="854"/>
        <w:gridCol w:w="851"/>
        <w:gridCol w:w="993"/>
      </w:tblGrid>
      <w:tr w:rsidR="00E7728E">
        <w:tc>
          <w:tcPr>
            <w:tcW w:w="2519" w:type="dxa"/>
            <w:tcBorders>
              <w:top w:val="nil"/>
              <w:left w:val="nil"/>
              <w:bottom w:val="nil"/>
              <w:right w:val="nil"/>
            </w:tcBorders>
            <w:tcMar>
              <w:top w:w="0" w:type="dxa"/>
              <w:left w:w="0" w:type="dxa"/>
              <w:bottom w:w="0" w:type="dxa"/>
              <w:right w:w="0" w:type="dxa"/>
            </w:tcMar>
          </w:tcPr>
          <w:p w:rsidR="00F50689" w:rsidRDefault="00F50689" w:rsidP="00F50689">
            <w:pPr>
              <w:pStyle w:val="Text7pItalicLeft"/>
              <w:rPr>
                <w:rFonts w:eastAsia="Times New Roman" w:cs="Verdana"/>
                <w:color w:val="FFFFFF"/>
              </w:rPr>
            </w:pPr>
            <w:bookmarkStart w:id="186" w:name="DOC_TBL00080_1_1"/>
            <w:bookmarkEnd w:id="186"/>
          </w:p>
        </w:tc>
        <w:tc>
          <w:tcPr>
            <w:tcW w:w="844" w:type="dxa"/>
            <w:tcBorders>
              <w:top w:val="nil"/>
              <w:left w:val="nil"/>
              <w:bottom w:val="nil"/>
              <w:right w:val="nil"/>
            </w:tcBorders>
            <w:tcMar>
              <w:top w:w="0" w:type="dxa"/>
              <w:left w:w="0" w:type="dxa"/>
              <w:bottom w:w="0" w:type="dxa"/>
              <w:right w:w="0" w:type="dxa"/>
            </w:tcMar>
          </w:tcPr>
          <w:p w:rsidR="00F50689" w:rsidRDefault="00F50689" w:rsidP="00F50689">
            <w:pPr>
              <w:pStyle w:val="Text7pItalicRight025"/>
              <w:rPr>
                <w:rFonts w:cs="Verdana"/>
                <w:i w:val="0"/>
              </w:rPr>
            </w:pPr>
          </w:p>
        </w:tc>
        <w:tc>
          <w:tcPr>
            <w:tcW w:w="853" w:type="dxa"/>
            <w:tcBorders>
              <w:top w:val="nil"/>
              <w:left w:val="nil"/>
              <w:bottom w:val="nil"/>
              <w:right w:val="nil"/>
            </w:tcBorders>
            <w:tcMar>
              <w:top w:w="0" w:type="dxa"/>
              <w:left w:w="0" w:type="dxa"/>
              <w:bottom w:w="0" w:type="dxa"/>
              <w:right w:w="0" w:type="dxa"/>
            </w:tcMar>
          </w:tcPr>
          <w:p w:rsidR="00F50689" w:rsidRDefault="00F50689" w:rsidP="00F50689">
            <w:pPr>
              <w:pStyle w:val="Text7pItalicRight025"/>
              <w:rPr>
                <w:rFonts w:cs="Verdana"/>
                <w:i w:val="0"/>
              </w:rPr>
            </w:pP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7pItalicRight025"/>
              <w:rPr>
                <w:rFonts w:cs="Verdana"/>
                <w:i w:val="0"/>
              </w:rPr>
            </w:pPr>
          </w:p>
        </w:tc>
        <w:tc>
          <w:tcPr>
            <w:tcW w:w="848" w:type="dxa"/>
            <w:tcBorders>
              <w:top w:val="nil"/>
              <w:left w:val="nil"/>
              <w:bottom w:val="nil"/>
              <w:right w:val="nil"/>
            </w:tcBorders>
            <w:tcMar>
              <w:top w:w="0" w:type="dxa"/>
              <w:left w:w="0" w:type="dxa"/>
              <w:bottom w:w="0" w:type="dxa"/>
              <w:right w:w="0" w:type="dxa"/>
            </w:tcMar>
          </w:tcPr>
          <w:p w:rsidR="00F50689" w:rsidRDefault="00F50689" w:rsidP="00F50689">
            <w:pPr>
              <w:pStyle w:val="Text7pItalicRight025"/>
              <w:rPr>
                <w:rFonts w:cs="Verdana"/>
                <w:i w:val="0"/>
              </w:rPr>
            </w:pPr>
          </w:p>
        </w:tc>
        <w:tc>
          <w:tcPr>
            <w:tcW w:w="708" w:type="dxa"/>
            <w:tcBorders>
              <w:top w:val="nil"/>
              <w:left w:val="nil"/>
              <w:bottom w:val="nil"/>
              <w:right w:val="nil"/>
            </w:tcBorders>
            <w:tcMar>
              <w:top w:w="0" w:type="dxa"/>
              <w:left w:w="0" w:type="dxa"/>
              <w:bottom w:w="0" w:type="dxa"/>
              <w:right w:w="0" w:type="dxa"/>
            </w:tcMar>
          </w:tcPr>
          <w:p w:rsidR="00F50689" w:rsidRDefault="00F50689" w:rsidP="00F50689">
            <w:pPr>
              <w:pStyle w:val="Text7pItalicRight025"/>
              <w:rPr>
                <w:rFonts w:cs="Verdana"/>
                <w:i w:val="0"/>
              </w:rPr>
            </w:pPr>
          </w:p>
        </w:tc>
        <w:tc>
          <w:tcPr>
            <w:tcW w:w="711" w:type="dxa"/>
            <w:tcBorders>
              <w:top w:val="nil"/>
              <w:left w:val="nil"/>
              <w:bottom w:val="nil"/>
              <w:right w:val="nil"/>
            </w:tcBorders>
            <w:tcMar>
              <w:top w:w="0" w:type="dxa"/>
              <w:left w:w="0" w:type="dxa"/>
              <w:bottom w:w="0" w:type="dxa"/>
              <w:right w:w="0" w:type="dxa"/>
            </w:tcMar>
          </w:tcPr>
          <w:p w:rsidR="00F50689" w:rsidRDefault="00F50689" w:rsidP="00F50689">
            <w:pPr>
              <w:pStyle w:val="Text7pItalicRight025"/>
              <w:rPr>
                <w:rFonts w:cs="Verdana"/>
                <w:i w:val="0"/>
              </w:rPr>
            </w:pPr>
          </w:p>
        </w:tc>
        <w:tc>
          <w:tcPr>
            <w:tcW w:w="854" w:type="dxa"/>
            <w:tcBorders>
              <w:top w:val="nil"/>
              <w:left w:val="nil"/>
              <w:bottom w:val="nil"/>
              <w:right w:val="nil"/>
            </w:tcBorders>
            <w:tcMar>
              <w:top w:w="0" w:type="dxa"/>
              <w:left w:w="0" w:type="dxa"/>
              <w:bottom w:w="0" w:type="dxa"/>
              <w:right w:w="0" w:type="dxa"/>
            </w:tcMar>
          </w:tcPr>
          <w:p w:rsidR="00F50689" w:rsidRDefault="00F50689" w:rsidP="00F50689">
            <w:pPr>
              <w:pStyle w:val="Text7pItalicRight025"/>
              <w:rPr>
                <w:rFonts w:cs="Verdana"/>
                <w:i w:val="0"/>
              </w:rPr>
            </w:pPr>
          </w:p>
        </w:tc>
        <w:tc>
          <w:tcPr>
            <w:tcW w:w="285" w:type="dxa"/>
            <w:tcBorders>
              <w:top w:val="nil"/>
              <w:left w:val="nil"/>
              <w:bottom w:val="nil"/>
              <w:right w:val="nil"/>
            </w:tcBorders>
            <w:tcMar>
              <w:top w:w="0" w:type="dxa"/>
              <w:left w:w="0" w:type="dxa"/>
              <w:bottom w:w="0" w:type="dxa"/>
              <w:right w:w="0" w:type="dxa"/>
            </w:tcMar>
          </w:tcPr>
          <w:p w:rsidR="00F50689" w:rsidRDefault="00F50689" w:rsidP="00F50689">
            <w:pPr>
              <w:pStyle w:val="Text7pItalicRight025"/>
              <w:rPr>
                <w:rFonts w:cs="Verdana"/>
                <w:i w:val="0"/>
              </w:rPr>
            </w:pPr>
          </w:p>
        </w:tc>
        <w:tc>
          <w:tcPr>
            <w:tcW w:w="848" w:type="dxa"/>
            <w:tcBorders>
              <w:top w:val="nil"/>
              <w:left w:val="nil"/>
              <w:bottom w:val="nil"/>
              <w:right w:val="nil"/>
            </w:tcBorders>
            <w:tcMar>
              <w:top w:w="0" w:type="dxa"/>
              <w:left w:w="0" w:type="dxa"/>
              <w:bottom w:w="0" w:type="dxa"/>
              <w:right w:w="0" w:type="dxa"/>
            </w:tcMar>
          </w:tcPr>
          <w:p w:rsidR="00F50689" w:rsidRDefault="00F50689" w:rsidP="00F50689">
            <w:pPr>
              <w:pStyle w:val="Text7pItalicRight025"/>
              <w:rPr>
                <w:rFonts w:cs="Verdana"/>
                <w:i w:val="0"/>
              </w:rPr>
            </w:pPr>
          </w:p>
        </w:tc>
        <w:tc>
          <w:tcPr>
            <w:tcW w:w="848" w:type="dxa"/>
            <w:tcBorders>
              <w:top w:val="nil"/>
              <w:left w:val="nil"/>
              <w:bottom w:val="nil"/>
              <w:right w:val="nil"/>
            </w:tcBorders>
            <w:tcMar>
              <w:top w:w="0" w:type="dxa"/>
              <w:left w:w="0" w:type="dxa"/>
              <w:bottom w:w="0" w:type="dxa"/>
              <w:right w:w="0" w:type="dxa"/>
            </w:tcMar>
          </w:tcPr>
          <w:p w:rsidR="00F50689" w:rsidRDefault="00F50689" w:rsidP="00F50689">
            <w:pPr>
              <w:pStyle w:val="Text7pItalicRight025"/>
              <w:rPr>
                <w:rFonts w:cs="Verdana"/>
                <w:i w:val="0"/>
              </w:rPr>
            </w:pP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7pItalicRight025"/>
              <w:rPr>
                <w:rFonts w:cs="Verdana"/>
                <w:i w:val="0"/>
              </w:rPr>
            </w:pPr>
          </w:p>
        </w:tc>
        <w:tc>
          <w:tcPr>
            <w:tcW w:w="848" w:type="dxa"/>
            <w:tcBorders>
              <w:top w:val="nil"/>
              <w:left w:val="nil"/>
              <w:bottom w:val="nil"/>
              <w:right w:val="nil"/>
            </w:tcBorders>
            <w:tcMar>
              <w:top w:w="0" w:type="dxa"/>
              <w:left w:w="0" w:type="dxa"/>
              <w:bottom w:w="0" w:type="dxa"/>
              <w:right w:w="0" w:type="dxa"/>
            </w:tcMar>
          </w:tcPr>
          <w:p w:rsidR="00F50689" w:rsidRDefault="00F50689" w:rsidP="00F50689">
            <w:pPr>
              <w:pStyle w:val="Text7pItalicRight025"/>
              <w:rPr>
                <w:rFonts w:cs="Verdana"/>
                <w:i w:val="0"/>
              </w:rPr>
            </w:pPr>
          </w:p>
        </w:tc>
        <w:tc>
          <w:tcPr>
            <w:tcW w:w="854" w:type="dxa"/>
            <w:tcBorders>
              <w:top w:val="nil"/>
              <w:left w:val="nil"/>
              <w:bottom w:val="nil"/>
              <w:right w:val="nil"/>
            </w:tcBorders>
            <w:tcMar>
              <w:top w:w="0" w:type="dxa"/>
              <w:left w:w="0" w:type="dxa"/>
              <w:bottom w:w="0" w:type="dxa"/>
              <w:right w:w="0" w:type="dxa"/>
            </w:tcMar>
          </w:tcPr>
          <w:p w:rsidR="00F50689" w:rsidRDefault="00F50689" w:rsidP="00F50689">
            <w:pPr>
              <w:pStyle w:val="Text7pItalicRight025"/>
              <w:rPr>
                <w:rFonts w:cs="Verdana"/>
                <w:i w:val="0"/>
              </w:rPr>
            </w:pP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7pItalicRight025"/>
              <w:rPr>
                <w:rFonts w:cs="Verdana"/>
                <w:i w:val="0"/>
              </w:rPr>
            </w:pP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Text5pItalicRight025"/>
              <w:rPr>
                <w:rFonts w:cs="Verdana"/>
              </w:rPr>
            </w:pPr>
            <w:r>
              <w:rPr>
                <w:rFonts w:cs="Verdana"/>
              </w:rPr>
              <w:t>EUR millions</w:t>
            </w:r>
          </w:p>
        </w:tc>
      </w:tr>
      <w:tr w:rsidR="00E7728E">
        <w:tc>
          <w:tcPr>
            <w:tcW w:w="2519"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Times New Roman" w:cs="Verdana"/>
              </w:rPr>
            </w:pPr>
          </w:p>
        </w:tc>
        <w:tc>
          <w:tcPr>
            <w:tcW w:w="5669" w:type="dxa"/>
            <w:gridSpan w:val="7"/>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Times New Roman" w:cs="Verdana"/>
              </w:rPr>
            </w:pPr>
            <w:r>
              <w:rPr>
                <w:rFonts w:eastAsia="Times New Roman" w:cs="Verdana"/>
              </w:rPr>
              <w:t>31.12.2014</w:t>
            </w:r>
          </w:p>
        </w:tc>
        <w:tc>
          <w:tcPr>
            <w:tcW w:w="285" w:type="dxa"/>
            <w:tcBorders>
              <w:top w:val="nil"/>
              <w:left w:val="nil"/>
              <w:bottom w:val="nil"/>
              <w:right w:val="nil"/>
            </w:tcBorders>
            <w:shd w:val="clear" w:color="auto" w:fill="016794"/>
            <w:tcMar>
              <w:top w:w="0" w:type="dxa"/>
              <w:left w:w="0" w:type="dxa"/>
              <w:bottom w:w="0" w:type="dxa"/>
              <w:right w:w="0" w:type="dxa"/>
            </w:tcMar>
            <w:vAlign w:val="center"/>
          </w:tcPr>
          <w:p w:rsidR="00F50689" w:rsidRDefault="00F50689" w:rsidP="00F50689">
            <w:pPr>
              <w:pStyle w:val="Heading7pNormalCentered"/>
              <w:rPr>
                <w:rFonts w:eastAsia="Times New Roman" w:cs="Verdana"/>
                <w:color w:val="auto"/>
              </w:rPr>
            </w:pPr>
          </w:p>
        </w:tc>
        <w:tc>
          <w:tcPr>
            <w:tcW w:w="6093" w:type="dxa"/>
            <w:gridSpan w:val="7"/>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Times New Roman" w:cs="Verdana"/>
              </w:rPr>
            </w:pPr>
            <w:r>
              <w:rPr>
                <w:rFonts w:eastAsia="Times New Roman" w:cs="Verdana"/>
              </w:rPr>
              <w:t>31.12.2013</w:t>
            </w:r>
          </w:p>
        </w:tc>
      </w:tr>
      <w:tr w:rsidR="00E7728E">
        <w:tc>
          <w:tcPr>
            <w:tcW w:w="2519"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Times New Roman" w:cs="Verdana"/>
              </w:rPr>
            </w:pPr>
          </w:p>
        </w:tc>
        <w:tc>
          <w:tcPr>
            <w:tcW w:w="844"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Times New Roman" w:cs="Verdana"/>
              </w:rPr>
            </w:pPr>
            <w:r>
              <w:rPr>
                <w:rFonts w:eastAsia="Times New Roman" w:cs="Verdana"/>
              </w:rPr>
              <w:t>USD</w:t>
            </w:r>
          </w:p>
        </w:tc>
        <w:tc>
          <w:tcPr>
            <w:tcW w:w="85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Times New Roman" w:cs="Verdana"/>
              </w:rPr>
            </w:pPr>
            <w:r>
              <w:rPr>
                <w:rFonts w:eastAsia="Times New Roman" w:cs="Verdana"/>
              </w:rPr>
              <w:t>GBP</w:t>
            </w:r>
          </w:p>
        </w:tc>
        <w:tc>
          <w:tcPr>
            <w:tcW w:w="851"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Times New Roman" w:cs="Verdana"/>
              </w:rPr>
            </w:pPr>
            <w:r>
              <w:rPr>
                <w:rFonts w:eastAsia="Times New Roman" w:cs="Verdana"/>
              </w:rPr>
              <w:t>DKK</w:t>
            </w:r>
          </w:p>
        </w:tc>
        <w:tc>
          <w:tcPr>
            <w:tcW w:w="848"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Times New Roman" w:cs="Verdana"/>
              </w:rPr>
            </w:pPr>
            <w:r>
              <w:rPr>
                <w:rFonts w:eastAsia="Times New Roman" w:cs="Verdana"/>
              </w:rPr>
              <w:t>SEK</w:t>
            </w:r>
          </w:p>
        </w:tc>
        <w:tc>
          <w:tcPr>
            <w:tcW w:w="708"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Times New Roman" w:cs="Verdana"/>
              </w:rPr>
            </w:pPr>
            <w:r>
              <w:rPr>
                <w:rFonts w:eastAsia="Times New Roman" w:cs="Verdana"/>
              </w:rPr>
              <w:t>EUR</w:t>
            </w:r>
          </w:p>
        </w:tc>
        <w:tc>
          <w:tcPr>
            <w:tcW w:w="711"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Times New Roman" w:cs="Verdana"/>
              </w:rPr>
            </w:pPr>
            <w:r>
              <w:rPr>
                <w:rFonts w:eastAsia="Times New Roman" w:cs="Verdana"/>
              </w:rPr>
              <w:t>Other</w:t>
            </w:r>
          </w:p>
        </w:tc>
        <w:tc>
          <w:tcPr>
            <w:tcW w:w="854"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Times New Roman" w:cs="Verdana"/>
              </w:rPr>
            </w:pPr>
            <w:r>
              <w:rPr>
                <w:rFonts w:eastAsia="Times New Roman" w:cs="Verdana"/>
              </w:rPr>
              <w:t>Total</w:t>
            </w:r>
          </w:p>
        </w:tc>
        <w:tc>
          <w:tcPr>
            <w:tcW w:w="285" w:type="dxa"/>
            <w:tcBorders>
              <w:top w:val="nil"/>
              <w:left w:val="nil"/>
              <w:bottom w:val="nil"/>
              <w:right w:val="nil"/>
            </w:tcBorders>
            <w:shd w:val="clear" w:color="auto" w:fill="016794"/>
            <w:tcMar>
              <w:top w:w="0" w:type="dxa"/>
              <w:left w:w="0" w:type="dxa"/>
              <w:bottom w:w="0" w:type="dxa"/>
              <w:right w:w="0" w:type="dxa"/>
            </w:tcMar>
            <w:vAlign w:val="center"/>
          </w:tcPr>
          <w:p w:rsidR="00F50689" w:rsidRDefault="00F50689" w:rsidP="00F50689">
            <w:pPr>
              <w:pStyle w:val="Heading7pNormalCentered"/>
              <w:rPr>
                <w:rFonts w:eastAsia="Times New Roman" w:cs="Verdana"/>
                <w:color w:val="auto"/>
              </w:rPr>
            </w:pPr>
          </w:p>
        </w:tc>
        <w:tc>
          <w:tcPr>
            <w:tcW w:w="848"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Times New Roman" w:cs="Verdana"/>
              </w:rPr>
            </w:pPr>
            <w:r>
              <w:rPr>
                <w:rFonts w:eastAsia="Times New Roman" w:cs="Verdana"/>
              </w:rPr>
              <w:t>USD</w:t>
            </w:r>
          </w:p>
        </w:tc>
        <w:tc>
          <w:tcPr>
            <w:tcW w:w="848"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Times New Roman" w:cs="Verdana"/>
              </w:rPr>
            </w:pPr>
            <w:r>
              <w:rPr>
                <w:rFonts w:eastAsia="Times New Roman" w:cs="Verdana"/>
              </w:rPr>
              <w:t>GBP</w:t>
            </w:r>
          </w:p>
        </w:tc>
        <w:tc>
          <w:tcPr>
            <w:tcW w:w="851"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Times New Roman" w:cs="Verdana"/>
              </w:rPr>
            </w:pPr>
            <w:r>
              <w:rPr>
                <w:rFonts w:eastAsia="Times New Roman" w:cs="Verdana"/>
              </w:rPr>
              <w:t>DKK</w:t>
            </w:r>
          </w:p>
        </w:tc>
        <w:tc>
          <w:tcPr>
            <w:tcW w:w="848"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Times New Roman" w:cs="Verdana"/>
              </w:rPr>
            </w:pPr>
            <w:r>
              <w:rPr>
                <w:rFonts w:eastAsia="Times New Roman" w:cs="Verdana"/>
              </w:rPr>
              <w:t>SEK</w:t>
            </w:r>
          </w:p>
        </w:tc>
        <w:tc>
          <w:tcPr>
            <w:tcW w:w="854"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Times New Roman" w:cs="Verdana"/>
              </w:rPr>
            </w:pPr>
            <w:r>
              <w:rPr>
                <w:rFonts w:eastAsia="Times New Roman" w:cs="Verdana"/>
              </w:rPr>
              <w:t>EUR</w:t>
            </w:r>
          </w:p>
        </w:tc>
        <w:tc>
          <w:tcPr>
            <w:tcW w:w="851"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Times New Roman" w:cs="Verdana"/>
              </w:rPr>
            </w:pPr>
            <w:r>
              <w:rPr>
                <w:rFonts w:eastAsia="Times New Roman" w:cs="Verdana"/>
              </w:rPr>
              <w:t>Other</w:t>
            </w:r>
          </w:p>
        </w:tc>
        <w:tc>
          <w:tcPr>
            <w:tcW w:w="993"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Times New Roman" w:cs="Verdana"/>
              </w:rPr>
            </w:pPr>
            <w:r>
              <w:rPr>
                <w:rFonts w:eastAsia="Times New Roman" w:cs="Verdana"/>
              </w:rPr>
              <w:t>Total</w:t>
            </w:r>
          </w:p>
        </w:tc>
      </w:tr>
      <w:tr w:rsidR="00E7728E">
        <w:tc>
          <w:tcPr>
            <w:tcW w:w="2519" w:type="dxa"/>
            <w:tcBorders>
              <w:top w:val="nil"/>
              <w:left w:val="nil"/>
              <w:bottom w:val="nil"/>
              <w:right w:val="nil"/>
            </w:tcBorders>
            <w:shd w:val="clear" w:color="auto" w:fill="FFFFFF"/>
            <w:tcMar>
              <w:top w:w="0" w:type="dxa"/>
              <w:left w:w="0" w:type="dxa"/>
              <w:bottom w:w="0" w:type="dxa"/>
              <w:right w:w="0" w:type="dxa"/>
            </w:tcMar>
            <w:vAlign w:val="center"/>
          </w:tcPr>
          <w:p w:rsidR="00F50689" w:rsidRDefault="005A36C4" w:rsidP="00F50689">
            <w:pPr>
              <w:pStyle w:val="Text7pBoldLeft"/>
              <w:rPr>
                <w:rFonts w:eastAsia="Times New Roman" w:cs="Verdana"/>
              </w:rPr>
            </w:pPr>
            <w:r>
              <w:rPr>
                <w:rFonts w:eastAsia="Times New Roman" w:cs="Verdana"/>
              </w:rPr>
              <w:t>Financial assets</w:t>
            </w:r>
          </w:p>
        </w:tc>
        <w:tc>
          <w:tcPr>
            <w:tcW w:w="844" w:type="dxa"/>
            <w:tcBorders>
              <w:top w:val="nil"/>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853" w:type="dxa"/>
            <w:tcBorders>
              <w:top w:val="nil"/>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851" w:type="dxa"/>
            <w:tcBorders>
              <w:top w:val="nil"/>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848" w:type="dxa"/>
            <w:tcBorders>
              <w:top w:val="nil"/>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708" w:type="dxa"/>
            <w:tcBorders>
              <w:top w:val="nil"/>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711" w:type="dxa"/>
            <w:tcBorders>
              <w:top w:val="nil"/>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854" w:type="dxa"/>
            <w:tcBorders>
              <w:top w:val="nil"/>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285" w:type="dxa"/>
            <w:tcBorders>
              <w:top w:val="nil"/>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b w:val="0"/>
              </w:rPr>
            </w:pPr>
          </w:p>
        </w:tc>
        <w:tc>
          <w:tcPr>
            <w:tcW w:w="848" w:type="dxa"/>
            <w:tcBorders>
              <w:top w:val="nil"/>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848" w:type="dxa"/>
            <w:tcBorders>
              <w:top w:val="nil"/>
              <w:left w:val="nil"/>
              <w:bottom w:val="nil"/>
              <w:right w:val="nil"/>
            </w:tcBorders>
            <w:shd w:val="clear" w:color="auto" w:fill="FFFFFF"/>
            <w:tcMar>
              <w:top w:w="0" w:type="dxa"/>
              <w:left w:w="0" w:type="dxa"/>
              <w:bottom w:w="0" w:type="dxa"/>
              <w:right w:w="0" w:type="dxa"/>
            </w:tcMar>
          </w:tcPr>
          <w:p w:rsidR="00F50689" w:rsidRDefault="00F50689" w:rsidP="00F50689">
            <w:pPr>
              <w:pStyle w:val="Figures6pBoldRight01"/>
              <w:rPr>
                <w:rFonts w:eastAsia="Times New Roman" w:cs="Verdana"/>
              </w:rPr>
            </w:pPr>
          </w:p>
        </w:tc>
        <w:tc>
          <w:tcPr>
            <w:tcW w:w="851" w:type="dxa"/>
            <w:tcBorders>
              <w:top w:val="nil"/>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848" w:type="dxa"/>
            <w:tcBorders>
              <w:top w:val="nil"/>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854" w:type="dxa"/>
            <w:tcBorders>
              <w:top w:val="nil"/>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851" w:type="dxa"/>
            <w:tcBorders>
              <w:top w:val="nil"/>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993" w:type="dxa"/>
            <w:tcBorders>
              <w:top w:val="nil"/>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r>
      <w:tr w:rsidR="00E7728E">
        <w:tc>
          <w:tcPr>
            <w:tcW w:w="2519" w:type="dxa"/>
            <w:tcBorders>
              <w:top w:val="nil"/>
              <w:left w:val="nil"/>
              <w:bottom w:val="nil"/>
              <w:right w:val="nil"/>
            </w:tcBorders>
            <w:tcMar>
              <w:top w:w="0" w:type="dxa"/>
              <w:left w:w="0" w:type="dxa"/>
              <w:bottom w:w="0" w:type="dxa"/>
              <w:right w:w="0" w:type="dxa"/>
            </w:tcMar>
            <w:vAlign w:val="center"/>
          </w:tcPr>
          <w:p w:rsidR="00F50689" w:rsidRDefault="005A36C4" w:rsidP="00F50689">
            <w:pPr>
              <w:pStyle w:val="Text7pItalicLeft"/>
              <w:rPr>
                <w:rFonts w:eastAsia="Times New Roman" w:cs="Verdana"/>
              </w:rPr>
            </w:pPr>
            <w:r>
              <w:rPr>
                <w:rFonts w:eastAsia="Times New Roman" w:cs="Verdana"/>
              </w:rPr>
              <w:t>Available for sale financial assets</w:t>
            </w:r>
          </w:p>
        </w:tc>
        <w:tc>
          <w:tcPr>
            <w:tcW w:w="844" w:type="dxa"/>
            <w:tcBorders>
              <w:top w:val="nil"/>
              <w:left w:val="nil"/>
              <w:bottom w:val="nil"/>
              <w:right w:val="nil"/>
            </w:tcBorders>
            <w:tcMar>
              <w:top w:w="0" w:type="dxa"/>
              <w:left w:w="0" w:type="dxa"/>
              <w:bottom w:w="0" w:type="dxa"/>
              <w:right w:w="0" w:type="dxa"/>
            </w:tcMar>
          </w:tcPr>
          <w:p w:rsidR="00F50689" w:rsidRDefault="005A36C4" w:rsidP="00F50689">
            <w:pPr>
              <w:pStyle w:val="Figures6pItalicRight01"/>
              <w:rPr>
                <w:rFonts w:eastAsia="Times New Roman" w:cs="Verdana"/>
              </w:rPr>
            </w:pPr>
            <w:r>
              <w:rPr>
                <w:rFonts w:eastAsia="Times New Roman" w:cs="Verdana"/>
              </w:rPr>
              <w:t xml:space="preserve"> 68</w:t>
            </w:r>
          </w:p>
        </w:tc>
        <w:tc>
          <w:tcPr>
            <w:tcW w:w="853"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 xml:space="preserve"> 77</w:t>
            </w:r>
          </w:p>
        </w:tc>
        <w:tc>
          <w:tcPr>
            <w:tcW w:w="851"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 xml:space="preserve"> 7</w:t>
            </w:r>
          </w:p>
        </w:tc>
        <w:tc>
          <w:tcPr>
            <w:tcW w:w="848"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 xml:space="preserve"> 9</w:t>
            </w:r>
          </w:p>
        </w:tc>
        <w:tc>
          <w:tcPr>
            <w:tcW w:w="708"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9 203</w:t>
            </w:r>
          </w:p>
        </w:tc>
        <w:tc>
          <w:tcPr>
            <w:tcW w:w="711"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 xml:space="preserve"> 42</w:t>
            </w:r>
          </w:p>
        </w:tc>
        <w:tc>
          <w:tcPr>
            <w:tcW w:w="854"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9 406</w:t>
            </w:r>
          </w:p>
        </w:tc>
        <w:tc>
          <w:tcPr>
            <w:tcW w:w="285" w:type="dxa"/>
            <w:tcBorders>
              <w:top w:val="nil"/>
              <w:left w:val="nil"/>
              <w:bottom w:val="nil"/>
              <w:right w:val="nil"/>
            </w:tcBorders>
            <w:tcMar>
              <w:top w:w="0" w:type="dxa"/>
              <w:left w:w="0" w:type="dxa"/>
              <w:bottom w:w="0" w:type="dxa"/>
              <w:right w:w="0" w:type="dxa"/>
            </w:tcMar>
            <w:vAlign w:val="center"/>
          </w:tcPr>
          <w:p w:rsidR="00F50689" w:rsidRDefault="00F50689" w:rsidP="00F50689">
            <w:pPr>
              <w:pStyle w:val="Figures6pItalicRight01"/>
              <w:rPr>
                <w:rFonts w:eastAsia="Times New Roman" w:cs="Verdana"/>
                <w:i w:val="0"/>
              </w:rPr>
            </w:pPr>
          </w:p>
        </w:tc>
        <w:tc>
          <w:tcPr>
            <w:tcW w:w="848"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 xml:space="preserve"> 39</w:t>
            </w:r>
          </w:p>
        </w:tc>
        <w:tc>
          <w:tcPr>
            <w:tcW w:w="848"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 xml:space="preserve"> 66</w:t>
            </w:r>
          </w:p>
        </w:tc>
        <w:tc>
          <w:tcPr>
            <w:tcW w:w="851"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 xml:space="preserve"> 13</w:t>
            </w:r>
          </w:p>
        </w:tc>
        <w:tc>
          <w:tcPr>
            <w:tcW w:w="848"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 xml:space="preserve"> 19</w:t>
            </w:r>
          </w:p>
        </w:tc>
        <w:tc>
          <w:tcPr>
            <w:tcW w:w="854"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7 732</w:t>
            </w:r>
          </w:p>
        </w:tc>
        <w:tc>
          <w:tcPr>
            <w:tcW w:w="851"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w:t>
            </w:r>
          </w:p>
        </w:tc>
        <w:tc>
          <w:tcPr>
            <w:tcW w:w="993"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7 870</w:t>
            </w:r>
          </w:p>
        </w:tc>
      </w:tr>
      <w:tr w:rsidR="00E7728E">
        <w:tc>
          <w:tcPr>
            <w:tcW w:w="2519" w:type="dxa"/>
            <w:tcBorders>
              <w:top w:val="nil"/>
              <w:left w:val="nil"/>
              <w:bottom w:val="nil"/>
              <w:right w:val="nil"/>
            </w:tcBorders>
            <w:tcMar>
              <w:top w:w="0" w:type="dxa"/>
              <w:left w:w="0" w:type="dxa"/>
              <w:bottom w:w="0" w:type="dxa"/>
              <w:right w:w="0" w:type="dxa"/>
            </w:tcMar>
            <w:vAlign w:val="center"/>
          </w:tcPr>
          <w:p w:rsidR="00F50689" w:rsidRDefault="005A36C4" w:rsidP="00F50689">
            <w:pPr>
              <w:pStyle w:val="Text7pItalicLeft"/>
              <w:rPr>
                <w:rFonts w:eastAsia="Times New Roman" w:cs="Verdana"/>
              </w:rPr>
            </w:pPr>
            <w:r>
              <w:rPr>
                <w:rFonts w:eastAsia="Times New Roman" w:cs="Verdana"/>
              </w:rPr>
              <w:t>Loans*</w:t>
            </w:r>
          </w:p>
        </w:tc>
        <w:tc>
          <w:tcPr>
            <w:tcW w:w="844" w:type="dxa"/>
            <w:tcBorders>
              <w:top w:val="nil"/>
              <w:left w:val="nil"/>
              <w:bottom w:val="nil"/>
              <w:right w:val="nil"/>
            </w:tcBorders>
            <w:tcMar>
              <w:top w:w="0" w:type="dxa"/>
              <w:left w:w="0" w:type="dxa"/>
              <w:bottom w:w="0" w:type="dxa"/>
              <w:right w:w="0" w:type="dxa"/>
            </w:tcMar>
          </w:tcPr>
          <w:p w:rsidR="00F50689" w:rsidRDefault="005A36C4" w:rsidP="00F50689">
            <w:pPr>
              <w:pStyle w:val="Figures6pItalicRight01"/>
              <w:rPr>
                <w:rFonts w:eastAsia="Times New Roman" w:cs="Verdana"/>
              </w:rPr>
            </w:pPr>
            <w:r>
              <w:rPr>
                <w:rFonts w:eastAsia="Times New Roman" w:cs="Verdana"/>
              </w:rPr>
              <w:t xml:space="preserve"> 2</w:t>
            </w:r>
          </w:p>
        </w:tc>
        <w:tc>
          <w:tcPr>
            <w:tcW w:w="853"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 xml:space="preserve"> 0</w:t>
            </w:r>
          </w:p>
        </w:tc>
        <w:tc>
          <w:tcPr>
            <w:tcW w:w="851"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w:t>
            </w:r>
          </w:p>
        </w:tc>
        <w:tc>
          <w:tcPr>
            <w:tcW w:w="848"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w:t>
            </w:r>
          </w:p>
        </w:tc>
        <w:tc>
          <w:tcPr>
            <w:tcW w:w="708"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 xml:space="preserve"> 303</w:t>
            </w:r>
          </w:p>
        </w:tc>
        <w:tc>
          <w:tcPr>
            <w:tcW w:w="711"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 xml:space="preserve"> 28</w:t>
            </w:r>
          </w:p>
        </w:tc>
        <w:tc>
          <w:tcPr>
            <w:tcW w:w="854"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 xml:space="preserve"> 334</w:t>
            </w:r>
          </w:p>
        </w:tc>
        <w:tc>
          <w:tcPr>
            <w:tcW w:w="285" w:type="dxa"/>
            <w:tcBorders>
              <w:top w:val="nil"/>
              <w:left w:val="nil"/>
              <w:bottom w:val="nil"/>
              <w:right w:val="nil"/>
            </w:tcBorders>
            <w:tcMar>
              <w:top w:w="0" w:type="dxa"/>
              <w:left w:w="0" w:type="dxa"/>
              <w:bottom w:w="0" w:type="dxa"/>
              <w:right w:w="0" w:type="dxa"/>
            </w:tcMar>
            <w:vAlign w:val="center"/>
          </w:tcPr>
          <w:p w:rsidR="00F50689" w:rsidRDefault="00F50689" w:rsidP="00F50689">
            <w:pPr>
              <w:pStyle w:val="Figures6pItalicRight01"/>
              <w:rPr>
                <w:rFonts w:eastAsia="Times New Roman" w:cs="Verdana"/>
                <w:i w:val="0"/>
              </w:rPr>
            </w:pPr>
          </w:p>
        </w:tc>
        <w:tc>
          <w:tcPr>
            <w:tcW w:w="848"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 xml:space="preserve"> 1</w:t>
            </w:r>
          </w:p>
        </w:tc>
        <w:tc>
          <w:tcPr>
            <w:tcW w:w="848"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w:t>
            </w:r>
          </w:p>
        </w:tc>
        <w:tc>
          <w:tcPr>
            <w:tcW w:w="851"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w:t>
            </w:r>
          </w:p>
        </w:tc>
        <w:tc>
          <w:tcPr>
            <w:tcW w:w="848"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w:t>
            </w:r>
          </w:p>
        </w:tc>
        <w:tc>
          <w:tcPr>
            <w:tcW w:w="854"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 xml:space="preserve"> 277</w:t>
            </w:r>
          </w:p>
        </w:tc>
        <w:tc>
          <w:tcPr>
            <w:tcW w:w="851"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 xml:space="preserve"> 8</w:t>
            </w:r>
          </w:p>
        </w:tc>
        <w:tc>
          <w:tcPr>
            <w:tcW w:w="993"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 xml:space="preserve"> 286</w:t>
            </w:r>
          </w:p>
        </w:tc>
      </w:tr>
      <w:tr w:rsidR="00E7728E">
        <w:tc>
          <w:tcPr>
            <w:tcW w:w="2519" w:type="dxa"/>
            <w:tcBorders>
              <w:top w:val="nil"/>
              <w:left w:val="nil"/>
              <w:bottom w:val="nil"/>
              <w:right w:val="nil"/>
            </w:tcBorders>
            <w:tcMar>
              <w:top w:w="0" w:type="dxa"/>
              <w:left w:w="0" w:type="dxa"/>
              <w:bottom w:w="0" w:type="dxa"/>
              <w:right w:w="0" w:type="dxa"/>
            </w:tcMar>
            <w:vAlign w:val="center"/>
          </w:tcPr>
          <w:p w:rsidR="00F50689" w:rsidRDefault="005A36C4" w:rsidP="00F50689">
            <w:pPr>
              <w:pStyle w:val="Text7pItalicLeft"/>
              <w:rPr>
                <w:rFonts w:eastAsia="Times New Roman" w:cs="Verdana"/>
              </w:rPr>
            </w:pPr>
            <w:r>
              <w:rPr>
                <w:rFonts w:eastAsia="Times New Roman" w:cs="Verdana"/>
              </w:rPr>
              <w:t>Receivables and recoverables</w:t>
            </w:r>
          </w:p>
        </w:tc>
        <w:tc>
          <w:tcPr>
            <w:tcW w:w="844" w:type="dxa"/>
            <w:tcBorders>
              <w:top w:val="nil"/>
              <w:left w:val="nil"/>
              <w:bottom w:val="nil"/>
              <w:right w:val="nil"/>
            </w:tcBorders>
            <w:tcMar>
              <w:top w:w="0" w:type="dxa"/>
              <w:left w:w="0" w:type="dxa"/>
              <w:bottom w:w="0" w:type="dxa"/>
              <w:right w:w="0" w:type="dxa"/>
            </w:tcMar>
          </w:tcPr>
          <w:p w:rsidR="00F50689" w:rsidRDefault="005A36C4" w:rsidP="00F50689">
            <w:pPr>
              <w:pStyle w:val="Figures6pItalicRight01"/>
              <w:rPr>
                <w:rFonts w:eastAsia="Times New Roman" w:cs="Verdana"/>
              </w:rPr>
            </w:pPr>
            <w:r>
              <w:rPr>
                <w:rFonts w:eastAsia="Times New Roman" w:cs="Verdana"/>
              </w:rPr>
              <w:t xml:space="preserve"> 2</w:t>
            </w:r>
          </w:p>
        </w:tc>
        <w:tc>
          <w:tcPr>
            <w:tcW w:w="853"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4 102</w:t>
            </w:r>
          </w:p>
        </w:tc>
        <w:tc>
          <w:tcPr>
            <w:tcW w:w="851"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 xml:space="preserve"> 50</w:t>
            </w:r>
          </w:p>
        </w:tc>
        <w:tc>
          <w:tcPr>
            <w:tcW w:w="848"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 xml:space="preserve"> 88</w:t>
            </w:r>
          </w:p>
        </w:tc>
        <w:tc>
          <w:tcPr>
            <w:tcW w:w="708"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11 197</w:t>
            </w:r>
          </w:p>
        </w:tc>
        <w:tc>
          <w:tcPr>
            <w:tcW w:w="711"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 xml:space="preserve"> 140</w:t>
            </w:r>
          </w:p>
        </w:tc>
        <w:tc>
          <w:tcPr>
            <w:tcW w:w="854"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15 578</w:t>
            </w:r>
          </w:p>
        </w:tc>
        <w:tc>
          <w:tcPr>
            <w:tcW w:w="285" w:type="dxa"/>
            <w:tcBorders>
              <w:top w:val="nil"/>
              <w:left w:val="nil"/>
              <w:bottom w:val="nil"/>
              <w:right w:val="nil"/>
            </w:tcBorders>
            <w:tcMar>
              <w:top w:w="0" w:type="dxa"/>
              <w:left w:w="0" w:type="dxa"/>
              <w:bottom w:w="0" w:type="dxa"/>
              <w:right w:w="0" w:type="dxa"/>
            </w:tcMar>
            <w:vAlign w:val="center"/>
          </w:tcPr>
          <w:p w:rsidR="00F50689" w:rsidRDefault="00F50689" w:rsidP="00F50689">
            <w:pPr>
              <w:pStyle w:val="Figures6pItalicRight01"/>
              <w:rPr>
                <w:rFonts w:eastAsia="Times New Roman" w:cs="Verdana"/>
                <w:i w:val="0"/>
              </w:rPr>
            </w:pPr>
          </w:p>
        </w:tc>
        <w:tc>
          <w:tcPr>
            <w:tcW w:w="848"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 xml:space="preserve"> 1</w:t>
            </w:r>
          </w:p>
        </w:tc>
        <w:tc>
          <w:tcPr>
            <w:tcW w:w="848"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1 050</w:t>
            </w:r>
          </w:p>
        </w:tc>
        <w:tc>
          <w:tcPr>
            <w:tcW w:w="851"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 xml:space="preserve"> 42</w:t>
            </w:r>
          </w:p>
        </w:tc>
        <w:tc>
          <w:tcPr>
            <w:tcW w:w="848"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 xml:space="preserve"> 79</w:t>
            </w:r>
          </w:p>
        </w:tc>
        <w:tc>
          <w:tcPr>
            <w:tcW w:w="854"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12 284</w:t>
            </w:r>
          </w:p>
        </w:tc>
        <w:tc>
          <w:tcPr>
            <w:tcW w:w="851"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 xml:space="preserve"> 224</w:t>
            </w:r>
          </w:p>
        </w:tc>
        <w:tc>
          <w:tcPr>
            <w:tcW w:w="993"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13 680</w:t>
            </w:r>
          </w:p>
        </w:tc>
      </w:tr>
      <w:tr w:rsidR="00E7728E">
        <w:tc>
          <w:tcPr>
            <w:tcW w:w="2519"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Text7pItalicLeft"/>
              <w:rPr>
                <w:rFonts w:eastAsia="Times New Roman" w:cs="Verdana"/>
              </w:rPr>
            </w:pPr>
            <w:r>
              <w:rPr>
                <w:rFonts w:eastAsia="Times New Roman" w:cs="Verdana"/>
              </w:rPr>
              <w:t>Cash and cash equivalents</w:t>
            </w:r>
          </w:p>
        </w:tc>
        <w:tc>
          <w:tcPr>
            <w:tcW w:w="844"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 xml:space="preserve"> 44</w:t>
            </w:r>
          </w:p>
        </w:tc>
        <w:tc>
          <w:tcPr>
            <w:tcW w:w="853"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1 157</w:t>
            </w:r>
          </w:p>
        </w:tc>
        <w:tc>
          <w:tcPr>
            <w:tcW w:w="851"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 xml:space="preserve"> 471</w:t>
            </w:r>
          </w:p>
        </w:tc>
        <w:tc>
          <w:tcPr>
            <w:tcW w:w="848"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 xml:space="preserve"> 928</w:t>
            </w:r>
          </w:p>
        </w:tc>
        <w:tc>
          <w:tcPr>
            <w:tcW w:w="708"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14 180</w:t>
            </w:r>
          </w:p>
        </w:tc>
        <w:tc>
          <w:tcPr>
            <w:tcW w:w="711"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 xml:space="preserve"> 764</w:t>
            </w:r>
          </w:p>
        </w:tc>
        <w:tc>
          <w:tcPr>
            <w:tcW w:w="854"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17 545</w:t>
            </w:r>
          </w:p>
        </w:tc>
        <w:tc>
          <w:tcPr>
            <w:tcW w:w="285" w:type="dxa"/>
            <w:tcBorders>
              <w:top w:val="nil"/>
              <w:left w:val="nil"/>
              <w:bottom w:val="single" w:sz="4" w:space="0" w:color="3486A9"/>
              <w:right w:val="nil"/>
            </w:tcBorders>
            <w:tcMar>
              <w:top w:w="0" w:type="dxa"/>
              <w:left w:w="0" w:type="dxa"/>
              <w:bottom w:w="0" w:type="dxa"/>
              <w:right w:w="0" w:type="dxa"/>
            </w:tcMar>
            <w:vAlign w:val="center"/>
          </w:tcPr>
          <w:p w:rsidR="00F50689" w:rsidRDefault="00F50689" w:rsidP="00F50689">
            <w:pPr>
              <w:pStyle w:val="Figures6pItalicRight01"/>
              <w:rPr>
                <w:rFonts w:eastAsia="Times New Roman" w:cs="Verdana"/>
                <w:i w:val="0"/>
              </w:rPr>
            </w:pPr>
          </w:p>
        </w:tc>
        <w:tc>
          <w:tcPr>
            <w:tcW w:w="848"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 xml:space="preserve"> 39</w:t>
            </w:r>
          </w:p>
        </w:tc>
        <w:tc>
          <w:tcPr>
            <w:tcW w:w="848"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 xml:space="preserve"> 140</w:t>
            </w:r>
          </w:p>
        </w:tc>
        <w:tc>
          <w:tcPr>
            <w:tcW w:w="851"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 xml:space="preserve"> 446</w:t>
            </w:r>
          </w:p>
        </w:tc>
        <w:tc>
          <w:tcPr>
            <w:tcW w:w="848"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 xml:space="preserve"> 257</w:t>
            </w:r>
          </w:p>
        </w:tc>
        <w:tc>
          <w:tcPr>
            <w:tcW w:w="854"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8 225</w:t>
            </w:r>
          </w:p>
        </w:tc>
        <w:tc>
          <w:tcPr>
            <w:tcW w:w="851"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 xml:space="preserve"> 403</w:t>
            </w:r>
          </w:p>
        </w:tc>
        <w:tc>
          <w:tcPr>
            <w:tcW w:w="993"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9 510</w:t>
            </w:r>
          </w:p>
        </w:tc>
      </w:tr>
      <w:tr w:rsidR="00E7728E">
        <w:tc>
          <w:tcPr>
            <w:tcW w:w="2519"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F50689" w:rsidRDefault="005A36C4" w:rsidP="00F50689">
            <w:pPr>
              <w:pStyle w:val="Text7pItalicLeft"/>
              <w:rPr>
                <w:rFonts w:eastAsia="Times New Roman" w:cs="Verdana"/>
              </w:rPr>
            </w:pPr>
            <w:r>
              <w:rPr>
                <w:rFonts w:eastAsia="Times New Roman" w:cs="Verdana"/>
              </w:rPr>
              <w:t>Total</w:t>
            </w:r>
          </w:p>
        </w:tc>
        <w:tc>
          <w:tcPr>
            <w:tcW w:w="844"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rPr>
                <w:rFonts w:eastAsia="Times New Roman" w:cs="Verdana"/>
              </w:rPr>
              <w:t xml:space="preserve"> 116</w:t>
            </w:r>
          </w:p>
        </w:tc>
        <w:tc>
          <w:tcPr>
            <w:tcW w:w="853"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rPr>
                <w:rFonts w:eastAsia="Times New Roman" w:cs="Verdana"/>
              </w:rPr>
              <w:t>5 336</w:t>
            </w:r>
          </w:p>
        </w:tc>
        <w:tc>
          <w:tcPr>
            <w:tcW w:w="851"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rPr>
                <w:rFonts w:eastAsia="Times New Roman" w:cs="Verdana"/>
              </w:rPr>
              <w:t xml:space="preserve"> 528</w:t>
            </w:r>
          </w:p>
        </w:tc>
        <w:tc>
          <w:tcPr>
            <w:tcW w:w="848"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rPr>
                <w:rFonts w:eastAsia="Times New Roman" w:cs="Verdana"/>
              </w:rPr>
              <w:t>1 024</w:t>
            </w:r>
          </w:p>
        </w:tc>
        <w:tc>
          <w:tcPr>
            <w:tcW w:w="708"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rPr>
                <w:rFonts w:eastAsia="Times New Roman" w:cs="Verdana"/>
              </w:rPr>
              <w:t>34 883</w:t>
            </w:r>
          </w:p>
        </w:tc>
        <w:tc>
          <w:tcPr>
            <w:tcW w:w="711"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rPr>
                <w:rFonts w:eastAsia="Times New Roman" w:cs="Verdana"/>
              </w:rPr>
              <w:t xml:space="preserve"> 974</w:t>
            </w:r>
          </w:p>
        </w:tc>
        <w:tc>
          <w:tcPr>
            <w:tcW w:w="854"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rPr>
                <w:rFonts w:eastAsia="Times New Roman" w:cs="Verdana"/>
              </w:rPr>
              <w:t>42 862</w:t>
            </w:r>
          </w:p>
        </w:tc>
        <w:tc>
          <w:tcPr>
            <w:tcW w:w="285"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b w:val="0"/>
              </w:rPr>
            </w:pPr>
          </w:p>
        </w:tc>
        <w:tc>
          <w:tcPr>
            <w:tcW w:w="848"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rPr>
                <w:rFonts w:eastAsia="Times New Roman" w:cs="Verdana"/>
              </w:rPr>
              <w:t xml:space="preserve"> 80</w:t>
            </w:r>
          </w:p>
        </w:tc>
        <w:tc>
          <w:tcPr>
            <w:tcW w:w="848" w:type="dxa"/>
            <w:tcBorders>
              <w:top w:val="single" w:sz="4" w:space="0" w:color="3486A9"/>
              <w:left w:val="nil"/>
              <w:bottom w:val="single" w:sz="4" w:space="0" w:color="016794"/>
              <w:right w:val="nil"/>
            </w:tcBorders>
            <w:shd w:val="clear" w:color="auto" w:fill="FFFFFF"/>
            <w:tcMar>
              <w:top w:w="0" w:type="dxa"/>
              <w:left w:w="0" w:type="dxa"/>
              <w:bottom w:w="0" w:type="dxa"/>
              <w:right w:w="0" w:type="dxa"/>
            </w:tcMar>
          </w:tcPr>
          <w:p w:rsidR="00F50689" w:rsidRDefault="005A36C4" w:rsidP="00F50689">
            <w:pPr>
              <w:pStyle w:val="Figures6pBoldRight01"/>
              <w:rPr>
                <w:rFonts w:eastAsia="Times New Roman" w:cs="Verdana"/>
              </w:rPr>
            </w:pPr>
            <w:r>
              <w:rPr>
                <w:rFonts w:eastAsia="Times New Roman" w:cs="Verdana"/>
              </w:rPr>
              <w:t>1 256</w:t>
            </w:r>
          </w:p>
        </w:tc>
        <w:tc>
          <w:tcPr>
            <w:tcW w:w="851"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rPr>
                <w:rFonts w:eastAsia="Times New Roman" w:cs="Verdana"/>
              </w:rPr>
              <w:t xml:space="preserve"> 501</w:t>
            </w:r>
          </w:p>
        </w:tc>
        <w:tc>
          <w:tcPr>
            <w:tcW w:w="848"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rPr>
                <w:rFonts w:eastAsia="Times New Roman" w:cs="Verdana"/>
              </w:rPr>
              <w:t xml:space="preserve"> 355</w:t>
            </w:r>
          </w:p>
        </w:tc>
        <w:tc>
          <w:tcPr>
            <w:tcW w:w="854"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rPr>
                <w:rFonts w:eastAsia="Times New Roman" w:cs="Verdana"/>
              </w:rPr>
              <w:t>28 518</w:t>
            </w:r>
          </w:p>
        </w:tc>
        <w:tc>
          <w:tcPr>
            <w:tcW w:w="851"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rPr>
                <w:rFonts w:eastAsia="Times New Roman" w:cs="Verdana"/>
              </w:rPr>
              <w:t xml:space="preserve"> 635</w:t>
            </w:r>
          </w:p>
        </w:tc>
        <w:tc>
          <w:tcPr>
            <w:tcW w:w="993"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rPr>
                <w:rFonts w:eastAsia="Times New Roman" w:cs="Verdana"/>
              </w:rPr>
              <w:t>31 345</w:t>
            </w:r>
          </w:p>
        </w:tc>
      </w:tr>
      <w:tr w:rsidR="00E7728E">
        <w:tc>
          <w:tcPr>
            <w:tcW w:w="2519"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F50689" w:rsidRDefault="005A36C4" w:rsidP="00F50689">
            <w:pPr>
              <w:pStyle w:val="Text7pBoldLeft"/>
              <w:rPr>
                <w:rFonts w:eastAsia="Times New Roman" w:cs="Verdana"/>
              </w:rPr>
            </w:pPr>
            <w:r>
              <w:rPr>
                <w:rFonts w:eastAsia="Times New Roman" w:cs="Verdana"/>
              </w:rPr>
              <w:t>Financial liabilities</w:t>
            </w:r>
          </w:p>
        </w:tc>
        <w:tc>
          <w:tcPr>
            <w:tcW w:w="844"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853"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851"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848"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708"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711"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854"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285"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b w:val="0"/>
              </w:rPr>
            </w:pPr>
          </w:p>
        </w:tc>
        <w:tc>
          <w:tcPr>
            <w:tcW w:w="848"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848" w:type="dxa"/>
            <w:tcBorders>
              <w:top w:val="single" w:sz="4" w:space="0" w:color="016794"/>
              <w:left w:val="nil"/>
              <w:bottom w:val="nil"/>
              <w:right w:val="nil"/>
            </w:tcBorders>
            <w:shd w:val="clear" w:color="auto" w:fill="FFFFFF"/>
            <w:tcMar>
              <w:top w:w="0" w:type="dxa"/>
              <w:left w:w="0" w:type="dxa"/>
              <w:bottom w:w="0" w:type="dxa"/>
              <w:right w:w="0" w:type="dxa"/>
            </w:tcMar>
          </w:tcPr>
          <w:p w:rsidR="00F50689" w:rsidRDefault="00F50689" w:rsidP="00F50689">
            <w:pPr>
              <w:pStyle w:val="Figures6pBoldRight01"/>
              <w:rPr>
                <w:rFonts w:eastAsia="Times New Roman" w:cs="Verdana"/>
              </w:rPr>
            </w:pPr>
          </w:p>
        </w:tc>
        <w:tc>
          <w:tcPr>
            <w:tcW w:w="851"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848"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854"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851"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993"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r>
      <w:tr w:rsidR="00E7728E">
        <w:tc>
          <w:tcPr>
            <w:tcW w:w="2519"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Text7pItalicLeft"/>
              <w:rPr>
                <w:rFonts w:eastAsia="Times New Roman" w:cs="Verdana"/>
              </w:rPr>
            </w:pPr>
            <w:r>
              <w:rPr>
                <w:rFonts w:eastAsia="Times New Roman" w:cs="Verdana"/>
              </w:rPr>
              <w:t>Payables</w:t>
            </w:r>
          </w:p>
        </w:tc>
        <w:tc>
          <w:tcPr>
            <w:tcW w:w="844"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 xml:space="preserve"> 0</w:t>
            </w:r>
          </w:p>
        </w:tc>
        <w:tc>
          <w:tcPr>
            <w:tcW w:w="853"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 xml:space="preserve"> (10)</w:t>
            </w:r>
          </w:p>
        </w:tc>
        <w:tc>
          <w:tcPr>
            <w:tcW w:w="851"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 xml:space="preserve"> 0</w:t>
            </w:r>
          </w:p>
        </w:tc>
        <w:tc>
          <w:tcPr>
            <w:tcW w:w="848"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 xml:space="preserve"> 0</w:t>
            </w:r>
          </w:p>
        </w:tc>
        <w:tc>
          <w:tcPr>
            <w:tcW w:w="708"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(43 168)</w:t>
            </w:r>
          </w:p>
        </w:tc>
        <w:tc>
          <w:tcPr>
            <w:tcW w:w="711"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 xml:space="preserve"> (2)</w:t>
            </w:r>
          </w:p>
        </w:tc>
        <w:tc>
          <w:tcPr>
            <w:tcW w:w="854"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6D12DB">
            <w:pPr>
              <w:pStyle w:val="Figures6pItalicRight01"/>
              <w:rPr>
                <w:rFonts w:eastAsia="Times New Roman" w:cs="Verdana"/>
              </w:rPr>
            </w:pPr>
            <w:r>
              <w:rPr>
                <w:rFonts w:eastAsia="Times New Roman" w:cs="Verdana"/>
              </w:rPr>
              <w:t>(43 1</w:t>
            </w:r>
            <w:r w:rsidR="006D12DB">
              <w:rPr>
                <w:rFonts w:eastAsia="Times New Roman" w:cs="Verdana"/>
              </w:rPr>
              <w:t>80</w:t>
            </w:r>
            <w:r>
              <w:rPr>
                <w:rFonts w:eastAsia="Times New Roman" w:cs="Verdana"/>
              </w:rPr>
              <w:t>)</w:t>
            </w:r>
          </w:p>
        </w:tc>
        <w:tc>
          <w:tcPr>
            <w:tcW w:w="285" w:type="dxa"/>
            <w:tcBorders>
              <w:top w:val="nil"/>
              <w:left w:val="nil"/>
              <w:bottom w:val="single" w:sz="4" w:space="0" w:color="3486A9"/>
              <w:right w:val="nil"/>
            </w:tcBorders>
            <w:tcMar>
              <w:top w:w="0" w:type="dxa"/>
              <w:left w:w="0" w:type="dxa"/>
              <w:bottom w:w="0" w:type="dxa"/>
              <w:right w:w="0" w:type="dxa"/>
            </w:tcMar>
            <w:vAlign w:val="center"/>
          </w:tcPr>
          <w:p w:rsidR="00F50689" w:rsidRDefault="00F50689" w:rsidP="00F50689">
            <w:pPr>
              <w:pStyle w:val="Figures6pItalicRight01"/>
              <w:rPr>
                <w:rFonts w:eastAsia="Times New Roman" w:cs="Verdana"/>
                <w:i w:val="0"/>
              </w:rPr>
            </w:pPr>
          </w:p>
        </w:tc>
        <w:tc>
          <w:tcPr>
            <w:tcW w:w="848"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w:t>
            </w:r>
          </w:p>
        </w:tc>
        <w:tc>
          <w:tcPr>
            <w:tcW w:w="848"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 xml:space="preserve"> (5)</w:t>
            </w:r>
          </w:p>
        </w:tc>
        <w:tc>
          <w:tcPr>
            <w:tcW w:w="851"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w:t>
            </w:r>
          </w:p>
        </w:tc>
        <w:tc>
          <w:tcPr>
            <w:tcW w:w="848"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w:t>
            </w:r>
          </w:p>
        </w:tc>
        <w:tc>
          <w:tcPr>
            <w:tcW w:w="854"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(36 156)</w:t>
            </w:r>
          </w:p>
        </w:tc>
        <w:tc>
          <w:tcPr>
            <w:tcW w:w="851"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 xml:space="preserve"> (52)</w:t>
            </w:r>
          </w:p>
        </w:tc>
        <w:tc>
          <w:tcPr>
            <w:tcW w:w="993"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rPr>
                <w:rFonts w:eastAsia="Times New Roman" w:cs="Verdana"/>
              </w:rPr>
              <w:t>(36 213)</w:t>
            </w:r>
          </w:p>
        </w:tc>
      </w:tr>
      <w:tr w:rsidR="00E7728E">
        <w:tc>
          <w:tcPr>
            <w:tcW w:w="2519"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F50689" w:rsidRDefault="005A36C4" w:rsidP="00F50689">
            <w:pPr>
              <w:pStyle w:val="Text7pItalicLeft"/>
              <w:rPr>
                <w:rFonts w:eastAsia="Times New Roman" w:cs="Verdana"/>
              </w:rPr>
            </w:pPr>
            <w:r>
              <w:rPr>
                <w:rFonts w:eastAsia="Times New Roman" w:cs="Verdana"/>
              </w:rPr>
              <w:t>Total</w:t>
            </w:r>
          </w:p>
        </w:tc>
        <w:tc>
          <w:tcPr>
            <w:tcW w:w="844"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rPr>
                <w:rFonts w:eastAsia="Times New Roman" w:cs="Verdana"/>
              </w:rPr>
              <w:t xml:space="preserve"> 0</w:t>
            </w:r>
          </w:p>
        </w:tc>
        <w:tc>
          <w:tcPr>
            <w:tcW w:w="853"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rPr>
                <w:rFonts w:eastAsia="Times New Roman" w:cs="Verdana"/>
              </w:rPr>
              <w:t xml:space="preserve"> (10)</w:t>
            </w:r>
          </w:p>
        </w:tc>
        <w:tc>
          <w:tcPr>
            <w:tcW w:w="851"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rPr>
                <w:rFonts w:eastAsia="Times New Roman" w:cs="Verdana"/>
              </w:rPr>
              <w:t xml:space="preserve"> 0</w:t>
            </w:r>
          </w:p>
        </w:tc>
        <w:tc>
          <w:tcPr>
            <w:tcW w:w="848"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rPr>
                <w:rFonts w:eastAsia="Times New Roman" w:cs="Verdana"/>
              </w:rPr>
              <w:t xml:space="preserve"> 0</w:t>
            </w:r>
          </w:p>
        </w:tc>
        <w:tc>
          <w:tcPr>
            <w:tcW w:w="708"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rPr>
                <w:rFonts w:eastAsia="Times New Roman" w:cs="Verdana"/>
              </w:rPr>
              <w:t>(43 168)</w:t>
            </w:r>
          </w:p>
        </w:tc>
        <w:tc>
          <w:tcPr>
            <w:tcW w:w="711"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rPr>
                <w:rFonts w:eastAsia="Times New Roman" w:cs="Verdana"/>
              </w:rPr>
              <w:t xml:space="preserve"> (2)</w:t>
            </w:r>
          </w:p>
        </w:tc>
        <w:tc>
          <w:tcPr>
            <w:tcW w:w="854"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F50689" w:rsidRDefault="005A36C4" w:rsidP="006D12DB">
            <w:pPr>
              <w:pStyle w:val="Figures6pBoldRight01"/>
              <w:rPr>
                <w:rFonts w:eastAsia="Times New Roman" w:cs="Verdana"/>
              </w:rPr>
            </w:pPr>
            <w:r>
              <w:rPr>
                <w:rFonts w:eastAsia="Times New Roman" w:cs="Verdana"/>
              </w:rPr>
              <w:t>(43 1</w:t>
            </w:r>
            <w:r w:rsidR="006D12DB">
              <w:rPr>
                <w:rFonts w:eastAsia="Times New Roman" w:cs="Verdana"/>
              </w:rPr>
              <w:t>80</w:t>
            </w:r>
            <w:r>
              <w:rPr>
                <w:rFonts w:eastAsia="Times New Roman" w:cs="Verdana"/>
              </w:rPr>
              <w:t>)</w:t>
            </w:r>
          </w:p>
        </w:tc>
        <w:tc>
          <w:tcPr>
            <w:tcW w:w="285"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b w:val="0"/>
              </w:rPr>
            </w:pPr>
          </w:p>
        </w:tc>
        <w:tc>
          <w:tcPr>
            <w:tcW w:w="848"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rPr>
                <w:rFonts w:eastAsia="Times New Roman" w:cs="Verdana"/>
              </w:rPr>
              <w:t>–</w:t>
            </w:r>
          </w:p>
        </w:tc>
        <w:tc>
          <w:tcPr>
            <w:tcW w:w="848" w:type="dxa"/>
            <w:tcBorders>
              <w:top w:val="single" w:sz="4" w:space="0" w:color="3486A9"/>
              <w:left w:val="nil"/>
              <w:bottom w:val="nil"/>
              <w:right w:val="nil"/>
            </w:tcBorders>
            <w:shd w:val="clear" w:color="auto" w:fill="FFFFFF"/>
            <w:tcMar>
              <w:top w:w="0" w:type="dxa"/>
              <w:left w:w="0" w:type="dxa"/>
              <w:bottom w:w="0" w:type="dxa"/>
              <w:right w:w="0" w:type="dxa"/>
            </w:tcMar>
          </w:tcPr>
          <w:p w:rsidR="00F50689" w:rsidRDefault="005A36C4" w:rsidP="00F50689">
            <w:pPr>
              <w:pStyle w:val="Figures6pBoldRight01"/>
              <w:rPr>
                <w:rFonts w:eastAsia="Times New Roman" w:cs="Verdana"/>
              </w:rPr>
            </w:pPr>
            <w:r>
              <w:rPr>
                <w:rFonts w:eastAsia="Times New Roman" w:cs="Verdana"/>
              </w:rPr>
              <w:t xml:space="preserve"> (5)</w:t>
            </w:r>
          </w:p>
        </w:tc>
        <w:tc>
          <w:tcPr>
            <w:tcW w:w="851"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rPr>
                <w:rFonts w:eastAsia="Times New Roman" w:cs="Verdana"/>
              </w:rPr>
              <w:t>–</w:t>
            </w:r>
          </w:p>
        </w:tc>
        <w:tc>
          <w:tcPr>
            <w:tcW w:w="848"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rPr>
                <w:rFonts w:eastAsia="Times New Roman" w:cs="Verdana"/>
              </w:rPr>
              <w:t>–</w:t>
            </w:r>
          </w:p>
        </w:tc>
        <w:tc>
          <w:tcPr>
            <w:tcW w:w="854"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rPr>
                <w:rFonts w:eastAsia="Times New Roman" w:cs="Verdana"/>
              </w:rPr>
              <w:t>(36 156)</w:t>
            </w:r>
          </w:p>
        </w:tc>
        <w:tc>
          <w:tcPr>
            <w:tcW w:w="851"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rPr>
                <w:rFonts w:eastAsia="Times New Roman" w:cs="Verdana"/>
              </w:rPr>
              <w:t xml:space="preserve"> (52)</w:t>
            </w:r>
          </w:p>
        </w:tc>
        <w:tc>
          <w:tcPr>
            <w:tcW w:w="993"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rPr>
                <w:rFonts w:eastAsia="Times New Roman" w:cs="Verdana"/>
              </w:rPr>
              <w:t>(36 213)</w:t>
            </w:r>
          </w:p>
        </w:tc>
      </w:tr>
      <w:tr w:rsidR="00E7728E">
        <w:tc>
          <w:tcPr>
            <w:tcW w:w="2519"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Text7pBoldLeft"/>
              <w:rPr>
                <w:rFonts w:eastAsia="Times New Roman" w:cs="Verdana"/>
              </w:rPr>
            </w:pPr>
            <w:r>
              <w:rPr>
                <w:rFonts w:eastAsia="Times New Roman" w:cs="Verdana"/>
              </w:rPr>
              <w:t>Total</w:t>
            </w:r>
          </w:p>
        </w:tc>
        <w:tc>
          <w:tcPr>
            <w:tcW w:w="844"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6pBoldRight01"/>
              <w:rPr>
                <w:rFonts w:eastAsia="Times New Roman" w:cs="Verdana"/>
              </w:rPr>
            </w:pPr>
            <w:r>
              <w:rPr>
                <w:rFonts w:eastAsia="Times New Roman" w:cs="Verdana"/>
              </w:rPr>
              <w:t xml:space="preserve"> 116</w:t>
            </w:r>
          </w:p>
        </w:tc>
        <w:tc>
          <w:tcPr>
            <w:tcW w:w="853"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6pBoldRight01"/>
              <w:rPr>
                <w:rFonts w:eastAsia="Times New Roman" w:cs="Verdana"/>
              </w:rPr>
            </w:pPr>
            <w:r>
              <w:rPr>
                <w:rFonts w:eastAsia="Times New Roman" w:cs="Verdana"/>
              </w:rPr>
              <w:t>5 326</w:t>
            </w:r>
          </w:p>
        </w:tc>
        <w:tc>
          <w:tcPr>
            <w:tcW w:w="851"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6pBoldRight01"/>
              <w:rPr>
                <w:rFonts w:eastAsia="Times New Roman" w:cs="Verdana"/>
              </w:rPr>
            </w:pPr>
            <w:r>
              <w:rPr>
                <w:rFonts w:eastAsia="Times New Roman" w:cs="Verdana"/>
              </w:rPr>
              <w:t xml:space="preserve"> 528</w:t>
            </w:r>
          </w:p>
        </w:tc>
        <w:tc>
          <w:tcPr>
            <w:tcW w:w="848"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6pBoldRight01"/>
              <w:rPr>
                <w:rFonts w:eastAsia="Times New Roman" w:cs="Verdana"/>
              </w:rPr>
            </w:pPr>
            <w:r>
              <w:rPr>
                <w:rFonts w:eastAsia="Times New Roman" w:cs="Verdana"/>
              </w:rPr>
              <w:t>1 024</w:t>
            </w:r>
          </w:p>
        </w:tc>
        <w:tc>
          <w:tcPr>
            <w:tcW w:w="708"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6pBoldRight01"/>
              <w:rPr>
                <w:rFonts w:eastAsia="Times New Roman" w:cs="Verdana"/>
              </w:rPr>
            </w:pPr>
            <w:r>
              <w:rPr>
                <w:rFonts w:eastAsia="Times New Roman" w:cs="Verdana"/>
              </w:rPr>
              <w:t>(8 284)</w:t>
            </w:r>
          </w:p>
        </w:tc>
        <w:tc>
          <w:tcPr>
            <w:tcW w:w="711"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6pBoldRight01"/>
              <w:rPr>
                <w:rFonts w:eastAsia="Times New Roman" w:cs="Verdana"/>
              </w:rPr>
            </w:pPr>
            <w:r>
              <w:rPr>
                <w:rFonts w:eastAsia="Times New Roman" w:cs="Verdana"/>
              </w:rPr>
              <w:t xml:space="preserve"> 972</w:t>
            </w:r>
          </w:p>
        </w:tc>
        <w:tc>
          <w:tcPr>
            <w:tcW w:w="854"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6D12DB">
            <w:pPr>
              <w:pStyle w:val="Figures6pBoldRight01"/>
              <w:rPr>
                <w:rFonts w:eastAsia="Times New Roman" w:cs="Verdana"/>
              </w:rPr>
            </w:pPr>
            <w:r>
              <w:rPr>
                <w:rFonts w:eastAsia="Times New Roman" w:cs="Verdana"/>
              </w:rPr>
              <w:t xml:space="preserve"> (31</w:t>
            </w:r>
            <w:r w:rsidR="006D12DB">
              <w:rPr>
                <w:rFonts w:eastAsia="Times New Roman" w:cs="Verdana"/>
              </w:rPr>
              <w:t>8</w:t>
            </w:r>
            <w:r>
              <w:rPr>
                <w:rFonts w:eastAsia="Times New Roman" w:cs="Verdana"/>
              </w:rPr>
              <w:t>)</w:t>
            </w:r>
          </w:p>
        </w:tc>
        <w:tc>
          <w:tcPr>
            <w:tcW w:w="285" w:type="dxa"/>
            <w:tcBorders>
              <w:top w:val="nil"/>
              <w:left w:val="nil"/>
              <w:bottom w:val="nil"/>
              <w:right w:val="nil"/>
            </w:tcBorders>
            <w:shd w:val="clear" w:color="auto" w:fill="CCE1EA"/>
            <w:tcMar>
              <w:top w:w="0" w:type="dxa"/>
              <w:left w:w="0" w:type="dxa"/>
              <w:bottom w:w="0" w:type="dxa"/>
              <w:right w:w="0" w:type="dxa"/>
            </w:tcMar>
            <w:vAlign w:val="center"/>
          </w:tcPr>
          <w:p w:rsidR="00F50689" w:rsidRDefault="00F50689" w:rsidP="00F50689">
            <w:pPr>
              <w:pStyle w:val="Figures6pBoldRight01"/>
              <w:rPr>
                <w:rFonts w:eastAsia="Times New Roman" w:cs="Verdana"/>
                <w:b w:val="0"/>
              </w:rPr>
            </w:pPr>
          </w:p>
        </w:tc>
        <w:tc>
          <w:tcPr>
            <w:tcW w:w="848"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6pBoldRight01"/>
              <w:rPr>
                <w:rFonts w:eastAsia="Times New Roman" w:cs="Verdana"/>
              </w:rPr>
            </w:pPr>
            <w:r>
              <w:rPr>
                <w:rFonts w:eastAsia="Times New Roman" w:cs="Verdana"/>
              </w:rPr>
              <w:t xml:space="preserve"> 80</w:t>
            </w:r>
          </w:p>
        </w:tc>
        <w:tc>
          <w:tcPr>
            <w:tcW w:w="848"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6pBoldRight01"/>
              <w:rPr>
                <w:rFonts w:eastAsia="Times New Roman" w:cs="Verdana"/>
              </w:rPr>
            </w:pPr>
            <w:r>
              <w:rPr>
                <w:rFonts w:eastAsia="Times New Roman" w:cs="Verdana"/>
              </w:rPr>
              <w:t>1 251</w:t>
            </w:r>
          </w:p>
        </w:tc>
        <w:tc>
          <w:tcPr>
            <w:tcW w:w="851"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6pBoldRight01"/>
              <w:rPr>
                <w:rFonts w:eastAsia="Times New Roman" w:cs="Verdana"/>
              </w:rPr>
            </w:pPr>
            <w:r>
              <w:rPr>
                <w:rFonts w:eastAsia="Times New Roman" w:cs="Verdana"/>
              </w:rPr>
              <w:t xml:space="preserve"> 501</w:t>
            </w:r>
          </w:p>
        </w:tc>
        <w:tc>
          <w:tcPr>
            <w:tcW w:w="848"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6pBoldRight01"/>
              <w:rPr>
                <w:rFonts w:eastAsia="Times New Roman" w:cs="Verdana"/>
              </w:rPr>
            </w:pPr>
            <w:r>
              <w:rPr>
                <w:rFonts w:eastAsia="Times New Roman" w:cs="Verdana"/>
              </w:rPr>
              <w:t xml:space="preserve"> 355</w:t>
            </w:r>
          </w:p>
        </w:tc>
        <w:tc>
          <w:tcPr>
            <w:tcW w:w="854"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6pBoldRight01"/>
              <w:rPr>
                <w:rFonts w:eastAsia="Times New Roman" w:cs="Verdana"/>
              </w:rPr>
            </w:pPr>
            <w:r>
              <w:rPr>
                <w:rFonts w:eastAsia="Times New Roman" w:cs="Verdana"/>
              </w:rPr>
              <w:t>(7 638)</w:t>
            </w:r>
          </w:p>
        </w:tc>
        <w:tc>
          <w:tcPr>
            <w:tcW w:w="851"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6pBoldRight01"/>
              <w:rPr>
                <w:rFonts w:eastAsia="Times New Roman" w:cs="Verdana"/>
              </w:rPr>
            </w:pPr>
            <w:r>
              <w:rPr>
                <w:rFonts w:eastAsia="Times New Roman" w:cs="Verdana"/>
              </w:rPr>
              <w:t xml:space="preserve"> 583</w:t>
            </w:r>
          </w:p>
        </w:tc>
        <w:tc>
          <w:tcPr>
            <w:tcW w:w="993"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6pBoldRight01"/>
              <w:rPr>
                <w:rFonts w:eastAsia="Times New Roman" w:cs="Verdana"/>
              </w:rPr>
            </w:pPr>
            <w:r>
              <w:rPr>
                <w:rFonts w:eastAsia="Times New Roman" w:cs="Verdana"/>
              </w:rPr>
              <w:t>(4 868)</w:t>
            </w:r>
          </w:p>
        </w:tc>
      </w:tr>
    </w:tbl>
    <w:p w:rsidR="00F50689" w:rsidRPr="008A7D59" w:rsidRDefault="005A36C4" w:rsidP="008A7D59">
      <w:pPr>
        <w:pStyle w:val="Textstand-alone"/>
        <w:spacing w:before="60"/>
        <w:rPr>
          <w:i/>
          <w:sz w:val="14"/>
        </w:rPr>
      </w:pPr>
      <w:r w:rsidRPr="008A7D59">
        <w:rPr>
          <w:i/>
          <w:sz w:val="14"/>
        </w:rPr>
        <w:t>*</w:t>
      </w:r>
      <w:r w:rsidR="003A3A39" w:rsidRPr="008A7D59">
        <w:rPr>
          <w:i/>
          <w:sz w:val="14"/>
        </w:rPr>
        <w:t xml:space="preserve"> E</w:t>
      </w:r>
      <w:r w:rsidRPr="008A7D59">
        <w:rPr>
          <w:i/>
          <w:sz w:val="14"/>
        </w:rPr>
        <w:t>xcluding back-to-back loans</w:t>
      </w:r>
      <w:r w:rsidR="003A3A39" w:rsidRPr="008A7D59">
        <w:rPr>
          <w:i/>
          <w:sz w:val="14"/>
        </w:rPr>
        <w:t>.</w:t>
      </w:r>
    </w:p>
    <w:p w:rsidR="00F50689" w:rsidRDefault="00F50689">
      <w:pPr>
        <w:pStyle w:val="Textstand-alone"/>
      </w:pPr>
    </w:p>
    <w:p w:rsidR="00F50689" w:rsidRPr="00D5084A" w:rsidRDefault="005A36C4" w:rsidP="00F50689">
      <w:pPr>
        <w:pStyle w:val="Textstand-alone"/>
        <w:sectPr w:rsidR="00F50689" w:rsidRPr="00D5084A" w:rsidSect="00F50689">
          <w:headerReference w:type="even" r:id="rId377"/>
          <w:headerReference w:type="default" r:id="rId378"/>
          <w:footerReference w:type="even" r:id="rId379"/>
          <w:footerReference w:type="default" r:id="rId380"/>
          <w:headerReference w:type="first" r:id="rId381"/>
          <w:footerReference w:type="first" r:id="rId382"/>
          <w:pgSz w:w="16838" w:h="11906" w:orient="landscape"/>
          <w:pgMar w:top="1134" w:right="1134" w:bottom="1134" w:left="1134" w:header="708" w:footer="708" w:gutter="0"/>
          <w:cols w:space="708"/>
          <w:docGrid w:linePitch="360"/>
        </w:sectPr>
      </w:pPr>
      <w:r>
        <w:t xml:space="preserve"> </w:t>
      </w:r>
      <w:bookmarkEnd w:id="185"/>
    </w:p>
    <w:p w:rsidR="00F50689" w:rsidRDefault="005A36C4" w:rsidP="00F50689">
      <w:pPr>
        <w:pStyle w:val="Textstand-alone"/>
      </w:pPr>
      <w:bookmarkStart w:id="187" w:name="_DMBM_3527"/>
      <w:r>
        <w:t>If the EUR had strengthened against other currencies by 10 %, then it would have had the following impact: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1270"/>
        <w:gridCol w:w="1306"/>
        <w:gridCol w:w="1273"/>
        <w:gridCol w:w="1129"/>
        <w:gridCol w:w="1559"/>
      </w:tblGrid>
      <w:tr w:rsidR="00E7728E">
        <w:tc>
          <w:tcPr>
            <w:tcW w:w="321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lang w:bidi="en-GB"/>
              </w:rPr>
            </w:pPr>
            <w:bookmarkStart w:id="188" w:name="DOC_TBL00081_1_1"/>
            <w:bookmarkEnd w:id="188"/>
          </w:p>
        </w:tc>
        <w:tc>
          <w:tcPr>
            <w:tcW w:w="127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273"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129"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lang w:bidi="en-GB"/>
              </w:rPr>
            </w:pPr>
            <w:r>
              <w:rPr>
                <w:rFonts w:eastAsia="Verdana" w:cs="Verdana"/>
                <w:lang w:bidi="en-GB"/>
              </w:rPr>
              <w:t>EUR millions</w:t>
            </w:r>
          </w:p>
        </w:tc>
      </w:tr>
      <w:tr w:rsidR="00E7728E">
        <w:tc>
          <w:tcPr>
            <w:tcW w:w="321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lang w:bidi="en-GB"/>
              </w:rPr>
            </w:pPr>
          </w:p>
        </w:tc>
        <w:tc>
          <w:tcPr>
            <w:tcW w:w="6537" w:type="dxa"/>
            <w:gridSpan w:val="5"/>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eastAsia="Verdana" w:cs="Verdana"/>
                <w:lang w:bidi="en-GB"/>
              </w:rPr>
            </w:pPr>
            <w:r>
              <w:rPr>
                <w:rFonts w:eastAsia="Verdana" w:cs="Verdana"/>
                <w:lang w:bidi="en-GB"/>
              </w:rPr>
              <w:t>Economic result</w:t>
            </w:r>
          </w:p>
        </w:tc>
      </w:tr>
      <w:tr w:rsidR="00E7728E">
        <w:tc>
          <w:tcPr>
            <w:tcW w:w="321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lang w:bidi="en-GB"/>
              </w:rPr>
            </w:pPr>
          </w:p>
        </w:tc>
        <w:tc>
          <w:tcPr>
            <w:tcW w:w="127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lang w:bidi="en-GB"/>
              </w:rPr>
            </w:pPr>
            <w:r>
              <w:rPr>
                <w:rFonts w:eastAsia="Verdana" w:cs="Verdana"/>
                <w:lang w:bidi="en-GB"/>
              </w:rPr>
              <w:t>USD</w:t>
            </w:r>
          </w:p>
        </w:tc>
        <w:tc>
          <w:tcPr>
            <w:tcW w:w="130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lang w:bidi="en-GB"/>
              </w:rPr>
            </w:pPr>
            <w:r>
              <w:rPr>
                <w:rFonts w:eastAsia="Verdana" w:cs="Verdana"/>
                <w:lang w:bidi="en-GB"/>
              </w:rPr>
              <w:t>GBP</w:t>
            </w:r>
          </w:p>
        </w:tc>
        <w:tc>
          <w:tcPr>
            <w:tcW w:w="127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lang w:bidi="en-GB"/>
              </w:rPr>
            </w:pPr>
            <w:r>
              <w:rPr>
                <w:rFonts w:eastAsia="Verdana" w:cs="Verdana"/>
                <w:lang w:bidi="en-GB"/>
              </w:rPr>
              <w:t>DKK</w:t>
            </w:r>
          </w:p>
        </w:tc>
        <w:tc>
          <w:tcPr>
            <w:tcW w:w="112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lang w:bidi="en-GB"/>
              </w:rPr>
            </w:pPr>
            <w:r>
              <w:rPr>
                <w:rFonts w:eastAsia="Verdana" w:cs="Verdana"/>
                <w:lang w:bidi="en-GB"/>
              </w:rPr>
              <w:t>SEK</w:t>
            </w:r>
          </w:p>
        </w:tc>
        <w:tc>
          <w:tcPr>
            <w:tcW w:w="155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lang w:bidi="en-GB"/>
              </w:rPr>
            </w:pPr>
            <w:r>
              <w:rPr>
                <w:rFonts w:eastAsia="Verdana" w:cs="Verdana"/>
                <w:lang w:bidi="en-GB"/>
              </w:rPr>
              <w:t>Other</w:t>
            </w:r>
          </w:p>
        </w:tc>
      </w:tr>
      <w:tr w:rsidR="00E7728E">
        <w:tc>
          <w:tcPr>
            <w:tcW w:w="32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bidi="en-GB"/>
              </w:rPr>
            </w:pPr>
            <w:r>
              <w:rPr>
                <w:rFonts w:eastAsia="Verdana" w:cs="Verdana"/>
                <w:lang w:bidi="en-GB"/>
              </w:rPr>
              <w:t>31.12.2014</w:t>
            </w:r>
          </w:p>
        </w:tc>
        <w:tc>
          <w:tcPr>
            <w:tcW w:w="127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(4)</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(483)</w:t>
            </w:r>
          </w:p>
        </w:tc>
        <w:tc>
          <w:tcPr>
            <w:tcW w:w="12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(47)</w:t>
            </w:r>
          </w:p>
        </w:tc>
        <w:tc>
          <w:tcPr>
            <w:tcW w:w="112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(92)</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0</w:t>
            </w:r>
          </w:p>
        </w:tc>
      </w:tr>
      <w:tr w:rsidR="00E7728E">
        <w:tc>
          <w:tcPr>
            <w:tcW w:w="32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bidi="en-GB"/>
              </w:rPr>
            </w:pPr>
            <w:r>
              <w:rPr>
                <w:rFonts w:eastAsia="Verdana" w:cs="Verdana"/>
                <w:lang w:bidi="en-GB"/>
              </w:rPr>
              <w:t>31.12.2013</w:t>
            </w:r>
          </w:p>
        </w:tc>
        <w:tc>
          <w:tcPr>
            <w:tcW w:w="127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(3)</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(107)</w:t>
            </w:r>
          </w:p>
        </w:tc>
        <w:tc>
          <w:tcPr>
            <w:tcW w:w="12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(44)</w:t>
            </w:r>
          </w:p>
        </w:tc>
        <w:tc>
          <w:tcPr>
            <w:tcW w:w="112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(30)</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w:t>
            </w:r>
          </w:p>
        </w:tc>
      </w:tr>
    </w:tbl>
    <w:p w:rsidR="00F50689" w:rsidRDefault="00F50689" w:rsidP="00F50689">
      <w:pPr>
        <w:pStyle w:val="Textstand-alone"/>
        <w:rPr>
          <w:lang w:bidi="en-G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1270"/>
        <w:gridCol w:w="1306"/>
        <w:gridCol w:w="1273"/>
        <w:gridCol w:w="1129"/>
        <w:gridCol w:w="1559"/>
      </w:tblGrid>
      <w:tr w:rsidR="00E7728E">
        <w:tc>
          <w:tcPr>
            <w:tcW w:w="321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lang w:bidi="en-GB"/>
              </w:rPr>
            </w:pPr>
            <w:bookmarkStart w:id="189" w:name="DOC_TBL00082_1_1"/>
            <w:bookmarkEnd w:id="189"/>
          </w:p>
        </w:tc>
        <w:tc>
          <w:tcPr>
            <w:tcW w:w="127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273"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129"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lang w:bidi="en-GB"/>
              </w:rPr>
            </w:pPr>
            <w:r>
              <w:rPr>
                <w:rFonts w:eastAsia="Verdana" w:cs="Verdana"/>
                <w:lang w:bidi="en-GB"/>
              </w:rPr>
              <w:t>EUR millions</w:t>
            </w:r>
          </w:p>
        </w:tc>
      </w:tr>
      <w:tr w:rsidR="00E7728E">
        <w:tc>
          <w:tcPr>
            <w:tcW w:w="321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lang w:bidi="en-GB"/>
              </w:rPr>
            </w:pPr>
          </w:p>
        </w:tc>
        <w:tc>
          <w:tcPr>
            <w:tcW w:w="6537" w:type="dxa"/>
            <w:gridSpan w:val="5"/>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eastAsia="Verdana" w:cs="Verdana"/>
                <w:lang w:bidi="en-GB"/>
              </w:rPr>
            </w:pPr>
            <w:r>
              <w:rPr>
                <w:rFonts w:eastAsia="Verdana" w:cs="Verdana"/>
                <w:lang w:bidi="en-GB"/>
              </w:rPr>
              <w:t>Net assets</w:t>
            </w:r>
          </w:p>
        </w:tc>
      </w:tr>
      <w:tr w:rsidR="00E7728E">
        <w:tc>
          <w:tcPr>
            <w:tcW w:w="321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lang w:bidi="en-GB"/>
              </w:rPr>
            </w:pPr>
          </w:p>
        </w:tc>
        <w:tc>
          <w:tcPr>
            <w:tcW w:w="127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lang w:bidi="en-GB"/>
              </w:rPr>
            </w:pPr>
            <w:r>
              <w:rPr>
                <w:rFonts w:eastAsia="Verdana" w:cs="Verdana"/>
                <w:lang w:bidi="en-GB"/>
              </w:rPr>
              <w:t>USD</w:t>
            </w:r>
          </w:p>
        </w:tc>
        <w:tc>
          <w:tcPr>
            <w:tcW w:w="130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lang w:bidi="en-GB"/>
              </w:rPr>
            </w:pPr>
            <w:r>
              <w:rPr>
                <w:rFonts w:eastAsia="Verdana" w:cs="Verdana"/>
                <w:lang w:bidi="en-GB"/>
              </w:rPr>
              <w:t>GBP</w:t>
            </w:r>
          </w:p>
        </w:tc>
        <w:tc>
          <w:tcPr>
            <w:tcW w:w="127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lang w:bidi="en-GB"/>
              </w:rPr>
            </w:pPr>
            <w:r>
              <w:rPr>
                <w:rFonts w:eastAsia="Verdana" w:cs="Verdana"/>
                <w:lang w:bidi="en-GB"/>
              </w:rPr>
              <w:t>DKK</w:t>
            </w:r>
          </w:p>
        </w:tc>
        <w:tc>
          <w:tcPr>
            <w:tcW w:w="112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lang w:bidi="en-GB"/>
              </w:rPr>
            </w:pPr>
            <w:r>
              <w:rPr>
                <w:rFonts w:eastAsia="Verdana" w:cs="Verdana"/>
                <w:lang w:bidi="en-GB"/>
              </w:rPr>
              <w:t>SEK</w:t>
            </w:r>
          </w:p>
        </w:tc>
        <w:tc>
          <w:tcPr>
            <w:tcW w:w="155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lang w:bidi="en-GB"/>
              </w:rPr>
            </w:pPr>
            <w:r>
              <w:rPr>
                <w:rFonts w:eastAsia="Verdana" w:cs="Verdana"/>
                <w:lang w:bidi="en-GB"/>
              </w:rPr>
              <w:t>Other</w:t>
            </w:r>
          </w:p>
        </w:tc>
      </w:tr>
      <w:tr w:rsidR="00E7728E">
        <w:tc>
          <w:tcPr>
            <w:tcW w:w="32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bidi="en-GB"/>
              </w:rPr>
            </w:pPr>
            <w:r>
              <w:rPr>
                <w:rFonts w:eastAsia="Verdana" w:cs="Verdana"/>
                <w:lang w:bidi="en-GB"/>
              </w:rPr>
              <w:t>31.12.2014</w:t>
            </w:r>
          </w:p>
        </w:tc>
        <w:tc>
          <w:tcPr>
            <w:tcW w:w="127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(6)</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(7)</w:t>
            </w:r>
          </w:p>
        </w:tc>
        <w:tc>
          <w:tcPr>
            <w:tcW w:w="12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(1)</w:t>
            </w:r>
          </w:p>
        </w:tc>
        <w:tc>
          <w:tcPr>
            <w:tcW w:w="112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(1)</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w:t>
            </w:r>
          </w:p>
        </w:tc>
      </w:tr>
      <w:tr w:rsidR="00E7728E">
        <w:tc>
          <w:tcPr>
            <w:tcW w:w="32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bidi="en-GB"/>
              </w:rPr>
            </w:pPr>
            <w:r>
              <w:rPr>
                <w:rFonts w:eastAsia="Verdana" w:cs="Verdana"/>
                <w:lang w:bidi="en-GB"/>
              </w:rPr>
              <w:t>31.12.2013</w:t>
            </w:r>
          </w:p>
        </w:tc>
        <w:tc>
          <w:tcPr>
            <w:tcW w:w="127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(4)</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(6)</w:t>
            </w:r>
          </w:p>
        </w:tc>
        <w:tc>
          <w:tcPr>
            <w:tcW w:w="12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(1)</w:t>
            </w:r>
          </w:p>
        </w:tc>
        <w:tc>
          <w:tcPr>
            <w:tcW w:w="112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(2)</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w:t>
            </w:r>
          </w:p>
        </w:tc>
      </w:tr>
    </w:tbl>
    <w:p w:rsidR="00F50689" w:rsidRDefault="005A36C4" w:rsidP="00F50689">
      <w:pPr>
        <w:pStyle w:val="Textstand-alone"/>
      </w:pPr>
      <w:r>
        <w:t>If the EUR had weakened against these currencies by 10 % then it would have had the following impact: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1270"/>
        <w:gridCol w:w="1306"/>
        <w:gridCol w:w="1273"/>
        <w:gridCol w:w="1129"/>
        <w:gridCol w:w="1559"/>
      </w:tblGrid>
      <w:tr w:rsidR="00E7728E">
        <w:tc>
          <w:tcPr>
            <w:tcW w:w="321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lang w:bidi="en-GB"/>
              </w:rPr>
            </w:pPr>
            <w:bookmarkStart w:id="190" w:name="DOC_TBL00083_1_1"/>
            <w:bookmarkEnd w:id="190"/>
          </w:p>
        </w:tc>
        <w:tc>
          <w:tcPr>
            <w:tcW w:w="127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273"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129"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lang w:bidi="en-GB"/>
              </w:rPr>
            </w:pPr>
            <w:r>
              <w:rPr>
                <w:rFonts w:eastAsia="Verdana" w:cs="Verdana"/>
                <w:lang w:bidi="en-GB"/>
              </w:rPr>
              <w:t>EUR millions</w:t>
            </w:r>
          </w:p>
        </w:tc>
      </w:tr>
      <w:tr w:rsidR="00E7728E">
        <w:tc>
          <w:tcPr>
            <w:tcW w:w="321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lang w:bidi="en-GB"/>
              </w:rPr>
            </w:pPr>
          </w:p>
        </w:tc>
        <w:tc>
          <w:tcPr>
            <w:tcW w:w="6537" w:type="dxa"/>
            <w:gridSpan w:val="5"/>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eastAsia="Verdana" w:cs="Verdana"/>
                <w:lang w:bidi="en-GB"/>
              </w:rPr>
            </w:pPr>
            <w:r>
              <w:rPr>
                <w:rFonts w:eastAsia="Verdana" w:cs="Verdana"/>
                <w:lang w:bidi="en-GB"/>
              </w:rPr>
              <w:t>Economic result</w:t>
            </w:r>
          </w:p>
        </w:tc>
      </w:tr>
      <w:tr w:rsidR="00E7728E">
        <w:tc>
          <w:tcPr>
            <w:tcW w:w="321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lang w:bidi="en-GB"/>
              </w:rPr>
            </w:pPr>
          </w:p>
        </w:tc>
        <w:tc>
          <w:tcPr>
            <w:tcW w:w="127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lang w:bidi="en-GB"/>
              </w:rPr>
            </w:pPr>
            <w:r>
              <w:rPr>
                <w:rFonts w:eastAsia="Verdana" w:cs="Verdana"/>
                <w:lang w:bidi="en-GB"/>
              </w:rPr>
              <w:t>USD</w:t>
            </w:r>
          </w:p>
        </w:tc>
        <w:tc>
          <w:tcPr>
            <w:tcW w:w="130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lang w:bidi="en-GB"/>
              </w:rPr>
            </w:pPr>
            <w:r>
              <w:rPr>
                <w:rFonts w:eastAsia="Verdana" w:cs="Verdana"/>
                <w:lang w:bidi="en-GB"/>
              </w:rPr>
              <w:t>GBP</w:t>
            </w:r>
          </w:p>
        </w:tc>
        <w:tc>
          <w:tcPr>
            <w:tcW w:w="127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lang w:bidi="en-GB"/>
              </w:rPr>
            </w:pPr>
            <w:r>
              <w:rPr>
                <w:rFonts w:eastAsia="Verdana" w:cs="Verdana"/>
                <w:lang w:bidi="en-GB"/>
              </w:rPr>
              <w:t>DKK</w:t>
            </w:r>
          </w:p>
        </w:tc>
        <w:tc>
          <w:tcPr>
            <w:tcW w:w="112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lang w:bidi="en-GB"/>
              </w:rPr>
            </w:pPr>
            <w:r>
              <w:rPr>
                <w:rFonts w:eastAsia="Verdana" w:cs="Verdana"/>
                <w:lang w:bidi="en-GB"/>
              </w:rPr>
              <w:t>SEK</w:t>
            </w:r>
          </w:p>
        </w:tc>
        <w:tc>
          <w:tcPr>
            <w:tcW w:w="155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lang w:bidi="en-GB"/>
              </w:rPr>
            </w:pPr>
            <w:r>
              <w:rPr>
                <w:rFonts w:eastAsia="Verdana" w:cs="Verdana"/>
                <w:lang w:bidi="en-GB"/>
              </w:rPr>
              <w:t>Other</w:t>
            </w:r>
          </w:p>
        </w:tc>
      </w:tr>
      <w:tr w:rsidR="00E7728E">
        <w:tc>
          <w:tcPr>
            <w:tcW w:w="32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bidi="en-GB"/>
              </w:rPr>
            </w:pPr>
            <w:r>
              <w:rPr>
                <w:rFonts w:eastAsia="Verdana" w:cs="Verdana"/>
                <w:lang w:bidi="en-GB"/>
              </w:rPr>
              <w:t>31.12.2014</w:t>
            </w:r>
          </w:p>
        </w:tc>
        <w:tc>
          <w:tcPr>
            <w:tcW w:w="127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5</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591</w:t>
            </w:r>
          </w:p>
        </w:tc>
        <w:tc>
          <w:tcPr>
            <w:tcW w:w="12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58</w:t>
            </w:r>
          </w:p>
        </w:tc>
        <w:tc>
          <w:tcPr>
            <w:tcW w:w="112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113</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w:t>
            </w:r>
          </w:p>
        </w:tc>
      </w:tr>
      <w:tr w:rsidR="00E7728E">
        <w:tc>
          <w:tcPr>
            <w:tcW w:w="32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bidi="en-GB"/>
              </w:rPr>
            </w:pPr>
            <w:r>
              <w:rPr>
                <w:rFonts w:eastAsia="Verdana" w:cs="Verdana"/>
                <w:lang w:bidi="en-GB"/>
              </w:rPr>
              <w:t>31.12.2013</w:t>
            </w:r>
          </w:p>
        </w:tc>
        <w:tc>
          <w:tcPr>
            <w:tcW w:w="127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4</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131</w:t>
            </w:r>
          </w:p>
        </w:tc>
        <w:tc>
          <w:tcPr>
            <w:tcW w:w="12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53</w:t>
            </w:r>
          </w:p>
        </w:tc>
        <w:tc>
          <w:tcPr>
            <w:tcW w:w="112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38</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w:t>
            </w:r>
          </w:p>
        </w:tc>
      </w:tr>
    </w:tbl>
    <w:p w:rsidR="00F50689" w:rsidRDefault="00F50689" w:rsidP="00F50689">
      <w:pPr>
        <w:pStyle w:val="Textstand-alone"/>
        <w:rPr>
          <w:lang w:bidi="en-G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1270"/>
        <w:gridCol w:w="1306"/>
        <w:gridCol w:w="1273"/>
        <w:gridCol w:w="1129"/>
        <w:gridCol w:w="1559"/>
      </w:tblGrid>
      <w:tr w:rsidR="00E7728E">
        <w:tc>
          <w:tcPr>
            <w:tcW w:w="321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lang w:bidi="en-GB"/>
              </w:rPr>
            </w:pPr>
            <w:bookmarkStart w:id="191" w:name="DOC_TBL00084_1_1"/>
            <w:bookmarkEnd w:id="191"/>
          </w:p>
        </w:tc>
        <w:tc>
          <w:tcPr>
            <w:tcW w:w="127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273"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129"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lang w:bidi="en-GB"/>
              </w:rPr>
            </w:pPr>
            <w:r>
              <w:rPr>
                <w:rFonts w:eastAsia="Verdana" w:cs="Verdana"/>
                <w:lang w:bidi="en-GB"/>
              </w:rPr>
              <w:t>EUR millions</w:t>
            </w:r>
          </w:p>
        </w:tc>
      </w:tr>
      <w:tr w:rsidR="00E7728E">
        <w:tc>
          <w:tcPr>
            <w:tcW w:w="321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lang w:bidi="en-GB"/>
              </w:rPr>
            </w:pPr>
          </w:p>
        </w:tc>
        <w:tc>
          <w:tcPr>
            <w:tcW w:w="6537" w:type="dxa"/>
            <w:gridSpan w:val="5"/>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eastAsia="Verdana" w:cs="Verdana"/>
                <w:lang w:bidi="en-GB"/>
              </w:rPr>
            </w:pPr>
            <w:r>
              <w:rPr>
                <w:rFonts w:eastAsia="Verdana" w:cs="Verdana"/>
                <w:lang w:bidi="en-GB"/>
              </w:rPr>
              <w:t>Net assets</w:t>
            </w:r>
          </w:p>
        </w:tc>
      </w:tr>
      <w:tr w:rsidR="00E7728E">
        <w:tc>
          <w:tcPr>
            <w:tcW w:w="321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lang w:bidi="en-GB"/>
              </w:rPr>
            </w:pPr>
          </w:p>
        </w:tc>
        <w:tc>
          <w:tcPr>
            <w:tcW w:w="127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lang w:bidi="en-GB"/>
              </w:rPr>
            </w:pPr>
            <w:r>
              <w:rPr>
                <w:rFonts w:eastAsia="Verdana" w:cs="Verdana"/>
                <w:lang w:bidi="en-GB"/>
              </w:rPr>
              <w:t>USD</w:t>
            </w:r>
          </w:p>
        </w:tc>
        <w:tc>
          <w:tcPr>
            <w:tcW w:w="130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lang w:bidi="en-GB"/>
              </w:rPr>
            </w:pPr>
            <w:r>
              <w:rPr>
                <w:rFonts w:eastAsia="Verdana" w:cs="Verdana"/>
                <w:lang w:bidi="en-GB"/>
              </w:rPr>
              <w:t>GBP</w:t>
            </w:r>
          </w:p>
        </w:tc>
        <w:tc>
          <w:tcPr>
            <w:tcW w:w="127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lang w:bidi="en-GB"/>
              </w:rPr>
            </w:pPr>
            <w:r>
              <w:rPr>
                <w:rFonts w:eastAsia="Verdana" w:cs="Verdana"/>
                <w:lang w:bidi="en-GB"/>
              </w:rPr>
              <w:t>DKK</w:t>
            </w:r>
          </w:p>
        </w:tc>
        <w:tc>
          <w:tcPr>
            <w:tcW w:w="112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lang w:bidi="en-GB"/>
              </w:rPr>
            </w:pPr>
            <w:r>
              <w:rPr>
                <w:rFonts w:eastAsia="Verdana" w:cs="Verdana"/>
                <w:lang w:bidi="en-GB"/>
              </w:rPr>
              <w:t>SEK</w:t>
            </w:r>
          </w:p>
        </w:tc>
        <w:tc>
          <w:tcPr>
            <w:tcW w:w="155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lang w:bidi="en-GB"/>
              </w:rPr>
            </w:pPr>
            <w:r>
              <w:rPr>
                <w:rFonts w:eastAsia="Verdana" w:cs="Verdana"/>
                <w:lang w:bidi="en-GB"/>
              </w:rPr>
              <w:t>Other</w:t>
            </w:r>
          </w:p>
        </w:tc>
      </w:tr>
      <w:tr w:rsidR="00E7728E">
        <w:tc>
          <w:tcPr>
            <w:tcW w:w="32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bidi="en-GB"/>
              </w:rPr>
            </w:pPr>
            <w:r>
              <w:rPr>
                <w:rFonts w:eastAsia="Verdana" w:cs="Verdana"/>
                <w:lang w:bidi="en-GB"/>
              </w:rPr>
              <w:t>31.12.2014</w:t>
            </w:r>
          </w:p>
        </w:tc>
        <w:tc>
          <w:tcPr>
            <w:tcW w:w="127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8</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9</w:t>
            </w:r>
          </w:p>
        </w:tc>
        <w:tc>
          <w:tcPr>
            <w:tcW w:w="12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1</w:t>
            </w:r>
          </w:p>
        </w:tc>
        <w:tc>
          <w:tcPr>
            <w:tcW w:w="112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1</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w:t>
            </w:r>
          </w:p>
        </w:tc>
      </w:tr>
      <w:tr w:rsidR="00E7728E">
        <w:tc>
          <w:tcPr>
            <w:tcW w:w="32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bidi="en-GB"/>
              </w:rPr>
            </w:pPr>
            <w:r>
              <w:rPr>
                <w:rFonts w:eastAsia="Verdana" w:cs="Verdana"/>
                <w:lang w:bidi="en-GB"/>
              </w:rPr>
              <w:t>31.12.2013</w:t>
            </w:r>
          </w:p>
        </w:tc>
        <w:tc>
          <w:tcPr>
            <w:tcW w:w="127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4</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7</w:t>
            </w:r>
          </w:p>
        </w:tc>
        <w:tc>
          <w:tcPr>
            <w:tcW w:w="12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1</w:t>
            </w:r>
          </w:p>
        </w:tc>
        <w:tc>
          <w:tcPr>
            <w:tcW w:w="112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2</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w:t>
            </w:r>
          </w:p>
        </w:tc>
      </w:tr>
    </w:tbl>
    <w:p w:rsidR="00F50689" w:rsidRDefault="00F50689" w:rsidP="00F50689">
      <w:pPr>
        <w:pStyle w:val="HEADER5"/>
        <w:rPr>
          <w:lang w:bidi="en-GB"/>
        </w:rPr>
      </w:pPr>
    </w:p>
    <w:p w:rsidR="00F50689" w:rsidRDefault="005A36C4" w:rsidP="00F50689">
      <w:pPr>
        <w:pStyle w:val="HEADER5"/>
      </w:pPr>
      <w:r>
        <w:t>Borrowing and lending activities</w:t>
      </w:r>
    </w:p>
    <w:p w:rsidR="00F50689" w:rsidRDefault="005A36C4" w:rsidP="00F50689">
      <w:pPr>
        <w:pStyle w:val="Textstand-alone"/>
      </w:pPr>
      <w:r>
        <w:t xml:space="preserve">Most financial assets and liabilities are in EUR, so in these cases the EU has no foreign currency risk. However, the EU does give loans in USD through the financial instrument Euratom, which are financed by borrowings with an equivalent amount in USD (back-to-back operation). At the balance sheet date the EU has no foreign currency risk with regard to Euratom. </w:t>
      </w:r>
    </w:p>
    <w:p w:rsidR="00F50689" w:rsidRDefault="005A36C4" w:rsidP="00F50689">
      <w:pPr>
        <w:pStyle w:val="HEADER5"/>
      </w:pPr>
      <w:r>
        <w:t>Treasury</w:t>
      </w:r>
    </w:p>
    <w:p w:rsidR="00F50689" w:rsidRDefault="005A36C4" w:rsidP="00F50689">
      <w:pPr>
        <w:pStyle w:val="Textstand-alone"/>
      </w:pPr>
      <w:r>
        <w:t>Own resources paid by Member States in currencies other than EUR are kept on the own resources accounts, in accordance with the Own Resources Regulation. They are converted into EUR when they are needed to cover for the execution of payments. The procedures applied for the management of these funds are dictated by the above referenced regulation. In a limited number of cases, these funds are directly used for payments to be executed in the same currencies.</w:t>
      </w:r>
    </w:p>
    <w:p w:rsidR="00F50689" w:rsidRDefault="005A36C4" w:rsidP="00F50689">
      <w:pPr>
        <w:pStyle w:val="Textstand-alone"/>
      </w:pPr>
      <w:r>
        <w:t>A number of accounts in EU currencies other than EUR, and in USD and CHF, are held by the Commission with commercial banks, for the purpose of executing payments denominated in these same currencies. These accounts are replenished depending on the amount of payments to be executed, as a consequence their balances do not represent exposure to currency risk.</w:t>
      </w:r>
    </w:p>
    <w:p w:rsidR="00F50689" w:rsidRDefault="005A36C4" w:rsidP="00F50689">
      <w:pPr>
        <w:pStyle w:val="Textstand-alone"/>
      </w:pPr>
      <w:r>
        <w:t>When miscellaneous receipts (other than own resources) are received in currencies other than EUR, they are either transferred to Commission's accounts held in the same currencies, if they are needed to cover the execution of payments, or converted into EUR and transferred to accounts held in EUR. Imprest accounts held in currencies other than EUR are replenished depending on the estimated short term local payments needs in the same currencies. Balances on these accounts are kept within their respective ceilings.</w:t>
      </w:r>
    </w:p>
    <w:p w:rsidR="00E8741F" w:rsidRDefault="00E8741F">
      <w:pPr>
        <w:rPr>
          <w:rFonts w:ascii="Verdana" w:hAnsi="Verdana"/>
          <w:b/>
          <w:color w:val="016794"/>
          <w:sz w:val="18"/>
          <w:szCs w:val="18"/>
        </w:rPr>
      </w:pPr>
      <w:r>
        <w:br w:type="page"/>
      </w:r>
    </w:p>
    <w:p w:rsidR="00F50689" w:rsidRDefault="005A36C4" w:rsidP="00F50689">
      <w:pPr>
        <w:pStyle w:val="HEADER5"/>
      </w:pPr>
      <w:r>
        <w:t>Fines</w:t>
      </w:r>
    </w:p>
    <w:p w:rsidR="00F50689" w:rsidRPr="008D114F" w:rsidRDefault="005A36C4" w:rsidP="00F50689">
      <w:pPr>
        <w:pStyle w:val="Textstand-alone"/>
        <w:rPr>
          <w:i/>
        </w:rPr>
      </w:pPr>
      <w:r w:rsidRPr="008D114F">
        <w:rPr>
          <w:i/>
        </w:rPr>
        <w:t>Provisionally cashed fines (deposits and BUFI portfolio) and bank guarantees</w:t>
      </w:r>
    </w:p>
    <w:p w:rsidR="00F50689" w:rsidRDefault="005A36C4" w:rsidP="00F50689">
      <w:pPr>
        <w:pStyle w:val="Textstand-alone"/>
      </w:pPr>
      <w:r>
        <w:t>Since all fines are imposed and paid in EUR, there is no foreign currency risk.</w:t>
      </w:r>
    </w:p>
    <w:p w:rsidR="00F50689" w:rsidRDefault="005A36C4" w:rsidP="00F50689">
      <w:pPr>
        <w:pStyle w:val="HEADER5"/>
      </w:pPr>
      <w:r>
        <w:t>Guarantee Fund</w:t>
      </w:r>
    </w:p>
    <w:p w:rsidR="00F50689" w:rsidRDefault="005A36C4" w:rsidP="00F50689">
      <w:pPr>
        <w:pStyle w:val="Textstand-alone"/>
      </w:pPr>
      <w:r>
        <w:t>The financial assets of the Guarantee Fund are in EUR so there is no currency risk. The loans subrogated to the EU as result of calls on the Guarantee Fund following payment defaults by a loan beneficiary are carried out in their original currency and therefore expose the EU to currency risk. T</w:t>
      </w:r>
      <w:r w:rsidRPr="002D525A">
        <w:t xml:space="preserve">here are no activities to compensate foreign currency variations ("hedging" activities) </w:t>
      </w:r>
      <w:r>
        <w:t>due to uncertainty relating to the loans repayment timing.</w:t>
      </w:r>
    </w:p>
    <w:p w:rsidR="00F50689" w:rsidRDefault="005A36C4" w:rsidP="00F50689">
      <w:pPr>
        <w:pStyle w:val="Textstand-alone"/>
        <w:sectPr w:rsidR="00F50689" w:rsidSect="00F50689">
          <w:headerReference w:type="even" r:id="rId383"/>
          <w:headerReference w:type="default" r:id="rId384"/>
          <w:footerReference w:type="even" r:id="rId385"/>
          <w:footerReference w:type="default" r:id="rId386"/>
          <w:headerReference w:type="first" r:id="rId387"/>
          <w:footerReference w:type="first" r:id="rId388"/>
          <w:pgSz w:w="11906" w:h="16838"/>
          <w:pgMar w:top="1134" w:right="1134" w:bottom="1134" w:left="1134" w:header="709" w:footer="709" w:gutter="0"/>
          <w:cols w:space="708"/>
          <w:docGrid w:linePitch="360"/>
        </w:sectPr>
      </w:pPr>
      <w:r>
        <w:t xml:space="preserve"> </w:t>
      </w:r>
      <w:bookmarkEnd w:id="187"/>
    </w:p>
    <w:p w:rsidR="00F50689" w:rsidRDefault="005A36C4" w:rsidP="00F50689">
      <w:pPr>
        <w:pStyle w:val="HEADER2Part2"/>
      </w:pPr>
      <w:bookmarkStart w:id="192" w:name="_DMBM_2665"/>
      <w:r>
        <w:t>INTEREST RATE RISK</w:t>
      </w:r>
    </w:p>
    <w:p w:rsidR="00F50689" w:rsidRDefault="005A36C4" w:rsidP="00F50689">
      <w:pPr>
        <w:pStyle w:val="Textstand-alone"/>
      </w:pPr>
      <w:r>
        <w:t>The following table illustrates the interest rate sensitivity of available for sale financial assets assuming a possible change in interest rates of +/- 1 %.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D56E71" w:rsidRDefault="00F50689" w:rsidP="00F50689">
            <w:pPr>
              <w:pStyle w:val="Text8pItalicLeft"/>
              <w:rPr>
                <w:rFonts w:eastAsia="Verdana" w:cs="Verdana"/>
                <w:color w:val="FFFFFF"/>
                <w:lang w:bidi="en-GB"/>
              </w:rPr>
            </w:pPr>
            <w:bookmarkStart w:id="193" w:name="DOC_TBL00085_1_1"/>
            <w:bookmarkEnd w:id="193"/>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D56E71" w:rsidRDefault="00F50689" w:rsidP="00F50689">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D56E71" w:rsidRDefault="005A36C4" w:rsidP="00F50689">
            <w:pPr>
              <w:pStyle w:val="Text8pItalicRight025EUR"/>
              <w:rPr>
                <w:rFonts w:eastAsia="Verdana" w:cs="Verdana"/>
                <w:lang w:bidi="en-GB"/>
              </w:rPr>
            </w:pPr>
            <w:r w:rsidRPr="00D56E71">
              <w:rPr>
                <w:rFonts w:eastAsia="Verdana" w:cs="Verdana"/>
                <w:lang w:bidi="en-GB"/>
              </w:rPr>
              <w:t>EUR millions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Pr="00D56E71" w:rsidRDefault="00F50689" w:rsidP="00F50689">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Pr="00D56E71" w:rsidRDefault="005A36C4" w:rsidP="00F50689">
            <w:pPr>
              <w:pStyle w:val="Heading10pNormalRight025"/>
              <w:rPr>
                <w:rFonts w:eastAsia="Verdana" w:cs="Verdana"/>
                <w:lang w:bidi="en-GB"/>
              </w:rPr>
            </w:pPr>
            <w:r w:rsidRPr="00D56E71">
              <w:rPr>
                <w:rFonts w:eastAsia="Verdana" w:cs="Verdana"/>
                <w:lang w:bidi="en-GB"/>
              </w:rPr>
              <w:t>Increase (+) / decrease (-) in basis points</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Pr="00D56E71" w:rsidRDefault="005A36C4" w:rsidP="00F50689">
            <w:pPr>
              <w:pStyle w:val="Heading10pNormalRight025"/>
              <w:rPr>
                <w:rFonts w:eastAsia="Verdana" w:cs="Verdana"/>
                <w:lang w:bidi="en-GB"/>
              </w:rPr>
            </w:pPr>
            <w:r w:rsidRPr="00D56E71">
              <w:rPr>
                <w:rFonts w:eastAsia="Verdana" w:cs="Verdana"/>
                <w:lang w:bidi="en-GB"/>
              </w:rPr>
              <w:t>Effect on economic result and net assets</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D56E71" w:rsidRDefault="005A36C4" w:rsidP="00F50689">
            <w:pPr>
              <w:pStyle w:val="Text9pItalicLeft"/>
              <w:rPr>
                <w:rFonts w:eastAsia="Verdana" w:cs="Verdana"/>
                <w:lang w:bidi="en-GB"/>
              </w:rPr>
            </w:pPr>
            <w:r w:rsidRPr="00D56E71">
              <w:rPr>
                <w:rFonts w:eastAsia="Verdana" w:cs="Verdana"/>
                <w:lang w:bidi="en-GB"/>
              </w:rPr>
              <w:t>31.12.2014: Available for sale financial assets</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D56E71" w:rsidRDefault="005A36C4" w:rsidP="00F50689">
            <w:pPr>
              <w:pStyle w:val="Figures9pItalicRight025"/>
              <w:rPr>
                <w:rFonts w:eastAsia="Verdana" w:cs="Verdana"/>
                <w:lang w:bidi="en-GB"/>
              </w:rPr>
            </w:pPr>
            <w:r w:rsidRPr="00D56E71">
              <w:rPr>
                <w:rFonts w:eastAsia="Verdana" w:cs="Verdana"/>
                <w:lang w:bidi="en-GB"/>
              </w:rPr>
              <w:t>+</w:t>
            </w:r>
            <w:r w:rsidR="008A7D59">
              <w:rPr>
                <w:rFonts w:eastAsia="Verdana" w:cs="Verdana"/>
                <w:lang w:bidi="en-GB"/>
              </w:rPr>
              <w:t xml:space="preserve"> </w:t>
            </w:r>
            <w:r w:rsidRPr="00D56E71">
              <w:rPr>
                <w:rFonts w:eastAsia="Verdana" w:cs="Verdana"/>
                <w:lang w:bidi="en-GB"/>
              </w:rPr>
              <w:t>100</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D56E71" w:rsidRDefault="005A36C4" w:rsidP="00F50689">
            <w:pPr>
              <w:pStyle w:val="Figures9pItalicRight025"/>
              <w:rPr>
                <w:rFonts w:eastAsia="Verdana" w:cs="Verdana"/>
                <w:lang w:bidi="en-GB"/>
              </w:rPr>
            </w:pPr>
            <w:r w:rsidRPr="00D56E71">
              <w:rPr>
                <w:rFonts w:eastAsia="Verdana" w:cs="Verdana"/>
                <w:lang w:bidi="en-GB"/>
              </w:rPr>
              <w:t xml:space="preserve"> (138)</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D56E71" w:rsidRDefault="00F50689" w:rsidP="00F50689">
            <w:pPr>
              <w:pStyle w:val="Text9pItalicLeft"/>
              <w:rPr>
                <w:rFonts w:eastAsia="Verdana" w:cs="Verdana"/>
                <w:lang w:bidi="en-GB"/>
              </w:rPr>
            </w:pP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D56E71" w:rsidRDefault="005A36C4" w:rsidP="00F50689">
            <w:pPr>
              <w:pStyle w:val="Figures9pItalicRight025"/>
              <w:rPr>
                <w:rFonts w:eastAsia="Verdana" w:cs="Verdana"/>
                <w:lang w:bidi="en-GB"/>
              </w:rPr>
            </w:pPr>
            <w:r w:rsidRPr="00D56E71">
              <w:rPr>
                <w:rFonts w:eastAsia="Verdana" w:cs="Verdana"/>
                <w:lang w:bidi="en-GB"/>
              </w:rPr>
              <w:t>-</w:t>
            </w:r>
            <w:r w:rsidR="008A7D59">
              <w:rPr>
                <w:rFonts w:eastAsia="Verdana" w:cs="Verdana"/>
                <w:lang w:bidi="en-GB"/>
              </w:rPr>
              <w:t xml:space="preserve"> </w:t>
            </w:r>
            <w:r w:rsidRPr="00D56E71">
              <w:rPr>
                <w:rFonts w:eastAsia="Verdana" w:cs="Verdana"/>
                <w:lang w:bidi="en-GB"/>
              </w:rPr>
              <w:t>100</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D56E71" w:rsidRDefault="005A36C4" w:rsidP="00F50689">
            <w:pPr>
              <w:pStyle w:val="Figures9pItalicRight025"/>
              <w:rPr>
                <w:rFonts w:eastAsia="Verdana" w:cs="Verdana"/>
                <w:lang w:bidi="en-GB"/>
              </w:rPr>
            </w:pPr>
            <w:r w:rsidRPr="00D56E71">
              <w:rPr>
                <w:rFonts w:eastAsia="Verdana" w:cs="Verdana"/>
                <w:lang w:bidi="en-GB"/>
              </w:rPr>
              <w:t xml:space="preserve"> 149</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D56E71" w:rsidRDefault="005A36C4" w:rsidP="00F50689">
            <w:pPr>
              <w:pStyle w:val="Text9pItalicLeft"/>
              <w:rPr>
                <w:rFonts w:eastAsia="Verdana" w:cs="Verdana"/>
                <w:lang w:bidi="en-GB"/>
              </w:rPr>
            </w:pPr>
            <w:r w:rsidRPr="00D56E71">
              <w:rPr>
                <w:rFonts w:eastAsia="Verdana" w:cs="Verdana"/>
                <w:lang w:bidi="en-GB"/>
              </w:rPr>
              <w:t>31.12.2013: Available for sale financial assets</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D56E71" w:rsidRDefault="005A36C4" w:rsidP="00F50689">
            <w:pPr>
              <w:pStyle w:val="Figures9pItalicRight025"/>
              <w:rPr>
                <w:rFonts w:eastAsia="Verdana" w:cs="Verdana"/>
                <w:lang w:bidi="en-GB"/>
              </w:rPr>
            </w:pPr>
            <w:r w:rsidRPr="00D56E71">
              <w:rPr>
                <w:rFonts w:eastAsia="Verdana" w:cs="Verdana"/>
                <w:lang w:bidi="en-GB"/>
              </w:rPr>
              <w:t>+</w:t>
            </w:r>
            <w:r w:rsidR="008A7D59">
              <w:rPr>
                <w:rFonts w:eastAsia="Verdana" w:cs="Verdana"/>
                <w:lang w:bidi="en-GB"/>
              </w:rPr>
              <w:t xml:space="preserve"> </w:t>
            </w:r>
            <w:r w:rsidRPr="00D56E71">
              <w:rPr>
                <w:rFonts w:eastAsia="Verdana" w:cs="Verdana"/>
                <w:lang w:bidi="en-GB"/>
              </w:rPr>
              <w:t>100</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D56E71" w:rsidRDefault="005A36C4" w:rsidP="00F50689">
            <w:pPr>
              <w:pStyle w:val="Figures9pItalicRight025"/>
              <w:rPr>
                <w:rFonts w:eastAsia="Verdana" w:cs="Verdana"/>
                <w:lang w:bidi="en-GB"/>
              </w:rPr>
            </w:pPr>
            <w:r w:rsidRPr="00D56E71">
              <w:rPr>
                <w:rFonts w:eastAsia="Verdana" w:cs="Verdana"/>
                <w:lang w:bidi="en-GB"/>
              </w:rPr>
              <w:t xml:space="preserve"> (94)</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D56E71" w:rsidRDefault="00F50689" w:rsidP="00F50689">
            <w:pPr>
              <w:pStyle w:val="Text9pItalicLeft"/>
              <w:rPr>
                <w:rFonts w:eastAsia="Verdana" w:cs="Verdana"/>
                <w:lang w:bidi="en-GB"/>
              </w:rPr>
            </w:pP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D56E71" w:rsidRDefault="005A36C4" w:rsidP="00F50689">
            <w:pPr>
              <w:pStyle w:val="Figures9pItalicRight025"/>
              <w:rPr>
                <w:rFonts w:eastAsia="Verdana" w:cs="Verdana"/>
                <w:lang w:bidi="en-GB"/>
              </w:rPr>
            </w:pPr>
            <w:r w:rsidRPr="00D56E71">
              <w:rPr>
                <w:rFonts w:eastAsia="Verdana" w:cs="Verdana"/>
                <w:lang w:bidi="en-GB"/>
              </w:rPr>
              <w:t>-</w:t>
            </w:r>
            <w:r w:rsidR="008A7D59">
              <w:rPr>
                <w:rFonts w:eastAsia="Verdana" w:cs="Verdana"/>
                <w:lang w:bidi="en-GB"/>
              </w:rPr>
              <w:t xml:space="preserve"> </w:t>
            </w:r>
            <w:r w:rsidRPr="00D56E71">
              <w:rPr>
                <w:rFonts w:eastAsia="Verdana" w:cs="Verdana"/>
                <w:lang w:bidi="en-GB"/>
              </w:rPr>
              <w:t>100</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D56E71" w:rsidRDefault="005A36C4" w:rsidP="00F50689">
            <w:pPr>
              <w:pStyle w:val="Figures9pItalicRight025"/>
              <w:rPr>
                <w:rFonts w:eastAsia="Verdana" w:cs="Verdana"/>
                <w:lang w:bidi="en-GB"/>
              </w:rPr>
            </w:pPr>
            <w:r w:rsidRPr="00D56E71">
              <w:rPr>
                <w:rFonts w:eastAsia="Verdana" w:cs="Verdana"/>
                <w:lang w:bidi="en-GB"/>
              </w:rPr>
              <w:t xml:space="preserve"> 95</w:t>
            </w:r>
          </w:p>
        </w:tc>
      </w:tr>
    </w:tbl>
    <w:p w:rsidR="00F50689" w:rsidRDefault="005A36C4" w:rsidP="00F50689">
      <w:pPr>
        <w:pStyle w:val="Textstand-alone"/>
      </w:pPr>
      <w:r w:rsidRPr="00D56E71">
        <w:t>The sensitivity analysis only considers the impact on the price risk (fair value) of the available for sale financial assets. The impact on surplus or deficit for variable interest rate instruments has not been considered.</w:t>
      </w:r>
    </w:p>
    <w:p w:rsidR="00F50689" w:rsidRDefault="005A36C4" w:rsidP="00F50689">
      <w:pPr>
        <w:pStyle w:val="HEADER5"/>
      </w:pPr>
      <w:r>
        <w:t>Borrowing &amp; Lending activities</w:t>
      </w:r>
    </w:p>
    <w:p w:rsidR="00F50689" w:rsidRPr="00F83A0E" w:rsidRDefault="005A36C4" w:rsidP="00F50689">
      <w:pPr>
        <w:pStyle w:val="Textstand-alone"/>
        <w:rPr>
          <w:i/>
        </w:rPr>
      </w:pPr>
      <w:r w:rsidRPr="00F83A0E">
        <w:rPr>
          <w:i/>
        </w:rPr>
        <w:t>Borrowings and loans with variable interest rates</w:t>
      </w:r>
    </w:p>
    <w:p w:rsidR="00F50689" w:rsidRDefault="005A36C4" w:rsidP="00F50689">
      <w:pPr>
        <w:pStyle w:val="Textstand-alone"/>
      </w:pPr>
      <w:r>
        <w:t xml:space="preserve">Due to the nature of its borrowing and lending activities, the EU has significant interest-bearing assets and liabilities. MFA and Euratom borrowings issued at variable rates expose the EU to interest rate risk. However, the interest rate risks that arise from borrowings are offset by equivalent loans in terms and conditions (back-to-back). At the balance sheet date, the EU has loans (expressed in nominal amounts) with variable rates of EUR 484 million (2013: EUR 583 million), with a re-pricing taking place every 6 months. </w:t>
      </w:r>
    </w:p>
    <w:p w:rsidR="00F50689" w:rsidRPr="00F83A0E" w:rsidRDefault="005A36C4" w:rsidP="00F50689">
      <w:pPr>
        <w:pStyle w:val="Textstand-alone"/>
        <w:rPr>
          <w:i/>
        </w:rPr>
      </w:pPr>
      <w:r w:rsidRPr="00F83A0E">
        <w:rPr>
          <w:i/>
        </w:rPr>
        <w:t>Borrowings and loans with fixed interest rates</w:t>
      </w:r>
    </w:p>
    <w:p w:rsidR="00F50689" w:rsidRDefault="005A36C4" w:rsidP="00F50689">
      <w:pPr>
        <w:pStyle w:val="Textstand-alone"/>
      </w:pPr>
      <w:r>
        <w:t>The EU also has MFA and Euratom loans with fixed rates totalling EUR 1 692 million in 2014 (2013: EUR 367 </w:t>
      </w:r>
      <w:r w:rsidRPr="00451746">
        <w:t>million</w:t>
      </w:r>
      <w:r>
        <w:t xml:space="preserve">) and which have a final maturity date of less than one year (EUR 10 million), between one and five years (EUR 146 million) and more than five years (EUR 1 536 million). More significantly, the EU has 9 loans under the financial instrument BOP with fixed interest rates totalling EUR 8.4 billion in 2014 (2013: EUR 11.4 billion) </w:t>
      </w:r>
      <w:r w:rsidRPr="002172F1">
        <w:t>and which have a final maturity of less than one year (EUR</w:t>
      </w:r>
      <w:r>
        <w:t> 2.7 </w:t>
      </w:r>
      <w:r w:rsidRPr="002172F1">
        <w:t xml:space="preserve">billion), </w:t>
      </w:r>
      <w:r>
        <w:t xml:space="preserve">between one and </w:t>
      </w:r>
      <w:r w:rsidRPr="002172F1">
        <w:t>five years (EUR</w:t>
      </w:r>
      <w:r>
        <w:t> 5.5 </w:t>
      </w:r>
      <w:r w:rsidRPr="002172F1">
        <w:t>billion) and more than five years (EUR</w:t>
      </w:r>
      <w:r>
        <w:t> 0.2 </w:t>
      </w:r>
      <w:r w:rsidRPr="002172F1">
        <w:t>billion)</w:t>
      </w:r>
      <w:r>
        <w:t>. Under the financial instrument EFSM, the EU has 21 loans with fixed interest rates totalling EUR 46.8 billion in 2014 (2013: EUR 43.8 billion) which have a final maturity date of less than one year (EUR 5 million), between one and five years (EUR 9.2 billion) and more than five years (EUR 32.5 billion).</w:t>
      </w:r>
    </w:p>
    <w:p w:rsidR="00F50689" w:rsidRDefault="005A36C4" w:rsidP="00F50689">
      <w:pPr>
        <w:pStyle w:val="HEADER5"/>
      </w:pPr>
      <w:r>
        <w:t>Treasury</w:t>
      </w:r>
    </w:p>
    <w:p w:rsidR="00F50689" w:rsidRDefault="005A36C4" w:rsidP="00F50689">
      <w:pPr>
        <w:pStyle w:val="Textstand-alone"/>
      </w:pPr>
      <w:r>
        <w:t xml:space="preserve">The Commission's treasury does not borrow any money; as a consequence it is not exposed to interest rate risk. Interest is however calculated on balances held on the different banks accounts. The Commission has therefore put in place measures to ensure that interest earned on its bank accounts regularly reflects market interest rates, as well as their possible fluctuation. </w:t>
      </w:r>
    </w:p>
    <w:p w:rsidR="00F50689" w:rsidRDefault="005A36C4" w:rsidP="00F50689">
      <w:pPr>
        <w:pStyle w:val="Textstand-alone"/>
      </w:pPr>
      <w:r>
        <w:t xml:space="preserve">Accounts opened with Member States Treasuries for own resources receipts are non-interest bearing and free of charges. Accounts held with National Central Banks may be remunerated at the official rates applied by each institution. </w:t>
      </w:r>
    </w:p>
    <w:p w:rsidR="00F50689" w:rsidRDefault="005A36C4" w:rsidP="00F50689">
      <w:pPr>
        <w:pStyle w:val="Textstand-alone"/>
      </w:pPr>
      <w:r>
        <w:t>Overnight balances held on commercial bank accounts earn interest on a daily basis. This is based on variable market rates to which a contractual margin (positive or negative) is applied. For most of the accounts, the interest calculation is linked to the EONIA (Euro over night index average) and is adjusted to reflect any fluctuations of this rate. For some other accounts, the interest calculation is linked to the ECB marginal rate for its main refinancing operations. The rates applied are in general contractually floored at zero. As a result no risk exists that the Commission earns interest at rates lower than market rates.</w:t>
      </w:r>
    </w:p>
    <w:p w:rsidR="00F50689" w:rsidRDefault="005A36C4" w:rsidP="00F50689">
      <w:pPr>
        <w:pStyle w:val="HEADER5"/>
      </w:pPr>
      <w:r>
        <w:t>Fines</w:t>
      </w:r>
    </w:p>
    <w:p w:rsidR="00F50689" w:rsidRPr="00F83A0E" w:rsidRDefault="005A36C4" w:rsidP="00F50689">
      <w:pPr>
        <w:pStyle w:val="Textstand-alone"/>
        <w:rPr>
          <w:i/>
        </w:rPr>
      </w:pPr>
      <w:r w:rsidRPr="00F83A0E">
        <w:rPr>
          <w:i/>
        </w:rPr>
        <w:t>Provisionally cashed fines (deposits, BUFI portfolio) and bank guarantees</w:t>
      </w:r>
    </w:p>
    <w:p w:rsidR="00F50689" w:rsidRPr="0028152A" w:rsidRDefault="005A36C4" w:rsidP="00F50689">
      <w:pPr>
        <w:pStyle w:val="Textstand-alone"/>
      </w:pPr>
      <w:r>
        <w:t>Deposit</w:t>
      </w:r>
      <w:r w:rsidRPr="0028152A">
        <w:t>s and bank guarantees are not exposed to interest rate risks. Interest earned by deposits reflect market interest rates as well as their possible fluctuation. There are no bonds with variable interest rates in the BUFI portfolio. The interest rate sensitivity parameter, the duration of the portfolio, follows very closely the duration of the BUFI index. Therefore any negative effects on the asset valuation would be matched on the side of the BUFI liability. There remains only a remote exposure to the interest rate risk in case such negative effects during the fine's maturity period would result in an overall negative index performance.</w:t>
      </w:r>
    </w:p>
    <w:p w:rsidR="00F50689" w:rsidRDefault="005A36C4" w:rsidP="00F50689">
      <w:pPr>
        <w:pStyle w:val="HEADER5"/>
      </w:pPr>
      <w:r>
        <w:t>Guarantee Fund</w:t>
      </w:r>
    </w:p>
    <w:p w:rsidR="00F50689" w:rsidRDefault="005A36C4" w:rsidP="00F50689">
      <w:pPr>
        <w:pStyle w:val="Textstand-alone"/>
      </w:pPr>
      <w:r>
        <w:t>Debt securities within the Guarantee Fund issued at variable interest rates are subject to the volatility effects of these rates, whereas debt securities at fixed rates have a risk with regard to their fair value. Fixed rate bonds represent approximately 65 % of the investment portfolio at the balance sheet date (2013: 58 %).</w:t>
      </w:r>
    </w:p>
    <w:p w:rsidR="00F50689" w:rsidRDefault="005A36C4" w:rsidP="00F50689">
      <w:pPr>
        <w:pStyle w:val="Textstand-alone"/>
        <w:sectPr w:rsidR="00F50689" w:rsidSect="00F50689">
          <w:headerReference w:type="even" r:id="rId389"/>
          <w:headerReference w:type="default" r:id="rId390"/>
          <w:footerReference w:type="even" r:id="rId391"/>
          <w:footerReference w:type="default" r:id="rId392"/>
          <w:headerReference w:type="first" r:id="rId393"/>
          <w:footerReference w:type="first" r:id="rId394"/>
          <w:type w:val="continuous"/>
          <w:pgSz w:w="11906" w:h="16838"/>
          <w:pgMar w:top="1134" w:right="1134" w:bottom="1134" w:left="1134" w:header="709" w:footer="709" w:gutter="0"/>
          <w:cols w:space="708"/>
          <w:docGrid w:linePitch="360"/>
        </w:sectPr>
      </w:pPr>
      <w:r>
        <w:t xml:space="preserve"> </w:t>
      </w:r>
      <w:bookmarkEnd w:id="192"/>
    </w:p>
    <w:p w:rsidR="00F50689" w:rsidRDefault="005A36C4" w:rsidP="00F50689">
      <w:pPr>
        <w:pStyle w:val="HEADER2Part2"/>
      </w:pPr>
      <w:bookmarkStart w:id="194" w:name="_DMBM_2666"/>
      <w:r>
        <w:t>CREDIT RISK</w:t>
      </w:r>
    </w:p>
    <w:p w:rsidR="00F50689" w:rsidRDefault="005A36C4" w:rsidP="00F50689">
      <w:pPr>
        <w:pStyle w:val="Textstand-alone"/>
      </w:pPr>
      <w:r>
        <w:t xml:space="preserve">The amounts that represent the EU's exposure to credit risk at the end of the reporting period are the carrying amounts of the financial instruments as disclosed in note </w:t>
      </w:r>
      <w:r w:rsidRPr="0073685D">
        <w:rPr>
          <w:b/>
        </w:rPr>
        <w:t>2</w:t>
      </w:r>
      <w:r>
        <w:t>.</w:t>
      </w:r>
    </w:p>
    <w:p w:rsidR="00F50689" w:rsidRDefault="005A36C4" w:rsidP="00F50689">
      <w:pPr>
        <w:pStyle w:val="HEADER5"/>
      </w:pPr>
      <w:r>
        <w:t>Financial assets that are neither past due nor impaired</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1417"/>
        <w:gridCol w:w="1267"/>
        <w:gridCol w:w="1267"/>
        <w:gridCol w:w="1273"/>
        <w:gridCol w:w="1261"/>
      </w:tblGrid>
      <w:tr w:rsidR="00E7728E">
        <w:tc>
          <w:tcPr>
            <w:tcW w:w="3369"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95" w:name="DOC_TBL00086_1_1"/>
            <w:bookmarkEnd w:id="195"/>
          </w:p>
        </w:tc>
        <w:tc>
          <w:tcPr>
            <w:tcW w:w="1417"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3807" w:type="dxa"/>
            <w:gridSpan w:val="3"/>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261"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rPr>
                <w:rFonts w:cs="Verdana"/>
              </w:rPr>
              <w:t>EUR millions</w:t>
            </w:r>
          </w:p>
        </w:tc>
      </w:tr>
      <w:tr w:rsidR="00E7728E">
        <w:tc>
          <w:tcPr>
            <w:tcW w:w="3369" w:type="dxa"/>
            <w:tcBorders>
              <w:top w:val="nil"/>
              <w:left w:val="nil"/>
              <w:bottom w:val="nil"/>
              <w:right w:val="nil"/>
            </w:tcBorders>
            <w:shd w:val="clear" w:color="auto" w:fill="016794"/>
            <w:tcMar>
              <w:top w:w="0" w:type="dxa"/>
              <w:left w:w="0" w:type="dxa"/>
              <w:bottom w:w="0" w:type="dxa"/>
              <w:right w:w="0" w:type="dxa"/>
            </w:tcMar>
            <w:vAlign w:val="center"/>
          </w:tcPr>
          <w:p w:rsidR="00F50689" w:rsidRDefault="00F50689" w:rsidP="00F50689">
            <w:pPr>
              <w:pStyle w:val="Heading9pNormalCentered"/>
              <w:rPr>
                <w:rFonts w:cs="Verdana"/>
              </w:rPr>
            </w:pPr>
          </w:p>
        </w:tc>
        <w:tc>
          <w:tcPr>
            <w:tcW w:w="1417"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9pNormalCentered"/>
              <w:rPr>
                <w:rFonts w:cs="Verdana"/>
              </w:rPr>
            </w:pPr>
            <w:r>
              <w:rPr>
                <w:rFonts w:cs="Verdana"/>
              </w:rPr>
              <w:t>Total</w:t>
            </w:r>
          </w:p>
        </w:tc>
        <w:tc>
          <w:tcPr>
            <w:tcW w:w="1267"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9pNormalCentered"/>
              <w:rPr>
                <w:rFonts w:cs="Verdana"/>
              </w:rPr>
            </w:pPr>
            <w:r>
              <w:rPr>
                <w:rFonts w:cs="Verdana"/>
              </w:rPr>
              <w:t>Neither past due nor impaired</w:t>
            </w:r>
          </w:p>
        </w:tc>
        <w:tc>
          <w:tcPr>
            <w:tcW w:w="3801" w:type="dxa"/>
            <w:gridSpan w:val="3"/>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9pNormalCentered"/>
              <w:rPr>
                <w:rFonts w:cs="Verdana"/>
              </w:rPr>
            </w:pPr>
            <w:r>
              <w:rPr>
                <w:rFonts w:cs="Verdana"/>
              </w:rPr>
              <w:t>Past due but not impaired</w:t>
            </w:r>
          </w:p>
        </w:tc>
      </w:tr>
      <w:tr w:rsidR="00E7728E">
        <w:tc>
          <w:tcPr>
            <w:tcW w:w="3369" w:type="dxa"/>
            <w:tcBorders>
              <w:top w:val="nil"/>
              <w:left w:val="nil"/>
              <w:bottom w:val="nil"/>
              <w:right w:val="nil"/>
            </w:tcBorders>
            <w:shd w:val="clear" w:color="auto" w:fill="016794"/>
            <w:tcMar>
              <w:top w:w="0" w:type="dxa"/>
              <w:left w:w="0" w:type="dxa"/>
              <w:bottom w:w="0" w:type="dxa"/>
              <w:right w:w="0" w:type="dxa"/>
            </w:tcMar>
            <w:vAlign w:val="center"/>
          </w:tcPr>
          <w:p w:rsidR="00F50689" w:rsidRDefault="00F50689" w:rsidP="00F50689">
            <w:pPr>
              <w:pStyle w:val="Heading9pNormalCentered"/>
              <w:rPr>
                <w:rFonts w:cs="Verdana"/>
              </w:rPr>
            </w:pPr>
          </w:p>
        </w:tc>
        <w:tc>
          <w:tcPr>
            <w:tcW w:w="1417" w:type="dxa"/>
            <w:tcBorders>
              <w:top w:val="nil"/>
              <w:left w:val="nil"/>
              <w:bottom w:val="nil"/>
              <w:right w:val="nil"/>
            </w:tcBorders>
            <w:shd w:val="clear" w:color="auto" w:fill="016794"/>
            <w:tcMar>
              <w:top w:w="0" w:type="dxa"/>
              <w:left w:w="0" w:type="dxa"/>
              <w:bottom w:w="0" w:type="dxa"/>
              <w:right w:w="0" w:type="dxa"/>
            </w:tcMar>
            <w:vAlign w:val="center"/>
          </w:tcPr>
          <w:p w:rsidR="00F50689" w:rsidRDefault="00F50689" w:rsidP="00F50689">
            <w:pPr>
              <w:pStyle w:val="Heading9pNormalCentered"/>
              <w:rPr>
                <w:rFonts w:cs="Verdana"/>
              </w:rPr>
            </w:pPr>
          </w:p>
        </w:tc>
        <w:tc>
          <w:tcPr>
            <w:tcW w:w="1267" w:type="dxa"/>
            <w:tcBorders>
              <w:top w:val="nil"/>
              <w:left w:val="nil"/>
              <w:bottom w:val="nil"/>
              <w:right w:val="nil"/>
            </w:tcBorders>
            <w:shd w:val="clear" w:color="auto" w:fill="016794"/>
            <w:tcMar>
              <w:top w:w="0" w:type="dxa"/>
              <w:left w:w="0" w:type="dxa"/>
              <w:bottom w:w="0" w:type="dxa"/>
              <w:right w:w="0" w:type="dxa"/>
            </w:tcMar>
            <w:vAlign w:val="center"/>
          </w:tcPr>
          <w:p w:rsidR="00F50689" w:rsidRDefault="00F50689" w:rsidP="00F50689">
            <w:pPr>
              <w:pStyle w:val="Heading9pNormalCentered"/>
              <w:rPr>
                <w:rFonts w:cs="Verdana"/>
              </w:rPr>
            </w:pPr>
          </w:p>
        </w:tc>
        <w:tc>
          <w:tcPr>
            <w:tcW w:w="1267"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9pNormalCentered"/>
              <w:rPr>
                <w:rFonts w:cs="Verdana"/>
              </w:rPr>
            </w:pPr>
            <w:r>
              <w:rPr>
                <w:rFonts w:cs="Verdana"/>
              </w:rPr>
              <w:t>&lt; 1 year</w:t>
            </w:r>
          </w:p>
        </w:tc>
        <w:tc>
          <w:tcPr>
            <w:tcW w:w="1273"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9pNormalCentered"/>
              <w:rPr>
                <w:rFonts w:cs="Verdana"/>
              </w:rPr>
            </w:pPr>
            <w:r>
              <w:rPr>
                <w:rFonts w:cs="Verdana"/>
              </w:rPr>
              <w:t>1-5 years</w:t>
            </w:r>
          </w:p>
        </w:tc>
        <w:tc>
          <w:tcPr>
            <w:tcW w:w="1261"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9pNormalCentered"/>
              <w:rPr>
                <w:rFonts w:cs="Verdana"/>
              </w:rPr>
            </w:pPr>
            <w:r>
              <w:rPr>
                <w:rFonts w:cs="Verdana"/>
              </w:rPr>
              <w:t>&gt; 5 years</w:t>
            </w:r>
          </w:p>
        </w:tc>
      </w:tr>
      <w:tr w:rsidR="00E7728E">
        <w:tc>
          <w:tcPr>
            <w:tcW w:w="336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Loans</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58 843</w:t>
            </w:r>
          </w:p>
        </w:tc>
        <w:tc>
          <w:tcPr>
            <w:tcW w:w="126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58 843</w:t>
            </w:r>
          </w:p>
        </w:tc>
        <w:tc>
          <w:tcPr>
            <w:tcW w:w="126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27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26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r>
      <w:tr w:rsidR="00E7728E">
        <w:tc>
          <w:tcPr>
            <w:tcW w:w="336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Receivables and recoverables</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15 578</w:t>
            </w:r>
          </w:p>
        </w:tc>
        <w:tc>
          <w:tcPr>
            <w:tcW w:w="126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7 968</w:t>
            </w:r>
          </w:p>
        </w:tc>
        <w:tc>
          <w:tcPr>
            <w:tcW w:w="126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5 624</w:t>
            </w:r>
          </w:p>
        </w:tc>
        <w:tc>
          <w:tcPr>
            <w:tcW w:w="127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1 847</w:t>
            </w:r>
          </w:p>
        </w:tc>
        <w:tc>
          <w:tcPr>
            <w:tcW w:w="126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138</w:t>
            </w:r>
          </w:p>
        </w:tc>
      </w:tr>
      <w:tr w:rsidR="00E7728E">
        <w:tc>
          <w:tcPr>
            <w:tcW w:w="3369"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Text9pBoldLeft"/>
              <w:rPr>
                <w:rFonts w:cs="Verdana"/>
              </w:rPr>
            </w:pPr>
            <w:r>
              <w:rPr>
                <w:rFonts w:cs="Verdana"/>
              </w:rPr>
              <w:t>Total at 31.12.2014</w:t>
            </w:r>
          </w:p>
        </w:tc>
        <w:tc>
          <w:tcPr>
            <w:tcW w:w="1417"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rPr>
                <w:rFonts w:cs="Verdana"/>
              </w:rPr>
              <w:t>74 421</w:t>
            </w:r>
          </w:p>
        </w:tc>
        <w:tc>
          <w:tcPr>
            <w:tcW w:w="1267"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rPr>
                <w:rFonts w:cs="Verdana"/>
              </w:rPr>
              <w:t>66 811</w:t>
            </w:r>
          </w:p>
        </w:tc>
        <w:tc>
          <w:tcPr>
            <w:tcW w:w="1267"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rPr>
                <w:rFonts w:cs="Verdana"/>
              </w:rPr>
              <w:t>5 624</w:t>
            </w:r>
          </w:p>
        </w:tc>
        <w:tc>
          <w:tcPr>
            <w:tcW w:w="1273"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rPr>
                <w:rFonts w:cs="Verdana"/>
              </w:rPr>
              <w:t>1 847</w:t>
            </w:r>
          </w:p>
        </w:tc>
        <w:tc>
          <w:tcPr>
            <w:tcW w:w="1261"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rPr>
                <w:rFonts w:cs="Verdana"/>
              </w:rPr>
              <w:t xml:space="preserve"> 138</w:t>
            </w:r>
          </w:p>
        </w:tc>
      </w:tr>
      <w:tr w:rsidR="00E7728E">
        <w:tc>
          <w:tcPr>
            <w:tcW w:w="336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Loans</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57 544</w:t>
            </w:r>
          </w:p>
        </w:tc>
        <w:tc>
          <w:tcPr>
            <w:tcW w:w="126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57 542</w:t>
            </w:r>
          </w:p>
        </w:tc>
        <w:tc>
          <w:tcPr>
            <w:tcW w:w="126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w:t>
            </w:r>
          </w:p>
        </w:tc>
        <w:tc>
          <w:tcPr>
            <w:tcW w:w="127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w:t>
            </w:r>
          </w:p>
        </w:tc>
        <w:tc>
          <w:tcPr>
            <w:tcW w:w="126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r>
      <w:tr w:rsidR="00E7728E">
        <w:tc>
          <w:tcPr>
            <w:tcW w:w="336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Receivables and recoverables</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13 680</w:t>
            </w:r>
          </w:p>
        </w:tc>
        <w:tc>
          <w:tcPr>
            <w:tcW w:w="126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10 029</w:t>
            </w:r>
          </w:p>
        </w:tc>
        <w:tc>
          <w:tcPr>
            <w:tcW w:w="126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1 091</w:t>
            </w:r>
          </w:p>
        </w:tc>
        <w:tc>
          <w:tcPr>
            <w:tcW w:w="127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2 117</w:t>
            </w:r>
          </w:p>
        </w:tc>
        <w:tc>
          <w:tcPr>
            <w:tcW w:w="126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443</w:t>
            </w:r>
          </w:p>
        </w:tc>
      </w:tr>
      <w:tr w:rsidR="00E7728E">
        <w:tc>
          <w:tcPr>
            <w:tcW w:w="3369"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Text9pBoldLeft"/>
              <w:rPr>
                <w:rFonts w:cs="Verdana"/>
              </w:rPr>
            </w:pPr>
            <w:r>
              <w:rPr>
                <w:rFonts w:cs="Verdana"/>
              </w:rPr>
              <w:t>Total at 31.12.2013</w:t>
            </w:r>
          </w:p>
        </w:tc>
        <w:tc>
          <w:tcPr>
            <w:tcW w:w="1417"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rPr>
                <w:rFonts w:cs="Verdana"/>
              </w:rPr>
              <w:t>71 224</w:t>
            </w:r>
          </w:p>
        </w:tc>
        <w:tc>
          <w:tcPr>
            <w:tcW w:w="1267"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rPr>
                <w:rFonts w:cs="Verdana"/>
              </w:rPr>
              <w:t>67 571</w:t>
            </w:r>
          </w:p>
        </w:tc>
        <w:tc>
          <w:tcPr>
            <w:tcW w:w="1267"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rPr>
                <w:rFonts w:cs="Verdana"/>
              </w:rPr>
              <w:t>1 092</w:t>
            </w:r>
          </w:p>
        </w:tc>
        <w:tc>
          <w:tcPr>
            <w:tcW w:w="1273"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rPr>
                <w:rFonts w:cs="Verdana"/>
              </w:rPr>
              <w:t>2 118</w:t>
            </w:r>
          </w:p>
        </w:tc>
        <w:tc>
          <w:tcPr>
            <w:tcW w:w="1261"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rPr>
                <w:rFonts w:cs="Verdana"/>
              </w:rPr>
              <w:t xml:space="preserve"> 443</w:t>
            </w:r>
          </w:p>
        </w:tc>
      </w:tr>
    </w:tbl>
    <w:p w:rsidR="00F50689" w:rsidRDefault="00F50689" w:rsidP="00F50689">
      <w:pPr>
        <w:pStyle w:val="HEADER5"/>
        <w:rPr>
          <w:lang w:bidi="en-GB"/>
        </w:rPr>
      </w:pPr>
    </w:p>
    <w:p w:rsidR="00E8741F" w:rsidRDefault="00E8741F">
      <w:pPr>
        <w:rPr>
          <w:rFonts w:ascii="Verdana" w:hAnsi="Verdana"/>
          <w:b/>
          <w:color w:val="016794"/>
          <w:sz w:val="18"/>
          <w:szCs w:val="18"/>
        </w:rPr>
      </w:pPr>
      <w:r>
        <w:br w:type="page"/>
      </w:r>
    </w:p>
    <w:p w:rsidR="00F50689" w:rsidRDefault="005A36C4" w:rsidP="00F50689">
      <w:pPr>
        <w:pStyle w:val="HEADER5"/>
      </w:pPr>
      <w:r>
        <w:t>Credit quality of financial assets that are neither past due nor impaired</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900"/>
        <w:gridCol w:w="1013"/>
        <w:gridCol w:w="850"/>
        <w:gridCol w:w="837"/>
        <w:gridCol w:w="900"/>
        <w:gridCol w:w="1098"/>
        <w:gridCol w:w="851"/>
        <w:gridCol w:w="851"/>
      </w:tblGrid>
      <w:tr w:rsidR="00E7728E">
        <w:tc>
          <w:tcPr>
            <w:tcW w:w="2448"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96" w:name="DOC_TBL00087_1_1"/>
            <w:bookmarkEnd w:id="196"/>
          </w:p>
        </w:tc>
        <w:tc>
          <w:tcPr>
            <w:tcW w:w="900"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013"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850"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837"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00"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09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702" w:type="dxa"/>
            <w:gridSpan w:val="2"/>
            <w:tcBorders>
              <w:top w:val="nil"/>
              <w:left w:val="nil"/>
              <w:bottom w:val="nil"/>
              <w:right w:val="nil"/>
            </w:tcBorders>
            <w:tcMar>
              <w:top w:w="0" w:type="dxa"/>
              <w:left w:w="0" w:type="dxa"/>
              <w:bottom w:w="0" w:type="dxa"/>
              <w:right w:w="0" w:type="dxa"/>
            </w:tcMar>
          </w:tcPr>
          <w:p w:rsidR="00F50689" w:rsidRDefault="005A36C4" w:rsidP="00F50689">
            <w:pPr>
              <w:pStyle w:val="Text7pItalicRight025"/>
              <w:rPr>
                <w:rFonts w:cs="Verdana"/>
              </w:rPr>
            </w:pPr>
            <w:r>
              <w:rPr>
                <w:rFonts w:cs="Verdana"/>
              </w:rPr>
              <w:t>EUR millions</w:t>
            </w:r>
          </w:p>
        </w:tc>
      </w:tr>
      <w:tr w:rsidR="00E7728E">
        <w:tc>
          <w:tcPr>
            <w:tcW w:w="2448"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Right01"/>
              <w:rPr>
                <w:rFonts w:cs="Verdana"/>
              </w:rPr>
            </w:pPr>
          </w:p>
        </w:tc>
        <w:tc>
          <w:tcPr>
            <w:tcW w:w="3600" w:type="dxa"/>
            <w:gridSpan w:val="4"/>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Times New Roman" w:cs="Verdana"/>
              </w:rPr>
            </w:pPr>
            <w:r>
              <w:rPr>
                <w:rFonts w:eastAsia="Times New Roman" w:cs="Verdana"/>
              </w:rPr>
              <w:t>31.12.2014</w:t>
            </w:r>
          </w:p>
        </w:tc>
        <w:tc>
          <w:tcPr>
            <w:tcW w:w="3700" w:type="dxa"/>
            <w:gridSpan w:val="4"/>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Times New Roman" w:cs="Verdana"/>
              </w:rPr>
            </w:pPr>
            <w:r>
              <w:rPr>
                <w:rFonts w:eastAsia="Times New Roman" w:cs="Verdana"/>
              </w:rPr>
              <w:t>31.12.2013</w:t>
            </w:r>
          </w:p>
        </w:tc>
      </w:tr>
      <w:tr w:rsidR="00E7728E">
        <w:tc>
          <w:tcPr>
            <w:tcW w:w="2448"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Right01"/>
              <w:rPr>
                <w:rFonts w:cs="Verdana"/>
              </w:rPr>
            </w:pPr>
          </w:p>
        </w:tc>
        <w:tc>
          <w:tcPr>
            <w:tcW w:w="90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25"/>
              <w:rPr>
                <w:rFonts w:cs="Verdana"/>
              </w:rPr>
            </w:pPr>
            <w:r>
              <w:rPr>
                <w:rFonts w:cs="Verdana"/>
              </w:rPr>
              <w:t>Available for sale</w:t>
            </w:r>
          </w:p>
        </w:tc>
        <w:tc>
          <w:tcPr>
            <w:tcW w:w="101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25"/>
              <w:rPr>
                <w:rFonts w:cs="Verdana"/>
              </w:rPr>
            </w:pPr>
            <w:r>
              <w:rPr>
                <w:rFonts w:cs="Verdana"/>
              </w:rPr>
              <w:t>Loans &amp; Receivables</w:t>
            </w:r>
          </w:p>
        </w:tc>
        <w:tc>
          <w:tcPr>
            <w:tcW w:w="85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25"/>
              <w:rPr>
                <w:rFonts w:cs="Verdana"/>
              </w:rPr>
            </w:pPr>
            <w:r>
              <w:rPr>
                <w:rFonts w:cs="Verdana"/>
              </w:rPr>
              <w:t>Cash</w:t>
            </w:r>
          </w:p>
        </w:tc>
        <w:tc>
          <w:tcPr>
            <w:tcW w:w="83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25"/>
              <w:rPr>
                <w:rFonts w:cs="Verdana"/>
              </w:rPr>
            </w:pPr>
            <w:r>
              <w:rPr>
                <w:rFonts w:cs="Verdana"/>
              </w:rPr>
              <w:t>Total</w:t>
            </w:r>
          </w:p>
        </w:tc>
        <w:tc>
          <w:tcPr>
            <w:tcW w:w="90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25"/>
              <w:rPr>
                <w:rFonts w:cs="Verdana"/>
              </w:rPr>
            </w:pPr>
            <w:r>
              <w:rPr>
                <w:rFonts w:cs="Verdana"/>
              </w:rPr>
              <w:t>Available for sale</w:t>
            </w:r>
          </w:p>
        </w:tc>
        <w:tc>
          <w:tcPr>
            <w:tcW w:w="109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25"/>
              <w:rPr>
                <w:rFonts w:cs="Verdana"/>
              </w:rPr>
            </w:pPr>
            <w:r>
              <w:rPr>
                <w:rFonts w:cs="Verdana"/>
              </w:rPr>
              <w:t>Loans &amp; Receivables</w:t>
            </w: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25"/>
              <w:rPr>
                <w:rFonts w:cs="Verdana"/>
              </w:rPr>
            </w:pPr>
            <w:r>
              <w:rPr>
                <w:rFonts w:cs="Verdana"/>
              </w:rPr>
              <w:t>Cash</w:t>
            </w: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25"/>
              <w:rPr>
                <w:rFonts w:cs="Verdana"/>
              </w:rPr>
            </w:pPr>
            <w:r>
              <w:rPr>
                <w:rFonts w:cs="Verdana"/>
              </w:rPr>
              <w:t>Total</w:t>
            </w:r>
          </w:p>
        </w:tc>
      </w:tr>
      <w:tr w:rsidR="00E7728E">
        <w:tc>
          <w:tcPr>
            <w:tcW w:w="2448" w:type="dxa"/>
            <w:tcBorders>
              <w:top w:val="nil"/>
              <w:left w:val="nil"/>
              <w:bottom w:val="nil"/>
              <w:right w:val="nil"/>
            </w:tcBorders>
            <w:tcMar>
              <w:top w:w="0" w:type="dxa"/>
              <w:left w:w="0" w:type="dxa"/>
              <w:bottom w:w="0" w:type="dxa"/>
              <w:right w:w="0" w:type="dxa"/>
            </w:tcMar>
          </w:tcPr>
          <w:p w:rsidR="00F50689" w:rsidRDefault="005A36C4" w:rsidP="00F50689">
            <w:pPr>
              <w:pStyle w:val="Text7pBoldLeft"/>
              <w:rPr>
                <w:rFonts w:eastAsia="Times New Roman" w:cs="Verdana"/>
              </w:rPr>
            </w:pPr>
            <w:r>
              <w:rPr>
                <w:rFonts w:eastAsia="Times New Roman" w:cs="Verdana"/>
              </w:rPr>
              <w:t>Counterparties with external credit rating</w:t>
            </w:r>
          </w:p>
        </w:tc>
        <w:tc>
          <w:tcPr>
            <w:tcW w:w="900"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1013"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850"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837"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00"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1098"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r>
      <w:tr w:rsidR="00E7728E">
        <w:tc>
          <w:tcPr>
            <w:tcW w:w="2448"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rPr>
                <w:rFonts w:eastAsia="Times New Roman" w:cs="Verdana"/>
              </w:rPr>
              <w:t>Prime and high grade</w:t>
            </w:r>
          </w:p>
        </w:tc>
        <w:tc>
          <w:tcPr>
            <w:tcW w:w="90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7 511</w:t>
            </w:r>
          </w:p>
        </w:tc>
        <w:tc>
          <w:tcPr>
            <w:tcW w:w="101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2 951</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13 947</w:t>
            </w:r>
          </w:p>
        </w:tc>
        <w:tc>
          <w:tcPr>
            <w:tcW w:w="837"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24 409</w:t>
            </w:r>
          </w:p>
        </w:tc>
        <w:tc>
          <w:tcPr>
            <w:tcW w:w="90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6 226</w:t>
            </w:r>
          </w:p>
        </w:tc>
        <w:tc>
          <w:tcPr>
            <w:tcW w:w="1098"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4 779</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7 121</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18 126</w:t>
            </w:r>
          </w:p>
        </w:tc>
      </w:tr>
      <w:tr w:rsidR="00E7728E">
        <w:tc>
          <w:tcPr>
            <w:tcW w:w="2448"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rPr>
                <w:rFonts w:eastAsia="Times New Roman" w:cs="Verdana"/>
              </w:rPr>
              <w:t>Upper medium grade</w:t>
            </w:r>
          </w:p>
        </w:tc>
        <w:tc>
          <w:tcPr>
            <w:tcW w:w="90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 xml:space="preserve"> 359</w:t>
            </w:r>
          </w:p>
        </w:tc>
        <w:tc>
          <w:tcPr>
            <w:tcW w:w="101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25 045</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2 932</w:t>
            </w:r>
          </w:p>
        </w:tc>
        <w:tc>
          <w:tcPr>
            <w:tcW w:w="837"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28 335</w:t>
            </w:r>
          </w:p>
        </w:tc>
        <w:tc>
          <w:tcPr>
            <w:tcW w:w="90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 xml:space="preserve"> 138</w:t>
            </w:r>
          </w:p>
        </w:tc>
        <w:tc>
          <w:tcPr>
            <w:tcW w:w="1098"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 xml:space="preserve"> 209</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1 760</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2 107</w:t>
            </w:r>
          </w:p>
        </w:tc>
      </w:tr>
      <w:tr w:rsidR="00E7728E">
        <w:tc>
          <w:tcPr>
            <w:tcW w:w="2448"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rPr>
                <w:rFonts w:eastAsia="Times New Roman" w:cs="Verdana"/>
              </w:rPr>
              <w:t>Lower medium grade</w:t>
            </w:r>
          </w:p>
        </w:tc>
        <w:tc>
          <w:tcPr>
            <w:tcW w:w="90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 xml:space="preserve"> 347</w:t>
            </w:r>
          </w:p>
        </w:tc>
        <w:tc>
          <w:tcPr>
            <w:tcW w:w="101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6 001</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 xml:space="preserve"> 301</w:t>
            </w:r>
          </w:p>
        </w:tc>
        <w:tc>
          <w:tcPr>
            <w:tcW w:w="837"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6 649</w:t>
            </w:r>
          </w:p>
        </w:tc>
        <w:tc>
          <w:tcPr>
            <w:tcW w:w="90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 xml:space="preserve"> 322</w:t>
            </w:r>
          </w:p>
        </w:tc>
        <w:tc>
          <w:tcPr>
            <w:tcW w:w="1098"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31 889</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 xml:space="preserve"> 284</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32 495</w:t>
            </w:r>
          </w:p>
        </w:tc>
      </w:tr>
      <w:tr w:rsidR="00E7728E">
        <w:tc>
          <w:tcPr>
            <w:tcW w:w="244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7pItalicLeft"/>
              <w:rPr>
                <w:rFonts w:eastAsia="Times New Roman" w:cs="Verdana"/>
              </w:rPr>
            </w:pPr>
            <w:r>
              <w:rPr>
                <w:rFonts w:eastAsia="Times New Roman" w:cs="Verdana"/>
              </w:rPr>
              <w:t>Non-investment grade</w:t>
            </w:r>
          </w:p>
        </w:tc>
        <w:tc>
          <w:tcPr>
            <w:tcW w:w="900"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 xml:space="preserve"> 42</w:t>
            </w:r>
          </w:p>
        </w:tc>
        <w:tc>
          <w:tcPr>
            <w:tcW w:w="1013"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28 191</w:t>
            </w:r>
          </w:p>
        </w:tc>
        <w:tc>
          <w:tcPr>
            <w:tcW w:w="850"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 xml:space="preserve"> 317</w:t>
            </w:r>
          </w:p>
        </w:tc>
        <w:tc>
          <w:tcPr>
            <w:tcW w:w="837"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28 550</w:t>
            </w:r>
          </w:p>
        </w:tc>
        <w:tc>
          <w:tcPr>
            <w:tcW w:w="900"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 xml:space="preserve"> 57</w:t>
            </w:r>
          </w:p>
        </w:tc>
        <w:tc>
          <w:tcPr>
            <w:tcW w:w="109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26 786</w:t>
            </w:r>
          </w:p>
        </w:tc>
        <w:tc>
          <w:tcPr>
            <w:tcW w:w="85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 xml:space="preserve"> 256</w:t>
            </w:r>
          </w:p>
        </w:tc>
        <w:tc>
          <w:tcPr>
            <w:tcW w:w="85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27 099</w:t>
            </w:r>
          </w:p>
        </w:tc>
      </w:tr>
      <w:tr w:rsidR="00E7728E">
        <w:tc>
          <w:tcPr>
            <w:tcW w:w="2448" w:type="dxa"/>
            <w:tcBorders>
              <w:top w:val="single" w:sz="4" w:space="0" w:color="016794"/>
              <w:left w:val="nil"/>
              <w:bottom w:val="single" w:sz="4" w:space="0" w:color="016794"/>
              <w:right w:val="nil"/>
            </w:tcBorders>
            <w:tcMar>
              <w:top w:w="0" w:type="dxa"/>
              <w:left w:w="0" w:type="dxa"/>
              <w:bottom w:w="0" w:type="dxa"/>
              <w:right w:w="0" w:type="dxa"/>
            </w:tcMar>
          </w:tcPr>
          <w:p w:rsidR="00F50689" w:rsidRPr="001C635F" w:rsidRDefault="005A36C4" w:rsidP="00F50689">
            <w:pPr>
              <w:pStyle w:val="Text7pNormalLeft"/>
              <w:ind w:left="0"/>
              <w:rPr>
                <w:rFonts w:eastAsia="Times New Roman" w:cs="Verdana"/>
                <w:i/>
              </w:rPr>
            </w:pPr>
            <w:r w:rsidRPr="001C635F">
              <w:rPr>
                <w:rFonts w:eastAsia="Times New Roman" w:cs="Verdana"/>
                <w:i/>
              </w:rPr>
              <w:t>Total</w:t>
            </w:r>
          </w:p>
        </w:tc>
        <w:tc>
          <w:tcPr>
            <w:tcW w:w="900"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8 259</w:t>
            </w:r>
          </w:p>
        </w:tc>
        <w:tc>
          <w:tcPr>
            <w:tcW w:w="1013"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62 188</w:t>
            </w:r>
          </w:p>
        </w:tc>
        <w:tc>
          <w:tcPr>
            <w:tcW w:w="850"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17 497</w:t>
            </w:r>
          </w:p>
        </w:tc>
        <w:tc>
          <w:tcPr>
            <w:tcW w:w="837"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87 944</w:t>
            </w:r>
          </w:p>
        </w:tc>
        <w:tc>
          <w:tcPr>
            <w:tcW w:w="900"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6 743</w:t>
            </w:r>
          </w:p>
        </w:tc>
        <w:tc>
          <w:tcPr>
            <w:tcW w:w="1098"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63 663</w:t>
            </w:r>
          </w:p>
        </w:tc>
        <w:tc>
          <w:tcPr>
            <w:tcW w:w="85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9 421</w:t>
            </w:r>
          </w:p>
        </w:tc>
        <w:tc>
          <w:tcPr>
            <w:tcW w:w="85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79 827</w:t>
            </w:r>
          </w:p>
        </w:tc>
      </w:tr>
      <w:tr w:rsidR="00E7728E">
        <w:tc>
          <w:tcPr>
            <w:tcW w:w="2448"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7pBoldLeft"/>
              <w:rPr>
                <w:rFonts w:eastAsia="Times New Roman" w:cs="Verdana"/>
              </w:rPr>
            </w:pPr>
            <w:r>
              <w:rPr>
                <w:rFonts w:eastAsia="Times New Roman" w:cs="Verdana"/>
              </w:rPr>
              <w:t>Counterparties without external credit rating</w:t>
            </w:r>
          </w:p>
        </w:tc>
        <w:tc>
          <w:tcPr>
            <w:tcW w:w="900"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1013"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850"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837"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00"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1098"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851"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851"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r>
      <w:tr w:rsidR="00E7728E">
        <w:tc>
          <w:tcPr>
            <w:tcW w:w="2448"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rPr>
                <w:rFonts w:eastAsia="Times New Roman" w:cs="Verdana"/>
              </w:rPr>
              <w:t>Group 1</w:t>
            </w:r>
          </w:p>
        </w:tc>
        <w:tc>
          <w:tcPr>
            <w:tcW w:w="90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101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4 488</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 xml:space="preserve"> 48</w:t>
            </w:r>
          </w:p>
        </w:tc>
        <w:tc>
          <w:tcPr>
            <w:tcW w:w="837"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4 537</w:t>
            </w:r>
          </w:p>
        </w:tc>
        <w:tc>
          <w:tcPr>
            <w:tcW w:w="90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1098"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3 771</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 xml:space="preserve"> 89</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3 860</w:t>
            </w:r>
          </w:p>
        </w:tc>
      </w:tr>
      <w:tr w:rsidR="00E7728E">
        <w:tc>
          <w:tcPr>
            <w:tcW w:w="244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7pItalicLeft"/>
              <w:rPr>
                <w:rFonts w:eastAsia="Times New Roman" w:cs="Verdana"/>
              </w:rPr>
            </w:pPr>
            <w:r>
              <w:rPr>
                <w:rFonts w:eastAsia="Times New Roman" w:cs="Verdana"/>
              </w:rPr>
              <w:t>Group 2</w:t>
            </w:r>
          </w:p>
        </w:tc>
        <w:tc>
          <w:tcPr>
            <w:tcW w:w="900"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1013"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 xml:space="preserve"> 136</w:t>
            </w:r>
          </w:p>
        </w:tc>
        <w:tc>
          <w:tcPr>
            <w:tcW w:w="850"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837"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 xml:space="preserve"> 136</w:t>
            </w:r>
          </w:p>
        </w:tc>
        <w:tc>
          <w:tcPr>
            <w:tcW w:w="900"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109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 xml:space="preserve"> 137</w:t>
            </w:r>
          </w:p>
        </w:tc>
        <w:tc>
          <w:tcPr>
            <w:tcW w:w="85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w:t>
            </w:r>
          </w:p>
        </w:tc>
        <w:tc>
          <w:tcPr>
            <w:tcW w:w="85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rPr>
                <w:rFonts w:eastAsia="Times New Roman" w:cs="Verdana"/>
              </w:rPr>
              <w:t xml:space="preserve"> 137</w:t>
            </w:r>
          </w:p>
        </w:tc>
      </w:tr>
      <w:tr w:rsidR="00E7728E">
        <w:tc>
          <w:tcPr>
            <w:tcW w:w="2448" w:type="dxa"/>
            <w:tcBorders>
              <w:top w:val="single" w:sz="4" w:space="0" w:color="016794"/>
              <w:left w:val="nil"/>
              <w:bottom w:val="nil"/>
              <w:right w:val="nil"/>
            </w:tcBorders>
            <w:tcMar>
              <w:top w:w="0" w:type="dxa"/>
              <w:left w:w="0" w:type="dxa"/>
              <w:bottom w:w="0" w:type="dxa"/>
              <w:right w:w="0" w:type="dxa"/>
            </w:tcMar>
          </w:tcPr>
          <w:p w:rsidR="00F50689" w:rsidRPr="001C635F" w:rsidRDefault="005A36C4" w:rsidP="00F50689">
            <w:pPr>
              <w:pStyle w:val="Text7pNormalLeft"/>
              <w:ind w:left="0"/>
              <w:rPr>
                <w:rFonts w:eastAsia="Times New Roman" w:cs="Verdana"/>
                <w:i/>
              </w:rPr>
            </w:pPr>
            <w:r w:rsidRPr="001C635F">
              <w:rPr>
                <w:rFonts w:eastAsia="Times New Roman" w:cs="Verdana"/>
                <w:i/>
              </w:rPr>
              <w:t>Total</w:t>
            </w:r>
          </w:p>
        </w:tc>
        <w:tc>
          <w:tcPr>
            <w:tcW w:w="900"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w:t>
            </w:r>
          </w:p>
        </w:tc>
        <w:tc>
          <w:tcPr>
            <w:tcW w:w="1013"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4 624</w:t>
            </w:r>
          </w:p>
        </w:tc>
        <w:tc>
          <w:tcPr>
            <w:tcW w:w="850"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 xml:space="preserve"> 48</w:t>
            </w:r>
          </w:p>
        </w:tc>
        <w:tc>
          <w:tcPr>
            <w:tcW w:w="837"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4 673</w:t>
            </w:r>
          </w:p>
        </w:tc>
        <w:tc>
          <w:tcPr>
            <w:tcW w:w="900"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w:t>
            </w:r>
          </w:p>
        </w:tc>
        <w:tc>
          <w:tcPr>
            <w:tcW w:w="1098"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3 908</w:t>
            </w:r>
          </w:p>
        </w:tc>
        <w:tc>
          <w:tcPr>
            <w:tcW w:w="851"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 xml:space="preserve"> 89</w:t>
            </w:r>
          </w:p>
        </w:tc>
        <w:tc>
          <w:tcPr>
            <w:tcW w:w="851"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3 997</w:t>
            </w:r>
          </w:p>
        </w:tc>
      </w:tr>
      <w:tr w:rsidR="00E7728E">
        <w:tc>
          <w:tcPr>
            <w:tcW w:w="244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7pBoldLeft"/>
              <w:rPr>
                <w:rFonts w:eastAsia="Times New Roman" w:cs="Verdana"/>
              </w:rPr>
            </w:pPr>
            <w:r>
              <w:rPr>
                <w:rFonts w:eastAsia="Times New Roman" w:cs="Verdana"/>
              </w:rPr>
              <w:t>Total</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8 259</w:t>
            </w:r>
          </w:p>
        </w:tc>
        <w:tc>
          <w:tcPr>
            <w:tcW w:w="101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66 812</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17 545</w:t>
            </w:r>
          </w:p>
        </w:tc>
        <w:tc>
          <w:tcPr>
            <w:tcW w:w="8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92 616</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6 743</w:t>
            </w:r>
          </w:p>
        </w:tc>
        <w:tc>
          <w:tcPr>
            <w:tcW w:w="109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67 571</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9 510</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rPr>
                <w:rFonts w:eastAsia="Times New Roman" w:cs="Verdana"/>
              </w:rPr>
              <w:t>83 824</w:t>
            </w:r>
          </w:p>
        </w:tc>
      </w:tr>
    </w:tbl>
    <w:p w:rsidR="00F50689" w:rsidRDefault="005A36C4" w:rsidP="00F50689">
      <w:pPr>
        <w:pStyle w:val="Textstand-alone"/>
      </w:pPr>
      <w:r>
        <w:t>Not included in the above table are available for sale financial assets in the form of equity instruments without external credit rating. The four risk categories mentioned above are in principle based on the rating categories of external rating agencies and correspond to:</w:t>
      </w:r>
    </w:p>
    <w:p w:rsidR="00F50689" w:rsidRDefault="005A36C4" w:rsidP="00F50689">
      <w:pPr>
        <w:pStyle w:val="Textstand-aloneBulletpoint"/>
        <w:ind w:left="754" w:hanging="357"/>
      </w:pPr>
      <w:r>
        <w:t xml:space="preserve">Prime and high grade: Moody P-1, </w:t>
      </w:r>
      <w:proofErr w:type="spellStart"/>
      <w:r>
        <w:t>Aaa</w:t>
      </w:r>
      <w:proofErr w:type="spellEnd"/>
      <w:r>
        <w:t xml:space="preserve"> – Aa3; S&amp;P A-1+, A-1, AAA – AA -; Fitch F1+, F1, AAA – AA-</w:t>
      </w:r>
    </w:p>
    <w:p w:rsidR="00F50689" w:rsidRDefault="005A36C4" w:rsidP="00F50689">
      <w:pPr>
        <w:pStyle w:val="Textstand-aloneBulletpoint"/>
        <w:ind w:left="754" w:hanging="357"/>
      </w:pPr>
      <w:r>
        <w:t>Upper medium grade: Moody P-2, A1 – A3; S&amp;P A-2, A+ - A-; Fitch F2, A+ - A-</w:t>
      </w:r>
    </w:p>
    <w:p w:rsidR="00F50689" w:rsidRDefault="005A36C4" w:rsidP="00F50689">
      <w:pPr>
        <w:pStyle w:val="Textstand-aloneBulletpoint"/>
        <w:ind w:left="754" w:hanging="357"/>
      </w:pPr>
      <w:r>
        <w:t>Lower medium grade: Moody P-3, Baa1 – Baa3, S&amp;P A-3, BBB+ - BBB-; Fitch F-3, BBBB+ - BBB-</w:t>
      </w:r>
    </w:p>
    <w:p w:rsidR="00F50689" w:rsidRDefault="005A36C4" w:rsidP="00F50689">
      <w:pPr>
        <w:pStyle w:val="Textstand-aloneBulletpoint"/>
        <w:ind w:left="754" w:hanging="357"/>
      </w:pPr>
      <w:r>
        <w:t>Non-investment grade: Moody not prime, Ba1 – C; S&amp;P B, C, BB+ - D; Fitch B, C, BB+ - D</w:t>
      </w:r>
    </w:p>
    <w:p w:rsidR="00F50689" w:rsidRPr="00E50A6B" w:rsidRDefault="005A36C4" w:rsidP="00F50689">
      <w:pPr>
        <w:pStyle w:val="Textstand-alone"/>
      </w:pPr>
      <w:r w:rsidRPr="00E50A6B">
        <w:t>Please note that the EU uses these external agencies rating categories as a reference point notably for financial instruments and commercial banks, but may, after making its own analysis of individual cases, keep amounts in one of the above risk categories even though one or more of the above mentioned rating agencies may have downgraded the corresponding counterparty. As regards non-rated counterparties' group 1 relates to debtors without defaults in the past and group 2 relates to debtors with defaults in the past.</w:t>
      </w:r>
    </w:p>
    <w:p w:rsidR="00F50689" w:rsidRDefault="005A36C4" w:rsidP="00F50689">
      <w:pPr>
        <w:pStyle w:val="Textstand-alone"/>
      </w:pPr>
      <w:r w:rsidRPr="00E50A6B">
        <w:t xml:space="preserve">The amounts displayed above under Loans and receivables categorised in </w:t>
      </w:r>
      <w:r>
        <w:t>non-investment grade</w:t>
      </w:r>
      <w:r w:rsidRPr="00E50A6B">
        <w:t xml:space="preserve"> relate primarily to financial support loans disbursed by the Commission to Member States in financial difficulties and recoverables against </w:t>
      </w:r>
      <w:r>
        <w:t xml:space="preserve">certain </w:t>
      </w:r>
      <w:r w:rsidRPr="00E50A6B">
        <w:t xml:space="preserve">Members States based on own resources regulations or other legal basis. The amount under cash relates to own resources bank accounts opened in the </w:t>
      </w:r>
      <w:r>
        <w:t>T</w:t>
      </w:r>
      <w:r w:rsidRPr="00E50A6B">
        <w:t xml:space="preserve">reasury or in the </w:t>
      </w:r>
      <w:r>
        <w:t>c</w:t>
      </w:r>
      <w:r w:rsidRPr="00E50A6B">
        <w:t>entral banks of Member States to hold the own resources contributions as foreseen in the regulation. The Commission may draw on these accounts solely to cover cash requirements arising from execution of the budget.</w:t>
      </w:r>
    </w:p>
    <w:p w:rsidR="00F50689" w:rsidRDefault="005A36C4" w:rsidP="00F50689">
      <w:pPr>
        <w:pStyle w:val="HEADER5"/>
      </w:pPr>
      <w:r>
        <w:t>Borrowing &amp; Lending activities</w:t>
      </w:r>
    </w:p>
    <w:p w:rsidR="00F50689" w:rsidRDefault="005A36C4" w:rsidP="00F50689">
      <w:pPr>
        <w:pStyle w:val="Textstand-alone"/>
      </w:pPr>
      <w:r>
        <w:t>Exposure to credit risk is managed firstly by obtaining country guarantees in the case of Euratom, then through the Guarantee Fund (MFA &amp; Euratom), then by the possibility of drawing the necessary funds from the Commission's own resources accounts with the Member States and ultimately through the Budget of the EU</w:t>
      </w:r>
      <w:r w:rsidRPr="004C5ACB">
        <w:t>. The Own Resource</w:t>
      </w:r>
      <w:r>
        <w:t>s</w:t>
      </w:r>
      <w:r w:rsidRPr="004C5ACB">
        <w:t xml:space="preserve"> legislation fixes the ceiling for own resource</w:t>
      </w:r>
      <w:r>
        <w:t>s</w:t>
      </w:r>
      <w:r w:rsidRPr="004C5ACB">
        <w:t xml:space="preserve"> payments at 1.23</w:t>
      </w:r>
      <w:r w:rsidR="002A6B91">
        <w:t> </w:t>
      </w:r>
      <w:r w:rsidRPr="004C5ACB">
        <w:t xml:space="preserve">% of Member States' GNI and </w:t>
      </w:r>
      <w:r w:rsidRPr="00660442">
        <w:t>during 2014 1.06</w:t>
      </w:r>
      <w:r w:rsidR="002A6B91">
        <w:t> </w:t>
      </w:r>
      <w:r w:rsidRPr="00660442">
        <w:t>%</w:t>
      </w:r>
      <w:r w:rsidRPr="004C5ACB">
        <w:t xml:space="preserve"> was actually used to cover payment appropriations. This means that at 31</w:t>
      </w:r>
      <w:r w:rsidR="002A6B91">
        <w:t> </w:t>
      </w:r>
      <w:r w:rsidRPr="004C5ACB">
        <w:t>December</w:t>
      </w:r>
      <w:r w:rsidR="002A6B91">
        <w:t> </w:t>
      </w:r>
      <w:r w:rsidRPr="004C5ACB">
        <w:t>201</w:t>
      </w:r>
      <w:r>
        <w:t>4</w:t>
      </w:r>
      <w:r w:rsidRPr="004C5ACB">
        <w:t xml:space="preserve"> there existed an available margin of 0.17</w:t>
      </w:r>
      <w:r w:rsidR="002A6B91">
        <w:t> </w:t>
      </w:r>
      <w:r w:rsidRPr="004C5ACB">
        <w:t>% to cover these guarantees. The</w:t>
      </w:r>
      <w:r>
        <w:t xml:space="preserve"> Guarantee Fund for external actions was set up in 1994 to cover default risks related to borrowings which finance loans to countries outside the EU. In any case, the exposure to credit risk is mitigated by the possibility to draw on the Commission's own resources accounts with Member States in excess of the assets on those accounts in case a debtor would be unable to reimburse the amounts due in full. To this end, the EU is entitled to call upon all the Member States to ensure compliance with the EU's legal obligation towards its lenders.</w:t>
      </w:r>
    </w:p>
    <w:p w:rsidR="00F50689" w:rsidRDefault="005A36C4" w:rsidP="00F50689">
      <w:pPr>
        <w:pStyle w:val="Textstand-alone"/>
      </w:pPr>
      <w:r>
        <w:t>As far as treasury operations are concerned, guidelines on the choice of counterparties must be applied. Accordingly, the operating unit will be able to enter into deals only with eligible banks having sufficient counterparty limits.</w:t>
      </w:r>
    </w:p>
    <w:p w:rsidR="00F50689" w:rsidRDefault="005A36C4" w:rsidP="00F50689">
      <w:pPr>
        <w:pStyle w:val="HEADER5"/>
      </w:pPr>
      <w:r>
        <w:t>Treasury</w:t>
      </w:r>
    </w:p>
    <w:p w:rsidR="00F50689" w:rsidRDefault="005A36C4" w:rsidP="00F50689">
      <w:pPr>
        <w:pStyle w:val="Textstand-alone"/>
      </w:pPr>
      <w:r>
        <w:t>Most of the Commission's treasury resources are kept, in accordance with Council Regulation 1150/2000 on own resources, in the accounts opened by Member States for the payment of their contributions (own resources). All such accounts are held with Member States' treasuries or national central banks. These institutions carry the lowest credit (or counterparty) risk for the Commission as the exposure is with its Member States. For the part of the Commission's treasury resources kept with commercial banks, in order to cover the execution of payments, replenishment of these accounts is made on a just-in-time basis and is automatically managed by the treasury cash management system. Minimum cash levels, proportional to the average amount of daily payments executed from it, are kept on each account. As a consequence the amounts kept overnight on these accounts remain constantly at low levels (overall between EUR</w:t>
      </w:r>
      <w:r w:rsidR="002A6B91">
        <w:t> </w:t>
      </w:r>
      <w:r>
        <w:t>1</w:t>
      </w:r>
      <w:r w:rsidR="002A6B91">
        <w:t> </w:t>
      </w:r>
      <w:r>
        <w:t>million and EUR</w:t>
      </w:r>
      <w:r w:rsidR="002A6B91">
        <w:t> </w:t>
      </w:r>
      <w:r>
        <w:t>20</w:t>
      </w:r>
      <w:r w:rsidR="002A6B91">
        <w:t> </w:t>
      </w:r>
      <w:r>
        <w:t>million on average, spread over more than 20 accounts) and so ensure the Commission's risk exposure is limited. These amounts should be viewed with regard to the daily overall treasury balances which fluctuated in 2014 between EUR</w:t>
      </w:r>
      <w:r w:rsidR="002A6B91">
        <w:t> </w:t>
      </w:r>
      <w:r>
        <w:t>100</w:t>
      </w:r>
      <w:r w:rsidR="002A6B91">
        <w:t> </w:t>
      </w:r>
      <w:r>
        <w:t>million and EUR</w:t>
      </w:r>
      <w:r w:rsidR="002A6B91">
        <w:t> </w:t>
      </w:r>
      <w:r>
        <w:t>34</w:t>
      </w:r>
      <w:r w:rsidR="002A6B91">
        <w:t> </w:t>
      </w:r>
      <w:r>
        <w:t>billion, and with an overall amount of payments executed in 2014 that equals EUR</w:t>
      </w:r>
      <w:r w:rsidR="002A6B91">
        <w:t> </w:t>
      </w:r>
      <w:r>
        <w:t>142</w:t>
      </w:r>
      <w:r w:rsidR="002A6B91">
        <w:t> </w:t>
      </w:r>
      <w:r>
        <w:t>billion.</w:t>
      </w:r>
    </w:p>
    <w:p w:rsidR="00F50689" w:rsidRDefault="005A36C4" w:rsidP="00F50689">
      <w:pPr>
        <w:pStyle w:val="Textstand-alone"/>
      </w:pPr>
      <w:r>
        <w:t>In addition, specific guidelines are applied for the selection of commercial banks in order to further minimise counterparty risk to which the Commission is exposed:</w:t>
      </w:r>
    </w:p>
    <w:p w:rsidR="00F50689" w:rsidRDefault="005A36C4" w:rsidP="00F50689">
      <w:pPr>
        <w:pStyle w:val="Textstand-alonebulletpointJustified"/>
      </w:pPr>
      <w:r>
        <w:t xml:space="preserve">All </w:t>
      </w:r>
      <w:r w:rsidRPr="00E01A4D">
        <w:t>commercial</w:t>
      </w:r>
      <w:r>
        <w:t xml:space="preserve"> banks are selected by call for tenders. The minimum short term credit rating required for admission to the tendering procedures is Moody's P-1 or equivalent. A lower level may be accepted in specific and duly justified circumstances.</w:t>
      </w:r>
    </w:p>
    <w:p w:rsidR="00F50689" w:rsidRDefault="00F50689" w:rsidP="00F50689">
      <w:pPr>
        <w:pStyle w:val="Textstand-alonebulletpointJustified"/>
        <w:numPr>
          <w:ilvl w:val="0"/>
          <w:numId w:val="0"/>
        </w:numPr>
        <w:ind w:left="357"/>
      </w:pPr>
    </w:p>
    <w:p w:rsidR="00F50689" w:rsidRDefault="005A36C4" w:rsidP="00F50689">
      <w:pPr>
        <w:pStyle w:val="Textstand-alonebulletpointJustified"/>
      </w:pPr>
      <w:r>
        <w:t>The credit ratings of the commercial banks where the Commission has accounts are reviewed on a daily basis. Intensified monitoring measures and daily reviews of commercial banks' ratings were adopted in the context of the financial crisis, and kept in place during 2014.</w:t>
      </w:r>
    </w:p>
    <w:p w:rsidR="00F50689" w:rsidRDefault="00F50689" w:rsidP="00F50689">
      <w:pPr>
        <w:pStyle w:val="Textstand-alonebulletpointJustified"/>
        <w:numPr>
          <w:ilvl w:val="0"/>
          <w:numId w:val="0"/>
        </w:numPr>
        <w:ind w:left="357"/>
      </w:pPr>
    </w:p>
    <w:p w:rsidR="00F50689" w:rsidRDefault="005A36C4" w:rsidP="00F50689">
      <w:pPr>
        <w:pStyle w:val="Textstand-alonebulletpointJustified"/>
      </w:pPr>
      <w:r>
        <w:t>In delegations outside the EU, imprest accounts are held with local banks selected by a simplified tendering procedure. Rating requirements depend on the local situation and may significantly differ from one country to another. In order to limit risk exposure, balances on these accounts are kept at the lowest possible levels (taking into account operational needs), they are regularly replenished, and the applied ceilings are reviewed on a yearly basis.</w:t>
      </w:r>
    </w:p>
    <w:p w:rsidR="00F50689" w:rsidRPr="009F1FDC" w:rsidRDefault="00F50689" w:rsidP="00F50689">
      <w:pPr>
        <w:pStyle w:val="Textstand-alonebulletpointJustified"/>
        <w:numPr>
          <w:ilvl w:val="0"/>
          <w:numId w:val="0"/>
        </w:numPr>
        <w:ind w:left="357"/>
      </w:pPr>
    </w:p>
    <w:p w:rsidR="00F50689" w:rsidRDefault="005A36C4" w:rsidP="00F50689">
      <w:pPr>
        <w:pStyle w:val="HEADER5"/>
      </w:pPr>
      <w:r>
        <w:t>Fines</w:t>
      </w:r>
    </w:p>
    <w:p w:rsidR="00F50689" w:rsidRPr="00E01A4D" w:rsidRDefault="005A36C4" w:rsidP="00F50689">
      <w:pPr>
        <w:pStyle w:val="Textstand-alone"/>
        <w:rPr>
          <w:i/>
        </w:rPr>
      </w:pPr>
      <w:r w:rsidRPr="00E01A4D">
        <w:rPr>
          <w:i/>
        </w:rPr>
        <w:t>Provisionally cashed fines: deposits</w:t>
      </w:r>
    </w:p>
    <w:p w:rsidR="00F50689" w:rsidRDefault="005A36C4" w:rsidP="00F50689">
      <w:pPr>
        <w:pStyle w:val="Textstand-alone"/>
      </w:pPr>
      <w:r>
        <w:t>Banks holding deposits for the fines provisionally cashed before 2010 are selected by tender procedure in compliance with the risk management policy which defines the credit rating requirements and the amount of funds which could be placed in proportion to the counterparty equity.</w:t>
      </w:r>
    </w:p>
    <w:p w:rsidR="00F50689" w:rsidRDefault="005A36C4" w:rsidP="00F50689">
      <w:pPr>
        <w:pStyle w:val="Textstand-alone"/>
      </w:pPr>
      <w:r>
        <w:t>For commercial banks that have been specifically selected for the deposit of provisionally cashed fines, a minimum long-term rating A (S&amp;P or equivalent) and a minimum short term rating A-1 (S&amp;P or equivalent) is required as a general rule. Specific measures are applied in case banks in this group are subject to downgrade. In addition, the amount deposited with each bank is limited to a certain percentage of its own funds, which varies depending on the rating level of each institution. The calculation of such limits also takes into account the amount of outstanding guarantees issued to the Commission by the same institution. The compliance of outstanding deposits with the applicable policy requirements is reviewed regularly.</w:t>
      </w:r>
    </w:p>
    <w:p w:rsidR="00F50689" w:rsidRPr="00E01A4D" w:rsidRDefault="005A36C4" w:rsidP="00F50689">
      <w:pPr>
        <w:pStyle w:val="Textstand-alone"/>
        <w:rPr>
          <w:i/>
        </w:rPr>
      </w:pPr>
      <w:r w:rsidRPr="00E01A4D">
        <w:rPr>
          <w:i/>
        </w:rPr>
        <w:t>Provisionally cashed fines: BUFI portfolio</w:t>
      </w:r>
    </w:p>
    <w:p w:rsidR="00F50689" w:rsidRDefault="005A36C4" w:rsidP="00F50689">
      <w:pPr>
        <w:pStyle w:val="Textstand-alone"/>
      </w:pPr>
      <w:r>
        <w:t>For investments from provisionally cashed fines, the Commission takes on exposure to credit risk which is the risk that a counterparty will be unable to pay amounts in full when due. The highest concentration of exposure is towards France and Germany as these countries represents 43 % and 27 % respectively of the total nominal volume of the portfolio.</w:t>
      </w:r>
    </w:p>
    <w:p w:rsidR="00F50689" w:rsidRPr="00E01A4D" w:rsidRDefault="005A36C4" w:rsidP="00F50689">
      <w:pPr>
        <w:pStyle w:val="Textstand-alone"/>
        <w:rPr>
          <w:i/>
        </w:rPr>
      </w:pPr>
      <w:r w:rsidRPr="00E01A4D">
        <w:rPr>
          <w:i/>
        </w:rPr>
        <w:t>Bank guarantees</w:t>
      </w:r>
    </w:p>
    <w:p w:rsidR="00F50689" w:rsidRDefault="005A36C4" w:rsidP="00F50689">
      <w:pPr>
        <w:pStyle w:val="Textstand-alone"/>
      </w:pPr>
      <w:r>
        <w:t xml:space="preserve">Significant amounts of guarantees issued by financial institutions are also held by the Commission in relation to the fines it imposes on companies breaching EU competition rules (see note </w:t>
      </w:r>
      <w:r w:rsidRPr="00E01A4D">
        <w:rPr>
          <w:b/>
        </w:rPr>
        <w:t>2.</w:t>
      </w:r>
      <w:r>
        <w:rPr>
          <w:b/>
        </w:rPr>
        <w:t>6</w:t>
      </w:r>
      <w:r w:rsidRPr="00E01A4D">
        <w:rPr>
          <w:b/>
        </w:rPr>
        <w:t>.1</w:t>
      </w:r>
      <w:r>
        <w:rPr>
          <w:b/>
        </w:rPr>
        <w:t>.2</w:t>
      </w:r>
      <w:r>
        <w:t>). These guarantees are provided by fined companies as an alternative to making provisional payments. The risk management policy applied for the acceptance of such guarantees has been reviewed in 2012 and a new combination of credit rating requirements and limited percentages per counterpart (proportional to each counterpart's own funds) has been defined in the light of the current financial environment in the EU. It continues to ensure a high credit quality for the Commission. The compliance of the outstanding guarantees with the applicable policy requirements is reviewed regularly.</w:t>
      </w:r>
    </w:p>
    <w:p w:rsidR="00E8741F" w:rsidRDefault="00E8741F">
      <w:pPr>
        <w:rPr>
          <w:rFonts w:ascii="Verdana" w:hAnsi="Verdana"/>
          <w:b/>
          <w:color w:val="016794"/>
          <w:sz w:val="18"/>
          <w:szCs w:val="18"/>
        </w:rPr>
      </w:pPr>
      <w:r>
        <w:br w:type="page"/>
      </w:r>
    </w:p>
    <w:p w:rsidR="00F50689" w:rsidRDefault="005A36C4" w:rsidP="00F50689">
      <w:pPr>
        <w:pStyle w:val="HEADER5"/>
      </w:pPr>
      <w:r>
        <w:t>Guarantee Fund</w:t>
      </w:r>
    </w:p>
    <w:p w:rsidR="00F50689" w:rsidRDefault="005A36C4" w:rsidP="00F50689">
      <w:pPr>
        <w:pStyle w:val="Textstand-alone"/>
      </w:pPr>
      <w:r>
        <w:t>In accordance with the agreement between the EU and the EIB on the management of the Guarantee Fund, all interbank investments should have a minimum rating from Moody's or equivalent of P-1. As at 31</w:t>
      </w:r>
      <w:r w:rsidR="002A6B91">
        <w:t> </w:t>
      </w:r>
      <w:r>
        <w:t>December</w:t>
      </w:r>
      <w:r w:rsidR="002A6B91">
        <w:t> </w:t>
      </w:r>
      <w:r>
        <w:t>2014 fixed term deposits of EUR</w:t>
      </w:r>
      <w:r w:rsidR="002A6B91">
        <w:t> </w:t>
      </w:r>
      <w:r>
        <w:t>147</w:t>
      </w:r>
      <w:r w:rsidR="002A6B91">
        <w:t> </w:t>
      </w:r>
      <w:r>
        <w:t xml:space="preserve">million were made with such counterparties (2013: </w:t>
      </w:r>
      <w:r w:rsidRPr="002F7DE0">
        <w:t>EUR</w:t>
      </w:r>
      <w:r>
        <w:t> 151 million).</w:t>
      </w:r>
    </w:p>
    <w:p w:rsidR="00F50689" w:rsidRDefault="005A36C4" w:rsidP="00F50689">
      <w:pPr>
        <w:pStyle w:val="Textstand-alone"/>
        <w:sectPr w:rsidR="00F50689" w:rsidSect="00F50689">
          <w:headerReference w:type="even" r:id="rId395"/>
          <w:headerReference w:type="default" r:id="rId396"/>
          <w:footerReference w:type="even" r:id="rId397"/>
          <w:footerReference w:type="default" r:id="rId398"/>
          <w:headerReference w:type="first" r:id="rId399"/>
          <w:footerReference w:type="first" r:id="rId400"/>
          <w:type w:val="continuous"/>
          <w:pgSz w:w="11906" w:h="16838"/>
          <w:pgMar w:top="1134" w:right="1134" w:bottom="1134" w:left="1134" w:header="709" w:footer="709" w:gutter="0"/>
          <w:cols w:space="708"/>
          <w:docGrid w:linePitch="360"/>
        </w:sectPr>
      </w:pPr>
      <w:r>
        <w:t xml:space="preserve"> </w:t>
      </w:r>
      <w:bookmarkEnd w:id="194"/>
    </w:p>
    <w:p w:rsidR="00F50689" w:rsidRDefault="005A36C4" w:rsidP="00F50689">
      <w:pPr>
        <w:pStyle w:val="HEADER2Part2"/>
      </w:pPr>
      <w:bookmarkStart w:id="197" w:name="_DMBM_2667"/>
      <w:r>
        <w:t>Liquidity risk</w:t>
      </w:r>
    </w:p>
    <w:p w:rsidR="00F50689" w:rsidRDefault="005A36C4" w:rsidP="00F50689">
      <w:pPr>
        <w:pStyle w:val="HEADER5"/>
      </w:pPr>
      <w:r>
        <w:t>Maturity analysis of financial liabilities by remaining contractual maturity</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1488"/>
        <w:gridCol w:w="1488"/>
        <w:gridCol w:w="1418"/>
        <w:gridCol w:w="1559"/>
      </w:tblGrid>
      <w:tr w:rsidR="00E7728E">
        <w:tc>
          <w:tcPr>
            <w:tcW w:w="3794"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98" w:name="DOC_TBL00088_1_1"/>
            <w:bookmarkEnd w:id="198"/>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1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rPr>
                <w:rFonts w:cs="Verdana"/>
              </w:rPr>
              <w:t>EUR millions</w:t>
            </w:r>
          </w:p>
        </w:tc>
      </w:tr>
      <w:tr w:rsidR="00E7728E">
        <w:tc>
          <w:tcPr>
            <w:tcW w:w="3794"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148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&lt; 1 year</w:t>
            </w:r>
          </w:p>
        </w:tc>
        <w:tc>
          <w:tcPr>
            <w:tcW w:w="148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1-5 years</w:t>
            </w:r>
          </w:p>
        </w:tc>
        <w:tc>
          <w:tcPr>
            <w:tcW w:w="141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&gt; 5 years</w:t>
            </w:r>
          </w:p>
        </w:tc>
        <w:tc>
          <w:tcPr>
            <w:tcW w:w="155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Total</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Borrowings</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8 727</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15 386</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34 357</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58 470</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Finance lease liabilities</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81</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366</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1 309</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1 755</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Payables</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43 180</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43 180</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Other</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20</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97</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336</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454</w:t>
            </w:r>
          </w:p>
        </w:tc>
      </w:tr>
      <w:tr w:rsidR="00E7728E">
        <w:tc>
          <w:tcPr>
            <w:tcW w:w="379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Total at 31.12.2014</w:t>
            </w: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52 008</w:t>
            </w: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15 849</w:t>
            </w:r>
          </w:p>
        </w:tc>
        <w:tc>
          <w:tcPr>
            <w:tcW w:w="141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36 002</w:t>
            </w:r>
          </w:p>
        </w:tc>
        <w:tc>
          <w:tcPr>
            <w:tcW w:w="155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103 859</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Borrowings</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3 065</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21 454</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32 699</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57 218</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Finance lease liabilities</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82</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353</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1 403</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1 838</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Payables</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36 213</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36 213</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Other</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17</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84</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375</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477</w:t>
            </w:r>
          </w:p>
        </w:tc>
      </w:tr>
      <w:tr w:rsidR="00E7728E">
        <w:tc>
          <w:tcPr>
            <w:tcW w:w="379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Total at 31.12.2013</w:t>
            </w: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39 377</w:t>
            </w: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21 891</w:t>
            </w:r>
          </w:p>
        </w:tc>
        <w:tc>
          <w:tcPr>
            <w:tcW w:w="141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34 477</w:t>
            </w:r>
          </w:p>
        </w:tc>
        <w:tc>
          <w:tcPr>
            <w:tcW w:w="155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95 746</w:t>
            </w:r>
          </w:p>
        </w:tc>
      </w:tr>
    </w:tbl>
    <w:p w:rsidR="00F50689" w:rsidRDefault="00F50689" w:rsidP="00F50689">
      <w:pPr>
        <w:pStyle w:val="HEADER5"/>
        <w:rPr>
          <w:lang w:bidi="en-GB"/>
        </w:rPr>
      </w:pPr>
    </w:p>
    <w:p w:rsidR="00F50689" w:rsidRDefault="005A36C4" w:rsidP="00F50689">
      <w:pPr>
        <w:pStyle w:val="HEADER5"/>
      </w:pPr>
      <w:r>
        <w:t>Borrowing &amp; Lending activities</w:t>
      </w:r>
    </w:p>
    <w:p w:rsidR="00F50689" w:rsidRDefault="005A36C4" w:rsidP="00F50689">
      <w:pPr>
        <w:pStyle w:val="Textstand-alone"/>
      </w:pPr>
      <w:r>
        <w:t>The liquidity risk that arises from borrowings is generally offset by equivalent loans in terms and conditions (back-to-back operations). For MFA and Euratom, the Guarantee Fund serves as a liquidity reserve (or safety net) in case of payment default and payment delays of borrowers. For BOP, the Council Regulation 431/2009 provides for a procedure allowing sufficient time to mobilise funds through the Commission's own resources accounts with the Member States. For EFSM, the Council Regulation 407/2010 provides for a similar procedure.</w:t>
      </w:r>
    </w:p>
    <w:p w:rsidR="00F50689" w:rsidRDefault="005A36C4" w:rsidP="00F50689">
      <w:pPr>
        <w:pStyle w:val="HEADER5"/>
      </w:pPr>
      <w:r>
        <w:t>Treasury</w:t>
      </w:r>
    </w:p>
    <w:p w:rsidR="00F50689" w:rsidRDefault="005A36C4" w:rsidP="00F50689">
      <w:pPr>
        <w:pStyle w:val="Textstand-alone"/>
      </w:pPr>
      <w:r>
        <w:t xml:space="preserve">EU budget principles ensure that overall cash resources for a given year are always sufficient for the execution of all payments. In fact, the total Member States contributions equal the amount of payment appropriations for the budgetary year. Member States’ contributions, however, are received in twelve monthly instalments throughout the year, while payments are subject to certain seasonality. Moreover, in accordance with the Council Regulation 1150/2000 (Own Resources Regulation), Member States contributions relating to (amending) budgets approved after the 16th of a given month (N) only become available in month N+2, while the related payment appropriations are immediately available. In order to ensure that available treasury resources are always sufficient to cover the payments to be executed in any given month, procedures regarding regular cash forecasting are in place, and own resources or additional funding can be called up in advance from Member States if needed, up to certain limits and under certain conditions. </w:t>
      </w:r>
      <w:r w:rsidRPr="006509D5">
        <w:t>Seasonality of expenditure and overal</w:t>
      </w:r>
      <w:r>
        <w:t>l</w:t>
      </w:r>
      <w:r w:rsidRPr="00867622">
        <w:t xml:space="preserve"> budgetary restrictions in recent years have resulted in the need f</w:t>
      </w:r>
      <w:r>
        <w:t>or</w:t>
      </w:r>
      <w:r w:rsidRPr="00867622">
        <w:t xml:space="preserve"> increased mon</w:t>
      </w:r>
      <w:r w:rsidRPr="00C05992">
        <w:t>itoring of the r</w:t>
      </w:r>
      <w:r>
        <w:t>h</w:t>
      </w:r>
      <w:r w:rsidRPr="00C05992">
        <w:t>yt</w:t>
      </w:r>
      <w:r>
        <w:t>h</w:t>
      </w:r>
      <w:r w:rsidRPr="00C05992">
        <w:t>m of payment</w:t>
      </w:r>
      <w:r>
        <w:t>s</w:t>
      </w:r>
      <w:r w:rsidRPr="00C05992">
        <w:t xml:space="preserve"> over the year.</w:t>
      </w:r>
      <w:r>
        <w:t xml:space="preserve"> In addition to the above, in the context of the Commission's daily treasury operations, automated cash management tools ensure that sufficient liquidity is available on each of the Commission's bank accounts, on a daily basis.</w:t>
      </w:r>
    </w:p>
    <w:p w:rsidR="00F50689" w:rsidRDefault="005A36C4" w:rsidP="00F50689">
      <w:pPr>
        <w:pStyle w:val="HEADER5"/>
      </w:pPr>
      <w:r>
        <w:t>Guarantee Fund</w:t>
      </w:r>
    </w:p>
    <w:p w:rsidR="00F50689" w:rsidRDefault="005A36C4" w:rsidP="00F50689">
      <w:pPr>
        <w:pStyle w:val="Textstand-alone"/>
      </w:pPr>
      <w:r>
        <w:t xml:space="preserve">The fund is managed according to the principle that the assets shall have a sufficient degree of liquidity and mobilisation in relation to the relevant commitments. The fund must maintain a minimum of EUR 100 million in a portfolio with a maturity of less than twelve months which is to be invested in monetary instruments. As at 31 December 2014 these investments, including cash, amounted to </w:t>
      </w:r>
      <w:r w:rsidRPr="00F8279E">
        <w:t>EUR</w:t>
      </w:r>
      <w:r>
        <w:t> 148 million. Furthermore, a minimum of 20 % of the fund's nominal value shall comprise monetary instruments, fixed-rate bonds with a remaining maturity of no more than one year, and floating-rate bonds. As at 31 December 2014 this ratio stood at 49 %.</w:t>
      </w:r>
    </w:p>
    <w:p w:rsidR="00F50689" w:rsidRDefault="005A36C4" w:rsidP="00F50689">
      <w:pPr>
        <w:pStyle w:val="Textstand-alone"/>
        <w:sectPr w:rsidR="00F50689" w:rsidSect="00F50689">
          <w:headerReference w:type="even" r:id="rId401"/>
          <w:headerReference w:type="default" r:id="rId402"/>
          <w:footerReference w:type="even" r:id="rId403"/>
          <w:footerReference w:type="default" r:id="rId404"/>
          <w:headerReference w:type="first" r:id="rId405"/>
          <w:footerReference w:type="first" r:id="rId406"/>
          <w:type w:val="continuous"/>
          <w:pgSz w:w="11906" w:h="16838"/>
          <w:pgMar w:top="1134" w:right="1134" w:bottom="1134" w:left="1134" w:header="709" w:footer="709" w:gutter="0"/>
          <w:cols w:space="708"/>
          <w:docGrid w:linePitch="360"/>
        </w:sectPr>
      </w:pPr>
      <w:r>
        <w:t xml:space="preserve"> </w:t>
      </w:r>
      <w:bookmarkEnd w:id="197"/>
    </w:p>
    <w:p w:rsidR="00F50689" w:rsidRDefault="005A36C4" w:rsidP="00F50689">
      <w:pPr>
        <w:pStyle w:val="HEADER1Part2"/>
      </w:pPr>
      <w:bookmarkStart w:id="199" w:name="_Toc424652046"/>
      <w:bookmarkStart w:id="200" w:name="_DMBM_2609"/>
      <w:r w:rsidRPr="000D2768">
        <w:t>RELATED PARTY DISCLOSURES</w:t>
      </w:r>
      <w:bookmarkEnd w:id="199"/>
    </w:p>
    <w:p w:rsidR="00F50689" w:rsidRPr="000D2768" w:rsidRDefault="005A36C4" w:rsidP="00F50689">
      <w:pPr>
        <w:pStyle w:val="HEADER2Part2"/>
      </w:pPr>
      <w:bookmarkStart w:id="201" w:name="_DMBM_127"/>
      <w:r w:rsidRPr="000D2768">
        <w:t>RELATED PARTIES</w:t>
      </w:r>
    </w:p>
    <w:p w:rsidR="00F50689" w:rsidRDefault="005A36C4" w:rsidP="00F50689">
      <w:pPr>
        <w:pStyle w:val="Textstand-alone"/>
      </w:pPr>
      <w:r>
        <w:t>The related parties of the EU are the EU consolidated entities and the key management personnel of these entities. Transactions between these entities take place as part of the normal operations of the EU and as this is the case, no specific disclosure requirements are necessary for these transactions in accordance with the EU accounting rules.</w:t>
      </w:r>
      <w:bookmarkEnd w:id="201"/>
    </w:p>
    <w:p w:rsidR="00F50689" w:rsidRPr="00D355BC" w:rsidRDefault="005A36C4" w:rsidP="00F50689">
      <w:pPr>
        <w:pStyle w:val="HEADER2Part2"/>
      </w:pPr>
      <w:r>
        <w:t>KEY MANAGEMENT ENTITLEMENTS</w:t>
      </w:r>
    </w:p>
    <w:p w:rsidR="00F50689" w:rsidRDefault="005A36C4" w:rsidP="00F50689">
      <w:pPr>
        <w:pStyle w:val="Textstand-alone"/>
      </w:pPr>
      <w:r>
        <w:t>For the purposes of presenting information on related party transactions concerning the key management of the EU, such persons are shown here under five categories:</w:t>
      </w:r>
    </w:p>
    <w:p w:rsidR="00F50689" w:rsidRDefault="005A36C4" w:rsidP="00F50689">
      <w:pPr>
        <w:pStyle w:val="Textstand-alone"/>
      </w:pPr>
      <w:r w:rsidRPr="00F24AF3">
        <w:rPr>
          <w:b/>
        </w:rPr>
        <w:t>Category 1:</w:t>
      </w:r>
      <w:r>
        <w:t xml:space="preserve"> the Presidents of the European Council, the Commission and the Court of Justice of the European Union</w:t>
      </w:r>
    </w:p>
    <w:p w:rsidR="00F50689" w:rsidRDefault="005A36C4" w:rsidP="00F50689">
      <w:pPr>
        <w:pStyle w:val="Textstand-alone"/>
      </w:pPr>
      <w:r w:rsidRPr="00F24AF3">
        <w:rPr>
          <w:b/>
        </w:rPr>
        <w:t xml:space="preserve">Category 2: </w:t>
      </w:r>
      <w:r>
        <w:t>the Vice-president of the Commission and High Representative of the EU for Foreign Affairs and Security Policy and the other Vice-presidents of the Commission</w:t>
      </w:r>
    </w:p>
    <w:p w:rsidR="00F50689" w:rsidRDefault="005A36C4" w:rsidP="00F50689">
      <w:pPr>
        <w:pStyle w:val="Textstand-alone"/>
      </w:pPr>
      <w:r w:rsidRPr="00F24AF3">
        <w:rPr>
          <w:b/>
        </w:rPr>
        <w:t>Category 3:</w:t>
      </w:r>
      <w:r>
        <w:t xml:space="preserve"> the Secretary-General of the Council, the Members of the Commission, the Judges and Advocates General of the Court of Justice of the European Union, the President and Members of the General Court, the President and Members of the European Civil Service Tribunal, the Ombudsman and the European Data Protection Supervisor</w:t>
      </w:r>
    </w:p>
    <w:p w:rsidR="00F50689" w:rsidRDefault="005A36C4" w:rsidP="00F50689">
      <w:pPr>
        <w:pStyle w:val="Textstand-alone"/>
      </w:pPr>
      <w:r w:rsidRPr="00F24AF3">
        <w:rPr>
          <w:b/>
        </w:rPr>
        <w:t>Category 4:</w:t>
      </w:r>
      <w:r>
        <w:t xml:space="preserve"> the President and Members of the European Court of Auditors</w:t>
      </w:r>
    </w:p>
    <w:p w:rsidR="00F50689" w:rsidRDefault="005A36C4" w:rsidP="00F50689">
      <w:pPr>
        <w:pStyle w:val="Textstand-alone"/>
      </w:pPr>
      <w:r w:rsidRPr="00F24AF3">
        <w:rPr>
          <w:b/>
        </w:rPr>
        <w:t>Category 5:</w:t>
      </w:r>
      <w:r>
        <w:t xml:space="preserve"> the highest ranking civil servants of the Institutions and Agencies</w:t>
      </w:r>
    </w:p>
    <w:p w:rsidR="00F50689" w:rsidRDefault="005A36C4" w:rsidP="00F50689">
      <w:pPr>
        <w:pStyle w:val="Textstand-alone"/>
      </w:pPr>
      <w:r>
        <w:t>A summary of their entitlements is given below – further information can be found in the Staff Regulations published on the Europa website which is the official document describing the rights and obligations of all officials of the EU. Key management personnel have not received any preferential loans from the EU.</w:t>
      </w:r>
    </w:p>
    <w:p w:rsidR="00F50689" w:rsidRDefault="00F50689" w:rsidP="00F50689">
      <w:pPr>
        <w:pStyle w:val="Textstand-alone"/>
      </w:pPr>
    </w:p>
    <w:p w:rsidR="00F50689" w:rsidRDefault="00F50689" w:rsidP="00F50689">
      <w:pPr>
        <w:pStyle w:val="Textstand-alone"/>
      </w:pPr>
    </w:p>
    <w:p w:rsidR="00F50689" w:rsidRDefault="00F50689" w:rsidP="00F50689">
      <w:pPr>
        <w:pStyle w:val="Textstand-alone"/>
      </w:pPr>
    </w:p>
    <w:p w:rsidR="00F50689" w:rsidRDefault="00F50689" w:rsidP="00F50689">
      <w:pPr>
        <w:pStyle w:val="Textstand-alone"/>
      </w:pPr>
    </w:p>
    <w:p w:rsidR="00F50689" w:rsidRDefault="00F50689" w:rsidP="00F50689">
      <w:pPr>
        <w:pStyle w:val="Textstand-alone"/>
      </w:pPr>
    </w:p>
    <w:p w:rsidR="00F50689" w:rsidRDefault="00F50689" w:rsidP="00F50689">
      <w:pPr>
        <w:pStyle w:val="Textstand-alone"/>
      </w:pPr>
    </w:p>
    <w:p w:rsidR="00F50689" w:rsidRDefault="00F50689" w:rsidP="00F50689">
      <w:pPr>
        <w:pStyle w:val="Textstand-alone"/>
      </w:pPr>
    </w:p>
    <w:p w:rsidR="00F50689" w:rsidRDefault="00F50689" w:rsidP="00F50689">
      <w:pPr>
        <w:pStyle w:val="Textstand-alone"/>
      </w:pPr>
    </w:p>
    <w:p w:rsidR="00F50689" w:rsidRDefault="00F50689" w:rsidP="00F50689">
      <w:pPr>
        <w:pStyle w:val="Textstand-alone"/>
      </w:pPr>
    </w:p>
    <w:p w:rsidR="00F50689" w:rsidRDefault="00F50689" w:rsidP="00F50689">
      <w:pPr>
        <w:pStyle w:val="Textstand-alone"/>
      </w:pPr>
    </w:p>
    <w:p w:rsidR="00F50689" w:rsidRDefault="00F50689" w:rsidP="00F50689">
      <w:pPr>
        <w:pStyle w:val="Textstand-alone"/>
      </w:pPr>
    </w:p>
    <w:p w:rsidR="00F50689" w:rsidRDefault="00F50689" w:rsidP="00F50689">
      <w:pPr>
        <w:pStyle w:val="Textstand-alone"/>
      </w:pPr>
    </w:p>
    <w:p w:rsidR="00F50689" w:rsidRDefault="00F50689" w:rsidP="00F50689">
      <w:pPr>
        <w:pStyle w:val="Textstand-alone"/>
      </w:pPr>
    </w:p>
    <w:p w:rsidR="00F50689" w:rsidRDefault="005A36C4" w:rsidP="00F50689">
      <w:pPr>
        <w:pStyle w:val="HEADERTABLE"/>
      </w:pPr>
      <w:r>
        <w:t>KEY MANAGEMENT FINANCIAL ENTITLEMENTS</w:t>
      </w:r>
    </w:p>
    <w:p w:rsidR="00F50689" w:rsidRDefault="005A36C4" w:rsidP="00F50689">
      <w:pPr>
        <w:pStyle w:val="Textstand-alone"/>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247"/>
        <w:gridCol w:w="1247"/>
        <w:gridCol w:w="1248"/>
        <w:gridCol w:w="1247"/>
        <w:gridCol w:w="1248"/>
      </w:tblGrid>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Text8pItalicLeft"/>
              <w:rPr>
                <w:rFonts w:eastAsia="Verdana" w:cs="Verdana"/>
                <w:color w:val="FFFFFF"/>
                <w:lang w:bidi="en-GB"/>
              </w:rPr>
            </w:pPr>
            <w:bookmarkStart w:id="202" w:name="DOC_TBL00089_1_1"/>
            <w:bookmarkEnd w:id="202"/>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Heading10pNormalCentered"/>
              <w:rPr>
                <w:rFonts w:eastAsia="Verdana" w:cs="Verdana"/>
                <w:color w:val="auto"/>
                <w:lang w:bidi="en-GB"/>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Heading10pNormalCentered"/>
              <w:rPr>
                <w:rFonts w:eastAsia="Verdana" w:cs="Verdana"/>
                <w:color w:val="auto"/>
                <w:lang w:bidi="en-GB"/>
              </w:rPr>
            </w:pP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Heading10pNormalCentered"/>
              <w:rPr>
                <w:rFonts w:eastAsia="Verdana" w:cs="Verdana"/>
                <w:color w:val="auto"/>
                <w:lang w:bidi="en-GB"/>
              </w:rPr>
            </w:pPr>
          </w:p>
        </w:tc>
        <w:tc>
          <w:tcPr>
            <w:tcW w:w="2495" w:type="dxa"/>
            <w:gridSpan w:val="2"/>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7pItalicRight025"/>
              <w:rPr>
                <w:rFonts w:eastAsia="Verdana" w:cs="Verdana"/>
                <w:lang w:bidi="en-GB"/>
              </w:rPr>
            </w:pPr>
            <w:r w:rsidRPr="005E7229">
              <w:rPr>
                <w:rFonts w:eastAsia="Verdana" w:cs="Verdana"/>
                <w:lang w:bidi="en-GB"/>
              </w:rPr>
              <w:t>EUR</w:t>
            </w:r>
          </w:p>
        </w:tc>
      </w:tr>
      <w:tr w:rsidR="00E7728E">
        <w:tc>
          <w:tcPr>
            <w:tcW w:w="3510" w:type="dxa"/>
            <w:tcBorders>
              <w:top w:val="nil"/>
              <w:left w:val="nil"/>
              <w:bottom w:val="nil"/>
              <w:right w:val="nil"/>
            </w:tcBorders>
            <w:shd w:val="clear" w:color="auto" w:fill="016794"/>
            <w:tcMar>
              <w:top w:w="0" w:type="dxa"/>
              <w:left w:w="0" w:type="dxa"/>
              <w:bottom w:w="0" w:type="dxa"/>
              <w:right w:w="0" w:type="dxa"/>
            </w:tcMar>
          </w:tcPr>
          <w:p w:rsidR="00F50689" w:rsidRPr="005E7229" w:rsidRDefault="005A36C4" w:rsidP="00F50689">
            <w:pPr>
              <w:pStyle w:val="Heading8pNormalLeft"/>
              <w:rPr>
                <w:rFonts w:eastAsia="Verdana" w:cs="Verdana"/>
                <w:lang w:bidi="en-GB"/>
              </w:rPr>
            </w:pPr>
            <w:r w:rsidRPr="005E7229">
              <w:rPr>
                <w:rFonts w:eastAsia="Verdana" w:cs="Verdana"/>
                <w:lang w:bidi="en-GB"/>
              </w:rPr>
              <w:t>Entitlement (per employee)</w:t>
            </w:r>
          </w:p>
        </w:tc>
        <w:tc>
          <w:tcPr>
            <w:tcW w:w="1247" w:type="dxa"/>
            <w:tcBorders>
              <w:top w:val="nil"/>
              <w:left w:val="nil"/>
              <w:bottom w:val="nil"/>
              <w:right w:val="nil"/>
            </w:tcBorders>
            <w:shd w:val="clear" w:color="auto" w:fill="016794"/>
            <w:tcMar>
              <w:top w:w="0" w:type="dxa"/>
              <w:left w:w="0" w:type="dxa"/>
              <w:bottom w:w="0" w:type="dxa"/>
              <w:right w:w="0" w:type="dxa"/>
            </w:tcMar>
          </w:tcPr>
          <w:p w:rsidR="00F50689" w:rsidRPr="005E7229" w:rsidRDefault="005A36C4" w:rsidP="00F50689">
            <w:pPr>
              <w:pStyle w:val="Heading8pNormalRight01"/>
              <w:rPr>
                <w:rFonts w:eastAsia="Verdana" w:cs="Verdana"/>
                <w:lang w:bidi="en-GB"/>
              </w:rPr>
            </w:pPr>
            <w:r w:rsidRPr="005E7229">
              <w:rPr>
                <w:rFonts w:eastAsia="Verdana" w:cs="Verdana"/>
                <w:lang w:bidi="en-GB"/>
              </w:rPr>
              <w:t>Category 1</w:t>
            </w:r>
          </w:p>
        </w:tc>
        <w:tc>
          <w:tcPr>
            <w:tcW w:w="1247" w:type="dxa"/>
            <w:tcBorders>
              <w:top w:val="nil"/>
              <w:left w:val="nil"/>
              <w:bottom w:val="nil"/>
              <w:right w:val="nil"/>
            </w:tcBorders>
            <w:shd w:val="clear" w:color="auto" w:fill="016794"/>
            <w:tcMar>
              <w:top w:w="0" w:type="dxa"/>
              <w:left w:w="0" w:type="dxa"/>
              <w:bottom w:w="0" w:type="dxa"/>
              <w:right w:w="0" w:type="dxa"/>
            </w:tcMar>
          </w:tcPr>
          <w:p w:rsidR="00F50689" w:rsidRPr="005E7229" w:rsidRDefault="005A36C4" w:rsidP="00F50689">
            <w:pPr>
              <w:pStyle w:val="Heading8pNormalRight01"/>
              <w:rPr>
                <w:rFonts w:eastAsia="Verdana" w:cs="Verdana"/>
                <w:lang w:bidi="en-GB"/>
              </w:rPr>
            </w:pPr>
            <w:r w:rsidRPr="005E7229">
              <w:rPr>
                <w:rFonts w:eastAsia="Verdana" w:cs="Verdana"/>
                <w:lang w:bidi="en-GB"/>
              </w:rPr>
              <w:t>Category 2</w:t>
            </w:r>
          </w:p>
        </w:tc>
        <w:tc>
          <w:tcPr>
            <w:tcW w:w="1248" w:type="dxa"/>
            <w:tcBorders>
              <w:top w:val="nil"/>
              <w:left w:val="nil"/>
              <w:bottom w:val="nil"/>
              <w:right w:val="nil"/>
            </w:tcBorders>
            <w:shd w:val="clear" w:color="auto" w:fill="016794"/>
            <w:tcMar>
              <w:top w:w="0" w:type="dxa"/>
              <w:left w:w="0" w:type="dxa"/>
              <w:bottom w:w="0" w:type="dxa"/>
              <w:right w:w="0" w:type="dxa"/>
            </w:tcMar>
          </w:tcPr>
          <w:p w:rsidR="00F50689" w:rsidRPr="005E7229" w:rsidRDefault="005A36C4" w:rsidP="00F50689">
            <w:pPr>
              <w:pStyle w:val="Heading8pNormalRight01"/>
              <w:rPr>
                <w:rFonts w:eastAsia="Verdana" w:cs="Verdana"/>
                <w:lang w:bidi="en-GB"/>
              </w:rPr>
            </w:pPr>
            <w:r w:rsidRPr="005E7229">
              <w:rPr>
                <w:rFonts w:eastAsia="Verdana" w:cs="Verdana"/>
                <w:lang w:bidi="en-GB"/>
              </w:rPr>
              <w:t>Category 3</w:t>
            </w:r>
          </w:p>
        </w:tc>
        <w:tc>
          <w:tcPr>
            <w:tcW w:w="1247" w:type="dxa"/>
            <w:tcBorders>
              <w:top w:val="nil"/>
              <w:left w:val="nil"/>
              <w:bottom w:val="nil"/>
              <w:right w:val="nil"/>
            </w:tcBorders>
            <w:shd w:val="clear" w:color="auto" w:fill="016794"/>
            <w:tcMar>
              <w:top w:w="0" w:type="dxa"/>
              <w:left w:w="0" w:type="dxa"/>
              <w:bottom w:w="0" w:type="dxa"/>
              <w:right w:w="0" w:type="dxa"/>
            </w:tcMar>
          </w:tcPr>
          <w:p w:rsidR="00F50689" w:rsidRPr="005E7229" w:rsidRDefault="005A36C4" w:rsidP="00F50689">
            <w:pPr>
              <w:pStyle w:val="Heading8pNormalRight01"/>
              <w:rPr>
                <w:rFonts w:eastAsia="Verdana" w:cs="Verdana"/>
                <w:lang w:bidi="en-GB"/>
              </w:rPr>
            </w:pPr>
            <w:r w:rsidRPr="005E7229">
              <w:rPr>
                <w:rFonts w:eastAsia="Verdana" w:cs="Verdana"/>
                <w:lang w:bidi="en-GB"/>
              </w:rPr>
              <w:t>Category 4</w:t>
            </w:r>
          </w:p>
        </w:tc>
        <w:tc>
          <w:tcPr>
            <w:tcW w:w="1248" w:type="dxa"/>
            <w:tcBorders>
              <w:top w:val="nil"/>
              <w:left w:val="nil"/>
              <w:bottom w:val="nil"/>
              <w:right w:val="nil"/>
            </w:tcBorders>
            <w:shd w:val="clear" w:color="auto" w:fill="016794"/>
            <w:tcMar>
              <w:top w:w="0" w:type="dxa"/>
              <w:left w:w="0" w:type="dxa"/>
              <w:bottom w:w="0" w:type="dxa"/>
              <w:right w:w="0" w:type="dxa"/>
            </w:tcMar>
          </w:tcPr>
          <w:p w:rsidR="00F50689" w:rsidRPr="005E7229" w:rsidRDefault="005A36C4" w:rsidP="00F50689">
            <w:pPr>
              <w:pStyle w:val="Heading8pNormalRight01"/>
              <w:rPr>
                <w:rFonts w:eastAsia="Verdana" w:cs="Verdana"/>
                <w:lang w:bidi="en-GB"/>
              </w:rPr>
            </w:pPr>
            <w:r w:rsidRPr="005E7229">
              <w:rPr>
                <w:rFonts w:eastAsia="Verdana" w:cs="Verdana"/>
                <w:lang w:bidi="en-GB"/>
              </w:rPr>
              <w:t>Category 5</w:t>
            </w:r>
          </w:p>
        </w:tc>
      </w:tr>
      <w:tr w:rsidR="00E7728E">
        <w:tc>
          <w:tcPr>
            <w:tcW w:w="351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Text8pBoldLeft"/>
              <w:rPr>
                <w:rFonts w:eastAsia="Verdana" w:cs="Verdana"/>
                <w:lang w:bidi="en-GB"/>
              </w:rPr>
            </w:pPr>
            <w:r w:rsidRPr="005E7229">
              <w:rPr>
                <w:rFonts w:eastAsia="Verdana" w:cs="Verdana"/>
                <w:lang w:bidi="en-GB"/>
              </w:rPr>
              <w:t>Basic salary (per month)</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lang w:bidi="en-GB"/>
              </w:rPr>
            </w:pPr>
            <w:r w:rsidRPr="005E7229">
              <w:rPr>
                <w:rFonts w:eastAsia="Verdana" w:cs="Verdana"/>
                <w:lang w:bidi="en-GB"/>
              </w:rPr>
              <w:t>25 352</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lang w:bidi="en-GB"/>
              </w:rPr>
            </w:pPr>
            <w:r w:rsidRPr="005E7229">
              <w:rPr>
                <w:rFonts w:eastAsia="Verdana" w:cs="Verdana"/>
                <w:lang w:bidi="en-GB"/>
              </w:rPr>
              <w:t xml:space="preserve">22 964 </w:t>
            </w: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lang w:bidi="en-GB"/>
              </w:rPr>
            </w:pPr>
            <w:r w:rsidRPr="005E7229">
              <w:rPr>
                <w:rFonts w:eastAsia="Verdana" w:cs="Verdana"/>
                <w:lang w:bidi="en-GB"/>
              </w:rPr>
              <w:t xml:space="preserve">18 371 </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lang w:bidi="en-GB"/>
              </w:rPr>
            </w:pPr>
            <w:r w:rsidRPr="005E7229">
              <w:rPr>
                <w:rFonts w:eastAsia="Verdana" w:cs="Verdana"/>
                <w:lang w:bidi="en-GB"/>
              </w:rPr>
              <w:t xml:space="preserve">19 840 </w:t>
            </w: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lang w:bidi="en-GB"/>
              </w:rPr>
            </w:pPr>
            <w:r w:rsidRPr="005E7229">
              <w:rPr>
                <w:rFonts w:eastAsia="Verdana" w:cs="Verdana"/>
                <w:lang w:bidi="en-GB"/>
              </w:rPr>
              <w:t xml:space="preserve">11 775 </w:t>
            </w:r>
          </w:p>
        </w:tc>
      </w:tr>
      <w:tr w:rsidR="00E7728E">
        <w:tc>
          <w:tcPr>
            <w:tcW w:w="3510"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Text8pBoldLeft"/>
              <w:rPr>
                <w:rFonts w:eastAsia="Verdana" w:cs="Verdana"/>
                <w:lang w:bidi="en-GB"/>
              </w:rPr>
            </w:pP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lang w:bidi="en-GB"/>
              </w:rPr>
            </w:pP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lang w:bidi="en-GB"/>
              </w:rPr>
            </w:pPr>
            <w:r w:rsidRPr="005E7229">
              <w:rPr>
                <w:rFonts w:eastAsia="Verdana" w:cs="Verdana"/>
                <w:lang w:bidi="en-GB"/>
              </w:rPr>
              <w:t xml:space="preserve"> - 23 882</w:t>
            </w: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lang w:bidi="en-GB"/>
              </w:rPr>
            </w:pPr>
            <w:r w:rsidRPr="005E7229">
              <w:rPr>
                <w:rFonts w:eastAsia="Verdana" w:cs="Verdana"/>
                <w:lang w:bidi="en-GB"/>
              </w:rPr>
              <w:t xml:space="preserve"> - 20 667</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lang w:bidi="en-GB"/>
              </w:rPr>
            </w:pPr>
            <w:r w:rsidRPr="005E7229">
              <w:rPr>
                <w:rFonts w:eastAsia="Verdana" w:cs="Verdana"/>
                <w:lang w:bidi="en-GB"/>
              </w:rPr>
              <w:t xml:space="preserve"> - 21 126</w:t>
            </w: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lang w:bidi="en-GB"/>
              </w:rPr>
            </w:pPr>
            <w:r w:rsidRPr="005E7229">
              <w:rPr>
                <w:rFonts w:eastAsia="Verdana" w:cs="Verdana"/>
                <w:lang w:bidi="en-GB"/>
              </w:rPr>
              <w:t xml:space="preserve"> - 18 518</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Text8pItalicLeft"/>
              <w:rPr>
                <w:rFonts w:eastAsia="Verdana" w:cs="Verdana"/>
                <w:lang w:bidi="en-GB"/>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lang w:bidi="en-GB"/>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lang w:bidi="en-GB"/>
              </w:rPr>
            </w:pP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lang w:bidi="en-GB"/>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lang w:bidi="en-GB"/>
              </w:rPr>
            </w:pP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lang w:bidi="en-GB"/>
              </w:rPr>
            </w:pPr>
          </w:p>
        </w:tc>
      </w:tr>
      <w:tr w:rsidR="00E7728E">
        <w:tc>
          <w:tcPr>
            <w:tcW w:w="351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Text8pBoldLeft"/>
              <w:rPr>
                <w:rFonts w:eastAsia="Verdana" w:cs="Verdana"/>
                <w:lang w:bidi="en-GB"/>
              </w:rPr>
            </w:pPr>
            <w:r w:rsidRPr="005E7229">
              <w:rPr>
                <w:rFonts w:eastAsia="Verdana" w:cs="Verdana"/>
                <w:lang w:bidi="en-GB"/>
              </w:rPr>
              <w:t xml:space="preserve">Residential/Expatriation allowance </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lang w:bidi="en-GB"/>
              </w:rPr>
            </w:pPr>
            <w:r w:rsidRPr="005E7229">
              <w:rPr>
                <w:rFonts w:eastAsia="Verdana" w:cs="Verdana"/>
                <w:lang w:bidi="en-GB"/>
              </w:rPr>
              <w:t>15%</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lang w:bidi="en-GB"/>
              </w:rPr>
            </w:pPr>
            <w:r w:rsidRPr="005E7229">
              <w:rPr>
                <w:rFonts w:eastAsia="Verdana" w:cs="Verdana"/>
                <w:lang w:bidi="en-GB"/>
              </w:rPr>
              <w:t>15%</w:t>
            </w: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lang w:bidi="en-GB"/>
              </w:rPr>
            </w:pPr>
            <w:r w:rsidRPr="005E7229">
              <w:rPr>
                <w:rFonts w:eastAsia="Verdana" w:cs="Verdana"/>
                <w:lang w:bidi="en-GB"/>
              </w:rPr>
              <w:t>15%</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lang w:bidi="en-GB"/>
              </w:rPr>
            </w:pPr>
            <w:r w:rsidRPr="005E7229">
              <w:rPr>
                <w:rFonts w:eastAsia="Verdana" w:cs="Verdana"/>
                <w:lang w:bidi="en-GB"/>
              </w:rPr>
              <w:t>15%</w:t>
            </w: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lang w:bidi="en-GB"/>
              </w:rPr>
            </w:pPr>
            <w:r w:rsidRPr="005E7229">
              <w:rPr>
                <w:rFonts w:eastAsia="Verdana" w:cs="Verdana"/>
                <w:lang w:bidi="en-GB"/>
              </w:rPr>
              <w:t>0-4%-16%</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Text8pItalicLeft"/>
              <w:rPr>
                <w:rFonts w:eastAsia="Verdana" w:cs="Verdana"/>
                <w:lang w:bidi="en-GB"/>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lang w:bidi="en-GB"/>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lang w:bidi="en-GB"/>
              </w:rPr>
            </w:pP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lang w:bidi="en-GB"/>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lang w:bidi="en-GB"/>
              </w:rPr>
            </w:pP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lang w:bidi="en-GB"/>
              </w:rPr>
            </w:pPr>
          </w:p>
        </w:tc>
      </w:tr>
      <w:tr w:rsidR="00E7728E">
        <w:tc>
          <w:tcPr>
            <w:tcW w:w="351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Text8pBoldLeft"/>
              <w:rPr>
                <w:rFonts w:eastAsia="Verdana" w:cs="Verdana"/>
                <w:lang w:bidi="en-GB"/>
              </w:rPr>
            </w:pPr>
            <w:r w:rsidRPr="005E7229">
              <w:rPr>
                <w:rFonts w:eastAsia="Verdana" w:cs="Verdana"/>
                <w:lang w:bidi="en-GB"/>
              </w:rPr>
              <w:t>Family allowances:</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lang w:bidi="en-GB"/>
              </w:rPr>
            </w:pP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lang w:bidi="en-GB"/>
              </w:rPr>
            </w:pP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lang w:bidi="en-GB"/>
              </w:rPr>
            </w:pP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lang w:bidi="en-GB"/>
              </w:rPr>
            </w:pP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lang w:bidi="en-GB"/>
              </w:rPr>
            </w:pP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lang w:bidi="en-GB"/>
              </w:rPr>
            </w:pPr>
            <w:r w:rsidRPr="005E7229">
              <w:rPr>
                <w:rFonts w:eastAsia="Verdana" w:cs="Verdana"/>
                <w:lang w:bidi="en-GB"/>
              </w:rPr>
              <w:t>Household (% salary)</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2% + 171.88</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2% + 171.88</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2% + 171.88</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2% + 171.88</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2% + 171.88</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lang w:bidi="en-GB"/>
              </w:rPr>
            </w:pPr>
            <w:r w:rsidRPr="005E7229">
              <w:rPr>
                <w:rFonts w:eastAsia="Verdana" w:cs="Verdana"/>
                <w:lang w:bidi="en-GB"/>
              </w:rPr>
              <w:t>Dependent child</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375.59</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375.59</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375.59</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375.59</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375.59</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lang w:bidi="en-GB"/>
              </w:rPr>
            </w:pPr>
            <w:r w:rsidRPr="005E7229">
              <w:rPr>
                <w:rFonts w:eastAsia="Verdana" w:cs="Verdana"/>
                <w:lang w:bidi="en-GB"/>
              </w:rPr>
              <w:t>Pre-school</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91.75</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91.75</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91.75</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91.75</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91.75</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lang w:bidi="en-GB"/>
              </w:rPr>
            </w:pPr>
            <w:r w:rsidRPr="005E7229">
              <w:rPr>
                <w:rFonts w:eastAsia="Verdana" w:cs="Verdana"/>
                <w:lang w:bidi="en-GB"/>
              </w:rPr>
              <w:t>Education, or</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254.83</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254.83</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254.83</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254.83</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254.83</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lang w:bidi="en-GB"/>
              </w:rPr>
            </w:pPr>
            <w:r w:rsidRPr="005E7229">
              <w:rPr>
                <w:rFonts w:eastAsia="Verdana" w:cs="Verdana"/>
                <w:lang w:bidi="en-GB"/>
              </w:rPr>
              <w:t>Education outside place of work</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509.66</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509.66</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509.66</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509.66</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509.66</w:t>
            </w:r>
          </w:p>
        </w:tc>
      </w:tr>
      <w:tr w:rsidR="00E7728E">
        <w:tc>
          <w:tcPr>
            <w:tcW w:w="351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Text8pBoldLeft"/>
              <w:rPr>
                <w:rFonts w:eastAsia="Verdana" w:cs="Verdana"/>
                <w:lang w:bidi="en-GB"/>
              </w:rPr>
            </w:pPr>
            <w:r w:rsidRPr="005E7229">
              <w:rPr>
                <w:rFonts w:eastAsia="Verdana" w:cs="Verdana"/>
                <w:lang w:bidi="en-GB"/>
              </w:rPr>
              <w:t>Presiding judges allowance</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lang w:bidi="en-GB"/>
              </w:rPr>
            </w:pPr>
            <w:r w:rsidRPr="005E7229">
              <w:rPr>
                <w:rFonts w:eastAsia="Verdana" w:cs="Verdana"/>
                <w:lang w:bidi="en-GB"/>
              </w:rPr>
              <w:t>N/A</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lang w:bidi="en-GB"/>
              </w:rPr>
            </w:pPr>
            <w:r w:rsidRPr="005E7229">
              <w:rPr>
                <w:rFonts w:eastAsia="Verdana" w:cs="Verdana"/>
                <w:lang w:bidi="en-GB"/>
              </w:rPr>
              <w:t>N/A</w:t>
            </w: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lang w:bidi="en-GB"/>
              </w:rPr>
            </w:pPr>
            <w:r w:rsidRPr="005E7229">
              <w:rPr>
                <w:rFonts w:eastAsia="Verdana" w:cs="Verdana"/>
                <w:lang w:bidi="en-GB"/>
              </w:rPr>
              <w:t>554.17 - 607.71</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lang w:bidi="en-GB"/>
              </w:rPr>
            </w:pPr>
            <w:r w:rsidRPr="005E7229">
              <w:rPr>
                <w:rFonts w:eastAsia="Verdana" w:cs="Verdana"/>
                <w:lang w:bidi="en-GB"/>
              </w:rPr>
              <w:t>N/A</w:t>
            </w: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lang w:bidi="en-GB"/>
              </w:rPr>
            </w:pPr>
            <w:r w:rsidRPr="005E7229">
              <w:rPr>
                <w:rFonts w:eastAsia="Verdana" w:cs="Verdana"/>
                <w:lang w:bidi="en-GB"/>
              </w:rPr>
              <w:t>N/A</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Text8pItalicLeft"/>
              <w:rPr>
                <w:rFonts w:eastAsia="Verdana" w:cs="Verdana"/>
                <w:lang w:bidi="en-GB"/>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lang w:bidi="en-GB"/>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lang w:bidi="en-GB"/>
              </w:rPr>
            </w:pP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lang w:bidi="en-GB"/>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lang w:bidi="en-GB"/>
              </w:rPr>
            </w:pP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lang w:bidi="en-GB"/>
              </w:rPr>
            </w:pPr>
          </w:p>
        </w:tc>
      </w:tr>
      <w:tr w:rsidR="00E7728E">
        <w:tc>
          <w:tcPr>
            <w:tcW w:w="351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Text8pBoldLeft"/>
              <w:rPr>
                <w:rFonts w:eastAsia="Verdana" w:cs="Verdana"/>
                <w:lang w:bidi="en-GB"/>
              </w:rPr>
            </w:pPr>
            <w:r w:rsidRPr="005E7229">
              <w:rPr>
                <w:rFonts w:eastAsia="Verdana" w:cs="Verdana"/>
                <w:lang w:bidi="en-GB"/>
              </w:rPr>
              <w:t>Representation allowance</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lang w:bidi="en-GB"/>
              </w:rPr>
            </w:pPr>
            <w:r w:rsidRPr="005E7229">
              <w:rPr>
                <w:rFonts w:eastAsia="Verdana" w:cs="Verdana"/>
                <w:lang w:bidi="en-GB"/>
              </w:rPr>
              <w:t>1</w:t>
            </w:r>
            <w:r w:rsidR="00E8741F">
              <w:rPr>
                <w:rFonts w:eastAsia="Verdana" w:cs="Verdana"/>
                <w:lang w:bidi="en-GB"/>
              </w:rPr>
              <w:t xml:space="preserve"> </w:t>
            </w:r>
            <w:r w:rsidRPr="005E7229">
              <w:rPr>
                <w:rFonts w:eastAsia="Verdana" w:cs="Verdana"/>
                <w:lang w:bidi="en-GB"/>
              </w:rPr>
              <w:t>418.07</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lang w:bidi="en-GB"/>
              </w:rPr>
            </w:pPr>
            <w:r w:rsidRPr="005E7229">
              <w:rPr>
                <w:rFonts w:eastAsia="Verdana" w:cs="Verdana"/>
                <w:lang w:bidi="en-GB"/>
              </w:rPr>
              <w:t>0 - 911.38</w:t>
            </w: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lang w:bidi="en-GB"/>
              </w:rPr>
            </w:pPr>
            <w:r w:rsidRPr="005E7229">
              <w:rPr>
                <w:rFonts w:eastAsia="Verdana" w:cs="Verdana"/>
                <w:lang w:bidi="en-GB"/>
              </w:rPr>
              <w:t>554.17 - 607.71</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lang w:bidi="en-GB"/>
              </w:rPr>
            </w:pPr>
            <w:r w:rsidRPr="005E7229">
              <w:rPr>
                <w:rFonts w:eastAsia="Verdana" w:cs="Verdana"/>
                <w:lang w:bidi="en-GB"/>
              </w:rPr>
              <w:t>N/A</w:t>
            </w: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lang w:bidi="en-GB"/>
              </w:rPr>
            </w:pPr>
            <w:r w:rsidRPr="005E7229">
              <w:rPr>
                <w:rFonts w:eastAsia="Verdana" w:cs="Verdana"/>
                <w:lang w:bidi="en-GB"/>
              </w:rPr>
              <w:t>N/A</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Text8pItalicLeft"/>
              <w:rPr>
                <w:rFonts w:eastAsia="Verdana" w:cs="Verdana"/>
                <w:lang w:bidi="en-GB"/>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lang w:bidi="en-GB"/>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lang w:bidi="en-GB"/>
              </w:rPr>
            </w:pP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lang w:bidi="en-GB"/>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lang w:bidi="en-GB"/>
              </w:rPr>
            </w:pP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lang w:bidi="en-GB"/>
              </w:rPr>
            </w:pPr>
          </w:p>
        </w:tc>
      </w:tr>
      <w:tr w:rsidR="00E7728E">
        <w:tc>
          <w:tcPr>
            <w:tcW w:w="351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Text8pBoldLeft"/>
              <w:rPr>
                <w:rFonts w:eastAsia="Verdana" w:cs="Verdana"/>
                <w:lang w:bidi="en-GB"/>
              </w:rPr>
            </w:pPr>
            <w:r w:rsidRPr="005E7229">
              <w:rPr>
                <w:rFonts w:eastAsia="Verdana" w:cs="Verdana"/>
                <w:lang w:bidi="en-GB"/>
              </w:rPr>
              <w:t>Annual travel costs</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lang w:bidi="en-GB"/>
              </w:rPr>
            </w:pPr>
            <w:r w:rsidRPr="005E7229">
              <w:rPr>
                <w:rFonts w:eastAsia="Verdana" w:cs="Verdana"/>
                <w:lang w:bidi="en-GB"/>
              </w:rPr>
              <w:t>N/A</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lang w:bidi="en-GB"/>
              </w:rPr>
            </w:pPr>
            <w:r w:rsidRPr="005E7229">
              <w:rPr>
                <w:rFonts w:eastAsia="Verdana" w:cs="Verdana"/>
                <w:lang w:bidi="en-GB"/>
              </w:rPr>
              <w:t>N/A</w:t>
            </w: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lang w:bidi="en-GB"/>
              </w:rPr>
            </w:pPr>
            <w:r w:rsidRPr="005E7229">
              <w:rPr>
                <w:rFonts w:eastAsia="Verdana" w:cs="Verdana"/>
                <w:lang w:bidi="en-GB"/>
              </w:rPr>
              <w:t>N/A</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lang w:bidi="en-GB"/>
              </w:rPr>
            </w:pPr>
            <w:r w:rsidRPr="005E7229">
              <w:rPr>
                <w:rFonts w:eastAsia="Verdana" w:cs="Verdana"/>
                <w:lang w:bidi="en-GB"/>
              </w:rPr>
              <w:t>N/A</w:t>
            </w: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lang w:bidi="en-GB"/>
              </w:rPr>
            </w:pPr>
            <w:r w:rsidRPr="005E7229">
              <w:rPr>
                <w:rFonts w:eastAsia="Verdana" w:cs="Verdana"/>
                <w:lang w:bidi="en-GB"/>
              </w:rPr>
              <w:t>N/A</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Text8pItalicLeft"/>
              <w:rPr>
                <w:rFonts w:eastAsia="Verdana" w:cs="Verdana"/>
                <w:lang w:bidi="en-GB"/>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lang w:bidi="en-GB"/>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lang w:bidi="en-GB"/>
              </w:rPr>
            </w:pP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lang w:bidi="en-GB"/>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lang w:bidi="en-GB"/>
              </w:rPr>
            </w:pP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lang w:bidi="en-GB"/>
              </w:rPr>
            </w:pPr>
          </w:p>
        </w:tc>
      </w:tr>
      <w:tr w:rsidR="00E7728E">
        <w:tc>
          <w:tcPr>
            <w:tcW w:w="351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Text8pBoldLeft"/>
              <w:rPr>
                <w:rFonts w:eastAsia="Verdana" w:cs="Verdana"/>
                <w:lang w:bidi="en-GB"/>
              </w:rPr>
            </w:pPr>
            <w:r w:rsidRPr="005E7229">
              <w:rPr>
                <w:rFonts w:eastAsia="Verdana" w:cs="Verdana"/>
                <w:lang w:bidi="en-GB"/>
              </w:rPr>
              <w:t>Transfers to Member State:</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lang w:bidi="en-GB"/>
              </w:rPr>
            </w:pP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lang w:bidi="en-GB"/>
              </w:rPr>
            </w:pP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lang w:bidi="en-GB"/>
              </w:rPr>
            </w:pP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lang w:bidi="en-GB"/>
              </w:rPr>
            </w:pP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lang w:bidi="en-GB"/>
              </w:rPr>
            </w:pP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lang w:bidi="en-GB"/>
              </w:rPr>
            </w:pPr>
            <w:r w:rsidRPr="005E7229">
              <w:rPr>
                <w:rFonts w:eastAsia="Verdana" w:cs="Verdana"/>
                <w:lang w:bidi="en-GB"/>
              </w:rPr>
              <w:t>Education allowance*</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Yes</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Yes</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Yes</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Yes</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Yes</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lang w:bidi="en-GB"/>
              </w:rPr>
            </w:pPr>
            <w:r w:rsidRPr="005E7229">
              <w:rPr>
                <w:rFonts w:eastAsia="Verdana" w:cs="Verdana"/>
                <w:lang w:bidi="en-GB"/>
              </w:rPr>
              <w:t>% of salary*</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5%</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5%</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5%</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5%</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5%</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lang w:bidi="en-GB"/>
              </w:rPr>
            </w:pPr>
            <w:r w:rsidRPr="005E7229">
              <w:rPr>
                <w:rFonts w:eastAsia="Verdana" w:cs="Verdana"/>
                <w:lang w:bidi="en-GB"/>
              </w:rPr>
              <w:t>% of salary with no cc</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max 25%</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max 25%</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max 25%</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max 25%</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max 25%</w:t>
            </w:r>
          </w:p>
        </w:tc>
      </w:tr>
      <w:tr w:rsidR="00E7728E">
        <w:tc>
          <w:tcPr>
            <w:tcW w:w="351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Text8pBoldLeft"/>
              <w:rPr>
                <w:rFonts w:eastAsia="Verdana" w:cs="Verdana"/>
                <w:lang w:bidi="en-GB"/>
              </w:rPr>
            </w:pPr>
            <w:r w:rsidRPr="005E7229">
              <w:rPr>
                <w:rFonts w:eastAsia="Verdana" w:cs="Verdana"/>
                <w:lang w:bidi="en-GB"/>
              </w:rPr>
              <w:t>Representation expenses</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lang w:bidi="en-GB"/>
              </w:rPr>
            </w:pPr>
            <w:r w:rsidRPr="005E7229">
              <w:rPr>
                <w:rFonts w:eastAsia="Verdana" w:cs="Verdana"/>
                <w:lang w:bidi="en-GB"/>
              </w:rPr>
              <w:t>Reimbursed</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lang w:bidi="en-GB"/>
              </w:rPr>
            </w:pPr>
            <w:r w:rsidRPr="005E7229">
              <w:rPr>
                <w:rFonts w:eastAsia="Verdana" w:cs="Verdana"/>
                <w:lang w:bidi="en-GB"/>
              </w:rPr>
              <w:t>Reimbursed</w:t>
            </w: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lang w:bidi="en-GB"/>
              </w:rPr>
            </w:pPr>
            <w:r w:rsidRPr="005E7229">
              <w:rPr>
                <w:rFonts w:eastAsia="Verdana" w:cs="Verdana"/>
                <w:lang w:bidi="en-GB"/>
              </w:rPr>
              <w:t>Reimbursed</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lang w:bidi="en-GB"/>
              </w:rPr>
            </w:pPr>
            <w:r w:rsidRPr="005E7229">
              <w:rPr>
                <w:rFonts w:eastAsia="Verdana" w:cs="Verdana"/>
                <w:lang w:bidi="en-GB"/>
              </w:rPr>
              <w:t>N/A</w:t>
            </w: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lang w:bidi="en-GB"/>
              </w:rPr>
            </w:pPr>
            <w:r w:rsidRPr="005E7229">
              <w:rPr>
                <w:rFonts w:eastAsia="Verdana" w:cs="Verdana"/>
                <w:lang w:bidi="en-GB"/>
              </w:rPr>
              <w:t>N/A</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Text8pItalicLeft"/>
              <w:rPr>
                <w:rFonts w:eastAsia="Verdana" w:cs="Verdana"/>
                <w:lang w:bidi="en-GB"/>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lang w:bidi="en-GB"/>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lang w:bidi="en-GB"/>
              </w:rPr>
            </w:pP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lang w:bidi="en-GB"/>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lang w:bidi="en-GB"/>
              </w:rPr>
            </w:pP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lang w:bidi="en-GB"/>
              </w:rPr>
            </w:pPr>
          </w:p>
        </w:tc>
      </w:tr>
      <w:tr w:rsidR="00E7728E">
        <w:tc>
          <w:tcPr>
            <w:tcW w:w="351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Text8pBoldLeft"/>
              <w:rPr>
                <w:rFonts w:eastAsia="Verdana" w:cs="Verdana"/>
                <w:lang w:bidi="en-GB"/>
              </w:rPr>
            </w:pPr>
            <w:r w:rsidRPr="005E7229">
              <w:rPr>
                <w:rFonts w:eastAsia="Verdana" w:cs="Verdana"/>
                <w:lang w:bidi="en-GB"/>
              </w:rPr>
              <w:t>Taking up duty:</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lang w:bidi="en-GB"/>
              </w:rPr>
            </w:pP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lang w:bidi="en-GB"/>
              </w:rPr>
            </w:pP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lang w:bidi="en-GB"/>
              </w:rPr>
            </w:pP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lang w:bidi="en-GB"/>
              </w:rPr>
            </w:pP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lang w:bidi="en-GB"/>
              </w:rPr>
            </w:pP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lang w:bidi="en-GB"/>
              </w:rPr>
            </w:pPr>
            <w:r w:rsidRPr="005E7229">
              <w:rPr>
                <w:rFonts w:eastAsia="Verdana" w:cs="Verdana"/>
                <w:lang w:bidi="en-GB"/>
              </w:rPr>
              <w:t>Installation expenses</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50 703.52</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45 927.10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36 741.68</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39 681.02</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Reimbursed</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Text8pNormalLeft"/>
              <w:ind w:left="0"/>
              <w:rPr>
                <w:rFonts w:eastAsia="Verdana" w:cs="Verdana"/>
                <w:lang w:bidi="en-GB"/>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NormalRight025"/>
              <w:rPr>
                <w:rFonts w:eastAsia="Verdana" w:cs="Verdana"/>
                <w:lang w:bidi="en-GB"/>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- 47 764.18</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- 41 334.40</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- 42 252.94</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NormalRight025"/>
              <w:rPr>
                <w:rFonts w:eastAsia="Verdana" w:cs="Verdana"/>
                <w:lang w:bidi="en-GB"/>
              </w:rPr>
            </w:pP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lang w:bidi="en-GB"/>
              </w:rPr>
            </w:pPr>
            <w:r w:rsidRPr="005E7229">
              <w:rPr>
                <w:rFonts w:eastAsia="Verdana" w:cs="Verdana"/>
                <w:lang w:bidi="en-GB"/>
              </w:rPr>
              <w:t>Family travel expenses</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Reimbursed</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Reimbursed</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Reimbursed</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Reimbursed</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Reimbursed</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lang w:bidi="en-GB"/>
              </w:rPr>
            </w:pPr>
            <w:r w:rsidRPr="005E7229">
              <w:rPr>
                <w:rFonts w:eastAsia="Verdana" w:cs="Verdana"/>
                <w:lang w:bidi="en-GB"/>
              </w:rPr>
              <w:t>Moving expenses</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Reimbursed</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Reimbursed</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Reimbursed</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Reimbursed</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Reimbursed</w:t>
            </w:r>
          </w:p>
        </w:tc>
      </w:tr>
      <w:tr w:rsidR="00E7728E">
        <w:tc>
          <w:tcPr>
            <w:tcW w:w="351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Text8pBoldLeft"/>
              <w:rPr>
                <w:rFonts w:eastAsia="Verdana" w:cs="Verdana"/>
                <w:lang w:bidi="en-GB"/>
              </w:rPr>
            </w:pPr>
            <w:r w:rsidRPr="005E7229">
              <w:rPr>
                <w:rFonts w:eastAsia="Verdana" w:cs="Verdana"/>
                <w:lang w:bidi="en-GB"/>
              </w:rPr>
              <w:t>Leaving office:</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lang w:bidi="en-GB"/>
              </w:rPr>
            </w:pP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lang w:bidi="en-GB"/>
              </w:rPr>
            </w:pP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lang w:bidi="en-GB"/>
              </w:rPr>
            </w:pP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lang w:bidi="en-GB"/>
              </w:rPr>
            </w:pP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lang w:bidi="en-GB"/>
              </w:rPr>
            </w:pP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lang w:bidi="en-GB"/>
              </w:rPr>
            </w:pPr>
            <w:r w:rsidRPr="005E7229">
              <w:rPr>
                <w:rFonts w:eastAsia="Verdana" w:cs="Verdana"/>
                <w:lang w:bidi="en-GB"/>
              </w:rPr>
              <w:t>Resettlement expenses</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25 352</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 xml:space="preserve">22 964 </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 xml:space="preserve">18 371 </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 xml:space="preserve">19 840 </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Reimbursed</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Text8pNormalLeft"/>
              <w:ind w:left="0"/>
              <w:rPr>
                <w:rFonts w:eastAsia="Verdana" w:cs="Verdana"/>
                <w:lang w:bidi="en-GB"/>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NormalRight025"/>
              <w:rPr>
                <w:rFonts w:eastAsia="Verdana" w:cs="Verdana"/>
                <w:lang w:bidi="en-GB"/>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 xml:space="preserve"> - 23 882</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 xml:space="preserve"> - 20 667</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 xml:space="preserve"> - 21 126</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NormalRight025"/>
              <w:rPr>
                <w:rFonts w:eastAsia="Verdana" w:cs="Verdana"/>
                <w:lang w:bidi="en-GB"/>
              </w:rPr>
            </w:pP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lang w:bidi="en-GB"/>
              </w:rPr>
            </w:pPr>
            <w:r w:rsidRPr="005E7229">
              <w:rPr>
                <w:rFonts w:eastAsia="Verdana" w:cs="Verdana"/>
                <w:lang w:bidi="en-GB"/>
              </w:rPr>
              <w:t>Family travel expenses</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Reimbursed</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Reimbursed</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Reimbursed</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Reimbursed</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Reimbursed</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lang w:bidi="en-GB"/>
              </w:rPr>
            </w:pPr>
            <w:r w:rsidRPr="005E7229">
              <w:rPr>
                <w:rFonts w:eastAsia="Verdana" w:cs="Verdana"/>
                <w:lang w:bidi="en-GB"/>
              </w:rPr>
              <w:t>Moving expenses</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Reimbursed</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Reimbursed</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Reimbursed</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Reimbursed</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Reimbursed</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lang w:bidi="en-GB"/>
              </w:rPr>
            </w:pPr>
            <w:r w:rsidRPr="005E7229">
              <w:rPr>
                <w:rFonts w:eastAsia="Verdana" w:cs="Verdana"/>
                <w:lang w:bidi="en-GB"/>
              </w:rPr>
              <w:t>Transition (% salary)**</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40% - 65%</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40% - 65%</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40% - 65%</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40% - 65%</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N/A</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lang w:bidi="en-GB"/>
              </w:rPr>
            </w:pPr>
            <w:r w:rsidRPr="005E7229">
              <w:rPr>
                <w:rFonts w:eastAsia="Verdana" w:cs="Verdana"/>
                <w:lang w:bidi="en-GB"/>
              </w:rPr>
              <w:t>Sickness insurance</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Covered</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Covered</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Covered</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Covered</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Covered</w:t>
            </w:r>
          </w:p>
        </w:tc>
      </w:tr>
      <w:tr w:rsidR="00E7728E">
        <w:tc>
          <w:tcPr>
            <w:tcW w:w="351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Text8pBoldLeft"/>
              <w:rPr>
                <w:rFonts w:eastAsia="Verdana" w:cs="Verdana"/>
                <w:lang w:bidi="en-GB"/>
              </w:rPr>
            </w:pPr>
            <w:r w:rsidRPr="005E7229">
              <w:rPr>
                <w:rFonts w:eastAsia="Verdana" w:cs="Verdana"/>
                <w:lang w:bidi="en-GB"/>
              </w:rPr>
              <w:t>Pension (% salary, before tax)</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lang w:bidi="en-GB"/>
              </w:rPr>
            </w:pPr>
            <w:r w:rsidRPr="005E7229">
              <w:rPr>
                <w:rFonts w:eastAsia="Verdana" w:cs="Verdana"/>
                <w:lang w:bidi="en-GB"/>
              </w:rPr>
              <w:t>Max 70%</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lang w:bidi="en-GB"/>
              </w:rPr>
            </w:pPr>
            <w:r w:rsidRPr="005E7229">
              <w:rPr>
                <w:rFonts w:eastAsia="Verdana" w:cs="Verdana"/>
                <w:lang w:bidi="en-GB"/>
              </w:rPr>
              <w:t>Max 70%</w:t>
            </w: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lang w:bidi="en-GB"/>
              </w:rPr>
            </w:pPr>
            <w:r w:rsidRPr="005E7229">
              <w:rPr>
                <w:rFonts w:eastAsia="Verdana" w:cs="Verdana"/>
                <w:lang w:bidi="en-GB"/>
              </w:rPr>
              <w:t>Max 70%</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lang w:bidi="en-GB"/>
              </w:rPr>
            </w:pPr>
            <w:r w:rsidRPr="005E7229">
              <w:rPr>
                <w:rFonts w:eastAsia="Verdana" w:cs="Verdana"/>
                <w:lang w:bidi="en-GB"/>
              </w:rPr>
              <w:t>Max 70%</w:t>
            </w: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lang w:bidi="en-GB"/>
              </w:rPr>
            </w:pPr>
            <w:r w:rsidRPr="005E7229">
              <w:rPr>
                <w:rFonts w:eastAsia="Verdana" w:cs="Verdana"/>
                <w:lang w:bidi="en-GB"/>
              </w:rPr>
              <w:t>Max 70%</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Text8pItalicLeft"/>
              <w:rPr>
                <w:rFonts w:eastAsia="Verdana" w:cs="Verdana"/>
                <w:lang w:bidi="en-GB"/>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lang w:bidi="en-GB"/>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lang w:bidi="en-GB"/>
              </w:rPr>
            </w:pP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lang w:bidi="en-GB"/>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lang w:bidi="en-GB"/>
              </w:rPr>
            </w:pP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lang w:bidi="en-GB"/>
              </w:rPr>
            </w:pPr>
          </w:p>
        </w:tc>
      </w:tr>
      <w:tr w:rsidR="00E7728E">
        <w:tc>
          <w:tcPr>
            <w:tcW w:w="351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Text8pBoldLeft"/>
              <w:rPr>
                <w:rFonts w:eastAsia="Verdana" w:cs="Verdana"/>
                <w:lang w:bidi="en-GB"/>
              </w:rPr>
            </w:pPr>
            <w:r w:rsidRPr="005E7229">
              <w:rPr>
                <w:rFonts w:eastAsia="Verdana" w:cs="Verdana"/>
                <w:lang w:bidi="en-GB"/>
              </w:rPr>
              <w:t>Deductions:</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lang w:bidi="en-GB"/>
              </w:rPr>
            </w:pP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lang w:bidi="en-GB"/>
              </w:rPr>
            </w:pP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lang w:bidi="en-GB"/>
              </w:rPr>
            </w:pP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lang w:bidi="en-GB"/>
              </w:rPr>
            </w:pP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lang w:bidi="en-GB"/>
              </w:rPr>
            </w:pP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lang w:bidi="en-GB"/>
              </w:rPr>
            </w:pPr>
            <w:r w:rsidRPr="005E7229">
              <w:rPr>
                <w:rFonts w:eastAsia="Verdana" w:cs="Verdana"/>
                <w:lang w:bidi="en-GB"/>
              </w:rPr>
              <w:t>Tax on salary</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8% - 45%</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8% - 45%</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8% - 45%</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8% - 45%</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8% - 45%</w:t>
            </w:r>
          </w:p>
        </w:tc>
      </w:tr>
      <w:tr w:rsidR="00E7728E">
        <w:tc>
          <w:tcPr>
            <w:tcW w:w="351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Text8pBoldLeft"/>
              <w:rPr>
                <w:rFonts w:eastAsia="Verdana" w:cs="Verdana"/>
                <w:lang w:bidi="en-GB"/>
              </w:rPr>
            </w:pPr>
            <w:r w:rsidRPr="005E7229">
              <w:rPr>
                <w:rFonts w:eastAsia="Verdana" w:cs="Verdana"/>
                <w:lang w:bidi="en-GB"/>
              </w:rPr>
              <w:t>Sickness insurance (% salary)</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lang w:bidi="en-GB"/>
              </w:rPr>
            </w:pPr>
            <w:r w:rsidRPr="005E7229">
              <w:rPr>
                <w:rFonts w:eastAsia="Verdana" w:cs="Verdana"/>
                <w:lang w:bidi="en-GB"/>
              </w:rPr>
              <w:t>1.7%</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lang w:bidi="en-GB"/>
              </w:rPr>
            </w:pPr>
            <w:r w:rsidRPr="005E7229">
              <w:rPr>
                <w:rFonts w:eastAsia="Verdana" w:cs="Verdana"/>
                <w:lang w:bidi="en-GB"/>
              </w:rPr>
              <w:t>1.7%</w:t>
            </w: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lang w:bidi="en-GB"/>
              </w:rPr>
            </w:pPr>
            <w:r w:rsidRPr="005E7229">
              <w:rPr>
                <w:rFonts w:eastAsia="Verdana" w:cs="Verdana"/>
                <w:lang w:bidi="en-GB"/>
              </w:rPr>
              <w:t>1.7%</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lang w:bidi="en-GB"/>
              </w:rPr>
            </w:pPr>
            <w:r w:rsidRPr="005E7229">
              <w:rPr>
                <w:rFonts w:eastAsia="Verdana" w:cs="Verdana"/>
                <w:lang w:bidi="en-GB"/>
              </w:rPr>
              <w:t>1.7%</w:t>
            </w: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lang w:bidi="en-GB"/>
              </w:rPr>
            </w:pPr>
            <w:r w:rsidRPr="005E7229">
              <w:rPr>
                <w:rFonts w:eastAsia="Verdana" w:cs="Verdana"/>
                <w:lang w:bidi="en-GB"/>
              </w:rPr>
              <w:t>1.7%</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lang w:bidi="en-GB"/>
              </w:rPr>
            </w:pPr>
            <w:r w:rsidRPr="005E7229">
              <w:rPr>
                <w:rFonts w:eastAsia="Verdana" w:cs="Verdana"/>
                <w:lang w:bidi="en-GB"/>
              </w:rPr>
              <w:t>Special levy on salary</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E8741F">
            <w:pPr>
              <w:pStyle w:val="Figures8pNormalRight025"/>
              <w:rPr>
                <w:rFonts w:eastAsia="Verdana" w:cs="Verdana"/>
                <w:lang w:bidi="en-GB"/>
              </w:rPr>
            </w:pPr>
            <w:r w:rsidRPr="005E7229">
              <w:rPr>
                <w:rFonts w:eastAsia="Verdana" w:cs="Verdana"/>
                <w:lang w:bidi="en-GB"/>
              </w:rPr>
              <w:t>7%</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E8741F">
            <w:pPr>
              <w:pStyle w:val="Figures8pNormalRight025"/>
              <w:rPr>
                <w:rFonts w:eastAsia="Verdana" w:cs="Verdana"/>
                <w:lang w:bidi="en-GB"/>
              </w:rPr>
            </w:pPr>
            <w:r w:rsidRPr="005E7229">
              <w:rPr>
                <w:rFonts w:eastAsia="Verdana" w:cs="Verdana"/>
                <w:lang w:bidi="en-GB"/>
              </w:rPr>
              <w:t>7%</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E8741F">
            <w:pPr>
              <w:pStyle w:val="Figures8pNormalRight025"/>
              <w:rPr>
                <w:rFonts w:eastAsia="Verdana" w:cs="Verdana"/>
                <w:lang w:bidi="en-GB"/>
              </w:rPr>
            </w:pPr>
            <w:r w:rsidRPr="005E7229">
              <w:rPr>
                <w:rFonts w:eastAsia="Verdana" w:cs="Verdana"/>
                <w:lang w:bidi="en-GB"/>
              </w:rPr>
              <w:t>7%</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E8741F">
            <w:pPr>
              <w:pStyle w:val="Figures8pNormalRight025"/>
              <w:rPr>
                <w:rFonts w:eastAsia="Verdana" w:cs="Verdana"/>
                <w:lang w:bidi="en-GB"/>
              </w:rPr>
            </w:pPr>
            <w:r w:rsidRPr="005E7229">
              <w:rPr>
                <w:rFonts w:eastAsia="Verdana" w:cs="Verdana"/>
                <w:lang w:bidi="en-GB"/>
              </w:rPr>
              <w:t>7%</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6-7%</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lang w:bidi="en-GB"/>
              </w:rPr>
            </w:pPr>
            <w:r w:rsidRPr="005E7229">
              <w:rPr>
                <w:rFonts w:eastAsia="Verdana" w:cs="Verdana"/>
                <w:lang w:bidi="en-GB"/>
              </w:rPr>
              <w:t>Pension deduction</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N/A</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N/A</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N/A</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N/A</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lang w:bidi="en-GB"/>
              </w:rPr>
            </w:pPr>
            <w:r w:rsidRPr="005E7229">
              <w:rPr>
                <w:rFonts w:eastAsia="Verdana" w:cs="Verdana"/>
                <w:lang w:bidi="en-GB"/>
              </w:rPr>
              <w:t>10.9-10.1%***</w:t>
            </w:r>
          </w:p>
        </w:tc>
      </w:tr>
      <w:tr w:rsidR="00E7728E">
        <w:tc>
          <w:tcPr>
            <w:tcW w:w="351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Text8pBoldLeft"/>
              <w:rPr>
                <w:rFonts w:eastAsia="Verdana" w:cs="Verdana"/>
                <w:lang w:bidi="en-GB"/>
              </w:rPr>
            </w:pPr>
            <w:r w:rsidRPr="005E7229">
              <w:rPr>
                <w:rFonts w:eastAsia="Verdana" w:cs="Verdana"/>
                <w:lang w:bidi="en-GB"/>
              </w:rPr>
              <w:t>Number of persons at year-end</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BoldRight025"/>
              <w:rPr>
                <w:rFonts w:eastAsia="Verdana" w:cs="Verdana"/>
                <w:lang w:bidi="en-GB"/>
              </w:rPr>
            </w:pPr>
            <w:r w:rsidRPr="005E7229">
              <w:rPr>
                <w:rFonts w:eastAsia="Verdana" w:cs="Verdana"/>
                <w:lang w:bidi="en-GB"/>
              </w:rPr>
              <w:t>3</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BoldRight025"/>
              <w:rPr>
                <w:rFonts w:eastAsia="Verdana" w:cs="Verdana"/>
                <w:lang w:bidi="en-GB"/>
              </w:rPr>
            </w:pPr>
            <w:r w:rsidRPr="005E7229">
              <w:rPr>
                <w:rFonts w:eastAsia="Verdana" w:cs="Verdana"/>
                <w:lang w:bidi="en-GB"/>
              </w:rPr>
              <w:t>8</w:t>
            </w: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BoldRight025"/>
              <w:rPr>
                <w:rFonts w:eastAsia="Verdana" w:cs="Verdana"/>
                <w:lang w:bidi="en-GB"/>
              </w:rPr>
            </w:pPr>
            <w:r w:rsidRPr="005E7229">
              <w:rPr>
                <w:rFonts w:eastAsia="Verdana" w:cs="Verdana"/>
                <w:lang w:bidi="en-GB"/>
              </w:rPr>
              <w:t>93</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BoldRight025"/>
              <w:rPr>
                <w:rFonts w:eastAsia="Verdana" w:cs="Verdana"/>
                <w:lang w:bidi="en-GB"/>
              </w:rPr>
            </w:pPr>
            <w:r w:rsidRPr="005E7229">
              <w:rPr>
                <w:rFonts w:eastAsia="Verdana" w:cs="Verdana"/>
                <w:lang w:bidi="en-GB"/>
              </w:rPr>
              <w:t>28</w:t>
            </w: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BoldRight025"/>
              <w:rPr>
                <w:rFonts w:eastAsia="Verdana" w:cs="Verdana"/>
                <w:lang w:bidi="en-GB"/>
              </w:rPr>
            </w:pPr>
            <w:r w:rsidRPr="005E7229">
              <w:rPr>
                <w:rFonts w:eastAsia="Verdana" w:cs="Verdana"/>
                <w:lang w:bidi="en-GB"/>
              </w:rPr>
              <w:t>112</w:t>
            </w:r>
          </w:p>
        </w:tc>
      </w:tr>
    </w:tbl>
    <w:p w:rsidR="00F50689" w:rsidRPr="008A7D59" w:rsidRDefault="005A36C4" w:rsidP="008A7D59">
      <w:pPr>
        <w:pStyle w:val="Textstand-alone"/>
        <w:spacing w:before="60" w:after="0"/>
        <w:rPr>
          <w:i/>
          <w:sz w:val="14"/>
        </w:rPr>
      </w:pPr>
      <w:r w:rsidRPr="008A7D59">
        <w:rPr>
          <w:i/>
          <w:sz w:val="14"/>
        </w:rPr>
        <w:t xml:space="preserve">* </w:t>
      </w:r>
      <w:r w:rsidR="00E8741F" w:rsidRPr="008A7D59">
        <w:rPr>
          <w:i/>
          <w:sz w:val="14"/>
        </w:rPr>
        <w:t>W</w:t>
      </w:r>
      <w:r w:rsidRPr="008A7D59">
        <w:rPr>
          <w:i/>
          <w:sz w:val="14"/>
        </w:rPr>
        <w:t>ith correction coefficient ("CC") applied</w:t>
      </w:r>
      <w:r w:rsidR="00E8741F" w:rsidRPr="008A7D59">
        <w:rPr>
          <w:i/>
          <w:sz w:val="14"/>
        </w:rPr>
        <w:t>.</w:t>
      </w:r>
    </w:p>
    <w:p w:rsidR="00F50689" w:rsidRPr="008A7D59" w:rsidRDefault="005A36C4" w:rsidP="008A7D59">
      <w:pPr>
        <w:pStyle w:val="Textstand-alone"/>
        <w:spacing w:before="60" w:after="0"/>
        <w:rPr>
          <w:i/>
          <w:sz w:val="14"/>
        </w:rPr>
      </w:pPr>
      <w:r w:rsidRPr="008A7D59">
        <w:rPr>
          <w:i/>
          <w:sz w:val="14"/>
        </w:rPr>
        <w:t xml:space="preserve">** </w:t>
      </w:r>
      <w:r w:rsidR="00E8741F" w:rsidRPr="008A7D59">
        <w:rPr>
          <w:i/>
          <w:sz w:val="14"/>
        </w:rPr>
        <w:t>P</w:t>
      </w:r>
      <w:r w:rsidRPr="008A7D59">
        <w:rPr>
          <w:i/>
          <w:sz w:val="14"/>
        </w:rPr>
        <w:t>aid for the first 3 years following departure</w:t>
      </w:r>
      <w:r w:rsidR="00E8741F" w:rsidRPr="008A7D59">
        <w:rPr>
          <w:i/>
          <w:sz w:val="14"/>
        </w:rPr>
        <w:t>.</w:t>
      </w:r>
    </w:p>
    <w:p w:rsidR="00F50689" w:rsidRPr="008A7D59" w:rsidRDefault="005A36C4" w:rsidP="008A7D59">
      <w:pPr>
        <w:pStyle w:val="Textstand-alone"/>
        <w:spacing w:before="60"/>
        <w:rPr>
          <w:i/>
          <w:sz w:val="14"/>
        </w:rPr>
      </w:pPr>
      <w:r w:rsidRPr="008A7D59">
        <w:rPr>
          <w:i/>
          <w:sz w:val="14"/>
        </w:rPr>
        <w:t>*** 10.9 % for the first half of 2014 and 10.1 % for the second half of 2014</w:t>
      </w:r>
      <w:r w:rsidR="00E8741F" w:rsidRPr="008A7D59">
        <w:rPr>
          <w:i/>
          <w:sz w:val="14"/>
        </w:rPr>
        <w:t>.</w:t>
      </w:r>
    </w:p>
    <w:p w:rsidR="00F50689" w:rsidRPr="005E7229" w:rsidRDefault="005A36C4" w:rsidP="00F50689">
      <w:pPr>
        <w:pStyle w:val="Textstand-alone"/>
        <w:rPr>
          <w:i/>
        </w:rPr>
        <w:sectPr w:rsidR="00F50689" w:rsidRPr="005E7229" w:rsidSect="00F50689">
          <w:headerReference w:type="even" r:id="rId407"/>
          <w:headerReference w:type="default" r:id="rId408"/>
          <w:footerReference w:type="even" r:id="rId409"/>
          <w:footerReference w:type="default" r:id="rId410"/>
          <w:headerReference w:type="first" r:id="rId411"/>
          <w:footerReference w:type="first" r:id="rId412"/>
          <w:pgSz w:w="11906" w:h="16838"/>
          <w:pgMar w:top="1134" w:right="1134" w:bottom="1134" w:left="1134" w:header="709" w:footer="709" w:gutter="0"/>
          <w:cols w:space="708"/>
          <w:docGrid w:linePitch="360"/>
        </w:sectPr>
      </w:pPr>
      <w:r>
        <w:rPr>
          <w:i/>
        </w:rPr>
        <w:t xml:space="preserve"> </w:t>
      </w:r>
      <w:bookmarkEnd w:id="200"/>
    </w:p>
    <w:p w:rsidR="00F50689" w:rsidRPr="00D23F28" w:rsidRDefault="005A36C4" w:rsidP="00F50689">
      <w:pPr>
        <w:pStyle w:val="HEADER1Part2"/>
        <w:rPr>
          <w:rFonts w:eastAsia="Calibri"/>
        </w:rPr>
      </w:pPr>
      <w:bookmarkStart w:id="203" w:name="_Toc424652047"/>
      <w:bookmarkStart w:id="204" w:name="_DMBM_2610"/>
      <w:r w:rsidRPr="00D23F28">
        <w:rPr>
          <w:rFonts w:eastAsia="Calibri"/>
        </w:rPr>
        <w:t>EVENTS AFTER THE BALANCE SHEET DATE</w:t>
      </w:r>
      <w:bookmarkEnd w:id="203"/>
    </w:p>
    <w:p w:rsidR="00F50689" w:rsidRDefault="005A36C4" w:rsidP="00F50689">
      <w:pPr>
        <w:pStyle w:val="Textstand-alone"/>
      </w:pPr>
      <w:r>
        <w:t>At the date of signing of these accounts, no material issues had come to the attention of the Accounting Officer of the Commission or were reported to him that would require separate disclosure under this section. The accounts and related notes were prepared using the most recently available information and this is reflected in the information presented.</w:t>
      </w:r>
    </w:p>
    <w:p w:rsidR="00F50689" w:rsidRDefault="005A36C4" w:rsidP="00F50689">
      <w:pPr>
        <w:pStyle w:val="Textstand-alone"/>
        <w:sectPr w:rsidR="00F50689" w:rsidSect="00F50689">
          <w:headerReference w:type="even" r:id="rId413"/>
          <w:headerReference w:type="default" r:id="rId414"/>
          <w:footerReference w:type="even" r:id="rId415"/>
          <w:footerReference w:type="default" r:id="rId416"/>
          <w:headerReference w:type="first" r:id="rId417"/>
          <w:footerReference w:type="first" r:id="rId418"/>
          <w:pgSz w:w="11906" w:h="16838"/>
          <w:pgMar w:top="1134" w:right="1134" w:bottom="1134" w:left="1134" w:header="709" w:footer="709" w:gutter="0"/>
          <w:cols w:space="708"/>
          <w:docGrid w:linePitch="360"/>
        </w:sectPr>
      </w:pPr>
      <w:r>
        <w:t xml:space="preserve"> </w:t>
      </w:r>
      <w:bookmarkEnd w:id="204"/>
    </w:p>
    <w:p w:rsidR="00F50689" w:rsidRDefault="005A36C4" w:rsidP="00F50689">
      <w:pPr>
        <w:pStyle w:val="HEADER1Part2"/>
      </w:pPr>
      <w:bookmarkStart w:id="205" w:name="_Toc424652048"/>
      <w:bookmarkStart w:id="206" w:name="_DMBM_2738"/>
      <w:r w:rsidRPr="00C16BFB">
        <w:t>SCOPE OF CONSOLIDATION</w:t>
      </w:r>
      <w:bookmarkEnd w:id="205"/>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73"/>
        <w:gridCol w:w="4874"/>
      </w:tblGrid>
      <w:tr w:rsidR="00E7728E">
        <w:trPr>
          <w:trHeight w:val="229"/>
        </w:trPr>
        <w:tc>
          <w:tcPr>
            <w:tcW w:w="487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Left"/>
              <w:rPr>
                <w:rFonts w:cs="Verdana"/>
              </w:rPr>
            </w:pPr>
            <w:bookmarkStart w:id="207" w:name="DOC_TBL00090_1_1"/>
            <w:bookmarkEnd w:id="207"/>
            <w:r>
              <w:rPr>
                <w:rFonts w:cs="Verdana"/>
              </w:rPr>
              <w:t>A. CONTROLLED ENTITIES (52)</w:t>
            </w:r>
          </w:p>
        </w:tc>
        <w:tc>
          <w:tcPr>
            <w:tcW w:w="4874"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rPr>
                <w:rFonts w:cs="Calibri"/>
              </w:rPr>
            </w:pPr>
          </w:p>
        </w:tc>
      </w:tr>
      <w:tr w:rsidR="00E7728E">
        <w:tc>
          <w:tcPr>
            <w:tcW w:w="487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1. Institutions and consultative bodies (11)</w:t>
            </w:r>
          </w:p>
        </w:tc>
        <w:tc>
          <w:tcPr>
            <w:tcW w:w="4874"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BoldLeft025"/>
              <w:ind w:left="0"/>
              <w:rPr>
                <w:rFonts w:eastAsia="Times New Roman" w:cs="Verdana"/>
              </w:rPr>
            </w:pP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European Parliament</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rPr>
                <w:rFonts w:cs="Verdana"/>
              </w:rPr>
              <w:t>European Data Protection Supervisor</w:t>
            </w: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European Council</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rPr>
                <w:rFonts w:cs="Verdana"/>
              </w:rPr>
              <w:t>European Economic and Social Committee</w:t>
            </w: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European Commission</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rPr>
                <w:rFonts w:cs="Verdana"/>
              </w:rPr>
              <w:t>European Ombudsman</w:t>
            </w: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Committee of the Regions</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rPr>
                <w:rFonts w:cs="Verdana"/>
              </w:rPr>
              <w:t>European Court of Auditors</w:t>
            </w: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Court of Justice of the European Union</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rPr>
                <w:rFonts w:cs="Verdana"/>
              </w:rPr>
              <w:t>Council of the European Union</w:t>
            </w: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European External Action Service</w:t>
            </w:r>
          </w:p>
        </w:tc>
        <w:tc>
          <w:tcPr>
            <w:tcW w:w="4874" w:type="dxa"/>
            <w:tcBorders>
              <w:top w:val="nil"/>
              <w:left w:val="nil"/>
              <w:bottom w:val="nil"/>
              <w:right w:val="nil"/>
            </w:tcBorders>
            <w:tcMar>
              <w:top w:w="0" w:type="dxa"/>
              <w:left w:w="0" w:type="dxa"/>
              <w:bottom w:w="0" w:type="dxa"/>
              <w:right w:w="0" w:type="dxa"/>
            </w:tcMar>
          </w:tcPr>
          <w:p w:rsidR="00F50689" w:rsidRDefault="00F50689" w:rsidP="00F50689">
            <w:pPr>
              <w:pStyle w:val="Text9pItalicLeft025"/>
              <w:ind w:left="0"/>
              <w:rPr>
                <w:rFonts w:cs="Verdana"/>
              </w:rPr>
            </w:pPr>
          </w:p>
        </w:tc>
      </w:tr>
      <w:tr w:rsidR="00E7728E">
        <w:tc>
          <w:tcPr>
            <w:tcW w:w="4873" w:type="dxa"/>
            <w:tcBorders>
              <w:top w:val="nil"/>
              <w:left w:val="nil"/>
              <w:bottom w:val="nil"/>
              <w:right w:val="nil"/>
            </w:tcBorders>
            <w:tcMar>
              <w:top w:w="0" w:type="dxa"/>
              <w:left w:w="0" w:type="dxa"/>
              <w:bottom w:w="0" w:type="dxa"/>
              <w:right w:w="0" w:type="dxa"/>
            </w:tcMar>
          </w:tcPr>
          <w:p w:rsidR="00F50689" w:rsidRDefault="00F50689" w:rsidP="00F50689">
            <w:pPr>
              <w:pStyle w:val="Text9pItalicLeft"/>
              <w:rPr>
                <w:rFonts w:cs="Verdana"/>
              </w:rPr>
            </w:pPr>
          </w:p>
        </w:tc>
        <w:tc>
          <w:tcPr>
            <w:tcW w:w="4874" w:type="dxa"/>
            <w:tcBorders>
              <w:top w:val="nil"/>
              <w:left w:val="nil"/>
              <w:bottom w:val="nil"/>
              <w:right w:val="nil"/>
            </w:tcBorders>
            <w:tcMar>
              <w:top w:w="0" w:type="dxa"/>
              <w:left w:w="0" w:type="dxa"/>
              <w:bottom w:w="0" w:type="dxa"/>
              <w:right w:w="0" w:type="dxa"/>
            </w:tcMar>
          </w:tcPr>
          <w:p w:rsidR="00F50689" w:rsidRDefault="00F50689" w:rsidP="00F50689">
            <w:pPr>
              <w:pStyle w:val="Text9pItalicLeft025"/>
              <w:ind w:left="0"/>
              <w:rPr>
                <w:rFonts w:cs="Verdana"/>
              </w:rPr>
            </w:pPr>
          </w:p>
        </w:tc>
      </w:tr>
      <w:tr w:rsidR="00E7728E">
        <w:tc>
          <w:tcPr>
            <w:tcW w:w="487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2. EU Agencies (39)</w:t>
            </w:r>
          </w:p>
        </w:tc>
        <w:tc>
          <w:tcPr>
            <w:tcW w:w="4874"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BoldLeft025"/>
              <w:ind w:left="0"/>
              <w:rPr>
                <w:rFonts w:eastAsia="Times New Roman" w:cs="Verdana"/>
              </w:rPr>
            </w:pP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BoldLeft"/>
              <w:rPr>
                <w:rFonts w:eastAsia="Times New Roman" w:cs="Verdana"/>
              </w:rPr>
            </w:pPr>
            <w:r>
              <w:rPr>
                <w:rFonts w:eastAsia="Times New Roman" w:cs="Verdana"/>
              </w:rPr>
              <w:t>2.1. Executive Agencies (6)</w:t>
            </w:r>
          </w:p>
        </w:tc>
        <w:tc>
          <w:tcPr>
            <w:tcW w:w="4874" w:type="dxa"/>
            <w:tcBorders>
              <w:top w:val="nil"/>
              <w:left w:val="nil"/>
              <w:bottom w:val="nil"/>
              <w:right w:val="nil"/>
            </w:tcBorders>
            <w:tcMar>
              <w:top w:w="0" w:type="dxa"/>
              <w:left w:w="0" w:type="dxa"/>
              <w:bottom w:w="0" w:type="dxa"/>
              <w:right w:w="0" w:type="dxa"/>
            </w:tcMar>
          </w:tcPr>
          <w:p w:rsidR="00F50689" w:rsidRDefault="00F50689" w:rsidP="00F50689">
            <w:pPr>
              <w:pStyle w:val="Text9pBoldLeft025"/>
              <w:ind w:left="0"/>
              <w:rPr>
                <w:rFonts w:eastAsia="Times New Roman" w:cs="Verdana"/>
              </w:rPr>
            </w:pP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Education, Audiovisual &amp; Culture Executive Agency</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rPr>
                <w:rFonts w:cs="Verdana"/>
              </w:rPr>
              <w:t>Executive Agency for Small and Medium-sized Enterprises</w:t>
            </w: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Consumers, Health, Agriculture and Food Executive Agency</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rPr>
                <w:rFonts w:cs="Verdana"/>
              </w:rPr>
              <w:t>Innovation &amp; Networks Executive Agency</w:t>
            </w: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Research Executive Agency</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rPr>
                <w:rFonts w:cs="Verdana"/>
              </w:rPr>
              <w:t>European Research Council Executive Agency</w:t>
            </w:r>
          </w:p>
        </w:tc>
      </w:tr>
      <w:tr w:rsidR="00E7728E">
        <w:tc>
          <w:tcPr>
            <w:tcW w:w="4873" w:type="dxa"/>
            <w:tcBorders>
              <w:top w:val="nil"/>
              <w:left w:val="nil"/>
              <w:bottom w:val="nil"/>
              <w:right w:val="nil"/>
            </w:tcBorders>
            <w:tcMar>
              <w:top w:w="0" w:type="dxa"/>
              <w:left w:w="0" w:type="dxa"/>
              <w:bottom w:w="0" w:type="dxa"/>
              <w:right w:w="0" w:type="dxa"/>
            </w:tcMar>
          </w:tcPr>
          <w:p w:rsidR="00F50689" w:rsidRDefault="00F50689" w:rsidP="00F50689">
            <w:pPr>
              <w:pStyle w:val="Text9pItalicLeft"/>
              <w:rPr>
                <w:rFonts w:cs="Verdana"/>
              </w:rPr>
            </w:pPr>
          </w:p>
        </w:tc>
        <w:tc>
          <w:tcPr>
            <w:tcW w:w="4874" w:type="dxa"/>
            <w:tcBorders>
              <w:top w:val="nil"/>
              <w:left w:val="nil"/>
              <w:bottom w:val="nil"/>
              <w:right w:val="nil"/>
            </w:tcBorders>
            <w:tcMar>
              <w:top w:w="0" w:type="dxa"/>
              <w:left w:w="0" w:type="dxa"/>
              <w:bottom w:w="0" w:type="dxa"/>
              <w:right w:w="0" w:type="dxa"/>
            </w:tcMar>
          </w:tcPr>
          <w:p w:rsidR="00F50689" w:rsidRDefault="00F50689" w:rsidP="00F50689">
            <w:pPr>
              <w:pStyle w:val="Text9pItalicLeft025"/>
              <w:ind w:left="0"/>
              <w:rPr>
                <w:rFonts w:cs="Verdana"/>
              </w:rPr>
            </w:pP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BoldLeft"/>
              <w:rPr>
                <w:rFonts w:eastAsia="Times New Roman" w:cs="Verdana"/>
              </w:rPr>
            </w:pPr>
            <w:r>
              <w:rPr>
                <w:rFonts w:eastAsia="Times New Roman" w:cs="Verdana"/>
              </w:rPr>
              <w:t>2.2. Decentralised Agencies (33)</w:t>
            </w:r>
          </w:p>
        </w:tc>
        <w:tc>
          <w:tcPr>
            <w:tcW w:w="4874" w:type="dxa"/>
            <w:tcBorders>
              <w:top w:val="nil"/>
              <w:left w:val="nil"/>
              <w:bottom w:val="nil"/>
              <w:right w:val="nil"/>
            </w:tcBorders>
            <w:tcMar>
              <w:top w:w="0" w:type="dxa"/>
              <w:left w:w="0" w:type="dxa"/>
              <w:bottom w:w="0" w:type="dxa"/>
              <w:right w:w="0" w:type="dxa"/>
            </w:tcMar>
          </w:tcPr>
          <w:p w:rsidR="00F50689" w:rsidRDefault="00F50689" w:rsidP="00F50689">
            <w:pPr>
              <w:pStyle w:val="Text9pBoldLeft025"/>
              <w:ind w:left="0"/>
              <w:rPr>
                <w:rFonts w:eastAsia="Times New Roman" w:cs="Verdana"/>
              </w:rPr>
            </w:pP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European Maritime Safety Agency</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rPr>
                <w:rFonts w:cs="Verdana"/>
              </w:rPr>
              <w:t>European Food Safety Authority</w:t>
            </w: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European Medicines Agency</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rPr>
                <w:rFonts w:cs="Verdana"/>
              </w:rPr>
              <w:t>European Railway Agency</w:t>
            </w: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European GNSS Supervisory Authority</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rPr>
                <w:rFonts w:cs="Verdana"/>
              </w:rPr>
              <w:t>Community Plant Variety Office</w:t>
            </w: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European Chemicals Agency</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rPr>
                <w:rFonts w:cs="Verdana"/>
              </w:rPr>
              <w:t>European Fisheries Control Agency</w:t>
            </w: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Fusion for Energy (European Joint Undertaking for ITER and the Development of Fusion Energy)</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rPr>
                <w:rFonts w:cs="Verdana"/>
              </w:rPr>
              <w:t>European Monitoring Centre for Drugs and Drug Addiction</w:t>
            </w: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Eurojust</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rPr>
                <w:rFonts w:cs="Verdana"/>
              </w:rPr>
              <w:t>European Police College (CEPOL)</w:t>
            </w: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European Institute for Gender Equality</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rPr>
                <w:rFonts w:cs="Verdana"/>
              </w:rPr>
              <w:t>European Police Office (EUROPOL)</w:t>
            </w: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European Agency for Safety and Health at Work</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rPr>
                <w:rFonts w:cs="Verdana"/>
              </w:rPr>
              <w:t>European Aviation Safety Agency</w:t>
            </w: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European Centre for Disease Prevention and Control</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rPr>
                <w:rFonts w:cs="Verdana"/>
              </w:rPr>
              <w:t>European Network and Information Security Agency</w:t>
            </w: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European Environment Agency</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rPr>
                <w:rFonts w:cs="Verdana"/>
              </w:rPr>
              <w:t>European Union Agency for Fundamental Rights</w:t>
            </w: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European Centre for the Development of Vocational training</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rPr>
                <w:rFonts w:cs="Verdana"/>
              </w:rPr>
              <w:t>European Insurance and Occupational Pensions Authority</w:t>
            </w: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European Agency for Cooperation of Energy Regulators</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rPr>
                <w:rFonts w:cs="Verdana"/>
              </w:rPr>
              <w:t>Translation Centre for the Bodies of the European Union</w:t>
            </w: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European Banking Authority</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rPr>
                <w:rFonts w:cs="Verdana"/>
              </w:rPr>
              <w:t>European Securities and Markets Authority</w:t>
            </w: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European Asylum Support Office</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rPr>
                <w:rFonts w:cs="Verdana"/>
              </w:rPr>
              <w:t>European Training Foundation</w:t>
            </w: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Office for the Body of European Regulators for Electronic Communication</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rPr>
                <w:rFonts w:cs="Verdana"/>
              </w:rPr>
              <w:t>European Foundation for the Improvement of Living and Working Conditions</w:t>
            </w: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European Agency for the Management of Operational Co-operation at External Borders of the Member States of the EU</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rPr>
                <w:rFonts w:cs="Verdana"/>
              </w:rPr>
              <w:t>EU Office for Harmonisation in the Internal Market (Trade Marks and Designs)</w:t>
            </w: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EU-LISA (European Agency for the operational management of large-scale IT systems in the area of freedom, security and justice)</w:t>
            </w:r>
          </w:p>
        </w:tc>
        <w:tc>
          <w:tcPr>
            <w:tcW w:w="4874" w:type="dxa"/>
            <w:tcBorders>
              <w:top w:val="nil"/>
              <w:left w:val="nil"/>
              <w:bottom w:val="nil"/>
              <w:right w:val="nil"/>
            </w:tcBorders>
            <w:tcMar>
              <w:top w:w="0" w:type="dxa"/>
              <w:left w:w="0" w:type="dxa"/>
              <w:bottom w:w="0" w:type="dxa"/>
              <w:right w:w="0" w:type="dxa"/>
            </w:tcMar>
          </w:tcPr>
          <w:p w:rsidR="00F50689" w:rsidRDefault="00F50689" w:rsidP="00F50689">
            <w:pPr>
              <w:pStyle w:val="Text9pItalicLeft025"/>
              <w:ind w:left="0"/>
              <w:rPr>
                <w:rFonts w:cs="Verdana"/>
              </w:rPr>
            </w:pPr>
          </w:p>
        </w:tc>
      </w:tr>
      <w:tr w:rsidR="00E7728E">
        <w:tc>
          <w:tcPr>
            <w:tcW w:w="4873" w:type="dxa"/>
            <w:tcBorders>
              <w:top w:val="nil"/>
              <w:left w:val="nil"/>
              <w:bottom w:val="nil"/>
              <w:right w:val="nil"/>
            </w:tcBorders>
            <w:tcMar>
              <w:top w:w="0" w:type="dxa"/>
              <w:left w:w="0" w:type="dxa"/>
              <w:bottom w:w="0" w:type="dxa"/>
              <w:right w:w="0" w:type="dxa"/>
            </w:tcMar>
          </w:tcPr>
          <w:p w:rsidR="00F50689" w:rsidRDefault="00F50689" w:rsidP="00F50689">
            <w:pPr>
              <w:pStyle w:val="Text9pItalicLeft"/>
              <w:rPr>
                <w:rFonts w:cs="Verdana"/>
              </w:rPr>
            </w:pPr>
          </w:p>
        </w:tc>
        <w:tc>
          <w:tcPr>
            <w:tcW w:w="4874" w:type="dxa"/>
            <w:tcBorders>
              <w:top w:val="nil"/>
              <w:left w:val="nil"/>
              <w:bottom w:val="nil"/>
              <w:right w:val="nil"/>
            </w:tcBorders>
            <w:tcMar>
              <w:top w:w="0" w:type="dxa"/>
              <w:left w:w="0" w:type="dxa"/>
              <w:bottom w:w="0" w:type="dxa"/>
              <w:right w:w="0" w:type="dxa"/>
            </w:tcMar>
          </w:tcPr>
          <w:p w:rsidR="00F50689" w:rsidRDefault="00F50689" w:rsidP="00F50689">
            <w:pPr>
              <w:pStyle w:val="Text9pItalicLeft025"/>
              <w:ind w:left="0"/>
              <w:rPr>
                <w:rFonts w:cs="Verdana"/>
              </w:rPr>
            </w:pPr>
          </w:p>
        </w:tc>
      </w:tr>
      <w:tr w:rsidR="00E7728E">
        <w:tc>
          <w:tcPr>
            <w:tcW w:w="487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3. Other controlled entities (2)</w:t>
            </w:r>
          </w:p>
        </w:tc>
        <w:tc>
          <w:tcPr>
            <w:tcW w:w="4874"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BoldLeft025"/>
              <w:ind w:left="0"/>
              <w:rPr>
                <w:rFonts w:eastAsia="Times New Roman" w:cs="Verdana"/>
              </w:rPr>
            </w:pP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European Coal and Steel Community (in liquidation)</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rPr>
                <w:rFonts w:cs="Verdana"/>
              </w:rPr>
              <w:t>European Institute of Innovation and Technology</w:t>
            </w:r>
          </w:p>
        </w:tc>
      </w:tr>
      <w:tr w:rsidR="00E7728E">
        <w:tc>
          <w:tcPr>
            <w:tcW w:w="4873" w:type="dxa"/>
            <w:tcBorders>
              <w:top w:val="nil"/>
              <w:left w:val="nil"/>
              <w:bottom w:val="nil"/>
              <w:right w:val="nil"/>
            </w:tcBorders>
            <w:tcMar>
              <w:top w:w="0" w:type="dxa"/>
              <w:left w:w="0" w:type="dxa"/>
              <w:bottom w:w="0" w:type="dxa"/>
              <w:right w:w="0" w:type="dxa"/>
            </w:tcMar>
          </w:tcPr>
          <w:p w:rsidR="00F50689" w:rsidRDefault="00F50689" w:rsidP="00F50689">
            <w:pPr>
              <w:pStyle w:val="Text9pItalicLeft"/>
              <w:rPr>
                <w:rFonts w:cs="Verdana"/>
              </w:rPr>
            </w:pPr>
          </w:p>
        </w:tc>
        <w:tc>
          <w:tcPr>
            <w:tcW w:w="4874" w:type="dxa"/>
            <w:tcBorders>
              <w:top w:val="nil"/>
              <w:left w:val="nil"/>
              <w:bottom w:val="nil"/>
              <w:right w:val="nil"/>
            </w:tcBorders>
            <w:tcMar>
              <w:top w:w="0" w:type="dxa"/>
              <w:left w:w="0" w:type="dxa"/>
              <w:bottom w:w="0" w:type="dxa"/>
              <w:right w:w="0" w:type="dxa"/>
            </w:tcMar>
          </w:tcPr>
          <w:p w:rsidR="00F50689" w:rsidRDefault="00F50689" w:rsidP="00F50689">
            <w:pPr>
              <w:pStyle w:val="Text9pItalicLeft025"/>
              <w:ind w:left="0"/>
              <w:rPr>
                <w:rFonts w:cs="Verdana"/>
              </w:rPr>
            </w:pPr>
          </w:p>
        </w:tc>
      </w:tr>
      <w:tr w:rsidR="00E7728E">
        <w:trPr>
          <w:trHeight w:val="229"/>
        </w:trPr>
        <w:tc>
          <w:tcPr>
            <w:tcW w:w="487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Left"/>
              <w:rPr>
                <w:rFonts w:cs="Verdana"/>
              </w:rPr>
            </w:pPr>
            <w:r>
              <w:rPr>
                <w:rFonts w:cs="Verdana"/>
              </w:rPr>
              <w:t>B. JOINT VENTURES (7)</w:t>
            </w:r>
          </w:p>
        </w:tc>
        <w:tc>
          <w:tcPr>
            <w:tcW w:w="4874"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rPr>
                <w:rFonts w:cs="Calibri"/>
              </w:rPr>
            </w:pP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ITER International Fusion Energy Organisation</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rPr>
                <w:rFonts w:cs="Verdana"/>
              </w:rPr>
              <w:t>Galileo Joint Undertaking in liquidation</w:t>
            </w: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SESAR Joint Undertaking</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rPr>
                <w:rFonts w:cs="Verdana"/>
              </w:rPr>
              <w:t>Innovative Medicines Initiative 2 Joint Undertaking</w:t>
            </w: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Fuel Cells and Hydrogen 2 Joint Undertaking</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rPr>
                <w:rFonts w:cs="Verdana"/>
              </w:rPr>
              <w:t>ECSEL Joint undertaking*</w:t>
            </w: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Clean Sky 2 Joint Undertaking</w:t>
            </w:r>
          </w:p>
        </w:tc>
        <w:tc>
          <w:tcPr>
            <w:tcW w:w="4874" w:type="dxa"/>
            <w:tcBorders>
              <w:top w:val="nil"/>
              <w:left w:val="nil"/>
              <w:bottom w:val="nil"/>
              <w:right w:val="nil"/>
            </w:tcBorders>
            <w:tcMar>
              <w:top w:w="0" w:type="dxa"/>
              <w:left w:w="0" w:type="dxa"/>
              <w:bottom w:w="0" w:type="dxa"/>
              <w:right w:w="0" w:type="dxa"/>
            </w:tcMar>
          </w:tcPr>
          <w:p w:rsidR="00F50689" w:rsidRDefault="00F50689" w:rsidP="00F50689">
            <w:pPr>
              <w:pStyle w:val="Text9pItalicLeft025"/>
              <w:ind w:left="0"/>
              <w:rPr>
                <w:rFonts w:cs="Verdana"/>
              </w:rPr>
            </w:pPr>
          </w:p>
        </w:tc>
      </w:tr>
      <w:tr w:rsidR="00E7728E">
        <w:trPr>
          <w:trHeight w:val="229"/>
        </w:trPr>
        <w:tc>
          <w:tcPr>
            <w:tcW w:w="487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Left"/>
              <w:rPr>
                <w:rFonts w:cs="Verdana"/>
              </w:rPr>
            </w:pPr>
            <w:r>
              <w:rPr>
                <w:rFonts w:cs="Verdana"/>
              </w:rPr>
              <w:t>C. ASSOCIATES (1)</w:t>
            </w:r>
          </w:p>
        </w:tc>
        <w:tc>
          <w:tcPr>
            <w:tcW w:w="4874"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rPr>
                <w:rFonts w:cs="Calibri"/>
              </w:rPr>
            </w:pP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 xml:space="preserve">European Investment Fund </w:t>
            </w:r>
          </w:p>
        </w:tc>
        <w:tc>
          <w:tcPr>
            <w:tcW w:w="4874" w:type="dxa"/>
            <w:tcBorders>
              <w:top w:val="nil"/>
              <w:left w:val="nil"/>
              <w:bottom w:val="nil"/>
              <w:right w:val="nil"/>
            </w:tcBorders>
            <w:tcMar>
              <w:top w:w="0" w:type="dxa"/>
              <w:left w:w="0" w:type="dxa"/>
              <w:bottom w:w="0" w:type="dxa"/>
              <w:right w:w="0" w:type="dxa"/>
            </w:tcMar>
          </w:tcPr>
          <w:p w:rsidR="00F50689" w:rsidRDefault="00F50689" w:rsidP="00F50689">
            <w:pPr>
              <w:pStyle w:val="Text9pItalicLeft025"/>
              <w:ind w:left="0"/>
              <w:rPr>
                <w:rFonts w:cs="Verdana"/>
              </w:rPr>
            </w:pPr>
          </w:p>
        </w:tc>
      </w:tr>
      <w:tr w:rsidR="00E7728E">
        <w:tc>
          <w:tcPr>
            <w:tcW w:w="4873" w:type="dxa"/>
            <w:tcBorders>
              <w:top w:val="nil"/>
              <w:left w:val="nil"/>
              <w:bottom w:val="nil"/>
              <w:right w:val="nil"/>
            </w:tcBorders>
            <w:tcMar>
              <w:top w:w="0" w:type="dxa"/>
              <w:left w:w="0" w:type="dxa"/>
              <w:bottom w:w="0" w:type="dxa"/>
              <w:right w:w="0" w:type="dxa"/>
            </w:tcMar>
          </w:tcPr>
          <w:p w:rsidR="00F50689" w:rsidRDefault="00F50689" w:rsidP="00F50689">
            <w:pPr>
              <w:pStyle w:val="Text9pItalicLeft"/>
              <w:rPr>
                <w:rFonts w:cs="Verdana"/>
              </w:rPr>
            </w:pPr>
          </w:p>
        </w:tc>
        <w:tc>
          <w:tcPr>
            <w:tcW w:w="4874" w:type="dxa"/>
            <w:tcBorders>
              <w:top w:val="nil"/>
              <w:left w:val="nil"/>
              <w:bottom w:val="nil"/>
              <w:right w:val="nil"/>
            </w:tcBorders>
            <w:tcMar>
              <w:top w:w="0" w:type="dxa"/>
              <w:left w:w="0" w:type="dxa"/>
              <w:bottom w:w="0" w:type="dxa"/>
              <w:right w:w="0" w:type="dxa"/>
            </w:tcMar>
          </w:tcPr>
          <w:p w:rsidR="00F50689" w:rsidRDefault="00F50689" w:rsidP="00F50689">
            <w:pPr>
              <w:pStyle w:val="Text9pItalicLeft025"/>
              <w:ind w:left="0"/>
              <w:rPr>
                <w:rFonts w:cs="Verdana"/>
              </w:rPr>
            </w:pPr>
          </w:p>
        </w:tc>
      </w:tr>
    </w:tbl>
    <w:p w:rsidR="00F50689" w:rsidRPr="008A7D59" w:rsidRDefault="005A36C4" w:rsidP="008A7D59">
      <w:pPr>
        <w:pStyle w:val="Textstand-alone"/>
        <w:tabs>
          <w:tab w:val="left" w:pos="426"/>
        </w:tabs>
        <w:spacing w:before="60" w:after="360"/>
        <w:ind w:left="426" w:hanging="426"/>
        <w:rPr>
          <w:i/>
          <w:sz w:val="14"/>
        </w:rPr>
      </w:pPr>
      <w:r w:rsidRPr="008A7D59">
        <w:rPr>
          <w:i/>
          <w:sz w:val="14"/>
        </w:rPr>
        <w:t>*</w:t>
      </w:r>
      <w:r w:rsidRPr="008A7D59">
        <w:rPr>
          <w:i/>
          <w:sz w:val="14"/>
        </w:rPr>
        <w:tab/>
        <w:t>The ECSEL joint undertaking is the result of an amalgamation of the ARTEMIS and ENIAC joint undertakings that occured during the financial year 2014.</w:t>
      </w:r>
    </w:p>
    <w:p w:rsidR="00F50689" w:rsidRPr="009D7F1A" w:rsidRDefault="005A36C4" w:rsidP="00F50689">
      <w:pPr>
        <w:pStyle w:val="Textstand-alone"/>
        <w:tabs>
          <w:tab w:val="left" w:pos="426"/>
        </w:tabs>
        <w:spacing w:before="360" w:after="360"/>
        <w:ind w:left="426" w:hanging="426"/>
        <w:rPr>
          <w:i/>
        </w:rPr>
        <w:sectPr w:rsidR="00F50689" w:rsidRPr="009D7F1A" w:rsidSect="00F50689">
          <w:headerReference w:type="even" r:id="rId419"/>
          <w:headerReference w:type="default" r:id="rId420"/>
          <w:footerReference w:type="even" r:id="rId421"/>
          <w:footerReference w:type="default" r:id="rId422"/>
          <w:headerReference w:type="first" r:id="rId423"/>
          <w:footerReference w:type="first" r:id="rId424"/>
          <w:pgSz w:w="11906" w:h="16838"/>
          <w:pgMar w:top="1134" w:right="1134" w:bottom="1134" w:left="1134" w:header="709" w:footer="709" w:gutter="0"/>
          <w:cols w:space="708"/>
          <w:docGrid w:linePitch="360"/>
        </w:sectPr>
      </w:pPr>
      <w:r>
        <w:rPr>
          <w:i/>
        </w:rPr>
        <w:t xml:space="preserve"> </w:t>
      </w:r>
      <w:bookmarkEnd w:id="206"/>
    </w:p>
    <w:p w:rsidR="00F50689" w:rsidRPr="00012B40" w:rsidRDefault="005A36C4" w:rsidP="00F50689">
      <w:pPr>
        <w:pStyle w:val="FinancialYear"/>
      </w:pPr>
      <w:bookmarkStart w:id="208" w:name="_DMBM_3455"/>
      <w:r>
        <w:t>EUROPEAN UNION</w:t>
      </w:r>
    </w:p>
    <w:p w:rsidR="00F50689" w:rsidRDefault="005A36C4" w:rsidP="00F50689">
      <w:pPr>
        <w:pStyle w:val="FinancialYear"/>
      </w:pPr>
      <w:r>
        <w:t>FINANCIAL YEAR 2014</w:t>
      </w:r>
    </w:p>
    <w:p w:rsidR="00F50689" w:rsidRPr="006E18B4" w:rsidRDefault="00F50689" w:rsidP="00F50689">
      <w:pPr>
        <w:pStyle w:val="FIRSTCHAPTERPAGE2"/>
      </w:pPr>
    </w:p>
    <w:p w:rsidR="00F50689" w:rsidRPr="006E18B4" w:rsidRDefault="00F50689" w:rsidP="00F50689">
      <w:pPr>
        <w:pStyle w:val="FIRSTCHAPTERPAGE2"/>
      </w:pPr>
    </w:p>
    <w:p w:rsidR="00F50689" w:rsidRPr="006E18B4" w:rsidRDefault="00F50689" w:rsidP="00F50689">
      <w:pPr>
        <w:pStyle w:val="FIRSTCHAPTERPAGE2"/>
      </w:pPr>
    </w:p>
    <w:p w:rsidR="00F50689" w:rsidRPr="006E18B4" w:rsidRDefault="00F50689" w:rsidP="00F50689">
      <w:pPr>
        <w:pStyle w:val="FIRSTCHAPTERPAGE2"/>
      </w:pPr>
    </w:p>
    <w:p w:rsidR="00F50689" w:rsidRPr="00FE3ADE" w:rsidRDefault="005A36C4" w:rsidP="00F50689">
      <w:pPr>
        <w:pStyle w:val="FIRSTCHAPTERPAGE"/>
      </w:pPr>
      <w:bookmarkStart w:id="209" w:name="_Toc390968562"/>
      <w:bookmarkStart w:id="210" w:name="_Toc424745968"/>
      <w:r w:rsidRPr="00FE3ADE">
        <w:t>AGGREGATED REPORTS ON THE IMPLEMENTATION OF THE BUDGET AND EXPLANATORY NOTES</w:t>
      </w:r>
      <w:bookmarkEnd w:id="209"/>
      <w:bookmarkEnd w:id="210"/>
    </w:p>
    <w:p w:rsidR="00F50689" w:rsidRDefault="00F50689" w:rsidP="00F50689">
      <w:pPr>
        <w:pStyle w:val="FIRSTCHAPTERPAGE2"/>
      </w:pPr>
    </w:p>
    <w:p w:rsidR="00F50689" w:rsidRDefault="00F50689" w:rsidP="00F50689">
      <w:pPr>
        <w:pStyle w:val="FIRSTCHAPTERPAGE2"/>
      </w:pPr>
    </w:p>
    <w:p w:rsidR="00F50689" w:rsidRDefault="00F50689" w:rsidP="00F50689">
      <w:pPr>
        <w:pStyle w:val="FIRSTCHAPTERPAGE2"/>
      </w:pPr>
    </w:p>
    <w:p w:rsidR="00F50689" w:rsidRDefault="00F50689" w:rsidP="00F50689">
      <w:pPr>
        <w:pStyle w:val="FIRSTCHAPTERPAGE2"/>
      </w:pPr>
    </w:p>
    <w:p w:rsidR="00F50689" w:rsidRDefault="00F50689" w:rsidP="00F50689">
      <w:pPr>
        <w:pStyle w:val="FIRSTCHAPTERPAGE2"/>
      </w:pPr>
    </w:p>
    <w:p w:rsidR="00F50689" w:rsidRDefault="005A36C4" w:rsidP="00F50689">
      <w:pPr>
        <w:pStyle w:val="TOPHEADERNOTE"/>
        <w:sectPr w:rsidR="00F50689" w:rsidSect="00F50689">
          <w:headerReference w:type="even" r:id="rId425"/>
          <w:headerReference w:type="default" r:id="rId426"/>
          <w:footerReference w:type="even" r:id="rId427"/>
          <w:footerReference w:type="default" r:id="rId428"/>
          <w:headerReference w:type="first" r:id="rId429"/>
          <w:footerReference w:type="first" r:id="rId430"/>
          <w:pgSz w:w="11907" w:h="16840" w:code="9"/>
          <w:pgMar w:top="1134" w:right="1134" w:bottom="1134" w:left="1134" w:header="709" w:footer="709" w:gutter="0"/>
          <w:cols w:space="708"/>
          <w:docGrid w:linePitch="360"/>
        </w:sectPr>
      </w:pPr>
      <w:r>
        <w:t>It should be noted that due to the rounding of figures into millions of euros, some financial data in the tables below may appear not to add-up.</w:t>
      </w:r>
      <w:bookmarkEnd w:id="208"/>
    </w:p>
    <w:p w:rsidR="00F50689" w:rsidRDefault="005A36C4" w:rsidP="00F50689">
      <w:pPr>
        <w:pStyle w:val="HEADERTABLE"/>
      </w:pPr>
      <w:bookmarkStart w:id="211" w:name="_DMBM_3425"/>
      <w:r>
        <w:t>CONTENTS</w:t>
      </w:r>
    </w:p>
    <w:p w:rsidR="00F50689" w:rsidRPr="00F818AC" w:rsidRDefault="005A36C4" w:rsidP="00F818AC">
      <w:pPr>
        <w:pStyle w:val="TOC1"/>
        <w:rPr>
          <w:rStyle w:val="Hyperlink"/>
          <w:color w:val="016794"/>
        </w:rPr>
      </w:pPr>
      <w:r>
        <w:rPr>
          <w:szCs w:val="24"/>
          <w:lang w:val="fr-BE"/>
        </w:rPr>
        <w:fldChar w:fldCharType="begin"/>
      </w:r>
      <w:r>
        <w:instrText xml:space="preserve"> TOC \h \z \t "HEADER 1_Part 3;1;HEADER 2_Part 3;2;HEADER_TITLE_2;1" </w:instrText>
      </w:r>
      <w:r>
        <w:rPr>
          <w:szCs w:val="24"/>
          <w:lang w:val="fr-BE"/>
        </w:rPr>
        <w:fldChar w:fldCharType="separate"/>
      </w:r>
      <w:hyperlink w:anchor="_Toc424653727" w:history="1">
        <w:r w:rsidRPr="00F818AC">
          <w:rPr>
            <w:rStyle w:val="Hyperlink"/>
            <w:color w:val="016794"/>
          </w:rPr>
          <w:t>EU BUDGET RESULT</w:t>
        </w:r>
        <w:r w:rsidRPr="00F818AC">
          <w:rPr>
            <w:rStyle w:val="Hyperlink"/>
            <w:webHidden/>
            <w:color w:val="016794"/>
          </w:rPr>
          <w:tab/>
        </w:r>
        <w:r w:rsidRPr="00F818AC">
          <w:rPr>
            <w:rStyle w:val="Hyperlink"/>
            <w:webHidden/>
            <w:color w:val="016794"/>
          </w:rPr>
          <w:fldChar w:fldCharType="begin"/>
        </w:r>
        <w:r w:rsidRPr="00F818AC">
          <w:rPr>
            <w:rStyle w:val="Hyperlink"/>
            <w:webHidden/>
            <w:color w:val="016794"/>
          </w:rPr>
          <w:instrText xml:space="preserve"> PAGEREF _Toc424653727 \h </w:instrText>
        </w:r>
        <w:r w:rsidRPr="00F818AC">
          <w:rPr>
            <w:rStyle w:val="Hyperlink"/>
            <w:webHidden/>
            <w:color w:val="016794"/>
          </w:rPr>
        </w:r>
        <w:r w:rsidRPr="00F818AC">
          <w:rPr>
            <w:rStyle w:val="Hyperlink"/>
            <w:webHidden/>
            <w:color w:val="016794"/>
          </w:rPr>
          <w:fldChar w:fldCharType="separate"/>
        </w:r>
        <w:r w:rsidR="00DE1FA9">
          <w:rPr>
            <w:rStyle w:val="Hyperlink"/>
            <w:webHidden/>
            <w:color w:val="016794"/>
          </w:rPr>
          <w:t>100</w:t>
        </w:r>
        <w:r w:rsidRPr="00F818AC">
          <w:rPr>
            <w:rStyle w:val="Hyperlink"/>
            <w:webHidden/>
            <w:color w:val="016794"/>
          </w:rPr>
          <w:fldChar w:fldCharType="end"/>
        </w:r>
      </w:hyperlink>
    </w:p>
    <w:p w:rsidR="00F50689" w:rsidRPr="00F818AC" w:rsidRDefault="00DE1FA9" w:rsidP="00F818AC">
      <w:pPr>
        <w:pStyle w:val="TOC1"/>
        <w:rPr>
          <w:rStyle w:val="Hyperlink"/>
          <w:color w:val="016794"/>
        </w:rPr>
      </w:pPr>
      <w:hyperlink w:anchor="_Toc424653728" w:history="1">
        <w:r w:rsidR="005A36C4" w:rsidRPr="00F818AC">
          <w:rPr>
            <w:rStyle w:val="Hyperlink"/>
            <w:color w:val="016794"/>
          </w:rPr>
          <w:t>RECONCILIATION OF ECONOMIC RESULT WITH BUDGET RESULT</w:t>
        </w:r>
        <w:r w:rsidR="005A36C4" w:rsidRPr="00F818AC">
          <w:rPr>
            <w:rStyle w:val="Hyperlink"/>
            <w:webHidden/>
            <w:color w:val="016794"/>
          </w:rPr>
          <w:tab/>
        </w:r>
        <w:r w:rsidR="005A36C4" w:rsidRPr="00F818AC">
          <w:rPr>
            <w:rStyle w:val="Hyperlink"/>
            <w:webHidden/>
            <w:color w:val="016794"/>
          </w:rPr>
          <w:fldChar w:fldCharType="begin"/>
        </w:r>
        <w:r w:rsidR="005A36C4" w:rsidRPr="00F818AC">
          <w:rPr>
            <w:rStyle w:val="Hyperlink"/>
            <w:webHidden/>
            <w:color w:val="016794"/>
          </w:rPr>
          <w:instrText xml:space="preserve"> PAGEREF _Toc424653728 \h </w:instrText>
        </w:r>
        <w:r w:rsidR="005A36C4" w:rsidRPr="00F818AC">
          <w:rPr>
            <w:rStyle w:val="Hyperlink"/>
            <w:webHidden/>
            <w:color w:val="016794"/>
          </w:rPr>
        </w:r>
        <w:r w:rsidR="005A36C4" w:rsidRPr="00F818AC">
          <w:rPr>
            <w:rStyle w:val="Hyperlink"/>
            <w:webHidden/>
            <w:color w:val="016794"/>
          </w:rPr>
          <w:fldChar w:fldCharType="separate"/>
        </w:r>
        <w:r>
          <w:rPr>
            <w:rStyle w:val="Hyperlink"/>
            <w:webHidden/>
            <w:color w:val="016794"/>
          </w:rPr>
          <w:t>101</w:t>
        </w:r>
        <w:r w:rsidR="005A36C4" w:rsidRPr="00F818AC">
          <w:rPr>
            <w:rStyle w:val="Hyperlink"/>
            <w:webHidden/>
            <w:color w:val="016794"/>
          </w:rPr>
          <w:fldChar w:fldCharType="end"/>
        </w:r>
      </w:hyperlink>
    </w:p>
    <w:p w:rsidR="00F50689" w:rsidRPr="00F818AC" w:rsidRDefault="00DE1FA9" w:rsidP="00F818AC">
      <w:pPr>
        <w:pStyle w:val="TOC1"/>
        <w:rPr>
          <w:rStyle w:val="Hyperlink"/>
          <w:color w:val="016794"/>
        </w:rPr>
      </w:pPr>
      <w:hyperlink w:anchor="_Toc424653729" w:history="1">
        <w:r w:rsidR="005A36C4" w:rsidRPr="00F818AC">
          <w:rPr>
            <w:rStyle w:val="Hyperlink"/>
            <w:color w:val="016794"/>
          </w:rPr>
          <w:t>STATEMENT OF COMPARISON OF BUDGET AND ACTUAL AMOUNTS</w:t>
        </w:r>
        <w:r w:rsidR="005A36C4" w:rsidRPr="00F818AC">
          <w:rPr>
            <w:rStyle w:val="Hyperlink"/>
            <w:webHidden/>
            <w:color w:val="016794"/>
          </w:rPr>
          <w:tab/>
        </w:r>
        <w:r w:rsidR="005A36C4" w:rsidRPr="00F818AC">
          <w:rPr>
            <w:rStyle w:val="Hyperlink"/>
            <w:webHidden/>
            <w:color w:val="016794"/>
          </w:rPr>
          <w:fldChar w:fldCharType="begin"/>
        </w:r>
        <w:r w:rsidR="005A36C4" w:rsidRPr="00F818AC">
          <w:rPr>
            <w:rStyle w:val="Hyperlink"/>
            <w:webHidden/>
            <w:color w:val="016794"/>
          </w:rPr>
          <w:instrText xml:space="preserve"> PAGEREF _Toc424653729 \h </w:instrText>
        </w:r>
        <w:r w:rsidR="005A36C4" w:rsidRPr="00F818AC">
          <w:rPr>
            <w:rStyle w:val="Hyperlink"/>
            <w:webHidden/>
            <w:color w:val="016794"/>
          </w:rPr>
        </w:r>
        <w:r w:rsidR="005A36C4" w:rsidRPr="00F818AC">
          <w:rPr>
            <w:rStyle w:val="Hyperlink"/>
            <w:webHidden/>
            <w:color w:val="016794"/>
          </w:rPr>
          <w:fldChar w:fldCharType="separate"/>
        </w:r>
        <w:r>
          <w:rPr>
            <w:rStyle w:val="Hyperlink"/>
            <w:webHidden/>
            <w:color w:val="016794"/>
          </w:rPr>
          <w:t>102</w:t>
        </w:r>
        <w:r w:rsidR="005A36C4" w:rsidRPr="00F818AC">
          <w:rPr>
            <w:rStyle w:val="Hyperlink"/>
            <w:webHidden/>
            <w:color w:val="016794"/>
          </w:rPr>
          <w:fldChar w:fldCharType="end"/>
        </w:r>
      </w:hyperlink>
    </w:p>
    <w:p w:rsidR="00F50689" w:rsidRPr="00F818AC" w:rsidRDefault="00DE1FA9" w:rsidP="00F818AC">
      <w:pPr>
        <w:pStyle w:val="TOC1"/>
        <w:rPr>
          <w:rStyle w:val="Hyperlink"/>
          <w:color w:val="016794"/>
        </w:rPr>
      </w:pPr>
      <w:hyperlink w:anchor="_Toc424653730" w:history="1">
        <w:r w:rsidR="005A36C4" w:rsidRPr="00F818AC">
          <w:rPr>
            <w:rStyle w:val="Hyperlink"/>
            <w:color w:val="016794"/>
          </w:rPr>
          <w:t xml:space="preserve">NOTES TO THE AGGREGATED REPORTS ON THE IMPLEMENTATION </w:t>
        </w:r>
        <w:r w:rsidR="00F818AC">
          <w:rPr>
            <w:rStyle w:val="Hyperlink"/>
            <w:color w:val="016794"/>
          </w:rPr>
          <w:br/>
        </w:r>
        <w:r w:rsidR="005A36C4" w:rsidRPr="00F818AC">
          <w:rPr>
            <w:rStyle w:val="Hyperlink"/>
            <w:color w:val="016794"/>
          </w:rPr>
          <w:t>OF THE BUDGET</w:t>
        </w:r>
        <w:r w:rsidR="005A36C4" w:rsidRPr="00F818AC">
          <w:rPr>
            <w:rStyle w:val="Hyperlink"/>
            <w:webHidden/>
            <w:color w:val="016794"/>
          </w:rPr>
          <w:tab/>
        </w:r>
        <w:r w:rsidR="005A36C4" w:rsidRPr="00F818AC">
          <w:rPr>
            <w:rStyle w:val="Hyperlink"/>
            <w:webHidden/>
            <w:color w:val="016794"/>
          </w:rPr>
          <w:fldChar w:fldCharType="begin"/>
        </w:r>
        <w:r w:rsidR="005A36C4" w:rsidRPr="00F818AC">
          <w:rPr>
            <w:rStyle w:val="Hyperlink"/>
            <w:webHidden/>
            <w:color w:val="016794"/>
          </w:rPr>
          <w:instrText xml:space="preserve"> PAGEREF _Toc424653730 \h </w:instrText>
        </w:r>
        <w:r w:rsidR="005A36C4" w:rsidRPr="00F818AC">
          <w:rPr>
            <w:rStyle w:val="Hyperlink"/>
            <w:webHidden/>
            <w:color w:val="016794"/>
          </w:rPr>
        </w:r>
        <w:r w:rsidR="005A36C4" w:rsidRPr="00F818AC">
          <w:rPr>
            <w:rStyle w:val="Hyperlink"/>
            <w:webHidden/>
            <w:color w:val="016794"/>
          </w:rPr>
          <w:fldChar w:fldCharType="separate"/>
        </w:r>
        <w:r>
          <w:rPr>
            <w:rStyle w:val="Hyperlink"/>
            <w:webHidden/>
            <w:color w:val="016794"/>
          </w:rPr>
          <w:t>105</w:t>
        </w:r>
        <w:r w:rsidR="005A36C4" w:rsidRPr="00F818AC">
          <w:rPr>
            <w:rStyle w:val="Hyperlink"/>
            <w:webHidden/>
            <w:color w:val="016794"/>
          </w:rPr>
          <w:fldChar w:fldCharType="end"/>
        </w:r>
      </w:hyperlink>
    </w:p>
    <w:p w:rsidR="00F50689" w:rsidRPr="00F818AC" w:rsidRDefault="00DE1FA9" w:rsidP="00F818AC">
      <w:pPr>
        <w:pStyle w:val="TOC1"/>
        <w:rPr>
          <w:rStyle w:val="Hyperlink"/>
          <w:color w:val="016794"/>
        </w:rPr>
      </w:pPr>
      <w:hyperlink w:anchor="_Toc424653731" w:history="1">
        <w:r w:rsidR="005A36C4" w:rsidRPr="00F818AC">
          <w:rPr>
            <w:rStyle w:val="Hyperlink"/>
            <w:color w:val="016794"/>
          </w:rPr>
          <w:t>1.</w:t>
        </w:r>
        <w:r w:rsidR="00F818AC" w:rsidRPr="00F818AC">
          <w:rPr>
            <w:rStyle w:val="Hyperlink"/>
            <w:color w:val="016794"/>
          </w:rPr>
          <w:t xml:space="preserve"> </w:t>
        </w:r>
        <w:r w:rsidR="005A36C4" w:rsidRPr="00F818AC">
          <w:rPr>
            <w:rStyle w:val="Hyperlink"/>
            <w:color w:val="016794"/>
          </w:rPr>
          <w:t>THE EU BUDGET CYCLE</w:t>
        </w:r>
        <w:r w:rsidR="00F818AC" w:rsidRPr="00F818AC">
          <w:rPr>
            <w:rStyle w:val="Hyperlink"/>
            <w:color w:val="016794"/>
          </w:rPr>
          <w:tab/>
        </w:r>
        <w:r w:rsidR="005A36C4" w:rsidRPr="00F818AC">
          <w:rPr>
            <w:rStyle w:val="Hyperlink"/>
            <w:webHidden/>
            <w:color w:val="016794"/>
          </w:rPr>
          <w:fldChar w:fldCharType="begin"/>
        </w:r>
        <w:r w:rsidR="005A36C4" w:rsidRPr="00F818AC">
          <w:rPr>
            <w:rStyle w:val="Hyperlink"/>
            <w:webHidden/>
            <w:color w:val="016794"/>
          </w:rPr>
          <w:instrText xml:space="preserve"> PAGEREF _Toc424653731 \h </w:instrText>
        </w:r>
        <w:r w:rsidR="005A36C4" w:rsidRPr="00F818AC">
          <w:rPr>
            <w:rStyle w:val="Hyperlink"/>
            <w:webHidden/>
            <w:color w:val="016794"/>
          </w:rPr>
        </w:r>
        <w:r w:rsidR="005A36C4" w:rsidRPr="00F818AC">
          <w:rPr>
            <w:rStyle w:val="Hyperlink"/>
            <w:webHidden/>
            <w:color w:val="016794"/>
          </w:rPr>
          <w:fldChar w:fldCharType="separate"/>
        </w:r>
        <w:r>
          <w:rPr>
            <w:rStyle w:val="Hyperlink"/>
            <w:webHidden/>
            <w:color w:val="016794"/>
          </w:rPr>
          <w:t>105</w:t>
        </w:r>
        <w:r w:rsidR="005A36C4" w:rsidRPr="00F818AC">
          <w:rPr>
            <w:rStyle w:val="Hyperlink"/>
            <w:webHidden/>
            <w:color w:val="016794"/>
          </w:rPr>
          <w:fldChar w:fldCharType="end"/>
        </w:r>
      </w:hyperlink>
    </w:p>
    <w:p w:rsidR="00F50689" w:rsidRPr="00F818AC" w:rsidRDefault="00DE1FA9" w:rsidP="00F818AC">
      <w:pPr>
        <w:pStyle w:val="TOC2"/>
        <w:tabs>
          <w:tab w:val="clear" w:pos="1134"/>
          <w:tab w:val="left" w:pos="851"/>
        </w:tabs>
        <w:spacing w:after="100"/>
        <w:ind w:left="851" w:hanging="611"/>
        <w:rPr>
          <w:rStyle w:val="Hyperlink"/>
          <w:color w:val="595959" w:themeColor="text1" w:themeTint="A6"/>
          <w:szCs w:val="20"/>
        </w:rPr>
      </w:pPr>
      <w:hyperlink w:anchor="_Toc424653732" w:history="1">
        <w:r w:rsidR="005A36C4" w:rsidRPr="00F818AC">
          <w:rPr>
            <w:rStyle w:val="Hyperlink"/>
            <w:color w:val="595959" w:themeColor="text1" w:themeTint="A6"/>
            <w:szCs w:val="20"/>
          </w:rPr>
          <w:t>1.1.</w:t>
        </w:r>
        <w:r w:rsidR="005A36C4" w:rsidRPr="00F818AC">
          <w:rPr>
            <w:rStyle w:val="Hyperlink"/>
            <w:color w:val="595959" w:themeColor="text1" w:themeTint="A6"/>
            <w:szCs w:val="20"/>
          </w:rPr>
          <w:tab/>
          <w:t>MULTIANNUAL FINANCIAL FRAMEWORK 2014-2020</w:t>
        </w:r>
        <w:r w:rsidR="005A36C4" w:rsidRPr="00F818AC">
          <w:rPr>
            <w:rStyle w:val="Hyperlink"/>
            <w:webHidden/>
            <w:color w:val="595959" w:themeColor="text1" w:themeTint="A6"/>
            <w:szCs w:val="20"/>
          </w:rPr>
          <w:tab/>
        </w:r>
        <w:r w:rsidR="005A36C4" w:rsidRPr="00F818AC">
          <w:rPr>
            <w:rStyle w:val="Hyperlink"/>
            <w:webHidden/>
            <w:color w:val="595959" w:themeColor="text1" w:themeTint="A6"/>
            <w:szCs w:val="20"/>
          </w:rPr>
          <w:fldChar w:fldCharType="begin"/>
        </w:r>
        <w:r w:rsidR="005A36C4" w:rsidRPr="00F818AC">
          <w:rPr>
            <w:rStyle w:val="Hyperlink"/>
            <w:webHidden/>
            <w:color w:val="595959" w:themeColor="text1" w:themeTint="A6"/>
            <w:szCs w:val="20"/>
          </w:rPr>
          <w:instrText xml:space="preserve"> PAGEREF _Toc424653732 \h </w:instrText>
        </w:r>
        <w:r w:rsidR="005A36C4" w:rsidRPr="00F818AC">
          <w:rPr>
            <w:rStyle w:val="Hyperlink"/>
            <w:webHidden/>
            <w:color w:val="595959" w:themeColor="text1" w:themeTint="A6"/>
            <w:szCs w:val="20"/>
          </w:rPr>
        </w:r>
        <w:r w:rsidR="005A36C4" w:rsidRPr="00F818AC">
          <w:rPr>
            <w:rStyle w:val="Hyperlink"/>
            <w:webHidden/>
            <w:color w:val="595959" w:themeColor="text1" w:themeTint="A6"/>
            <w:szCs w:val="20"/>
          </w:rPr>
          <w:fldChar w:fldCharType="separate"/>
        </w:r>
        <w:r>
          <w:rPr>
            <w:rStyle w:val="Hyperlink"/>
            <w:webHidden/>
            <w:color w:val="595959" w:themeColor="text1" w:themeTint="A6"/>
            <w:szCs w:val="20"/>
          </w:rPr>
          <w:t>105</w:t>
        </w:r>
        <w:r w:rsidR="005A36C4" w:rsidRPr="00F818AC">
          <w:rPr>
            <w:rStyle w:val="Hyperlink"/>
            <w:webHidden/>
            <w:color w:val="595959" w:themeColor="text1" w:themeTint="A6"/>
            <w:szCs w:val="20"/>
          </w:rPr>
          <w:fldChar w:fldCharType="end"/>
        </w:r>
      </w:hyperlink>
    </w:p>
    <w:p w:rsidR="00F50689" w:rsidRPr="00F818AC" w:rsidRDefault="00DE1FA9" w:rsidP="00F818AC">
      <w:pPr>
        <w:pStyle w:val="TOC2"/>
        <w:tabs>
          <w:tab w:val="clear" w:pos="1134"/>
          <w:tab w:val="left" w:pos="851"/>
        </w:tabs>
        <w:spacing w:after="100"/>
        <w:ind w:left="851" w:hanging="611"/>
        <w:rPr>
          <w:rStyle w:val="Hyperlink"/>
          <w:color w:val="595959" w:themeColor="text1" w:themeTint="A6"/>
          <w:szCs w:val="20"/>
        </w:rPr>
      </w:pPr>
      <w:hyperlink w:anchor="_Toc424653733" w:history="1">
        <w:r w:rsidR="005A36C4" w:rsidRPr="00F818AC">
          <w:rPr>
            <w:rStyle w:val="Hyperlink"/>
            <w:color w:val="595959" w:themeColor="text1" w:themeTint="A6"/>
            <w:szCs w:val="20"/>
          </w:rPr>
          <w:t>1.2.</w:t>
        </w:r>
        <w:r w:rsidR="005A36C4" w:rsidRPr="00F818AC">
          <w:rPr>
            <w:rStyle w:val="Hyperlink"/>
            <w:color w:val="595959" w:themeColor="text1" w:themeTint="A6"/>
            <w:szCs w:val="20"/>
          </w:rPr>
          <w:tab/>
          <w:t>POLICY AREAS</w:t>
        </w:r>
        <w:r w:rsidR="005A36C4" w:rsidRPr="00F818AC">
          <w:rPr>
            <w:rStyle w:val="Hyperlink"/>
            <w:webHidden/>
            <w:color w:val="595959" w:themeColor="text1" w:themeTint="A6"/>
            <w:szCs w:val="20"/>
          </w:rPr>
          <w:tab/>
        </w:r>
        <w:r w:rsidR="005A36C4" w:rsidRPr="00F818AC">
          <w:rPr>
            <w:rStyle w:val="Hyperlink"/>
            <w:webHidden/>
            <w:color w:val="595959" w:themeColor="text1" w:themeTint="A6"/>
            <w:szCs w:val="20"/>
          </w:rPr>
          <w:fldChar w:fldCharType="begin"/>
        </w:r>
        <w:r w:rsidR="005A36C4" w:rsidRPr="00F818AC">
          <w:rPr>
            <w:rStyle w:val="Hyperlink"/>
            <w:webHidden/>
            <w:color w:val="595959" w:themeColor="text1" w:themeTint="A6"/>
            <w:szCs w:val="20"/>
          </w:rPr>
          <w:instrText xml:space="preserve"> PAGEREF _Toc424653733 \h </w:instrText>
        </w:r>
        <w:r w:rsidR="005A36C4" w:rsidRPr="00F818AC">
          <w:rPr>
            <w:rStyle w:val="Hyperlink"/>
            <w:webHidden/>
            <w:color w:val="595959" w:themeColor="text1" w:themeTint="A6"/>
            <w:szCs w:val="20"/>
          </w:rPr>
        </w:r>
        <w:r w:rsidR="005A36C4" w:rsidRPr="00F818AC">
          <w:rPr>
            <w:rStyle w:val="Hyperlink"/>
            <w:webHidden/>
            <w:color w:val="595959" w:themeColor="text1" w:themeTint="A6"/>
            <w:szCs w:val="20"/>
          </w:rPr>
          <w:fldChar w:fldCharType="separate"/>
        </w:r>
        <w:r>
          <w:rPr>
            <w:rStyle w:val="Hyperlink"/>
            <w:webHidden/>
            <w:color w:val="595959" w:themeColor="text1" w:themeTint="A6"/>
            <w:szCs w:val="20"/>
          </w:rPr>
          <w:t>106</w:t>
        </w:r>
        <w:r w:rsidR="005A36C4" w:rsidRPr="00F818AC">
          <w:rPr>
            <w:rStyle w:val="Hyperlink"/>
            <w:webHidden/>
            <w:color w:val="595959" w:themeColor="text1" w:themeTint="A6"/>
            <w:szCs w:val="20"/>
          </w:rPr>
          <w:fldChar w:fldCharType="end"/>
        </w:r>
      </w:hyperlink>
    </w:p>
    <w:p w:rsidR="00F50689" w:rsidRPr="00F818AC" w:rsidRDefault="00DE1FA9" w:rsidP="00F818AC">
      <w:pPr>
        <w:pStyle w:val="TOC2"/>
        <w:tabs>
          <w:tab w:val="clear" w:pos="1134"/>
          <w:tab w:val="left" w:pos="851"/>
        </w:tabs>
        <w:spacing w:after="100"/>
        <w:ind w:left="851" w:hanging="611"/>
        <w:rPr>
          <w:rStyle w:val="Hyperlink"/>
          <w:color w:val="595959" w:themeColor="text1" w:themeTint="A6"/>
          <w:szCs w:val="20"/>
        </w:rPr>
      </w:pPr>
      <w:hyperlink w:anchor="_Toc424653734" w:history="1">
        <w:r w:rsidR="005A36C4" w:rsidRPr="00F818AC">
          <w:rPr>
            <w:rStyle w:val="Hyperlink"/>
            <w:color w:val="595959" w:themeColor="text1" w:themeTint="A6"/>
            <w:szCs w:val="20"/>
          </w:rPr>
          <w:t>1.3.</w:t>
        </w:r>
        <w:r w:rsidR="005A36C4" w:rsidRPr="00F818AC">
          <w:rPr>
            <w:rStyle w:val="Hyperlink"/>
            <w:color w:val="595959" w:themeColor="text1" w:themeTint="A6"/>
            <w:szCs w:val="20"/>
          </w:rPr>
          <w:tab/>
          <w:t>ANNUAL BUDGET</w:t>
        </w:r>
        <w:r w:rsidR="005A36C4" w:rsidRPr="00F818AC">
          <w:rPr>
            <w:rStyle w:val="Hyperlink"/>
            <w:webHidden/>
            <w:color w:val="595959" w:themeColor="text1" w:themeTint="A6"/>
            <w:szCs w:val="20"/>
          </w:rPr>
          <w:tab/>
        </w:r>
        <w:r w:rsidR="005A36C4" w:rsidRPr="00F818AC">
          <w:rPr>
            <w:rStyle w:val="Hyperlink"/>
            <w:webHidden/>
            <w:color w:val="595959" w:themeColor="text1" w:themeTint="A6"/>
            <w:szCs w:val="20"/>
          </w:rPr>
          <w:fldChar w:fldCharType="begin"/>
        </w:r>
        <w:r w:rsidR="005A36C4" w:rsidRPr="00F818AC">
          <w:rPr>
            <w:rStyle w:val="Hyperlink"/>
            <w:webHidden/>
            <w:color w:val="595959" w:themeColor="text1" w:themeTint="A6"/>
            <w:szCs w:val="20"/>
          </w:rPr>
          <w:instrText xml:space="preserve"> PAGEREF _Toc424653734 \h </w:instrText>
        </w:r>
        <w:r w:rsidR="005A36C4" w:rsidRPr="00F818AC">
          <w:rPr>
            <w:rStyle w:val="Hyperlink"/>
            <w:webHidden/>
            <w:color w:val="595959" w:themeColor="text1" w:themeTint="A6"/>
            <w:szCs w:val="20"/>
          </w:rPr>
        </w:r>
        <w:r w:rsidR="005A36C4" w:rsidRPr="00F818AC">
          <w:rPr>
            <w:rStyle w:val="Hyperlink"/>
            <w:webHidden/>
            <w:color w:val="595959" w:themeColor="text1" w:themeTint="A6"/>
            <w:szCs w:val="20"/>
          </w:rPr>
          <w:fldChar w:fldCharType="separate"/>
        </w:r>
        <w:r>
          <w:rPr>
            <w:rStyle w:val="Hyperlink"/>
            <w:webHidden/>
            <w:color w:val="595959" w:themeColor="text1" w:themeTint="A6"/>
            <w:szCs w:val="20"/>
          </w:rPr>
          <w:t>106</w:t>
        </w:r>
        <w:r w:rsidR="005A36C4" w:rsidRPr="00F818AC">
          <w:rPr>
            <w:rStyle w:val="Hyperlink"/>
            <w:webHidden/>
            <w:color w:val="595959" w:themeColor="text1" w:themeTint="A6"/>
            <w:szCs w:val="20"/>
          </w:rPr>
          <w:fldChar w:fldCharType="end"/>
        </w:r>
      </w:hyperlink>
    </w:p>
    <w:p w:rsidR="00F50689" w:rsidRPr="00F818AC" w:rsidRDefault="00DE1FA9" w:rsidP="00F818AC">
      <w:pPr>
        <w:pStyle w:val="TOC1"/>
        <w:rPr>
          <w:rStyle w:val="Hyperlink"/>
          <w:color w:val="016794"/>
        </w:rPr>
      </w:pPr>
      <w:hyperlink w:anchor="_Toc424653735" w:history="1">
        <w:r w:rsidR="005A36C4" w:rsidRPr="00F818AC">
          <w:rPr>
            <w:rStyle w:val="Hyperlink"/>
            <w:color w:val="016794"/>
          </w:rPr>
          <w:t>2.</w:t>
        </w:r>
        <w:r w:rsidR="00F818AC" w:rsidRPr="00F818AC">
          <w:rPr>
            <w:rStyle w:val="Hyperlink"/>
            <w:color w:val="016794"/>
          </w:rPr>
          <w:t xml:space="preserve"> </w:t>
        </w:r>
        <w:r w:rsidR="005A36C4" w:rsidRPr="00F818AC">
          <w:rPr>
            <w:rStyle w:val="Hyperlink"/>
            <w:color w:val="016794"/>
          </w:rPr>
          <w:t>NOTES TO THE EU BUDGET RESULT</w:t>
        </w:r>
        <w:r w:rsidR="005A36C4" w:rsidRPr="00F818AC">
          <w:rPr>
            <w:rStyle w:val="Hyperlink"/>
            <w:webHidden/>
            <w:color w:val="016794"/>
          </w:rPr>
          <w:tab/>
        </w:r>
        <w:r w:rsidR="005A36C4" w:rsidRPr="00F818AC">
          <w:rPr>
            <w:rStyle w:val="Hyperlink"/>
            <w:webHidden/>
            <w:color w:val="016794"/>
          </w:rPr>
          <w:fldChar w:fldCharType="begin"/>
        </w:r>
        <w:r w:rsidR="005A36C4" w:rsidRPr="00F818AC">
          <w:rPr>
            <w:rStyle w:val="Hyperlink"/>
            <w:webHidden/>
            <w:color w:val="016794"/>
          </w:rPr>
          <w:instrText xml:space="preserve"> PAGEREF _Toc424653735 \h </w:instrText>
        </w:r>
        <w:r w:rsidR="005A36C4" w:rsidRPr="00F818AC">
          <w:rPr>
            <w:rStyle w:val="Hyperlink"/>
            <w:webHidden/>
            <w:color w:val="016794"/>
          </w:rPr>
        </w:r>
        <w:r w:rsidR="005A36C4" w:rsidRPr="00F818AC">
          <w:rPr>
            <w:rStyle w:val="Hyperlink"/>
            <w:webHidden/>
            <w:color w:val="016794"/>
          </w:rPr>
          <w:fldChar w:fldCharType="separate"/>
        </w:r>
        <w:r>
          <w:rPr>
            <w:rStyle w:val="Hyperlink"/>
            <w:webHidden/>
            <w:color w:val="016794"/>
          </w:rPr>
          <w:t>108</w:t>
        </w:r>
        <w:r w:rsidR="005A36C4" w:rsidRPr="00F818AC">
          <w:rPr>
            <w:rStyle w:val="Hyperlink"/>
            <w:webHidden/>
            <w:color w:val="016794"/>
          </w:rPr>
          <w:fldChar w:fldCharType="end"/>
        </w:r>
      </w:hyperlink>
    </w:p>
    <w:p w:rsidR="00F50689" w:rsidRPr="00F818AC" w:rsidRDefault="00DE1FA9" w:rsidP="00F818AC">
      <w:pPr>
        <w:pStyle w:val="TOC2"/>
        <w:tabs>
          <w:tab w:val="clear" w:pos="1134"/>
          <w:tab w:val="left" w:pos="851"/>
        </w:tabs>
        <w:spacing w:after="100"/>
        <w:ind w:left="851" w:hanging="611"/>
        <w:rPr>
          <w:rStyle w:val="Hyperlink"/>
          <w:color w:val="595959" w:themeColor="text1" w:themeTint="A6"/>
          <w:szCs w:val="20"/>
        </w:rPr>
      </w:pPr>
      <w:hyperlink w:anchor="_Toc424653736" w:history="1">
        <w:r w:rsidR="005A36C4" w:rsidRPr="00F818AC">
          <w:rPr>
            <w:rStyle w:val="Hyperlink"/>
            <w:color w:val="595959" w:themeColor="text1" w:themeTint="A6"/>
            <w:szCs w:val="20"/>
          </w:rPr>
          <w:t>2.1.</w:t>
        </w:r>
        <w:r w:rsidR="005A36C4" w:rsidRPr="00F818AC">
          <w:rPr>
            <w:rStyle w:val="Hyperlink"/>
            <w:color w:val="595959" w:themeColor="text1" w:themeTint="A6"/>
            <w:szCs w:val="20"/>
          </w:rPr>
          <w:tab/>
          <w:t>CALCULATION OF THE BUDGET RESULT</w:t>
        </w:r>
        <w:r w:rsidR="005A36C4" w:rsidRPr="00F818AC">
          <w:rPr>
            <w:rStyle w:val="Hyperlink"/>
            <w:webHidden/>
            <w:color w:val="595959" w:themeColor="text1" w:themeTint="A6"/>
            <w:szCs w:val="20"/>
          </w:rPr>
          <w:tab/>
        </w:r>
        <w:r w:rsidR="005A36C4" w:rsidRPr="00F818AC">
          <w:rPr>
            <w:rStyle w:val="Hyperlink"/>
            <w:webHidden/>
            <w:color w:val="595959" w:themeColor="text1" w:themeTint="A6"/>
            <w:szCs w:val="20"/>
          </w:rPr>
          <w:fldChar w:fldCharType="begin"/>
        </w:r>
        <w:r w:rsidR="005A36C4" w:rsidRPr="00F818AC">
          <w:rPr>
            <w:rStyle w:val="Hyperlink"/>
            <w:webHidden/>
            <w:color w:val="595959" w:themeColor="text1" w:themeTint="A6"/>
            <w:szCs w:val="20"/>
          </w:rPr>
          <w:instrText xml:space="preserve"> PAGEREF _Toc424653736 \h </w:instrText>
        </w:r>
        <w:r w:rsidR="005A36C4" w:rsidRPr="00F818AC">
          <w:rPr>
            <w:rStyle w:val="Hyperlink"/>
            <w:webHidden/>
            <w:color w:val="595959" w:themeColor="text1" w:themeTint="A6"/>
            <w:szCs w:val="20"/>
          </w:rPr>
        </w:r>
        <w:r w:rsidR="005A36C4" w:rsidRPr="00F818AC">
          <w:rPr>
            <w:rStyle w:val="Hyperlink"/>
            <w:webHidden/>
            <w:color w:val="595959" w:themeColor="text1" w:themeTint="A6"/>
            <w:szCs w:val="20"/>
          </w:rPr>
          <w:fldChar w:fldCharType="separate"/>
        </w:r>
        <w:r>
          <w:rPr>
            <w:rStyle w:val="Hyperlink"/>
            <w:webHidden/>
            <w:color w:val="595959" w:themeColor="text1" w:themeTint="A6"/>
            <w:szCs w:val="20"/>
          </w:rPr>
          <w:t>108</w:t>
        </w:r>
        <w:r w:rsidR="005A36C4" w:rsidRPr="00F818AC">
          <w:rPr>
            <w:rStyle w:val="Hyperlink"/>
            <w:webHidden/>
            <w:color w:val="595959" w:themeColor="text1" w:themeTint="A6"/>
            <w:szCs w:val="20"/>
          </w:rPr>
          <w:fldChar w:fldCharType="end"/>
        </w:r>
      </w:hyperlink>
    </w:p>
    <w:p w:rsidR="00F50689" w:rsidRPr="00F818AC" w:rsidRDefault="00DE1FA9" w:rsidP="00F818AC">
      <w:pPr>
        <w:pStyle w:val="TOC2"/>
        <w:tabs>
          <w:tab w:val="clear" w:pos="1134"/>
          <w:tab w:val="left" w:pos="851"/>
        </w:tabs>
        <w:spacing w:after="100"/>
        <w:ind w:left="851" w:hanging="611"/>
        <w:rPr>
          <w:rStyle w:val="Hyperlink"/>
          <w:color w:val="595959" w:themeColor="text1" w:themeTint="A6"/>
          <w:szCs w:val="20"/>
        </w:rPr>
      </w:pPr>
      <w:hyperlink w:anchor="_Toc424653737" w:history="1">
        <w:r w:rsidR="005A36C4" w:rsidRPr="00F818AC">
          <w:rPr>
            <w:rStyle w:val="Hyperlink"/>
            <w:color w:val="595959" w:themeColor="text1" w:themeTint="A6"/>
            <w:szCs w:val="20"/>
          </w:rPr>
          <w:t>2.2.</w:t>
        </w:r>
        <w:r w:rsidR="005A36C4" w:rsidRPr="00F818AC">
          <w:rPr>
            <w:rStyle w:val="Hyperlink"/>
            <w:color w:val="595959" w:themeColor="text1" w:themeTint="A6"/>
            <w:szCs w:val="20"/>
          </w:rPr>
          <w:tab/>
          <w:t>IMPLEMENTATION OF THE 2014 EU BUDGET</w:t>
        </w:r>
        <w:r w:rsidR="005A36C4" w:rsidRPr="00F818AC">
          <w:rPr>
            <w:rStyle w:val="Hyperlink"/>
            <w:webHidden/>
            <w:color w:val="595959" w:themeColor="text1" w:themeTint="A6"/>
            <w:szCs w:val="20"/>
          </w:rPr>
          <w:tab/>
        </w:r>
        <w:r w:rsidR="005A36C4" w:rsidRPr="00F818AC">
          <w:rPr>
            <w:rStyle w:val="Hyperlink"/>
            <w:webHidden/>
            <w:color w:val="595959" w:themeColor="text1" w:themeTint="A6"/>
            <w:szCs w:val="20"/>
          </w:rPr>
          <w:fldChar w:fldCharType="begin"/>
        </w:r>
        <w:r w:rsidR="005A36C4" w:rsidRPr="00F818AC">
          <w:rPr>
            <w:rStyle w:val="Hyperlink"/>
            <w:webHidden/>
            <w:color w:val="595959" w:themeColor="text1" w:themeTint="A6"/>
            <w:szCs w:val="20"/>
          </w:rPr>
          <w:instrText xml:space="preserve"> PAGEREF _Toc424653737 \h </w:instrText>
        </w:r>
        <w:r w:rsidR="005A36C4" w:rsidRPr="00F818AC">
          <w:rPr>
            <w:rStyle w:val="Hyperlink"/>
            <w:webHidden/>
            <w:color w:val="595959" w:themeColor="text1" w:themeTint="A6"/>
            <w:szCs w:val="20"/>
          </w:rPr>
        </w:r>
        <w:r w:rsidR="005A36C4" w:rsidRPr="00F818AC">
          <w:rPr>
            <w:rStyle w:val="Hyperlink"/>
            <w:webHidden/>
            <w:color w:val="595959" w:themeColor="text1" w:themeTint="A6"/>
            <w:szCs w:val="20"/>
          </w:rPr>
          <w:fldChar w:fldCharType="separate"/>
        </w:r>
        <w:r>
          <w:rPr>
            <w:rStyle w:val="Hyperlink"/>
            <w:webHidden/>
            <w:color w:val="595959" w:themeColor="text1" w:themeTint="A6"/>
            <w:szCs w:val="20"/>
          </w:rPr>
          <w:t>109</w:t>
        </w:r>
        <w:r w:rsidR="005A36C4" w:rsidRPr="00F818AC">
          <w:rPr>
            <w:rStyle w:val="Hyperlink"/>
            <w:webHidden/>
            <w:color w:val="595959" w:themeColor="text1" w:themeTint="A6"/>
            <w:szCs w:val="20"/>
          </w:rPr>
          <w:fldChar w:fldCharType="end"/>
        </w:r>
      </w:hyperlink>
    </w:p>
    <w:p w:rsidR="00F50689" w:rsidRPr="00F818AC" w:rsidRDefault="00DE1FA9" w:rsidP="00F818AC">
      <w:pPr>
        <w:pStyle w:val="TOC1"/>
        <w:rPr>
          <w:rStyle w:val="Hyperlink"/>
          <w:color w:val="016794"/>
        </w:rPr>
      </w:pPr>
      <w:hyperlink w:anchor="_Toc424653738" w:history="1">
        <w:r w:rsidR="005A36C4" w:rsidRPr="00F818AC">
          <w:rPr>
            <w:rStyle w:val="Hyperlink"/>
            <w:color w:val="016794"/>
          </w:rPr>
          <w:t>3.</w:t>
        </w:r>
        <w:r w:rsidR="00F818AC" w:rsidRPr="00F818AC">
          <w:rPr>
            <w:rStyle w:val="Hyperlink"/>
            <w:color w:val="016794"/>
          </w:rPr>
          <w:t xml:space="preserve"> </w:t>
        </w:r>
        <w:r w:rsidR="005A36C4" w:rsidRPr="00F818AC">
          <w:rPr>
            <w:rStyle w:val="Hyperlink"/>
            <w:color w:val="016794"/>
          </w:rPr>
          <w:t xml:space="preserve">NOTES TO THE RECONCILIATION OF ECONOMIC RESULT WITH </w:t>
        </w:r>
        <w:r w:rsidR="00F818AC">
          <w:rPr>
            <w:rStyle w:val="Hyperlink"/>
            <w:color w:val="016794"/>
          </w:rPr>
          <w:br/>
          <w:t xml:space="preserve">    </w:t>
        </w:r>
        <w:r w:rsidR="005A36C4" w:rsidRPr="00F818AC">
          <w:rPr>
            <w:rStyle w:val="Hyperlink"/>
            <w:color w:val="016794"/>
          </w:rPr>
          <w:t>BUDGET RESULT</w:t>
        </w:r>
        <w:r w:rsidR="005A36C4" w:rsidRPr="00F818AC">
          <w:rPr>
            <w:rStyle w:val="Hyperlink"/>
            <w:webHidden/>
            <w:color w:val="016794"/>
          </w:rPr>
          <w:tab/>
        </w:r>
        <w:r w:rsidR="005A36C4" w:rsidRPr="00F818AC">
          <w:rPr>
            <w:rStyle w:val="Hyperlink"/>
            <w:webHidden/>
            <w:color w:val="016794"/>
          </w:rPr>
          <w:fldChar w:fldCharType="begin"/>
        </w:r>
        <w:r w:rsidR="005A36C4" w:rsidRPr="00F818AC">
          <w:rPr>
            <w:rStyle w:val="Hyperlink"/>
            <w:webHidden/>
            <w:color w:val="016794"/>
          </w:rPr>
          <w:instrText xml:space="preserve"> PAGEREF _Toc424653738 \h </w:instrText>
        </w:r>
        <w:r w:rsidR="005A36C4" w:rsidRPr="00F818AC">
          <w:rPr>
            <w:rStyle w:val="Hyperlink"/>
            <w:webHidden/>
            <w:color w:val="016794"/>
          </w:rPr>
        </w:r>
        <w:r w:rsidR="005A36C4" w:rsidRPr="00F818AC">
          <w:rPr>
            <w:rStyle w:val="Hyperlink"/>
            <w:webHidden/>
            <w:color w:val="016794"/>
          </w:rPr>
          <w:fldChar w:fldCharType="separate"/>
        </w:r>
        <w:r>
          <w:rPr>
            <w:rStyle w:val="Hyperlink"/>
            <w:webHidden/>
            <w:color w:val="016794"/>
          </w:rPr>
          <w:t>110</w:t>
        </w:r>
        <w:r w:rsidR="005A36C4" w:rsidRPr="00F818AC">
          <w:rPr>
            <w:rStyle w:val="Hyperlink"/>
            <w:webHidden/>
            <w:color w:val="016794"/>
          </w:rPr>
          <w:fldChar w:fldCharType="end"/>
        </w:r>
      </w:hyperlink>
    </w:p>
    <w:p w:rsidR="00F50689" w:rsidRPr="00F818AC" w:rsidRDefault="00DE1FA9" w:rsidP="00F818AC">
      <w:pPr>
        <w:pStyle w:val="TOC1"/>
        <w:rPr>
          <w:rStyle w:val="Hyperlink"/>
          <w:color w:val="016794"/>
        </w:rPr>
      </w:pPr>
      <w:hyperlink w:anchor="_Toc424653739" w:history="1">
        <w:r w:rsidR="005A36C4" w:rsidRPr="00F818AC">
          <w:rPr>
            <w:rStyle w:val="Hyperlink"/>
            <w:color w:val="016794"/>
          </w:rPr>
          <w:t>4.</w:t>
        </w:r>
        <w:r w:rsidR="00F818AC" w:rsidRPr="00F818AC">
          <w:rPr>
            <w:rStyle w:val="Hyperlink"/>
            <w:color w:val="016794"/>
          </w:rPr>
          <w:t xml:space="preserve"> </w:t>
        </w:r>
        <w:r w:rsidR="005A36C4" w:rsidRPr="00F818AC">
          <w:rPr>
            <w:rStyle w:val="Hyperlink"/>
            <w:color w:val="016794"/>
          </w:rPr>
          <w:t>IMPLEMENTATION OF EU BUDGET REVENUE</w:t>
        </w:r>
        <w:r w:rsidR="005A36C4" w:rsidRPr="00F818AC">
          <w:rPr>
            <w:rStyle w:val="Hyperlink"/>
            <w:webHidden/>
            <w:color w:val="016794"/>
          </w:rPr>
          <w:tab/>
        </w:r>
        <w:r w:rsidR="005A36C4" w:rsidRPr="00F818AC">
          <w:rPr>
            <w:rStyle w:val="Hyperlink"/>
            <w:webHidden/>
            <w:color w:val="016794"/>
          </w:rPr>
          <w:fldChar w:fldCharType="begin"/>
        </w:r>
        <w:r w:rsidR="005A36C4" w:rsidRPr="00F818AC">
          <w:rPr>
            <w:rStyle w:val="Hyperlink"/>
            <w:webHidden/>
            <w:color w:val="016794"/>
          </w:rPr>
          <w:instrText xml:space="preserve"> PAGEREF _Toc424653739 \h </w:instrText>
        </w:r>
        <w:r w:rsidR="005A36C4" w:rsidRPr="00F818AC">
          <w:rPr>
            <w:rStyle w:val="Hyperlink"/>
            <w:webHidden/>
            <w:color w:val="016794"/>
          </w:rPr>
        </w:r>
        <w:r w:rsidR="005A36C4" w:rsidRPr="00F818AC">
          <w:rPr>
            <w:rStyle w:val="Hyperlink"/>
            <w:webHidden/>
            <w:color w:val="016794"/>
          </w:rPr>
          <w:fldChar w:fldCharType="separate"/>
        </w:r>
        <w:r>
          <w:rPr>
            <w:rStyle w:val="Hyperlink"/>
            <w:webHidden/>
            <w:color w:val="016794"/>
          </w:rPr>
          <w:t>111</w:t>
        </w:r>
        <w:r w:rsidR="005A36C4" w:rsidRPr="00F818AC">
          <w:rPr>
            <w:rStyle w:val="Hyperlink"/>
            <w:webHidden/>
            <w:color w:val="016794"/>
          </w:rPr>
          <w:fldChar w:fldCharType="end"/>
        </w:r>
      </w:hyperlink>
    </w:p>
    <w:p w:rsidR="00F50689" w:rsidRPr="00F818AC" w:rsidRDefault="00DE1FA9" w:rsidP="00F818AC">
      <w:pPr>
        <w:pStyle w:val="TOC2"/>
        <w:tabs>
          <w:tab w:val="clear" w:pos="1134"/>
          <w:tab w:val="left" w:pos="851"/>
        </w:tabs>
        <w:spacing w:after="100"/>
        <w:ind w:left="851" w:hanging="611"/>
        <w:rPr>
          <w:rStyle w:val="Hyperlink"/>
          <w:color w:val="595959" w:themeColor="text1" w:themeTint="A6"/>
          <w:szCs w:val="20"/>
        </w:rPr>
      </w:pPr>
      <w:hyperlink w:anchor="_Toc424653740" w:history="1">
        <w:r w:rsidR="005A36C4" w:rsidRPr="00F818AC">
          <w:rPr>
            <w:rStyle w:val="Hyperlink"/>
            <w:color w:val="595959" w:themeColor="text1" w:themeTint="A6"/>
            <w:szCs w:val="20"/>
          </w:rPr>
          <w:t>4.1.</w:t>
        </w:r>
        <w:r w:rsidR="005A36C4" w:rsidRPr="00F818AC">
          <w:rPr>
            <w:rStyle w:val="Hyperlink"/>
            <w:color w:val="595959" w:themeColor="text1" w:themeTint="A6"/>
            <w:szCs w:val="20"/>
          </w:rPr>
          <w:tab/>
          <w:t>SUMMARY OF THE IMPLEMENTATION OF BUDGET REVENUE</w:t>
        </w:r>
        <w:r w:rsidR="005A36C4" w:rsidRPr="00F818AC">
          <w:rPr>
            <w:rStyle w:val="Hyperlink"/>
            <w:webHidden/>
            <w:color w:val="595959" w:themeColor="text1" w:themeTint="A6"/>
            <w:szCs w:val="20"/>
          </w:rPr>
          <w:tab/>
        </w:r>
        <w:r w:rsidR="005A36C4" w:rsidRPr="00F818AC">
          <w:rPr>
            <w:rStyle w:val="Hyperlink"/>
            <w:webHidden/>
            <w:color w:val="595959" w:themeColor="text1" w:themeTint="A6"/>
            <w:szCs w:val="20"/>
          </w:rPr>
          <w:fldChar w:fldCharType="begin"/>
        </w:r>
        <w:r w:rsidR="005A36C4" w:rsidRPr="00F818AC">
          <w:rPr>
            <w:rStyle w:val="Hyperlink"/>
            <w:webHidden/>
            <w:color w:val="595959" w:themeColor="text1" w:themeTint="A6"/>
            <w:szCs w:val="20"/>
          </w:rPr>
          <w:instrText xml:space="preserve"> PAGEREF _Toc424653740 \h </w:instrText>
        </w:r>
        <w:r w:rsidR="005A36C4" w:rsidRPr="00F818AC">
          <w:rPr>
            <w:rStyle w:val="Hyperlink"/>
            <w:webHidden/>
            <w:color w:val="595959" w:themeColor="text1" w:themeTint="A6"/>
            <w:szCs w:val="20"/>
          </w:rPr>
        </w:r>
        <w:r w:rsidR="005A36C4" w:rsidRPr="00F818AC">
          <w:rPr>
            <w:rStyle w:val="Hyperlink"/>
            <w:webHidden/>
            <w:color w:val="595959" w:themeColor="text1" w:themeTint="A6"/>
            <w:szCs w:val="20"/>
          </w:rPr>
          <w:fldChar w:fldCharType="separate"/>
        </w:r>
        <w:r>
          <w:rPr>
            <w:rStyle w:val="Hyperlink"/>
            <w:webHidden/>
            <w:color w:val="595959" w:themeColor="text1" w:themeTint="A6"/>
            <w:szCs w:val="20"/>
          </w:rPr>
          <w:t>111</w:t>
        </w:r>
        <w:r w:rsidR="005A36C4" w:rsidRPr="00F818AC">
          <w:rPr>
            <w:rStyle w:val="Hyperlink"/>
            <w:webHidden/>
            <w:color w:val="595959" w:themeColor="text1" w:themeTint="A6"/>
            <w:szCs w:val="20"/>
          </w:rPr>
          <w:fldChar w:fldCharType="end"/>
        </w:r>
      </w:hyperlink>
    </w:p>
    <w:p w:rsidR="00F50689" w:rsidRPr="00F818AC" w:rsidRDefault="00DE1FA9" w:rsidP="00F818AC">
      <w:pPr>
        <w:pStyle w:val="TOC2"/>
        <w:tabs>
          <w:tab w:val="clear" w:pos="1134"/>
          <w:tab w:val="left" w:pos="851"/>
        </w:tabs>
        <w:spacing w:after="100"/>
        <w:ind w:left="851" w:hanging="611"/>
        <w:rPr>
          <w:rStyle w:val="Hyperlink"/>
          <w:color w:val="595959" w:themeColor="text1" w:themeTint="A6"/>
          <w:szCs w:val="20"/>
        </w:rPr>
      </w:pPr>
      <w:hyperlink w:anchor="_Toc424653741" w:history="1">
        <w:r w:rsidR="005A36C4" w:rsidRPr="00F818AC">
          <w:rPr>
            <w:rStyle w:val="Hyperlink"/>
            <w:color w:val="595959" w:themeColor="text1" w:themeTint="A6"/>
            <w:szCs w:val="20"/>
          </w:rPr>
          <w:t>4.2.</w:t>
        </w:r>
        <w:r w:rsidR="005A36C4" w:rsidRPr="00F818AC">
          <w:rPr>
            <w:rStyle w:val="Hyperlink"/>
            <w:color w:val="595959" w:themeColor="text1" w:themeTint="A6"/>
            <w:szCs w:val="20"/>
          </w:rPr>
          <w:tab/>
          <w:t>REVENUE IMPLEMENTATION</w:t>
        </w:r>
        <w:r w:rsidR="005A36C4" w:rsidRPr="00F818AC">
          <w:rPr>
            <w:rStyle w:val="Hyperlink"/>
            <w:webHidden/>
            <w:color w:val="595959" w:themeColor="text1" w:themeTint="A6"/>
            <w:szCs w:val="20"/>
          </w:rPr>
          <w:tab/>
        </w:r>
        <w:r w:rsidR="005A36C4" w:rsidRPr="00F818AC">
          <w:rPr>
            <w:rStyle w:val="Hyperlink"/>
            <w:webHidden/>
            <w:color w:val="595959" w:themeColor="text1" w:themeTint="A6"/>
            <w:szCs w:val="20"/>
          </w:rPr>
          <w:fldChar w:fldCharType="begin"/>
        </w:r>
        <w:r w:rsidR="005A36C4" w:rsidRPr="00F818AC">
          <w:rPr>
            <w:rStyle w:val="Hyperlink"/>
            <w:webHidden/>
            <w:color w:val="595959" w:themeColor="text1" w:themeTint="A6"/>
            <w:szCs w:val="20"/>
          </w:rPr>
          <w:instrText xml:space="preserve"> PAGEREF _Toc424653741 \h </w:instrText>
        </w:r>
        <w:r w:rsidR="005A36C4" w:rsidRPr="00F818AC">
          <w:rPr>
            <w:rStyle w:val="Hyperlink"/>
            <w:webHidden/>
            <w:color w:val="595959" w:themeColor="text1" w:themeTint="A6"/>
            <w:szCs w:val="20"/>
          </w:rPr>
        </w:r>
        <w:r w:rsidR="005A36C4" w:rsidRPr="00F818AC">
          <w:rPr>
            <w:rStyle w:val="Hyperlink"/>
            <w:webHidden/>
            <w:color w:val="595959" w:themeColor="text1" w:themeTint="A6"/>
            <w:szCs w:val="20"/>
          </w:rPr>
          <w:fldChar w:fldCharType="separate"/>
        </w:r>
        <w:r>
          <w:rPr>
            <w:rStyle w:val="Hyperlink"/>
            <w:webHidden/>
            <w:color w:val="595959" w:themeColor="text1" w:themeTint="A6"/>
            <w:szCs w:val="20"/>
          </w:rPr>
          <w:t>113</w:t>
        </w:r>
        <w:r w:rsidR="005A36C4" w:rsidRPr="00F818AC">
          <w:rPr>
            <w:rStyle w:val="Hyperlink"/>
            <w:webHidden/>
            <w:color w:val="595959" w:themeColor="text1" w:themeTint="A6"/>
            <w:szCs w:val="20"/>
          </w:rPr>
          <w:fldChar w:fldCharType="end"/>
        </w:r>
      </w:hyperlink>
    </w:p>
    <w:p w:rsidR="00F50689" w:rsidRPr="00F818AC" w:rsidRDefault="00DE1FA9" w:rsidP="00F818AC">
      <w:pPr>
        <w:pStyle w:val="TOC1"/>
        <w:rPr>
          <w:rStyle w:val="Hyperlink"/>
          <w:color w:val="016794"/>
        </w:rPr>
      </w:pPr>
      <w:hyperlink w:anchor="_Toc424653742" w:history="1">
        <w:r w:rsidR="005A36C4" w:rsidRPr="00F818AC">
          <w:rPr>
            <w:rStyle w:val="Hyperlink"/>
            <w:color w:val="016794"/>
          </w:rPr>
          <w:t>5.</w:t>
        </w:r>
        <w:r w:rsidR="00F818AC" w:rsidRPr="00F818AC">
          <w:rPr>
            <w:rStyle w:val="Hyperlink"/>
            <w:color w:val="016794"/>
          </w:rPr>
          <w:t xml:space="preserve"> </w:t>
        </w:r>
        <w:r w:rsidR="005A36C4" w:rsidRPr="00F818AC">
          <w:rPr>
            <w:rStyle w:val="Hyperlink"/>
            <w:color w:val="016794"/>
          </w:rPr>
          <w:t>IMPLEMENTATION OF EU BUDGET EXPENDITURE</w:t>
        </w:r>
        <w:r w:rsidR="005A36C4" w:rsidRPr="00F818AC">
          <w:rPr>
            <w:rStyle w:val="Hyperlink"/>
            <w:webHidden/>
            <w:color w:val="016794"/>
          </w:rPr>
          <w:tab/>
        </w:r>
        <w:r w:rsidR="005A36C4" w:rsidRPr="00F818AC">
          <w:rPr>
            <w:rStyle w:val="Hyperlink"/>
            <w:webHidden/>
            <w:color w:val="016794"/>
          </w:rPr>
          <w:fldChar w:fldCharType="begin"/>
        </w:r>
        <w:r w:rsidR="005A36C4" w:rsidRPr="00F818AC">
          <w:rPr>
            <w:rStyle w:val="Hyperlink"/>
            <w:webHidden/>
            <w:color w:val="016794"/>
          </w:rPr>
          <w:instrText xml:space="preserve"> PAGEREF _Toc424653742 \h </w:instrText>
        </w:r>
        <w:r w:rsidR="005A36C4" w:rsidRPr="00F818AC">
          <w:rPr>
            <w:rStyle w:val="Hyperlink"/>
            <w:webHidden/>
            <w:color w:val="016794"/>
          </w:rPr>
        </w:r>
        <w:r w:rsidR="005A36C4" w:rsidRPr="00F818AC">
          <w:rPr>
            <w:rStyle w:val="Hyperlink"/>
            <w:webHidden/>
            <w:color w:val="016794"/>
          </w:rPr>
          <w:fldChar w:fldCharType="separate"/>
        </w:r>
        <w:r>
          <w:rPr>
            <w:rStyle w:val="Hyperlink"/>
            <w:webHidden/>
            <w:color w:val="016794"/>
          </w:rPr>
          <w:t>116</w:t>
        </w:r>
        <w:r w:rsidR="005A36C4" w:rsidRPr="00F818AC">
          <w:rPr>
            <w:rStyle w:val="Hyperlink"/>
            <w:webHidden/>
            <w:color w:val="016794"/>
          </w:rPr>
          <w:fldChar w:fldCharType="end"/>
        </w:r>
      </w:hyperlink>
    </w:p>
    <w:p w:rsidR="00F50689" w:rsidRPr="00F818AC" w:rsidRDefault="00DE1FA9" w:rsidP="00F818AC">
      <w:pPr>
        <w:pStyle w:val="TOC2"/>
        <w:tabs>
          <w:tab w:val="clear" w:pos="1134"/>
          <w:tab w:val="left" w:pos="851"/>
        </w:tabs>
        <w:spacing w:after="100"/>
        <w:ind w:left="851" w:hanging="611"/>
        <w:rPr>
          <w:rStyle w:val="Hyperlink"/>
          <w:color w:val="595959" w:themeColor="text1" w:themeTint="A6"/>
          <w:szCs w:val="20"/>
        </w:rPr>
      </w:pPr>
      <w:hyperlink w:anchor="_Toc424653743" w:history="1">
        <w:r w:rsidR="005A36C4" w:rsidRPr="00F818AC">
          <w:rPr>
            <w:rStyle w:val="Hyperlink"/>
            <w:color w:val="595959" w:themeColor="text1" w:themeTint="A6"/>
            <w:szCs w:val="20"/>
          </w:rPr>
          <w:t>5.1.</w:t>
        </w:r>
        <w:r w:rsidR="005A36C4" w:rsidRPr="00F818AC">
          <w:rPr>
            <w:rStyle w:val="Hyperlink"/>
            <w:color w:val="595959" w:themeColor="text1" w:themeTint="A6"/>
            <w:szCs w:val="20"/>
          </w:rPr>
          <w:tab/>
          <w:t>MFF: BREAKDOWN &amp; CHANGES IN COMMITMENT &amp; PAYMENT APPROPRIATIONS</w:t>
        </w:r>
        <w:r w:rsidR="005A36C4" w:rsidRPr="00F818AC">
          <w:rPr>
            <w:rStyle w:val="Hyperlink"/>
            <w:webHidden/>
            <w:color w:val="595959" w:themeColor="text1" w:themeTint="A6"/>
            <w:szCs w:val="20"/>
          </w:rPr>
          <w:tab/>
        </w:r>
        <w:r w:rsidR="005A36C4" w:rsidRPr="00F818AC">
          <w:rPr>
            <w:rStyle w:val="Hyperlink"/>
            <w:webHidden/>
            <w:color w:val="595959" w:themeColor="text1" w:themeTint="A6"/>
            <w:szCs w:val="20"/>
          </w:rPr>
          <w:fldChar w:fldCharType="begin"/>
        </w:r>
        <w:r w:rsidR="005A36C4" w:rsidRPr="00F818AC">
          <w:rPr>
            <w:rStyle w:val="Hyperlink"/>
            <w:webHidden/>
            <w:color w:val="595959" w:themeColor="text1" w:themeTint="A6"/>
            <w:szCs w:val="20"/>
          </w:rPr>
          <w:instrText xml:space="preserve"> PAGEREF _Toc424653743 \h </w:instrText>
        </w:r>
        <w:r w:rsidR="005A36C4" w:rsidRPr="00F818AC">
          <w:rPr>
            <w:rStyle w:val="Hyperlink"/>
            <w:webHidden/>
            <w:color w:val="595959" w:themeColor="text1" w:themeTint="A6"/>
            <w:szCs w:val="20"/>
          </w:rPr>
        </w:r>
        <w:r w:rsidR="005A36C4" w:rsidRPr="00F818AC">
          <w:rPr>
            <w:rStyle w:val="Hyperlink"/>
            <w:webHidden/>
            <w:color w:val="595959" w:themeColor="text1" w:themeTint="A6"/>
            <w:szCs w:val="20"/>
          </w:rPr>
          <w:fldChar w:fldCharType="separate"/>
        </w:r>
        <w:r>
          <w:rPr>
            <w:rStyle w:val="Hyperlink"/>
            <w:webHidden/>
            <w:color w:val="595959" w:themeColor="text1" w:themeTint="A6"/>
            <w:szCs w:val="20"/>
          </w:rPr>
          <w:t>116</w:t>
        </w:r>
        <w:r w:rsidR="005A36C4" w:rsidRPr="00F818AC">
          <w:rPr>
            <w:rStyle w:val="Hyperlink"/>
            <w:webHidden/>
            <w:color w:val="595959" w:themeColor="text1" w:themeTint="A6"/>
            <w:szCs w:val="20"/>
          </w:rPr>
          <w:fldChar w:fldCharType="end"/>
        </w:r>
      </w:hyperlink>
    </w:p>
    <w:p w:rsidR="00F50689" w:rsidRPr="00F818AC" w:rsidRDefault="00DE1FA9" w:rsidP="00F818AC">
      <w:pPr>
        <w:pStyle w:val="TOC2"/>
        <w:tabs>
          <w:tab w:val="clear" w:pos="1134"/>
          <w:tab w:val="left" w:pos="851"/>
        </w:tabs>
        <w:spacing w:after="100"/>
        <w:ind w:left="851" w:hanging="611"/>
        <w:rPr>
          <w:rStyle w:val="Hyperlink"/>
          <w:color w:val="595959" w:themeColor="text1" w:themeTint="A6"/>
          <w:szCs w:val="20"/>
        </w:rPr>
      </w:pPr>
      <w:hyperlink w:anchor="_Toc424653744" w:history="1">
        <w:r w:rsidR="005A36C4" w:rsidRPr="00F818AC">
          <w:rPr>
            <w:rStyle w:val="Hyperlink"/>
            <w:color w:val="595959" w:themeColor="text1" w:themeTint="A6"/>
            <w:szCs w:val="20"/>
          </w:rPr>
          <w:t>5.2.</w:t>
        </w:r>
        <w:r w:rsidR="005A36C4" w:rsidRPr="00F818AC">
          <w:rPr>
            <w:rStyle w:val="Hyperlink"/>
            <w:color w:val="595959" w:themeColor="text1" w:themeTint="A6"/>
            <w:szCs w:val="20"/>
          </w:rPr>
          <w:tab/>
          <w:t>MFF: IMPLEMENTATION OF COMMITMENT APPROPRIATIONS</w:t>
        </w:r>
        <w:r w:rsidR="005A36C4" w:rsidRPr="00F818AC">
          <w:rPr>
            <w:rStyle w:val="Hyperlink"/>
            <w:webHidden/>
            <w:color w:val="595959" w:themeColor="text1" w:themeTint="A6"/>
            <w:szCs w:val="20"/>
          </w:rPr>
          <w:tab/>
        </w:r>
        <w:r w:rsidR="005A36C4" w:rsidRPr="00F818AC">
          <w:rPr>
            <w:rStyle w:val="Hyperlink"/>
            <w:webHidden/>
            <w:color w:val="595959" w:themeColor="text1" w:themeTint="A6"/>
            <w:szCs w:val="20"/>
          </w:rPr>
          <w:fldChar w:fldCharType="begin"/>
        </w:r>
        <w:r w:rsidR="005A36C4" w:rsidRPr="00F818AC">
          <w:rPr>
            <w:rStyle w:val="Hyperlink"/>
            <w:webHidden/>
            <w:color w:val="595959" w:themeColor="text1" w:themeTint="A6"/>
            <w:szCs w:val="20"/>
          </w:rPr>
          <w:instrText xml:space="preserve"> PAGEREF _Toc424653744 \h </w:instrText>
        </w:r>
        <w:r w:rsidR="005A36C4" w:rsidRPr="00F818AC">
          <w:rPr>
            <w:rStyle w:val="Hyperlink"/>
            <w:webHidden/>
            <w:color w:val="595959" w:themeColor="text1" w:themeTint="A6"/>
            <w:szCs w:val="20"/>
          </w:rPr>
        </w:r>
        <w:r w:rsidR="005A36C4" w:rsidRPr="00F818AC">
          <w:rPr>
            <w:rStyle w:val="Hyperlink"/>
            <w:webHidden/>
            <w:color w:val="595959" w:themeColor="text1" w:themeTint="A6"/>
            <w:szCs w:val="20"/>
          </w:rPr>
          <w:fldChar w:fldCharType="separate"/>
        </w:r>
        <w:r>
          <w:rPr>
            <w:rStyle w:val="Hyperlink"/>
            <w:webHidden/>
            <w:color w:val="595959" w:themeColor="text1" w:themeTint="A6"/>
            <w:szCs w:val="20"/>
          </w:rPr>
          <w:t>117</w:t>
        </w:r>
        <w:r w:rsidR="005A36C4" w:rsidRPr="00F818AC">
          <w:rPr>
            <w:rStyle w:val="Hyperlink"/>
            <w:webHidden/>
            <w:color w:val="595959" w:themeColor="text1" w:themeTint="A6"/>
            <w:szCs w:val="20"/>
          </w:rPr>
          <w:fldChar w:fldCharType="end"/>
        </w:r>
      </w:hyperlink>
    </w:p>
    <w:p w:rsidR="00F50689" w:rsidRPr="00F818AC" w:rsidRDefault="00DE1FA9" w:rsidP="00F818AC">
      <w:pPr>
        <w:pStyle w:val="TOC2"/>
        <w:tabs>
          <w:tab w:val="clear" w:pos="1134"/>
          <w:tab w:val="left" w:pos="851"/>
        </w:tabs>
        <w:spacing w:after="100"/>
        <w:ind w:left="851" w:hanging="611"/>
        <w:rPr>
          <w:rStyle w:val="Hyperlink"/>
          <w:color w:val="595959" w:themeColor="text1" w:themeTint="A6"/>
          <w:szCs w:val="20"/>
        </w:rPr>
      </w:pPr>
      <w:hyperlink w:anchor="_Toc424653745" w:history="1">
        <w:r w:rsidR="005A36C4" w:rsidRPr="00F818AC">
          <w:rPr>
            <w:rStyle w:val="Hyperlink"/>
            <w:color w:val="595959" w:themeColor="text1" w:themeTint="A6"/>
            <w:szCs w:val="20"/>
          </w:rPr>
          <w:t>5.3.</w:t>
        </w:r>
        <w:r w:rsidR="005A36C4" w:rsidRPr="00F818AC">
          <w:rPr>
            <w:rStyle w:val="Hyperlink"/>
            <w:color w:val="595959" w:themeColor="text1" w:themeTint="A6"/>
            <w:szCs w:val="20"/>
          </w:rPr>
          <w:tab/>
          <w:t>MFF: IMPLEMENTATION OF PAYMENT APPROPRIATIONS</w:t>
        </w:r>
        <w:r w:rsidR="005A36C4" w:rsidRPr="00F818AC">
          <w:rPr>
            <w:rStyle w:val="Hyperlink"/>
            <w:webHidden/>
            <w:color w:val="595959" w:themeColor="text1" w:themeTint="A6"/>
            <w:szCs w:val="20"/>
          </w:rPr>
          <w:tab/>
        </w:r>
        <w:r w:rsidR="005A36C4" w:rsidRPr="00F818AC">
          <w:rPr>
            <w:rStyle w:val="Hyperlink"/>
            <w:webHidden/>
            <w:color w:val="595959" w:themeColor="text1" w:themeTint="A6"/>
            <w:szCs w:val="20"/>
          </w:rPr>
          <w:fldChar w:fldCharType="begin"/>
        </w:r>
        <w:r w:rsidR="005A36C4" w:rsidRPr="00F818AC">
          <w:rPr>
            <w:rStyle w:val="Hyperlink"/>
            <w:webHidden/>
            <w:color w:val="595959" w:themeColor="text1" w:themeTint="A6"/>
            <w:szCs w:val="20"/>
          </w:rPr>
          <w:instrText xml:space="preserve"> PAGEREF _Toc424653745 \h </w:instrText>
        </w:r>
        <w:r w:rsidR="005A36C4" w:rsidRPr="00F818AC">
          <w:rPr>
            <w:rStyle w:val="Hyperlink"/>
            <w:webHidden/>
            <w:color w:val="595959" w:themeColor="text1" w:themeTint="A6"/>
            <w:szCs w:val="20"/>
          </w:rPr>
        </w:r>
        <w:r w:rsidR="005A36C4" w:rsidRPr="00F818AC">
          <w:rPr>
            <w:rStyle w:val="Hyperlink"/>
            <w:webHidden/>
            <w:color w:val="595959" w:themeColor="text1" w:themeTint="A6"/>
            <w:szCs w:val="20"/>
          </w:rPr>
          <w:fldChar w:fldCharType="separate"/>
        </w:r>
        <w:r>
          <w:rPr>
            <w:rStyle w:val="Hyperlink"/>
            <w:webHidden/>
            <w:color w:val="595959" w:themeColor="text1" w:themeTint="A6"/>
            <w:szCs w:val="20"/>
          </w:rPr>
          <w:t>118</w:t>
        </w:r>
        <w:r w:rsidR="005A36C4" w:rsidRPr="00F818AC">
          <w:rPr>
            <w:rStyle w:val="Hyperlink"/>
            <w:webHidden/>
            <w:color w:val="595959" w:themeColor="text1" w:themeTint="A6"/>
            <w:szCs w:val="20"/>
          </w:rPr>
          <w:fldChar w:fldCharType="end"/>
        </w:r>
      </w:hyperlink>
    </w:p>
    <w:p w:rsidR="00F50689" w:rsidRPr="00F818AC" w:rsidRDefault="00DE1FA9" w:rsidP="00F818AC">
      <w:pPr>
        <w:pStyle w:val="TOC2"/>
        <w:tabs>
          <w:tab w:val="clear" w:pos="1134"/>
          <w:tab w:val="left" w:pos="851"/>
        </w:tabs>
        <w:spacing w:after="100"/>
        <w:ind w:left="851" w:hanging="611"/>
        <w:rPr>
          <w:rStyle w:val="Hyperlink"/>
          <w:color w:val="595959" w:themeColor="text1" w:themeTint="A6"/>
          <w:szCs w:val="20"/>
        </w:rPr>
      </w:pPr>
      <w:hyperlink w:anchor="_Toc424653746" w:history="1">
        <w:r w:rsidR="005A36C4" w:rsidRPr="00F818AC">
          <w:rPr>
            <w:rStyle w:val="Hyperlink"/>
            <w:color w:val="595959" w:themeColor="text1" w:themeTint="A6"/>
            <w:szCs w:val="20"/>
          </w:rPr>
          <w:t>5.4.</w:t>
        </w:r>
        <w:r w:rsidR="005A36C4" w:rsidRPr="00F818AC">
          <w:rPr>
            <w:rStyle w:val="Hyperlink"/>
            <w:color w:val="595959" w:themeColor="text1" w:themeTint="A6"/>
            <w:szCs w:val="20"/>
          </w:rPr>
          <w:tab/>
          <w:t>MFF: MOVEMENTS IN COMMITMENTS OUTSTANDING (RAL)</w:t>
        </w:r>
        <w:r w:rsidR="005A36C4" w:rsidRPr="00F818AC">
          <w:rPr>
            <w:rStyle w:val="Hyperlink"/>
            <w:webHidden/>
            <w:color w:val="595959" w:themeColor="text1" w:themeTint="A6"/>
            <w:szCs w:val="20"/>
          </w:rPr>
          <w:tab/>
        </w:r>
        <w:r w:rsidR="005A36C4" w:rsidRPr="00F818AC">
          <w:rPr>
            <w:rStyle w:val="Hyperlink"/>
            <w:webHidden/>
            <w:color w:val="595959" w:themeColor="text1" w:themeTint="A6"/>
            <w:szCs w:val="20"/>
          </w:rPr>
          <w:fldChar w:fldCharType="begin"/>
        </w:r>
        <w:r w:rsidR="005A36C4" w:rsidRPr="00F818AC">
          <w:rPr>
            <w:rStyle w:val="Hyperlink"/>
            <w:webHidden/>
            <w:color w:val="595959" w:themeColor="text1" w:themeTint="A6"/>
            <w:szCs w:val="20"/>
          </w:rPr>
          <w:instrText xml:space="preserve"> PAGEREF _Toc424653746 \h </w:instrText>
        </w:r>
        <w:r w:rsidR="005A36C4" w:rsidRPr="00F818AC">
          <w:rPr>
            <w:rStyle w:val="Hyperlink"/>
            <w:webHidden/>
            <w:color w:val="595959" w:themeColor="text1" w:themeTint="A6"/>
            <w:szCs w:val="20"/>
          </w:rPr>
        </w:r>
        <w:r w:rsidR="005A36C4" w:rsidRPr="00F818AC">
          <w:rPr>
            <w:rStyle w:val="Hyperlink"/>
            <w:webHidden/>
            <w:color w:val="595959" w:themeColor="text1" w:themeTint="A6"/>
            <w:szCs w:val="20"/>
          </w:rPr>
          <w:fldChar w:fldCharType="separate"/>
        </w:r>
        <w:r>
          <w:rPr>
            <w:rStyle w:val="Hyperlink"/>
            <w:webHidden/>
            <w:color w:val="595959" w:themeColor="text1" w:themeTint="A6"/>
            <w:szCs w:val="20"/>
          </w:rPr>
          <w:t>119</w:t>
        </w:r>
        <w:r w:rsidR="005A36C4" w:rsidRPr="00F818AC">
          <w:rPr>
            <w:rStyle w:val="Hyperlink"/>
            <w:webHidden/>
            <w:color w:val="595959" w:themeColor="text1" w:themeTint="A6"/>
            <w:szCs w:val="20"/>
          </w:rPr>
          <w:fldChar w:fldCharType="end"/>
        </w:r>
      </w:hyperlink>
    </w:p>
    <w:p w:rsidR="00F50689" w:rsidRPr="00F818AC" w:rsidRDefault="00DE1FA9" w:rsidP="00F818AC">
      <w:pPr>
        <w:pStyle w:val="TOC2"/>
        <w:tabs>
          <w:tab w:val="clear" w:pos="1134"/>
          <w:tab w:val="left" w:pos="851"/>
        </w:tabs>
        <w:spacing w:after="100"/>
        <w:ind w:left="851" w:hanging="611"/>
        <w:rPr>
          <w:rStyle w:val="Hyperlink"/>
          <w:color w:val="595959" w:themeColor="text1" w:themeTint="A6"/>
          <w:szCs w:val="20"/>
        </w:rPr>
      </w:pPr>
      <w:hyperlink w:anchor="_Toc424653747" w:history="1">
        <w:r w:rsidR="005A36C4" w:rsidRPr="00F818AC">
          <w:rPr>
            <w:rStyle w:val="Hyperlink"/>
            <w:color w:val="595959" w:themeColor="text1" w:themeTint="A6"/>
            <w:szCs w:val="20"/>
          </w:rPr>
          <w:t>5.5.</w:t>
        </w:r>
        <w:r w:rsidR="005A36C4" w:rsidRPr="00F818AC">
          <w:rPr>
            <w:rStyle w:val="Hyperlink"/>
            <w:color w:val="595959" w:themeColor="text1" w:themeTint="A6"/>
            <w:szCs w:val="20"/>
          </w:rPr>
          <w:tab/>
          <w:t>MFF: BREAKDOWN OF COMMITMENTS OUTSTANDING BY YEAR OF ORIGIN</w:t>
        </w:r>
        <w:r w:rsidR="005A36C4" w:rsidRPr="00F818AC">
          <w:rPr>
            <w:rStyle w:val="Hyperlink"/>
            <w:webHidden/>
            <w:color w:val="595959" w:themeColor="text1" w:themeTint="A6"/>
            <w:szCs w:val="20"/>
          </w:rPr>
          <w:tab/>
        </w:r>
        <w:r w:rsidR="005A36C4" w:rsidRPr="00F818AC">
          <w:rPr>
            <w:rStyle w:val="Hyperlink"/>
            <w:webHidden/>
            <w:color w:val="595959" w:themeColor="text1" w:themeTint="A6"/>
            <w:szCs w:val="20"/>
          </w:rPr>
          <w:fldChar w:fldCharType="begin"/>
        </w:r>
        <w:r w:rsidR="005A36C4" w:rsidRPr="00F818AC">
          <w:rPr>
            <w:rStyle w:val="Hyperlink"/>
            <w:webHidden/>
            <w:color w:val="595959" w:themeColor="text1" w:themeTint="A6"/>
            <w:szCs w:val="20"/>
          </w:rPr>
          <w:instrText xml:space="preserve"> PAGEREF _Toc424653747 \h </w:instrText>
        </w:r>
        <w:r w:rsidR="005A36C4" w:rsidRPr="00F818AC">
          <w:rPr>
            <w:rStyle w:val="Hyperlink"/>
            <w:webHidden/>
            <w:color w:val="595959" w:themeColor="text1" w:themeTint="A6"/>
            <w:szCs w:val="20"/>
          </w:rPr>
        </w:r>
        <w:r w:rsidR="005A36C4" w:rsidRPr="00F818AC">
          <w:rPr>
            <w:rStyle w:val="Hyperlink"/>
            <w:webHidden/>
            <w:color w:val="595959" w:themeColor="text1" w:themeTint="A6"/>
            <w:szCs w:val="20"/>
          </w:rPr>
          <w:fldChar w:fldCharType="separate"/>
        </w:r>
        <w:r>
          <w:rPr>
            <w:rStyle w:val="Hyperlink"/>
            <w:webHidden/>
            <w:color w:val="595959" w:themeColor="text1" w:themeTint="A6"/>
            <w:szCs w:val="20"/>
          </w:rPr>
          <w:t>120</w:t>
        </w:r>
        <w:r w:rsidR="005A36C4" w:rsidRPr="00F818AC">
          <w:rPr>
            <w:rStyle w:val="Hyperlink"/>
            <w:webHidden/>
            <w:color w:val="595959" w:themeColor="text1" w:themeTint="A6"/>
            <w:szCs w:val="20"/>
          </w:rPr>
          <w:fldChar w:fldCharType="end"/>
        </w:r>
      </w:hyperlink>
    </w:p>
    <w:p w:rsidR="00F50689" w:rsidRPr="00F818AC" w:rsidRDefault="00DE1FA9" w:rsidP="00F818AC">
      <w:pPr>
        <w:pStyle w:val="TOC2"/>
        <w:tabs>
          <w:tab w:val="clear" w:pos="1134"/>
          <w:tab w:val="left" w:pos="851"/>
        </w:tabs>
        <w:spacing w:after="100"/>
        <w:ind w:left="851" w:hanging="611"/>
        <w:rPr>
          <w:rStyle w:val="Hyperlink"/>
          <w:color w:val="595959" w:themeColor="text1" w:themeTint="A6"/>
          <w:szCs w:val="20"/>
        </w:rPr>
      </w:pPr>
      <w:hyperlink w:anchor="_Toc424653748" w:history="1">
        <w:r w:rsidR="005A36C4" w:rsidRPr="00F818AC">
          <w:rPr>
            <w:rStyle w:val="Hyperlink"/>
            <w:color w:val="595959" w:themeColor="text1" w:themeTint="A6"/>
            <w:szCs w:val="20"/>
          </w:rPr>
          <w:t>5.6.</w:t>
        </w:r>
        <w:r w:rsidR="005A36C4" w:rsidRPr="00F818AC">
          <w:rPr>
            <w:rStyle w:val="Hyperlink"/>
            <w:color w:val="595959" w:themeColor="text1" w:themeTint="A6"/>
            <w:szCs w:val="20"/>
          </w:rPr>
          <w:tab/>
          <w:t xml:space="preserve">POLICY AREA: BREAKDOWN AND CHANGES IN COMMITMENT AND </w:t>
        </w:r>
        <w:r w:rsidR="00F818AC">
          <w:rPr>
            <w:rStyle w:val="Hyperlink"/>
            <w:color w:val="595959" w:themeColor="text1" w:themeTint="A6"/>
            <w:szCs w:val="20"/>
          </w:rPr>
          <w:br/>
        </w:r>
        <w:r w:rsidR="005A36C4" w:rsidRPr="00F818AC">
          <w:rPr>
            <w:rStyle w:val="Hyperlink"/>
            <w:color w:val="595959" w:themeColor="text1" w:themeTint="A6"/>
            <w:szCs w:val="20"/>
          </w:rPr>
          <w:t>PAYMENT APPROPRIATIONS</w:t>
        </w:r>
        <w:r w:rsidR="005A36C4" w:rsidRPr="00F818AC">
          <w:rPr>
            <w:rStyle w:val="Hyperlink"/>
            <w:webHidden/>
            <w:color w:val="595959" w:themeColor="text1" w:themeTint="A6"/>
            <w:szCs w:val="20"/>
          </w:rPr>
          <w:tab/>
        </w:r>
        <w:r w:rsidR="005A36C4" w:rsidRPr="00F818AC">
          <w:rPr>
            <w:rStyle w:val="Hyperlink"/>
            <w:webHidden/>
            <w:color w:val="595959" w:themeColor="text1" w:themeTint="A6"/>
            <w:szCs w:val="20"/>
          </w:rPr>
          <w:fldChar w:fldCharType="begin"/>
        </w:r>
        <w:r w:rsidR="005A36C4" w:rsidRPr="00F818AC">
          <w:rPr>
            <w:rStyle w:val="Hyperlink"/>
            <w:webHidden/>
            <w:color w:val="595959" w:themeColor="text1" w:themeTint="A6"/>
            <w:szCs w:val="20"/>
          </w:rPr>
          <w:instrText xml:space="preserve"> PAGEREF _Toc424653748 \h </w:instrText>
        </w:r>
        <w:r w:rsidR="005A36C4" w:rsidRPr="00F818AC">
          <w:rPr>
            <w:rStyle w:val="Hyperlink"/>
            <w:webHidden/>
            <w:color w:val="595959" w:themeColor="text1" w:themeTint="A6"/>
            <w:szCs w:val="20"/>
          </w:rPr>
        </w:r>
        <w:r w:rsidR="005A36C4" w:rsidRPr="00F818AC">
          <w:rPr>
            <w:rStyle w:val="Hyperlink"/>
            <w:webHidden/>
            <w:color w:val="595959" w:themeColor="text1" w:themeTint="A6"/>
            <w:szCs w:val="20"/>
          </w:rPr>
          <w:fldChar w:fldCharType="separate"/>
        </w:r>
        <w:r>
          <w:rPr>
            <w:rStyle w:val="Hyperlink"/>
            <w:webHidden/>
            <w:color w:val="595959" w:themeColor="text1" w:themeTint="A6"/>
            <w:szCs w:val="20"/>
          </w:rPr>
          <w:t>121</w:t>
        </w:r>
        <w:r w:rsidR="005A36C4" w:rsidRPr="00F818AC">
          <w:rPr>
            <w:rStyle w:val="Hyperlink"/>
            <w:webHidden/>
            <w:color w:val="595959" w:themeColor="text1" w:themeTint="A6"/>
            <w:szCs w:val="20"/>
          </w:rPr>
          <w:fldChar w:fldCharType="end"/>
        </w:r>
      </w:hyperlink>
    </w:p>
    <w:p w:rsidR="00F50689" w:rsidRPr="00F818AC" w:rsidRDefault="00DE1FA9" w:rsidP="00F818AC">
      <w:pPr>
        <w:pStyle w:val="TOC2"/>
        <w:tabs>
          <w:tab w:val="clear" w:pos="1134"/>
          <w:tab w:val="left" w:pos="851"/>
        </w:tabs>
        <w:spacing w:after="100"/>
        <w:ind w:left="851" w:hanging="611"/>
        <w:rPr>
          <w:rStyle w:val="Hyperlink"/>
          <w:color w:val="595959" w:themeColor="text1" w:themeTint="A6"/>
          <w:szCs w:val="20"/>
        </w:rPr>
      </w:pPr>
      <w:hyperlink w:anchor="_Toc424653749" w:history="1">
        <w:r w:rsidR="005A36C4" w:rsidRPr="00F818AC">
          <w:rPr>
            <w:rStyle w:val="Hyperlink"/>
            <w:color w:val="595959" w:themeColor="text1" w:themeTint="A6"/>
            <w:szCs w:val="20"/>
          </w:rPr>
          <w:t>5.7.</w:t>
        </w:r>
        <w:r w:rsidR="005A36C4" w:rsidRPr="00F818AC">
          <w:rPr>
            <w:rStyle w:val="Hyperlink"/>
            <w:color w:val="595959" w:themeColor="text1" w:themeTint="A6"/>
            <w:szCs w:val="20"/>
          </w:rPr>
          <w:tab/>
          <w:t>POLICY AREA: IMPLEMENTATION OF COMMITMENT APPROPRIATIONS</w:t>
        </w:r>
        <w:r w:rsidR="005A36C4" w:rsidRPr="00F818AC">
          <w:rPr>
            <w:rStyle w:val="Hyperlink"/>
            <w:webHidden/>
            <w:color w:val="595959" w:themeColor="text1" w:themeTint="A6"/>
            <w:szCs w:val="20"/>
          </w:rPr>
          <w:tab/>
        </w:r>
        <w:r w:rsidR="005A36C4" w:rsidRPr="00F818AC">
          <w:rPr>
            <w:rStyle w:val="Hyperlink"/>
            <w:webHidden/>
            <w:color w:val="595959" w:themeColor="text1" w:themeTint="A6"/>
            <w:szCs w:val="20"/>
          </w:rPr>
          <w:fldChar w:fldCharType="begin"/>
        </w:r>
        <w:r w:rsidR="005A36C4" w:rsidRPr="00F818AC">
          <w:rPr>
            <w:rStyle w:val="Hyperlink"/>
            <w:webHidden/>
            <w:color w:val="595959" w:themeColor="text1" w:themeTint="A6"/>
            <w:szCs w:val="20"/>
          </w:rPr>
          <w:instrText xml:space="preserve"> PAGEREF _Toc424653749 \h </w:instrText>
        </w:r>
        <w:r w:rsidR="005A36C4" w:rsidRPr="00F818AC">
          <w:rPr>
            <w:rStyle w:val="Hyperlink"/>
            <w:webHidden/>
            <w:color w:val="595959" w:themeColor="text1" w:themeTint="A6"/>
            <w:szCs w:val="20"/>
          </w:rPr>
        </w:r>
        <w:r w:rsidR="005A36C4" w:rsidRPr="00F818AC">
          <w:rPr>
            <w:rStyle w:val="Hyperlink"/>
            <w:webHidden/>
            <w:color w:val="595959" w:themeColor="text1" w:themeTint="A6"/>
            <w:szCs w:val="20"/>
          </w:rPr>
          <w:fldChar w:fldCharType="separate"/>
        </w:r>
        <w:r>
          <w:rPr>
            <w:rStyle w:val="Hyperlink"/>
            <w:webHidden/>
            <w:color w:val="595959" w:themeColor="text1" w:themeTint="A6"/>
            <w:szCs w:val="20"/>
          </w:rPr>
          <w:t>123</w:t>
        </w:r>
        <w:r w:rsidR="005A36C4" w:rsidRPr="00F818AC">
          <w:rPr>
            <w:rStyle w:val="Hyperlink"/>
            <w:webHidden/>
            <w:color w:val="595959" w:themeColor="text1" w:themeTint="A6"/>
            <w:szCs w:val="20"/>
          </w:rPr>
          <w:fldChar w:fldCharType="end"/>
        </w:r>
      </w:hyperlink>
    </w:p>
    <w:p w:rsidR="00F50689" w:rsidRPr="00F818AC" w:rsidRDefault="00DE1FA9" w:rsidP="00F818AC">
      <w:pPr>
        <w:pStyle w:val="TOC2"/>
        <w:tabs>
          <w:tab w:val="clear" w:pos="1134"/>
          <w:tab w:val="left" w:pos="851"/>
        </w:tabs>
        <w:spacing w:after="100"/>
        <w:ind w:left="851" w:hanging="611"/>
        <w:rPr>
          <w:rStyle w:val="Hyperlink"/>
          <w:color w:val="595959" w:themeColor="text1" w:themeTint="A6"/>
          <w:szCs w:val="20"/>
        </w:rPr>
      </w:pPr>
      <w:hyperlink w:anchor="_Toc424653750" w:history="1">
        <w:r w:rsidR="005A36C4" w:rsidRPr="00F818AC">
          <w:rPr>
            <w:rStyle w:val="Hyperlink"/>
            <w:color w:val="595959" w:themeColor="text1" w:themeTint="A6"/>
            <w:szCs w:val="20"/>
          </w:rPr>
          <w:t>5.8.</w:t>
        </w:r>
        <w:r w:rsidR="005A36C4" w:rsidRPr="00F818AC">
          <w:rPr>
            <w:rStyle w:val="Hyperlink"/>
            <w:color w:val="595959" w:themeColor="text1" w:themeTint="A6"/>
            <w:szCs w:val="20"/>
          </w:rPr>
          <w:tab/>
          <w:t>POLICY AREA: IMPLEMENTATION OF PAYMENT APPROPRIATIONS</w:t>
        </w:r>
        <w:r w:rsidR="005A36C4" w:rsidRPr="00F818AC">
          <w:rPr>
            <w:rStyle w:val="Hyperlink"/>
            <w:webHidden/>
            <w:color w:val="595959" w:themeColor="text1" w:themeTint="A6"/>
            <w:szCs w:val="20"/>
          </w:rPr>
          <w:tab/>
        </w:r>
        <w:r w:rsidR="005A36C4" w:rsidRPr="00F818AC">
          <w:rPr>
            <w:rStyle w:val="Hyperlink"/>
            <w:webHidden/>
            <w:color w:val="595959" w:themeColor="text1" w:themeTint="A6"/>
            <w:szCs w:val="20"/>
          </w:rPr>
          <w:fldChar w:fldCharType="begin"/>
        </w:r>
        <w:r w:rsidR="005A36C4" w:rsidRPr="00F818AC">
          <w:rPr>
            <w:rStyle w:val="Hyperlink"/>
            <w:webHidden/>
            <w:color w:val="595959" w:themeColor="text1" w:themeTint="A6"/>
            <w:szCs w:val="20"/>
          </w:rPr>
          <w:instrText xml:space="preserve"> PAGEREF _Toc424653750 \h </w:instrText>
        </w:r>
        <w:r w:rsidR="005A36C4" w:rsidRPr="00F818AC">
          <w:rPr>
            <w:rStyle w:val="Hyperlink"/>
            <w:webHidden/>
            <w:color w:val="595959" w:themeColor="text1" w:themeTint="A6"/>
            <w:szCs w:val="20"/>
          </w:rPr>
        </w:r>
        <w:r w:rsidR="005A36C4" w:rsidRPr="00F818AC">
          <w:rPr>
            <w:rStyle w:val="Hyperlink"/>
            <w:webHidden/>
            <w:color w:val="595959" w:themeColor="text1" w:themeTint="A6"/>
            <w:szCs w:val="20"/>
          </w:rPr>
          <w:fldChar w:fldCharType="separate"/>
        </w:r>
        <w:r>
          <w:rPr>
            <w:rStyle w:val="Hyperlink"/>
            <w:webHidden/>
            <w:color w:val="595959" w:themeColor="text1" w:themeTint="A6"/>
            <w:szCs w:val="20"/>
          </w:rPr>
          <w:t>125</w:t>
        </w:r>
        <w:r w:rsidR="005A36C4" w:rsidRPr="00F818AC">
          <w:rPr>
            <w:rStyle w:val="Hyperlink"/>
            <w:webHidden/>
            <w:color w:val="595959" w:themeColor="text1" w:themeTint="A6"/>
            <w:szCs w:val="20"/>
          </w:rPr>
          <w:fldChar w:fldCharType="end"/>
        </w:r>
      </w:hyperlink>
    </w:p>
    <w:p w:rsidR="00F50689" w:rsidRPr="00F818AC" w:rsidRDefault="00DE1FA9" w:rsidP="00F818AC">
      <w:pPr>
        <w:pStyle w:val="TOC2"/>
        <w:tabs>
          <w:tab w:val="clear" w:pos="1134"/>
          <w:tab w:val="left" w:pos="851"/>
        </w:tabs>
        <w:spacing w:after="100"/>
        <w:ind w:left="851" w:hanging="611"/>
        <w:rPr>
          <w:rStyle w:val="Hyperlink"/>
          <w:color w:val="595959" w:themeColor="text1" w:themeTint="A6"/>
          <w:szCs w:val="20"/>
        </w:rPr>
      </w:pPr>
      <w:hyperlink w:anchor="_Toc424653751" w:history="1">
        <w:r w:rsidR="005A36C4" w:rsidRPr="00F818AC">
          <w:rPr>
            <w:rStyle w:val="Hyperlink"/>
            <w:color w:val="595959" w:themeColor="text1" w:themeTint="A6"/>
            <w:szCs w:val="20"/>
          </w:rPr>
          <w:t>5.9.</w:t>
        </w:r>
        <w:r w:rsidR="005A36C4" w:rsidRPr="00F818AC">
          <w:rPr>
            <w:rStyle w:val="Hyperlink"/>
            <w:color w:val="595959" w:themeColor="text1" w:themeTint="A6"/>
            <w:szCs w:val="20"/>
          </w:rPr>
          <w:tab/>
          <w:t>POLICY AREA: MOVEMENTS IN COMMITMENTS OUTSTANDING</w:t>
        </w:r>
        <w:r w:rsidR="005A36C4" w:rsidRPr="00F818AC">
          <w:rPr>
            <w:rStyle w:val="Hyperlink"/>
            <w:webHidden/>
            <w:color w:val="595959" w:themeColor="text1" w:themeTint="A6"/>
            <w:szCs w:val="20"/>
          </w:rPr>
          <w:tab/>
        </w:r>
        <w:r w:rsidR="005A36C4" w:rsidRPr="00F818AC">
          <w:rPr>
            <w:rStyle w:val="Hyperlink"/>
            <w:webHidden/>
            <w:color w:val="595959" w:themeColor="text1" w:themeTint="A6"/>
            <w:szCs w:val="20"/>
          </w:rPr>
          <w:fldChar w:fldCharType="begin"/>
        </w:r>
        <w:r w:rsidR="005A36C4" w:rsidRPr="00F818AC">
          <w:rPr>
            <w:rStyle w:val="Hyperlink"/>
            <w:webHidden/>
            <w:color w:val="595959" w:themeColor="text1" w:themeTint="A6"/>
            <w:szCs w:val="20"/>
          </w:rPr>
          <w:instrText xml:space="preserve"> PAGEREF _Toc424653751 \h </w:instrText>
        </w:r>
        <w:r w:rsidR="005A36C4" w:rsidRPr="00F818AC">
          <w:rPr>
            <w:rStyle w:val="Hyperlink"/>
            <w:webHidden/>
            <w:color w:val="595959" w:themeColor="text1" w:themeTint="A6"/>
            <w:szCs w:val="20"/>
          </w:rPr>
        </w:r>
        <w:r w:rsidR="005A36C4" w:rsidRPr="00F818AC">
          <w:rPr>
            <w:rStyle w:val="Hyperlink"/>
            <w:webHidden/>
            <w:color w:val="595959" w:themeColor="text1" w:themeTint="A6"/>
            <w:szCs w:val="20"/>
          </w:rPr>
          <w:fldChar w:fldCharType="separate"/>
        </w:r>
        <w:r>
          <w:rPr>
            <w:rStyle w:val="Hyperlink"/>
            <w:webHidden/>
            <w:color w:val="595959" w:themeColor="text1" w:themeTint="A6"/>
            <w:szCs w:val="20"/>
          </w:rPr>
          <w:t>126</w:t>
        </w:r>
        <w:r w:rsidR="005A36C4" w:rsidRPr="00F818AC">
          <w:rPr>
            <w:rStyle w:val="Hyperlink"/>
            <w:webHidden/>
            <w:color w:val="595959" w:themeColor="text1" w:themeTint="A6"/>
            <w:szCs w:val="20"/>
          </w:rPr>
          <w:fldChar w:fldCharType="end"/>
        </w:r>
      </w:hyperlink>
    </w:p>
    <w:p w:rsidR="00F50689" w:rsidRPr="00F818AC" w:rsidRDefault="00DE1FA9" w:rsidP="00F818AC">
      <w:pPr>
        <w:pStyle w:val="TOC2"/>
        <w:tabs>
          <w:tab w:val="clear" w:pos="1134"/>
          <w:tab w:val="left" w:pos="851"/>
        </w:tabs>
        <w:spacing w:after="100"/>
        <w:ind w:left="851" w:hanging="611"/>
        <w:rPr>
          <w:rStyle w:val="Hyperlink"/>
          <w:color w:val="595959" w:themeColor="text1" w:themeTint="A6"/>
          <w:szCs w:val="20"/>
        </w:rPr>
      </w:pPr>
      <w:hyperlink w:anchor="_Toc424653752" w:history="1">
        <w:r w:rsidR="005A36C4" w:rsidRPr="00F818AC">
          <w:rPr>
            <w:rStyle w:val="Hyperlink"/>
            <w:color w:val="595959" w:themeColor="text1" w:themeTint="A6"/>
            <w:szCs w:val="20"/>
          </w:rPr>
          <w:t>5.10.</w:t>
        </w:r>
        <w:r w:rsidR="005A36C4" w:rsidRPr="00F818AC">
          <w:rPr>
            <w:rStyle w:val="Hyperlink"/>
            <w:color w:val="595959" w:themeColor="text1" w:themeTint="A6"/>
            <w:szCs w:val="20"/>
          </w:rPr>
          <w:tab/>
          <w:t xml:space="preserve">POLICY AREA: BREAKDOWN OF COMMITMENTS OUTSTANDING BY </w:t>
        </w:r>
        <w:r w:rsidR="005A36C4" w:rsidRPr="00F818AC">
          <w:rPr>
            <w:rStyle w:val="Hyperlink"/>
            <w:color w:val="595959" w:themeColor="text1" w:themeTint="A6"/>
            <w:szCs w:val="20"/>
          </w:rPr>
          <w:br/>
          <w:t>YEAR OF ORIGIN</w:t>
        </w:r>
        <w:r w:rsidR="005A36C4" w:rsidRPr="00F818AC">
          <w:rPr>
            <w:rStyle w:val="Hyperlink"/>
            <w:webHidden/>
            <w:color w:val="595959" w:themeColor="text1" w:themeTint="A6"/>
            <w:szCs w:val="20"/>
          </w:rPr>
          <w:tab/>
        </w:r>
        <w:r w:rsidR="005A36C4" w:rsidRPr="00F818AC">
          <w:rPr>
            <w:rStyle w:val="Hyperlink"/>
            <w:webHidden/>
            <w:color w:val="595959" w:themeColor="text1" w:themeTint="A6"/>
            <w:szCs w:val="20"/>
          </w:rPr>
          <w:fldChar w:fldCharType="begin"/>
        </w:r>
        <w:r w:rsidR="005A36C4" w:rsidRPr="00F818AC">
          <w:rPr>
            <w:rStyle w:val="Hyperlink"/>
            <w:webHidden/>
            <w:color w:val="595959" w:themeColor="text1" w:themeTint="A6"/>
            <w:szCs w:val="20"/>
          </w:rPr>
          <w:instrText xml:space="preserve"> PAGEREF _Toc424653752 \h </w:instrText>
        </w:r>
        <w:r w:rsidR="005A36C4" w:rsidRPr="00F818AC">
          <w:rPr>
            <w:rStyle w:val="Hyperlink"/>
            <w:webHidden/>
            <w:color w:val="595959" w:themeColor="text1" w:themeTint="A6"/>
            <w:szCs w:val="20"/>
          </w:rPr>
        </w:r>
        <w:r w:rsidR="005A36C4" w:rsidRPr="00F818AC">
          <w:rPr>
            <w:rStyle w:val="Hyperlink"/>
            <w:webHidden/>
            <w:color w:val="595959" w:themeColor="text1" w:themeTint="A6"/>
            <w:szCs w:val="20"/>
          </w:rPr>
          <w:fldChar w:fldCharType="separate"/>
        </w:r>
        <w:r>
          <w:rPr>
            <w:rStyle w:val="Hyperlink"/>
            <w:webHidden/>
            <w:color w:val="595959" w:themeColor="text1" w:themeTint="A6"/>
            <w:szCs w:val="20"/>
          </w:rPr>
          <w:t>127</w:t>
        </w:r>
        <w:r w:rsidR="005A36C4" w:rsidRPr="00F818AC">
          <w:rPr>
            <w:rStyle w:val="Hyperlink"/>
            <w:webHidden/>
            <w:color w:val="595959" w:themeColor="text1" w:themeTint="A6"/>
            <w:szCs w:val="20"/>
          </w:rPr>
          <w:fldChar w:fldCharType="end"/>
        </w:r>
      </w:hyperlink>
    </w:p>
    <w:p w:rsidR="00F50689" w:rsidRPr="00F818AC" w:rsidRDefault="00DE1FA9" w:rsidP="00F818AC">
      <w:pPr>
        <w:pStyle w:val="TOC2"/>
        <w:tabs>
          <w:tab w:val="clear" w:pos="1134"/>
          <w:tab w:val="left" w:pos="851"/>
        </w:tabs>
        <w:spacing w:after="100"/>
        <w:ind w:left="851" w:hanging="611"/>
        <w:rPr>
          <w:rStyle w:val="Hyperlink"/>
          <w:color w:val="595959" w:themeColor="text1" w:themeTint="A6"/>
          <w:szCs w:val="20"/>
        </w:rPr>
      </w:pPr>
      <w:hyperlink w:anchor="_Toc424653753" w:history="1">
        <w:r w:rsidR="005A36C4" w:rsidRPr="00F818AC">
          <w:rPr>
            <w:rStyle w:val="Hyperlink"/>
            <w:color w:val="595959" w:themeColor="text1" w:themeTint="A6"/>
            <w:szCs w:val="20"/>
          </w:rPr>
          <w:t>5.11.</w:t>
        </w:r>
        <w:r w:rsidR="005A36C4" w:rsidRPr="00F818AC">
          <w:rPr>
            <w:rStyle w:val="Hyperlink"/>
            <w:color w:val="595959" w:themeColor="text1" w:themeTint="A6"/>
            <w:szCs w:val="20"/>
          </w:rPr>
          <w:tab/>
          <w:t>IMPLEMENTATION OF 2014 EXPENDITURE</w:t>
        </w:r>
        <w:r w:rsidR="005A36C4" w:rsidRPr="00F818AC">
          <w:rPr>
            <w:rStyle w:val="Hyperlink"/>
            <w:webHidden/>
            <w:color w:val="595959" w:themeColor="text1" w:themeTint="A6"/>
            <w:szCs w:val="20"/>
          </w:rPr>
          <w:tab/>
        </w:r>
        <w:r w:rsidR="005A36C4" w:rsidRPr="00F818AC">
          <w:rPr>
            <w:rStyle w:val="Hyperlink"/>
            <w:webHidden/>
            <w:color w:val="595959" w:themeColor="text1" w:themeTint="A6"/>
            <w:szCs w:val="20"/>
          </w:rPr>
          <w:fldChar w:fldCharType="begin"/>
        </w:r>
        <w:r w:rsidR="005A36C4" w:rsidRPr="00F818AC">
          <w:rPr>
            <w:rStyle w:val="Hyperlink"/>
            <w:webHidden/>
            <w:color w:val="595959" w:themeColor="text1" w:themeTint="A6"/>
            <w:szCs w:val="20"/>
          </w:rPr>
          <w:instrText xml:space="preserve"> PAGEREF _Toc424653753 \h </w:instrText>
        </w:r>
        <w:r w:rsidR="005A36C4" w:rsidRPr="00F818AC">
          <w:rPr>
            <w:rStyle w:val="Hyperlink"/>
            <w:webHidden/>
            <w:color w:val="595959" w:themeColor="text1" w:themeTint="A6"/>
            <w:szCs w:val="20"/>
          </w:rPr>
        </w:r>
        <w:r w:rsidR="005A36C4" w:rsidRPr="00F818AC">
          <w:rPr>
            <w:rStyle w:val="Hyperlink"/>
            <w:webHidden/>
            <w:color w:val="595959" w:themeColor="text1" w:themeTint="A6"/>
            <w:szCs w:val="20"/>
          </w:rPr>
          <w:fldChar w:fldCharType="separate"/>
        </w:r>
        <w:r>
          <w:rPr>
            <w:rStyle w:val="Hyperlink"/>
            <w:webHidden/>
            <w:color w:val="595959" w:themeColor="text1" w:themeTint="A6"/>
            <w:szCs w:val="20"/>
          </w:rPr>
          <w:t>128</w:t>
        </w:r>
        <w:r w:rsidR="005A36C4" w:rsidRPr="00F818AC">
          <w:rPr>
            <w:rStyle w:val="Hyperlink"/>
            <w:webHidden/>
            <w:color w:val="595959" w:themeColor="text1" w:themeTint="A6"/>
            <w:szCs w:val="20"/>
          </w:rPr>
          <w:fldChar w:fldCharType="end"/>
        </w:r>
      </w:hyperlink>
    </w:p>
    <w:p w:rsidR="00F50689" w:rsidRPr="00F818AC" w:rsidRDefault="00DE1FA9" w:rsidP="00F818AC">
      <w:pPr>
        <w:pStyle w:val="TOC1"/>
        <w:rPr>
          <w:rStyle w:val="Hyperlink"/>
          <w:color w:val="016794"/>
        </w:rPr>
      </w:pPr>
      <w:hyperlink w:anchor="_Toc424653754" w:history="1">
        <w:r w:rsidR="005A36C4" w:rsidRPr="00F818AC">
          <w:rPr>
            <w:rStyle w:val="Hyperlink"/>
            <w:color w:val="016794"/>
          </w:rPr>
          <w:t>6.</w:t>
        </w:r>
        <w:r w:rsidR="00F818AC" w:rsidRPr="00F818AC">
          <w:rPr>
            <w:rStyle w:val="Hyperlink"/>
            <w:color w:val="016794"/>
          </w:rPr>
          <w:t xml:space="preserve"> </w:t>
        </w:r>
        <w:r w:rsidR="005A36C4" w:rsidRPr="00F818AC">
          <w:rPr>
            <w:rStyle w:val="Hyperlink"/>
            <w:color w:val="016794"/>
          </w:rPr>
          <w:t>IMPLEMENTATION OF THE INSTITUTIONS AND AGENCIES BUDGET</w:t>
        </w:r>
        <w:r w:rsidR="005A36C4" w:rsidRPr="00F818AC">
          <w:rPr>
            <w:rStyle w:val="Hyperlink"/>
            <w:webHidden/>
            <w:color w:val="016794"/>
          </w:rPr>
          <w:tab/>
        </w:r>
        <w:r w:rsidR="005A36C4" w:rsidRPr="00F818AC">
          <w:rPr>
            <w:rStyle w:val="Hyperlink"/>
            <w:webHidden/>
            <w:color w:val="016794"/>
          </w:rPr>
          <w:fldChar w:fldCharType="begin"/>
        </w:r>
        <w:r w:rsidR="005A36C4" w:rsidRPr="00F818AC">
          <w:rPr>
            <w:rStyle w:val="Hyperlink"/>
            <w:webHidden/>
            <w:color w:val="016794"/>
          </w:rPr>
          <w:instrText xml:space="preserve"> PAGEREF _Toc424653754 \h </w:instrText>
        </w:r>
        <w:r w:rsidR="005A36C4" w:rsidRPr="00F818AC">
          <w:rPr>
            <w:rStyle w:val="Hyperlink"/>
            <w:webHidden/>
            <w:color w:val="016794"/>
          </w:rPr>
        </w:r>
        <w:r w:rsidR="005A36C4" w:rsidRPr="00F818AC">
          <w:rPr>
            <w:rStyle w:val="Hyperlink"/>
            <w:webHidden/>
            <w:color w:val="016794"/>
          </w:rPr>
          <w:fldChar w:fldCharType="separate"/>
        </w:r>
        <w:r>
          <w:rPr>
            <w:rStyle w:val="Hyperlink"/>
            <w:webHidden/>
            <w:color w:val="016794"/>
          </w:rPr>
          <w:t>129</w:t>
        </w:r>
        <w:r w:rsidR="005A36C4" w:rsidRPr="00F818AC">
          <w:rPr>
            <w:rStyle w:val="Hyperlink"/>
            <w:webHidden/>
            <w:color w:val="016794"/>
          </w:rPr>
          <w:fldChar w:fldCharType="end"/>
        </w:r>
      </w:hyperlink>
    </w:p>
    <w:p w:rsidR="00F50689" w:rsidRPr="00F818AC" w:rsidRDefault="00DE1FA9" w:rsidP="00F818AC">
      <w:pPr>
        <w:pStyle w:val="TOC2"/>
        <w:tabs>
          <w:tab w:val="clear" w:pos="1134"/>
          <w:tab w:val="left" w:pos="851"/>
        </w:tabs>
        <w:spacing w:after="100"/>
        <w:ind w:left="851" w:hanging="611"/>
        <w:rPr>
          <w:rStyle w:val="Hyperlink"/>
          <w:color w:val="595959" w:themeColor="text1" w:themeTint="A6"/>
          <w:szCs w:val="20"/>
        </w:rPr>
      </w:pPr>
      <w:hyperlink w:anchor="_Toc424653755" w:history="1">
        <w:r w:rsidR="005A36C4" w:rsidRPr="00F818AC">
          <w:rPr>
            <w:rStyle w:val="Hyperlink"/>
            <w:color w:val="595959" w:themeColor="text1" w:themeTint="A6"/>
            <w:szCs w:val="20"/>
          </w:rPr>
          <w:t>6.1.</w:t>
        </w:r>
        <w:r w:rsidR="005A36C4" w:rsidRPr="00F818AC">
          <w:rPr>
            <w:rStyle w:val="Hyperlink"/>
            <w:color w:val="595959" w:themeColor="text1" w:themeTint="A6"/>
            <w:szCs w:val="20"/>
          </w:rPr>
          <w:tab/>
          <w:t>INSTITUTIONS: SUMMARY OF THE IMPLEMENTATION OF BUDGET REVENUE</w:t>
        </w:r>
        <w:r w:rsidR="005A36C4" w:rsidRPr="00F818AC">
          <w:rPr>
            <w:rStyle w:val="Hyperlink"/>
            <w:webHidden/>
            <w:color w:val="595959" w:themeColor="text1" w:themeTint="A6"/>
            <w:szCs w:val="20"/>
          </w:rPr>
          <w:tab/>
        </w:r>
        <w:r w:rsidR="005A36C4" w:rsidRPr="00F818AC">
          <w:rPr>
            <w:rStyle w:val="Hyperlink"/>
            <w:webHidden/>
            <w:color w:val="595959" w:themeColor="text1" w:themeTint="A6"/>
            <w:szCs w:val="20"/>
          </w:rPr>
          <w:fldChar w:fldCharType="begin"/>
        </w:r>
        <w:r w:rsidR="005A36C4" w:rsidRPr="00F818AC">
          <w:rPr>
            <w:rStyle w:val="Hyperlink"/>
            <w:webHidden/>
            <w:color w:val="595959" w:themeColor="text1" w:themeTint="A6"/>
            <w:szCs w:val="20"/>
          </w:rPr>
          <w:instrText xml:space="preserve"> PAGEREF _Toc424653755 \h </w:instrText>
        </w:r>
        <w:r w:rsidR="005A36C4" w:rsidRPr="00F818AC">
          <w:rPr>
            <w:rStyle w:val="Hyperlink"/>
            <w:webHidden/>
            <w:color w:val="595959" w:themeColor="text1" w:themeTint="A6"/>
            <w:szCs w:val="20"/>
          </w:rPr>
        </w:r>
        <w:r w:rsidR="005A36C4" w:rsidRPr="00F818AC">
          <w:rPr>
            <w:rStyle w:val="Hyperlink"/>
            <w:webHidden/>
            <w:color w:val="595959" w:themeColor="text1" w:themeTint="A6"/>
            <w:szCs w:val="20"/>
          </w:rPr>
          <w:fldChar w:fldCharType="separate"/>
        </w:r>
        <w:r>
          <w:rPr>
            <w:rStyle w:val="Hyperlink"/>
            <w:webHidden/>
            <w:color w:val="595959" w:themeColor="text1" w:themeTint="A6"/>
            <w:szCs w:val="20"/>
          </w:rPr>
          <w:t>129</w:t>
        </w:r>
        <w:r w:rsidR="005A36C4" w:rsidRPr="00F818AC">
          <w:rPr>
            <w:rStyle w:val="Hyperlink"/>
            <w:webHidden/>
            <w:color w:val="595959" w:themeColor="text1" w:themeTint="A6"/>
            <w:szCs w:val="20"/>
          </w:rPr>
          <w:fldChar w:fldCharType="end"/>
        </w:r>
      </w:hyperlink>
    </w:p>
    <w:p w:rsidR="00F50689" w:rsidRPr="00F818AC" w:rsidRDefault="00DE1FA9" w:rsidP="00F818AC">
      <w:pPr>
        <w:pStyle w:val="TOC2"/>
        <w:tabs>
          <w:tab w:val="clear" w:pos="1134"/>
          <w:tab w:val="left" w:pos="851"/>
        </w:tabs>
        <w:spacing w:after="100"/>
        <w:ind w:left="851" w:hanging="611"/>
        <w:rPr>
          <w:rStyle w:val="Hyperlink"/>
          <w:color w:val="595959" w:themeColor="text1" w:themeTint="A6"/>
          <w:szCs w:val="20"/>
        </w:rPr>
      </w:pPr>
      <w:hyperlink w:anchor="_Toc424653756" w:history="1">
        <w:r w:rsidR="005A36C4" w:rsidRPr="00F818AC">
          <w:rPr>
            <w:rStyle w:val="Hyperlink"/>
            <w:color w:val="595959" w:themeColor="text1" w:themeTint="A6"/>
            <w:szCs w:val="20"/>
          </w:rPr>
          <w:t>6.2.</w:t>
        </w:r>
        <w:r w:rsidR="005A36C4" w:rsidRPr="00F818AC">
          <w:rPr>
            <w:rStyle w:val="Hyperlink"/>
            <w:color w:val="595959" w:themeColor="text1" w:themeTint="A6"/>
            <w:szCs w:val="20"/>
          </w:rPr>
          <w:tab/>
          <w:t xml:space="preserve">INSTITUTIONS: IMPLEMENTATION OF COMMITMENT AND </w:t>
        </w:r>
        <w:r w:rsidR="00F818AC">
          <w:rPr>
            <w:rStyle w:val="Hyperlink"/>
            <w:color w:val="595959" w:themeColor="text1" w:themeTint="A6"/>
            <w:szCs w:val="20"/>
          </w:rPr>
          <w:br/>
        </w:r>
        <w:r w:rsidR="005A36C4" w:rsidRPr="00F818AC">
          <w:rPr>
            <w:rStyle w:val="Hyperlink"/>
            <w:color w:val="595959" w:themeColor="text1" w:themeTint="A6"/>
            <w:szCs w:val="20"/>
          </w:rPr>
          <w:t>PAYMENT APPROPRIATIONS</w:t>
        </w:r>
        <w:r w:rsidR="005A36C4" w:rsidRPr="00F818AC">
          <w:rPr>
            <w:rStyle w:val="Hyperlink"/>
            <w:webHidden/>
            <w:color w:val="595959" w:themeColor="text1" w:themeTint="A6"/>
            <w:szCs w:val="20"/>
          </w:rPr>
          <w:tab/>
        </w:r>
        <w:r w:rsidR="005A36C4" w:rsidRPr="00F818AC">
          <w:rPr>
            <w:rStyle w:val="Hyperlink"/>
            <w:webHidden/>
            <w:color w:val="595959" w:themeColor="text1" w:themeTint="A6"/>
            <w:szCs w:val="20"/>
          </w:rPr>
          <w:fldChar w:fldCharType="begin"/>
        </w:r>
        <w:r w:rsidR="005A36C4" w:rsidRPr="00F818AC">
          <w:rPr>
            <w:rStyle w:val="Hyperlink"/>
            <w:webHidden/>
            <w:color w:val="595959" w:themeColor="text1" w:themeTint="A6"/>
            <w:szCs w:val="20"/>
          </w:rPr>
          <w:instrText xml:space="preserve"> PAGEREF _Toc424653756 \h </w:instrText>
        </w:r>
        <w:r w:rsidR="005A36C4" w:rsidRPr="00F818AC">
          <w:rPr>
            <w:rStyle w:val="Hyperlink"/>
            <w:webHidden/>
            <w:color w:val="595959" w:themeColor="text1" w:themeTint="A6"/>
            <w:szCs w:val="20"/>
          </w:rPr>
        </w:r>
        <w:r w:rsidR="005A36C4" w:rsidRPr="00F818AC">
          <w:rPr>
            <w:rStyle w:val="Hyperlink"/>
            <w:webHidden/>
            <w:color w:val="595959" w:themeColor="text1" w:themeTint="A6"/>
            <w:szCs w:val="20"/>
          </w:rPr>
          <w:fldChar w:fldCharType="separate"/>
        </w:r>
        <w:r>
          <w:rPr>
            <w:rStyle w:val="Hyperlink"/>
            <w:webHidden/>
            <w:color w:val="595959" w:themeColor="text1" w:themeTint="A6"/>
            <w:szCs w:val="20"/>
          </w:rPr>
          <w:t>130</w:t>
        </w:r>
        <w:r w:rsidR="005A36C4" w:rsidRPr="00F818AC">
          <w:rPr>
            <w:rStyle w:val="Hyperlink"/>
            <w:webHidden/>
            <w:color w:val="595959" w:themeColor="text1" w:themeTint="A6"/>
            <w:szCs w:val="20"/>
          </w:rPr>
          <w:fldChar w:fldCharType="end"/>
        </w:r>
      </w:hyperlink>
    </w:p>
    <w:p w:rsidR="00F50689" w:rsidRPr="00F818AC" w:rsidRDefault="00DE1FA9" w:rsidP="00F818AC">
      <w:pPr>
        <w:pStyle w:val="TOC2"/>
        <w:tabs>
          <w:tab w:val="clear" w:pos="1134"/>
          <w:tab w:val="left" w:pos="851"/>
        </w:tabs>
        <w:spacing w:after="100"/>
        <w:ind w:left="851" w:hanging="611"/>
        <w:rPr>
          <w:rStyle w:val="Hyperlink"/>
          <w:color w:val="595959" w:themeColor="text1" w:themeTint="A6"/>
          <w:szCs w:val="20"/>
        </w:rPr>
      </w:pPr>
      <w:hyperlink w:anchor="_Toc424653757" w:history="1">
        <w:r w:rsidR="005A36C4" w:rsidRPr="00F818AC">
          <w:rPr>
            <w:rStyle w:val="Hyperlink"/>
            <w:color w:val="595959" w:themeColor="text1" w:themeTint="A6"/>
            <w:szCs w:val="20"/>
          </w:rPr>
          <w:t>6.3.</w:t>
        </w:r>
        <w:r w:rsidR="005A36C4" w:rsidRPr="00F818AC">
          <w:rPr>
            <w:rStyle w:val="Hyperlink"/>
            <w:color w:val="595959" w:themeColor="text1" w:themeTint="A6"/>
            <w:szCs w:val="20"/>
          </w:rPr>
          <w:tab/>
          <w:t xml:space="preserve">AGENCIES INCOME: BUDGET FORECASTS, ENTITLEMENTS AND </w:t>
        </w:r>
        <w:r w:rsidR="00F818AC">
          <w:rPr>
            <w:rStyle w:val="Hyperlink"/>
            <w:color w:val="595959" w:themeColor="text1" w:themeTint="A6"/>
            <w:szCs w:val="20"/>
          </w:rPr>
          <w:br/>
        </w:r>
        <w:r w:rsidR="005A36C4" w:rsidRPr="00F818AC">
          <w:rPr>
            <w:rStyle w:val="Hyperlink"/>
            <w:color w:val="595959" w:themeColor="text1" w:themeTint="A6"/>
            <w:szCs w:val="20"/>
          </w:rPr>
          <w:t>AMOUNTS RECEIVED</w:t>
        </w:r>
        <w:r w:rsidR="005A36C4" w:rsidRPr="00F818AC">
          <w:rPr>
            <w:rStyle w:val="Hyperlink"/>
            <w:webHidden/>
            <w:color w:val="595959" w:themeColor="text1" w:themeTint="A6"/>
            <w:szCs w:val="20"/>
          </w:rPr>
          <w:tab/>
        </w:r>
        <w:r w:rsidR="005A36C4" w:rsidRPr="00F818AC">
          <w:rPr>
            <w:rStyle w:val="Hyperlink"/>
            <w:webHidden/>
            <w:color w:val="595959" w:themeColor="text1" w:themeTint="A6"/>
            <w:szCs w:val="20"/>
          </w:rPr>
          <w:fldChar w:fldCharType="begin"/>
        </w:r>
        <w:r w:rsidR="005A36C4" w:rsidRPr="00F818AC">
          <w:rPr>
            <w:rStyle w:val="Hyperlink"/>
            <w:webHidden/>
            <w:color w:val="595959" w:themeColor="text1" w:themeTint="A6"/>
            <w:szCs w:val="20"/>
          </w:rPr>
          <w:instrText xml:space="preserve"> PAGEREF _Toc424653757 \h </w:instrText>
        </w:r>
        <w:r w:rsidR="005A36C4" w:rsidRPr="00F818AC">
          <w:rPr>
            <w:rStyle w:val="Hyperlink"/>
            <w:webHidden/>
            <w:color w:val="595959" w:themeColor="text1" w:themeTint="A6"/>
            <w:szCs w:val="20"/>
          </w:rPr>
        </w:r>
        <w:r w:rsidR="005A36C4" w:rsidRPr="00F818AC">
          <w:rPr>
            <w:rStyle w:val="Hyperlink"/>
            <w:webHidden/>
            <w:color w:val="595959" w:themeColor="text1" w:themeTint="A6"/>
            <w:szCs w:val="20"/>
          </w:rPr>
          <w:fldChar w:fldCharType="separate"/>
        </w:r>
        <w:r>
          <w:rPr>
            <w:rStyle w:val="Hyperlink"/>
            <w:webHidden/>
            <w:color w:val="595959" w:themeColor="text1" w:themeTint="A6"/>
            <w:szCs w:val="20"/>
          </w:rPr>
          <w:t>132</w:t>
        </w:r>
        <w:r w:rsidR="005A36C4" w:rsidRPr="00F818AC">
          <w:rPr>
            <w:rStyle w:val="Hyperlink"/>
            <w:webHidden/>
            <w:color w:val="595959" w:themeColor="text1" w:themeTint="A6"/>
            <w:szCs w:val="20"/>
          </w:rPr>
          <w:fldChar w:fldCharType="end"/>
        </w:r>
      </w:hyperlink>
    </w:p>
    <w:p w:rsidR="00F50689" w:rsidRPr="00F818AC" w:rsidRDefault="00DE1FA9" w:rsidP="00F818AC">
      <w:pPr>
        <w:pStyle w:val="TOC2"/>
        <w:tabs>
          <w:tab w:val="clear" w:pos="1134"/>
          <w:tab w:val="left" w:pos="851"/>
        </w:tabs>
        <w:spacing w:after="100"/>
        <w:ind w:left="851" w:hanging="611"/>
        <w:rPr>
          <w:rStyle w:val="Hyperlink"/>
          <w:color w:val="595959" w:themeColor="text1" w:themeTint="A6"/>
          <w:szCs w:val="20"/>
        </w:rPr>
      </w:pPr>
      <w:hyperlink w:anchor="_Toc424653758" w:history="1">
        <w:r w:rsidR="005A36C4" w:rsidRPr="00F818AC">
          <w:rPr>
            <w:rStyle w:val="Hyperlink"/>
            <w:color w:val="595959" w:themeColor="text1" w:themeTint="A6"/>
            <w:szCs w:val="20"/>
          </w:rPr>
          <w:t>6.4.</w:t>
        </w:r>
        <w:r w:rsidR="005A36C4" w:rsidRPr="00F818AC">
          <w:rPr>
            <w:rStyle w:val="Hyperlink"/>
            <w:color w:val="595959" w:themeColor="text1" w:themeTint="A6"/>
            <w:szCs w:val="20"/>
          </w:rPr>
          <w:tab/>
          <w:t>COMMITMENT &amp; PAYMENT APPROPRIATIONS BY AGENCY</w:t>
        </w:r>
        <w:r w:rsidR="005A36C4" w:rsidRPr="00F818AC">
          <w:rPr>
            <w:rStyle w:val="Hyperlink"/>
            <w:webHidden/>
            <w:color w:val="595959" w:themeColor="text1" w:themeTint="A6"/>
            <w:szCs w:val="20"/>
          </w:rPr>
          <w:tab/>
        </w:r>
        <w:r w:rsidR="005A36C4" w:rsidRPr="00F818AC">
          <w:rPr>
            <w:rStyle w:val="Hyperlink"/>
            <w:webHidden/>
            <w:color w:val="595959" w:themeColor="text1" w:themeTint="A6"/>
            <w:szCs w:val="20"/>
          </w:rPr>
          <w:fldChar w:fldCharType="begin"/>
        </w:r>
        <w:r w:rsidR="005A36C4" w:rsidRPr="00F818AC">
          <w:rPr>
            <w:rStyle w:val="Hyperlink"/>
            <w:webHidden/>
            <w:color w:val="595959" w:themeColor="text1" w:themeTint="A6"/>
            <w:szCs w:val="20"/>
          </w:rPr>
          <w:instrText xml:space="preserve"> PAGEREF _Toc424653758 \h </w:instrText>
        </w:r>
        <w:r w:rsidR="005A36C4" w:rsidRPr="00F818AC">
          <w:rPr>
            <w:rStyle w:val="Hyperlink"/>
            <w:webHidden/>
            <w:color w:val="595959" w:themeColor="text1" w:themeTint="A6"/>
            <w:szCs w:val="20"/>
          </w:rPr>
        </w:r>
        <w:r w:rsidR="005A36C4" w:rsidRPr="00F818AC">
          <w:rPr>
            <w:rStyle w:val="Hyperlink"/>
            <w:webHidden/>
            <w:color w:val="595959" w:themeColor="text1" w:themeTint="A6"/>
            <w:szCs w:val="20"/>
          </w:rPr>
          <w:fldChar w:fldCharType="separate"/>
        </w:r>
        <w:r>
          <w:rPr>
            <w:rStyle w:val="Hyperlink"/>
            <w:webHidden/>
            <w:color w:val="595959" w:themeColor="text1" w:themeTint="A6"/>
            <w:szCs w:val="20"/>
          </w:rPr>
          <w:t>134</w:t>
        </w:r>
        <w:r w:rsidR="005A36C4" w:rsidRPr="00F818AC">
          <w:rPr>
            <w:rStyle w:val="Hyperlink"/>
            <w:webHidden/>
            <w:color w:val="595959" w:themeColor="text1" w:themeTint="A6"/>
            <w:szCs w:val="20"/>
          </w:rPr>
          <w:fldChar w:fldCharType="end"/>
        </w:r>
      </w:hyperlink>
    </w:p>
    <w:p w:rsidR="00F50689" w:rsidRPr="00F818AC" w:rsidRDefault="00DE1FA9" w:rsidP="00F818AC">
      <w:pPr>
        <w:pStyle w:val="TOC2"/>
        <w:tabs>
          <w:tab w:val="clear" w:pos="1134"/>
          <w:tab w:val="left" w:pos="851"/>
        </w:tabs>
        <w:spacing w:after="100"/>
        <w:ind w:left="851" w:hanging="611"/>
        <w:rPr>
          <w:rStyle w:val="Hyperlink"/>
          <w:color w:val="595959" w:themeColor="text1" w:themeTint="A6"/>
          <w:szCs w:val="20"/>
        </w:rPr>
      </w:pPr>
      <w:hyperlink w:anchor="_Toc424653759" w:history="1">
        <w:r w:rsidR="005A36C4" w:rsidRPr="00F818AC">
          <w:rPr>
            <w:rStyle w:val="Hyperlink"/>
            <w:color w:val="595959" w:themeColor="text1" w:themeTint="A6"/>
            <w:szCs w:val="20"/>
          </w:rPr>
          <w:t>6.5.</w:t>
        </w:r>
        <w:r w:rsidR="005A36C4" w:rsidRPr="00F818AC">
          <w:rPr>
            <w:rStyle w:val="Hyperlink"/>
            <w:color w:val="595959" w:themeColor="text1" w:themeTint="A6"/>
            <w:szCs w:val="20"/>
          </w:rPr>
          <w:tab/>
          <w:t>BUDGET RESULT INCLUDING AGENCIES</w:t>
        </w:r>
        <w:r w:rsidR="005A36C4" w:rsidRPr="00F818AC">
          <w:rPr>
            <w:rStyle w:val="Hyperlink"/>
            <w:webHidden/>
            <w:color w:val="595959" w:themeColor="text1" w:themeTint="A6"/>
            <w:szCs w:val="20"/>
          </w:rPr>
          <w:tab/>
        </w:r>
        <w:r w:rsidR="005A36C4" w:rsidRPr="00F818AC">
          <w:rPr>
            <w:rStyle w:val="Hyperlink"/>
            <w:webHidden/>
            <w:color w:val="595959" w:themeColor="text1" w:themeTint="A6"/>
            <w:szCs w:val="20"/>
          </w:rPr>
          <w:fldChar w:fldCharType="begin"/>
        </w:r>
        <w:r w:rsidR="005A36C4" w:rsidRPr="00F818AC">
          <w:rPr>
            <w:rStyle w:val="Hyperlink"/>
            <w:webHidden/>
            <w:color w:val="595959" w:themeColor="text1" w:themeTint="A6"/>
            <w:szCs w:val="20"/>
          </w:rPr>
          <w:instrText xml:space="preserve"> PAGEREF _Toc424653759 \h </w:instrText>
        </w:r>
        <w:r w:rsidR="005A36C4" w:rsidRPr="00F818AC">
          <w:rPr>
            <w:rStyle w:val="Hyperlink"/>
            <w:webHidden/>
            <w:color w:val="595959" w:themeColor="text1" w:themeTint="A6"/>
            <w:szCs w:val="20"/>
          </w:rPr>
        </w:r>
        <w:r w:rsidR="005A36C4" w:rsidRPr="00F818AC">
          <w:rPr>
            <w:rStyle w:val="Hyperlink"/>
            <w:webHidden/>
            <w:color w:val="595959" w:themeColor="text1" w:themeTint="A6"/>
            <w:szCs w:val="20"/>
          </w:rPr>
          <w:fldChar w:fldCharType="separate"/>
        </w:r>
        <w:r>
          <w:rPr>
            <w:rStyle w:val="Hyperlink"/>
            <w:webHidden/>
            <w:color w:val="595959" w:themeColor="text1" w:themeTint="A6"/>
            <w:szCs w:val="20"/>
          </w:rPr>
          <w:t>135</w:t>
        </w:r>
        <w:r w:rsidR="005A36C4" w:rsidRPr="00F818AC">
          <w:rPr>
            <w:rStyle w:val="Hyperlink"/>
            <w:webHidden/>
            <w:color w:val="595959" w:themeColor="text1" w:themeTint="A6"/>
            <w:szCs w:val="20"/>
          </w:rPr>
          <w:fldChar w:fldCharType="end"/>
        </w:r>
      </w:hyperlink>
    </w:p>
    <w:p w:rsidR="00F50689" w:rsidRDefault="005A36C4" w:rsidP="001C635F">
      <w:pPr>
        <w:pStyle w:val="Textstand-alone"/>
      </w:pPr>
      <w:r>
        <w:fldChar w:fldCharType="end"/>
      </w:r>
    </w:p>
    <w:bookmarkEnd w:id="211"/>
    <w:p w:rsidR="00F50689" w:rsidRDefault="00F50689" w:rsidP="00F50689">
      <w:pPr>
        <w:sectPr w:rsidR="00F50689" w:rsidSect="00F50689">
          <w:headerReference w:type="even" r:id="rId431"/>
          <w:headerReference w:type="default" r:id="rId432"/>
          <w:footerReference w:type="even" r:id="rId433"/>
          <w:footerReference w:type="default" r:id="rId434"/>
          <w:headerReference w:type="first" r:id="rId435"/>
          <w:footerReference w:type="first" r:id="rId436"/>
          <w:pgSz w:w="11907" w:h="16840"/>
          <w:pgMar w:top="1134" w:right="1134" w:bottom="1134" w:left="1134" w:header="709" w:footer="709" w:gutter="0"/>
          <w:cols w:space="708"/>
          <w:docGrid w:linePitch="360"/>
        </w:sectPr>
      </w:pPr>
    </w:p>
    <w:p w:rsidR="00F50689" w:rsidRPr="00015051" w:rsidRDefault="005A36C4" w:rsidP="00F50689">
      <w:pPr>
        <w:pStyle w:val="HEADERTITLE2"/>
      </w:pPr>
      <w:bookmarkStart w:id="212" w:name="_Toc424653727"/>
      <w:bookmarkStart w:id="213" w:name="_DMBM_3428"/>
      <w:r w:rsidRPr="00015051">
        <w:t xml:space="preserve">EU </w:t>
      </w:r>
      <w:r w:rsidRPr="000628AE">
        <w:t>BUDGET</w:t>
      </w:r>
      <w:r w:rsidRPr="00015051">
        <w:t xml:space="preserve"> RESULT</w:t>
      </w:r>
      <w:bookmarkEnd w:id="212"/>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C52E40" w:rsidRDefault="00F50689" w:rsidP="00F50689">
            <w:pPr>
              <w:pStyle w:val="Text8pItalicLeft"/>
              <w:rPr>
                <w:rFonts w:eastAsia="Verdana" w:cs="Verdana"/>
                <w:color w:val="FFFFFF"/>
                <w:lang w:bidi="en-GB"/>
              </w:rPr>
            </w:pPr>
            <w:bookmarkStart w:id="214" w:name="DOC_TBL00091_1_1"/>
            <w:bookmarkEnd w:id="214"/>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C52E40" w:rsidRDefault="00F50689" w:rsidP="00F50689">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C52E40" w:rsidRDefault="00F50689" w:rsidP="00F50689">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Text8pItalicRight025EUR"/>
              <w:rPr>
                <w:rFonts w:eastAsia="Verdana" w:cs="Verdana"/>
                <w:lang w:bidi="en-GB"/>
              </w:rPr>
            </w:pPr>
            <w:r w:rsidRPr="00C52E40">
              <w:rPr>
                <w:rFonts w:eastAsia="Verdana" w:cs="Verdana"/>
                <w:lang w:bidi="en-GB"/>
              </w:rPr>
              <w:t>EUR millions</w:t>
            </w:r>
          </w:p>
        </w:tc>
      </w:tr>
      <w:tr w:rsidR="00E7728E">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F50689" w:rsidRPr="00C52E40" w:rsidRDefault="00F50689" w:rsidP="00F50689">
            <w:pPr>
              <w:pStyle w:val="Heading10pNormalLeft"/>
              <w:rPr>
                <w:rFonts w:eastAsia="Verdana" w:cs="Verdana"/>
                <w:lang w:bidi="en-GB"/>
              </w:rPr>
            </w:pPr>
          </w:p>
        </w:tc>
        <w:tc>
          <w:tcPr>
            <w:tcW w:w="851" w:type="dxa"/>
            <w:tcBorders>
              <w:top w:val="nil"/>
              <w:left w:val="nil"/>
              <w:bottom w:val="nil"/>
              <w:right w:val="nil"/>
            </w:tcBorders>
            <w:shd w:val="clear" w:color="auto" w:fill="016794"/>
            <w:tcMar>
              <w:top w:w="0" w:type="dxa"/>
              <w:left w:w="0" w:type="dxa"/>
              <w:bottom w:w="0" w:type="dxa"/>
              <w:right w:w="0" w:type="dxa"/>
            </w:tcMar>
          </w:tcPr>
          <w:p w:rsidR="00F50689" w:rsidRPr="00C52E40" w:rsidRDefault="005A36C4" w:rsidP="00F50689">
            <w:pPr>
              <w:pStyle w:val="Heading10pNormalRight025"/>
              <w:rPr>
                <w:rFonts w:eastAsia="Verdana" w:cs="Verdana"/>
                <w:lang w:bidi="en-GB"/>
              </w:rPr>
            </w:pPr>
            <w:r w:rsidRPr="00C52E40">
              <w:rPr>
                <w:rFonts w:eastAsia="Verdana" w:cs="Verdana"/>
                <w:lang w:bidi="en-GB"/>
              </w:rPr>
              <w:t>Note</w:t>
            </w:r>
          </w:p>
        </w:tc>
        <w:tc>
          <w:tcPr>
            <w:tcW w:w="1842" w:type="dxa"/>
            <w:tcBorders>
              <w:top w:val="nil"/>
              <w:left w:val="nil"/>
              <w:bottom w:val="nil"/>
              <w:right w:val="nil"/>
            </w:tcBorders>
            <w:shd w:val="clear" w:color="auto" w:fill="016794"/>
            <w:tcMar>
              <w:top w:w="0" w:type="dxa"/>
              <w:left w:w="0" w:type="dxa"/>
              <w:bottom w:w="0" w:type="dxa"/>
              <w:right w:w="0" w:type="dxa"/>
            </w:tcMar>
          </w:tcPr>
          <w:p w:rsidR="00F50689" w:rsidRPr="00C52E40" w:rsidRDefault="005A36C4" w:rsidP="00F50689">
            <w:pPr>
              <w:pStyle w:val="Heading10pNormalRight025"/>
              <w:rPr>
                <w:rFonts w:eastAsia="Verdana" w:cs="Verdana"/>
                <w:lang w:bidi="en-GB"/>
              </w:rPr>
            </w:pPr>
            <w:r w:rsidRPr="00C52E40">
              <w:rPr>
                <w:rFonts w:eastAsia="Verdana" w:cs="Verdana"/>
                <w:lang w:bidi="en-GB"/>
              </w:rPr>
              <w:t>2014</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Pr="00C52E40" w:rsidRDefault="005A36C4" w:rsidP="00F50689">
            <w:pPr>
              <w:pStyle w:val="Heading10pNormalRight025"/>
              <w:rPr>
                <w:rFonts w:eastAsia="Verdana" w:cs="Verdana"/>
                <w:lang w:bidi="en-GB"/>
              </w:rPr>
            </w:pPr>
            <w:r w:rsidRPr="00C52E40">
              <w:rPr>
                <w:rFonts w:eastAsia="Verdana" w:cs="Verdana"/>
                <w:lang w:bidi="en-GB"/>
              </w:rPr>
              <w:t>2013</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Text9pItalicLeft"/>
              <w:rPr>
                <w:rFonts w:eastAsia="Verdana" w:cs="Verdana"/>
                <w:lang w:bidi="en-GB"/>
              </w:rPr>
            </w:pPr>
            <w:r w:rsidRPr="00C52E40">
              <w:rPr>
                <w:rFonts w:eastAsia="Verdana" w:cs="Verdana"/>
                <w:lang w:bidi="en-GB"/>
              </w:rPr>
              <w:t>Revenue for the financial year</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Text9pItalicCentered"/>
              <w:rPr>
                <w:rFonts w:eastAsia="Verdana" w:cs="Verdana"/>
                <w:lang w:bidi="en-GB"/>
              </w:rPr>
            </w:pPr>
            <w:r w:rsidRPr="00C52E40">
              <w:rPr>
                <w:rFonts w:eastAsia="Verdana" w:cs="Verdana"/>
                <w:lang w:bidi="en-GB"/>
              </w:rPr>
              <w:t>4.1</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Figures9pItalicRight025"/>
              <w:rPr>
                <w:rFonts w:eastAsia="Verdana" w:cs="Verdana"/>
                <w:lang w:bidi="en-GB"/>
              </w:rPr>
            </w:pPr>
            <w:r w:rsidRPr="00C52E40">
              <w:rPr>
                <w:rFonts w:eastAsia="Verdana" w:cs="Verdana"/>
                <w:lang w:bidi="en-GB"/>
              </w:rPr>
              <w:t>143 940</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Figures9pItalicRight025"/>
              <w:rPr>
                <w:rFonts w:eastAsia="Verdana" w:cs="Verdana"/>
                <w:lang w:bidi="en-GB"/>
              </w:rPr>
            </w:pPr>
            <w:r w:rsidRPr="00C52E40">
              <w:rPr>
                <w:rFonts w:eastAsia="Verdana" w:cs="Verdana"/>
                <w:lang w:bidi="en-GB"/>
              </w:rPr>
              <w:t>149 504</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Text9pItalicLeft"/>
              <w:rPr>
                <w:rFonts w:eastAsia="Verdana" w:cs="Verdana"/>
                <w:lang w:bidi="en-GB"/>
              </w:rPr>
            </w:pPr>
            <w:r w:rsidRPr="00C52E40">
              <w:rPr>
                <w:rFonts w:eastAsia="Verdana" w:cs="Verdana"/>
                <w:lang w:bidi="en-GB"/>
              </w:rPr>
              <w:t>Payments against current year's budget appropriations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Text9pItalicCentered"/>
              <w:rPr>
                <w:rFonts w:eastAsia="Verdana" w:cs="Verdana"/>
                <w:lang w:bidi="en-GB"/>
              </w:rPr>
            </w:pPr>
            <w:r w:rsidRPr="00C52E40">
              <w:rPr>
                <w:rFonts w:eastAsia="Verdana" w:cs="Verdana"/>
                <w:lang w:bidi="en-GB"/>
              </w:rPr>
              <w:t>5.3</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Figures9pItalicRight025"/>
              <w:rPr>
                <w:rFonts w:eastAsia="Verdana" w:cs="Verdana"/>
                <w:lang w:bidi="en-GB"/>
              </w:rPr>
            </w:pPr>
            <w:r w:rsidRPr="00C52E40">
              <w:rPr>
                <w:rFonts w:eastAsia="Verdana" w:cs="Verdana"/>
                <w:lang w:bidi="en-GB"/>
              </w:rPr>
              <w:t>(141 193)</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Figures9pItalicRight025"/>
              <w:rPr>
                <w:rFonts w:eastAsia="Verdana" w:cs="Verdana"/>
                <w:lang w:bidi="en-GB"/>
              </w:rPr>
            </w:pPr>
            <w:r w:rsidRPr="00C52E40">
              <w:rPr>
                <w:rFonts w:eastAsia="Verdana" w:cs="Verdana"/>
                <w:lang w:bidi="en-GB"/>
              </w:rPr>
              <w:t>(147 567)</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Text9pItalicLeft"/>
              <w:rPr>
                <w:rFonts w:eastAsia="Verdana" w:cs="Verdana"/>
                <w:lang w:bidi="en-GB"/>
              </w:rPr>
            </w:pPr>
            <w:r w:rsidRPr="00C52E40">
              <w:rPr>
                <w:rFonts w:eastAsia="Verdana" w:cs="Verdana"/>
                <w:lang w:bidi="en-GB"/>
              </w:rPr>
              <w:t>Payment appropriations carried over to  year N+1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C52E40" w:rsidRDefault="00F50689" w:rsidP="00F50689">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Figures9pItalicRight025"/>
              <w:rPr>
                <w:rFonts w:eastAsia="Verdana" w:cs="Verdana"/>
                <w:lang w:bidi="en-GB"/>
              </w:rPr>
            </w:pPr>
            <w:r w:rsidRPr="00C52E40">
              <w:rPr>
                <w:rFonts w:eastAsia="Verdana" w:cs="Verdana"/>
                <w:lang w:bidi="en-GB"/>
              </w:rPr>
              <w:t>(1 787)</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Figures9pItalicRight025"/>
              <w:rPr>
                <w:rFonts w:eastAsia="Verdana" w:cs="Verdana"/>
                <w:lang w:bidi="en-GB"/>
              </w:rPr>
            </w:pPr>
            <w:r w:rsidRPr="00C52E40">
              <w:rPr>
                <w:rFonts w:eastAsia="Verdana" w:cs="Verdana"/>
                <w:lang w:bidi="en-GB"/>
              </w:rPr>
              <w:t>(1 329)</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Text9pItalicLeft"/>
              <w:rPr>
                <w:rFonts w:eastAsia="Verdana" w:cs="Verdana"/>
                <w:lang w:bidi="en-GB"/>
              </w:rPr>
            </w:pPr>
            <w:r w:rsidRPr="00C52E40">
              <w:rPr>
                <w:rFonts w:eastAsia="Verdana" w:cs="Verdana"/>
                <w:lang w:bidi="en-GB"/>
              </w:rPr>
              <w:t>Cancellation of unused payment appropriations carried over from year N-1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C52E40" w:rsidRDefault="00F50689" w:rsidP="00F50689">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Figures9pItalicRight025"/>
              <w:rPr>
                <w:rFonts w:eastAsia="Verdana" w:cs="Verdana"/>
                <w:lang w:bidi="en-GB"/>
              </w:rPr>
            </w:pPr>
            <w:r w:rsidRPr="00C52E40">
              <w:rPr>
                <w:rFonts w:eastAsia="Verdana" w:cs="Verdana"/>
                <w:lang w:bidi="en-GB"/>
              </w:rPr>
              <w:t xml:space="preserve"> 25</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Figures9pItalicRight025"/>
              <w:rPr>
                <w:rFonts w:eastAsia="Verdana" w:cs="Verdana"/>
                <w:lang w:bidi="en-GB"/>
              </w:rPr>
            </w:pPr>
            <w:r w:rsidRPr="00C52E40">
              <w:rPr>
                <w:rFonts w:eastAsia="Verdana" w:cs="Verdana"/>
                <w:lang w:bidi="en-GB"/>
              </w:rPr>
              <w:t xml:space="preserve"> 34</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Text9pItalicLeft"/>
              <w:rPr>
                <w:rFonts w:eastAsia="Verdana" w:cs="Verdana"/>
                <w:lang w:bidi="en-GB"/>
              </w:rPr>
            </w:pPr>
            <w:r w:rsidRPr="00C52E40">
              <w:rPr>
                <w:rFonts w:eastAsia="Verdana" w:cs="Verdana"/>
                <w:lang w:bidi="en-GB"/>
              </w:rPr>
              <w:t>Evolution of assigned revenue</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C52E40" w:rsidRDefault="00F50689" w:rsidP="00F50689">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Figures9pItalicRight025"/>
              <w:rPr>
                <w:rFonts w:eastAsia="Verdana" w:cs="Verdana"/>
                <w:lang w:bidi="en-GB"/>
              </w:rPr>
            </w:pPr>
            <w:r w:rsidRPr="00C52E40">
              <w:rPr>
                <w:rFonts w:eastAsia="Verdana" w:cs="Verdana"/>
                <w:lang w:bidi="en-GB"/>
              </w:rPr>
              <w:t xml:space="preserve"> 336</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Figures9pItalicRight025"/>
              <w:rPr>
                <w:rFonts w:eastAsia="Verdana" w:cs="Verdana"/>
                <w:lang w:bidi="en-GB"/>
              </w:rPr>
            </w:pPr>
            <w:r w:rsidRPr="00C52E40">
              <w:rPr>
                <w:rFonts w:eastAsia="Verdana" w:cs="Verdana"/>
                <w:lang w:bidi="en-GB"/>
              </w:rPr>
              <w:t xml:space="preserve"> 403</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Text9pItalicLeft"/>
              <w:rPr>
                <w:rFonts w:eastAsia="Verdana" w:cs="Verdana"/>
                <w:lang w:bidi="en-GB"/>
              </w:rPr>
            </w:pPr>
            <w:r w:rsidRPr="00C52E40">
              <w:rPr>
                <w:rFonts w:eastAsia="Verdana" w:cs="Verdana"/>
                <w:lang w:bidi="en-GB"/>
              </w:rPr>
              <w:t>Exchange differences for the year</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C52E40" w:rsidRDefault="00F50689" w:rsidP="00F50689">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Figures9pItalicRight025"/>
              <w:rPr>
                <w:rFonts w:eastAsia="Verdana" w:cs="Verdana"/>
                <w:lang w:bidi="en-GB"/>
              </w:rPr>
            </w:pPr>
            <w:r w:rsidRPr="00C52E40">
              <w:rPr>
                <w:rFonts w:eastAsia="Verdana" w:cs="Verdana"/>
                <w:lang w:bidi="en-GB"/>
              </w:rPr>
              <w:t xml:space="preserve"> 110</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Figures9pItalicRight025"/>
              <w:rPr>
                <w:rFonts w:eastAsia="Verdana" w:cs="Verdana"/>
                <w:lang w:bidi="en-GB"/>
              </w:rPr>
            </w:pPr>
            <w:r w:rsidRPr="00C52E40">
              <w:rPr>
                <w:rFonts w:eastAsia="Verdana" w:cs="Verdana"/>
                <w:lang w:bidi="en-GB"/>
              </w:rPr>
              <w:t xml:space="preserve"> (42)</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Pr="00C52E40" w:rsidRDefault="005A36C4" w:rsidP="00F50689">
            <w:pPr>
              <w:pStyle w:val="Text9pBoldLeft"/>
              <w:rPr>
                <w:rFonts w:eastAsia="Verdana" w:cs="Verdana"/>
                <w:lang w:bidi="en-GB"/>
              </w:rPr>
            </w:pPr>
            <w:r w:rsidRPr="00C52E40">
              <w:rPr>
                <w:rFonts w:eastAsia="Verdana" w:cs="Verdana"/>
                <w:lang w:bidi="en-GB"/>
              </w:rPr>
              <w:t>Budget result*</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Pr="00C52E40" w:rsidRDefault="005A36C4" w:rsidP="00F50689">
            <w:pPr>
              <w:pStyle w:val="Text9pItalicCentered"/>
              <w:rPr>
                <w:rFonts w:eastAsia="Verdana" w:cs="Verdana"/>
                <w:i w:val="0"/>
                <w:lang w:bidi="en-GB"/>
              </w:rPr>
            </w:pPr>
            <w:r w:rsidRPr="00C52E40">
              <w:rPr>
                <w:rFonts w:eastAsia="Verdana" w:cs="Verdana"/>
                <w:i w:val="0"/>
                <w:lang w:bidi="en-GB"/>
              </w:rPr>
              <w:t>2.2</w:t>
            </w: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Pr="00C52E40" w:rsidRDefault="005A36C4" w:rsidP="00F50689">
            <w:pPr>
              <w:pStyle w:val="Figures9pBoldRight025"/>
              <w:rPr>
                <w:rFonts w:eastAsia="Verdana" w:cs="Verdana"/>
                <w:lang w:bidi="en-GB"/>
              </w:rPr>
            </w:pPr>
            <w:r w:rsidRPr="00C52E40">
              <w:rPr>
                <w:rFonts w:eastAsia="Verdana" w:cs="Verdana"/>
                <w:lang w:bidi="en-GB"/>
              </w:rPr>
              <w:t>1 432</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Pr="00C52E40" w:rsidRDefault="005A36C4" w:rsidP="00F50689">
            <w:pPr>
              <w:pStyle w:val="Figures9pBoldRight025"/>
              <w:rPr>
                <w:rFonts w:eastAsia="Verdana" w:cs="Verdana"/>
                <w:lang w:bidi="en-GB"/>
              </w:rPr>
            </w:pPr>
            <w:r w:rsidRPr="00C52E40">
              <w:rPr>
                <w:rFonts w:eastAsia="Verdana" w:cs="Verdana"/>
                <w:lang w:bidi="en-GB"/>
              </w:rPr>
              <w:t>1 002</w:t>
            </w:r>
          </w:p>
        </w:tc>
      </w:tr>
    </w:tbl>
    <w:p w:rsidR="00F50689" w:rsidRPr="008A7D59" w:rsidRDefault="005A36C4" w:rsidP="008A7D59">
      <w:pPr>
        <w:pStyle w:val="Textstand-alone"/>
        <w:spacing w:before="60"/>
        <w:rPr>
          <w:i/>
          <w:sz w:val="14"/>
        </w:rPr>
      </w:pPr>
      <w:r w:rsidRPr="008A7D59">
        <w:rPr>
          <w:i/>
          <w:sz w:val="14"/>
        </w:rPr>
        <w:t>* Of which EFTA result is EUR (3) million in 2014 and EUR (4) million in 2013.</w:t>
      </w:r>
    </w:p>
    <w:p w:rsidR="00F50689" w:rsidRPr="00C52E40" w:rsidRDefault="005A36C4" w:rsidP="00F50689">
      <w:pPr>
        <w:pStyle w:val="Textstand-alone"/>
        <w:sectPr w:rsidR="00F50689" w:rsidRPr="00C52E40" w:rsidSect="00F50689">
          <w:headerReference w:type="even" r:id="rId437"/>
          <w:headerReference w:type="default" r:id="rId438"/>
          <w:footerReference w:type="even" r:id="rId439"/>
          <w:footerReference w:type="default" r:id="rId440"/>
          <w:headerReference w:type="first" r:id="rId441"/>
          <w:footerReference w:type="first" r:id="rId442"/>
          <w:pgSz w:w="11907" w:h="16840"/>
          <w:pgMar w:top="1134" w:right="1134" w:bottom="1134" w:left="1134" w:header="709" w:footer="709" w:gutter="0"/>
          <w:cols w:space="708"/>
          <w:docGrid w:linePitch="360"/>
        </w:sectPr>
      </w:pPr>
      <w:r>
        <w:t xml:space="preserve"> </w:t>
      </w:r>
      <w:bookmarkEnd w:id="213"/>
    </w:p>
    <w:p w:rsidR="00F50689" w:rsidRDefault="005A36C4" w:rsidP="00F50689">
      <w:pPr>
        <w:pStyle w:val="HEADERTITLE2"/>
      </w:pPr>
      <w:bookmarkStart w:id="215" w:name="_Toc424653728"/>
      <w:bookmarkStart w:id="216" w:name="_DMBM_3429"/>
      <w:r w:rsidRPr="00D04152">
        <w:t>RECONCILIATION OF ECONOMIC RESULT WITH BUDGET RESULT</w:t>
      </w:r>
      <w:bookmarkEnd w:id="215"/>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rPr>
          <w:cantSplit/>
        </w:trPr>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217" w:name="DOC_TBL00092_1_1"/>
            <w:bookmarkEnd w:id="217"/>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rPr>
                <w:rFonts w:cs="Verdana"/>
              </w:rPr>
              <w:t>EUR millions</w:t>
            </w:r>
          </w:p>
        </w:tc>
      </w:tr>
      <w:tr w:rsidR="00E7728E">
        <w:trPr>
          <w:cantSplit/>
        </w:trPr>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rPr>
                <w:rFonts w:cs="Verdana"/>
              </w:rPr>
              <w:t>2013</w:t>
            </w:r>
          </w:p>
        </w:tc>
      </w:tr>
      <w:tr w:rsidR="00E7728E">
        <w:trPr>
          <w:cantSplit/>
        </w:trPr>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ECONOMIC RESULT OF THE YEAR</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(11 280)</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(4 365)</w:t>
            </w:r>
          </w:p>
        </w:tc>
      </w:tr>
      <w:tr w:rsidR="00E7728E">
        <w:trPr>
          <w:cantSplit/>
        </w:trPr>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9pItalicLeft"/>
              <w:rPr>
                <w:rFonts w:cs="Verdana"/>
              </w:rPr>
            </w:pPr>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98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r>
      <w:tr w:rsidR="00E7728E">
        <w:trPr>
          <w:cantSplit/>
        </w:trPr>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Revenue</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9pBoldRight025"/>
              <w:rPr>
                <w:rFonts w:cs="Verdana"/>
              </w:rPr>
            </w:pP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9pBoldRight025"/>
              <w:rPr>
                <w:rFonts w:cs="Verdana"/>
              </w:rPr>
            </w:pPr>
          </w:p>
        </w:tc>
      </w:tr>
      <w:tr w:rsidR="00E7728E">
        <w:trPr>
          <w:cantSplit/>
        </w:trPr>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Entitlements established in current year but not yet collected</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(6 573)</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(2 071)</w:t>
            </w:r>
          </w:p>
        </w:tc>
      </w:tr>
      <w:tr w:rsidR="00E7728E">
        <w:trPr>
          <w:cantSplit/>
        </w:trPr>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Entitlements established in previous years and collected in current year</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4 809</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3 357</w:t>
            </w:r>
          </w:p>
        </w:tc>
      </w:tr>
      <w:tr w:rsidR="00E7728E">
        <w:trPr>
          <w:cantSplit/>
        </w:trPr>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Accrued revenue (net)</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(4 877)</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(134)</w:t>
            </w:r>
          </w:p>
        </w:tc>
      </w:tr>
      <w:tr w:rsidR="00E7728E">
        <w:trPr>
          <w:cantSplit/>
        </w:trPr>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Expenses</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9pBoldRight025"/>
              <w:rPr>
                <w:rFonts w:cs="Verdana"/>
              </w:rPr>
            </w:pP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9pBoldRight025"/>
              <w:rPr>
                <w:rFonts w:cs="Verdana"/>
              </w:rPr>
            </w:pPr>
          </w:p>
        </w:tc>
      </w:tr>
      <w:tr w:rsidR="00E7728E">
        <w:trPr>
          <w:cantSplit/>
        </w:trPr>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Accrued expenses (net)</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9 223</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3 216</w:t>
            </w:r>
          </w:p>
        </w:tc>
      </w:tr>
      <w:tr w:rsidR="00E7728E">
        <w:trPr>
          <w:cantSplit/>
        </w:trPr>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Expenses prior year paid in current year</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(821)</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(1 123)</w:t>
            </w:r>
          </w:p>
        </w:tc>
      </w:tr>
      <w:tr w:rsidR="00E7728E">
        <w:trPr>
          <w:cantSplit/>
        </w:trPr>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Net-effect pre-financing</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457</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 xml:space="preserve"> (902)</w:t>
            </w:r>
          </w:p>
        </w:tc>
      </w:tr>
      <w:tr w:rsidR="00E7728E">
        <w:trPr>
          <w:cantSplit/>
        </w:trPr>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Payment appropriations carried over to next year</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(1 979)</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(1 528)</w:t>
            </w:r>
          </w:p>
        </w:tc>
      </w:tr>
      <w:tr w:rsidR="00E7728E">
        <w:trPr>
          <w:cantSplit/>
        </w:trPr>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Payments made from carry-overs &amp; cancellation of unused payment appropriations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1 858</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1 538</w:t>
            </w:r>
          </w:p>
        </w:tc>
      </w:tr>
      <w:tr w:rsidR="00E7728E">
        <w:trPr>
          <w:cantSplit/>
        </w:trPr>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Movement in provisions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12 164</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4 136</w:t>
            </w:r>
          </w:p>
        </w:tc>
      </w:tr>
      <w:tr w:rsidR="00E7728E">
        <w:trPr>
          <w:cantSplit/>
        </w:trPr>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rPr>
                <w:rFonts w:cs="Verdana"/>
              </w:rPr>
              <w:t>Other</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(1 719)</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rPr>
                <w:rFonts w:cs="Verdana"/>
              </w:rPr>
              <w:t>(1 027)</w:t>
            </w:r>
          </w:p>
        </w:tc>
      </w:tr>
      <w:tr w:rsidR="00E7728E">
        <w:trPr>
          <w:cantSplit/>
        </w:trPr>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9pItalicLeft"/>
              <w:rPr>
                <w:rFonts w:cs="Verdana"/>
              </w:rPr>
            </w:pPr>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98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r>
      <w:tr w:rsidR="00E7728E">
        <w:trPr>
          <w:cantSplit/>
        </w:trPr>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Economic result Agencies and ECSC</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 xml:space="preserve"> 170</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 xml:space="preserve"> (93)</w:t>
            </w:r>
          </w:p>
        </w:tc>
      </w:tr>
      <w:tr w:rsidR="00E7728E">
        <w:trPr>
          <w:cantSplit/>
        </w:trPr>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9pItalicLeft"/>
              <w:rPr>
                <w:rFonts w:cs="Verdana"/>
              </w:rPr>
            </w:pPr>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98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r>
      <w:tr w:rsidR="00E7728E">
        <w:trPr>
          <w:cantSplit/>
        </w:trPr>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rPr>
                <w:rFonts w:cs="Verdana"/>
              </w:rPr>
              <w:t>BUDGET RESULT OF THE YEAR</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1 432</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rPr>
                <w:rFonts w:cs="Verdana"/>
              </w:rPr>
              <w:t>1 002</w:t>
            </w:r>
          </w:p>
        </w:tc>
      </w:tr>
    </w:tbl>
    <w:p w:rsidR="00F50689" w:rsidRDefault="005A36C4" w:rsidP="00F50689">
      <w:pPr>
        <w:pStyle w:val="Textstand-alone"/>
      </w:pPr>
      <w:r>
        <w:t xml:space="preserve">For further explanations on the reconciliation of economic with budget result see note </w:t>
      </w:r>
      <w:r w:rsidRPr="005F588B">
        <w:rPr>
          <w:b/>
        </w:rPr>
        <w:t>3</w:t>
      </w:r>
      <w:r>
        <w:t>.</w:t>
      </w:r>
    </w:p>
    <w:p w:rsidR="00F50689" w:rsidRDefault="005A36C4" w:rsidP="00F50689">
      <w:pPr>
        <w:pStyle w:val="Textstand-alone"/>
        <w:sectPr w:rsidR="00F50689" w:rsidSect="00F50689">
          <w:headerReference w:type="even" r:id="rId443"/>
          <w:headerReference w:type="default" r:id="rId444"/>
          <w:footerReference w:type="even" r:id="rId445"/>
          <w:footerReference w:type="default" r:id="rId446"/>
          <w:headerReference w:type="first" r:id="rId447"/>
          <w:footerReference w:type="first" r:id="rId448"/>
          <w:pgSz w:w="11907" w:h="16840" w:code="9"/>
          <w:pgMar w:top="1134" w:right="1134" w:bottom="1134" w:left="1134" w:header="709" w:footer="709" w:gutter="0"/>
          <w:cols w:space="708"/>
          <w:docGrid w:linePitch="360"/>
        </w:sectPr>
      </w:pPr>
      <w:r>
        <w:t xml:space="preserve"> </w:t>
      </w:r>
      <w:bookmarkEnd w:id="216"/>
    </w:p>
    <w:p w:rsidR="00F50689" w:rsidRDefault="005A36C4" w:rsidP="00F50689">
      <w:pPr>
        <w:pStyle w:val="HEADERTITLE2"/>
      </w:pPr>
      <w:bookmarkStart w:id="218" w:name="_Toc424653729"/>
      <w:bookmarkStart w:id="219" w:name="_DMBM_3431"/>
      <w:r w:rsidRPr="00D04152">
        <w:t>STATEMENT OF COMPARISON OF BUDGET AND ACTUAL AMOUNTS</w:t>
      </w:r>
      <w:bookmarkEnd w:id="218"/>
    </w:p>
    <w:p w:rsidR="00F50689" w:rsidRPr="009E7E05" w:rsidRDefault="005A36C4" w:rsidP="00F50689">
      <w:pPr>
        <w:pStyle w:val="HEADERTITLE3"/>
      </w:pPr>
      <w:r>
        <w:t xml:space="preserve">BUDGET </w:t>
      </w:r>
      <w:r w:rsidRPr="00D04152">
        <w:t>REVENUE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402"/>
        <w:gridCol w:w="1559"/>
        <w:gridCol w:w="1701"/>
        <w:gridCol w:w="1418"/>
        <w:gridCol w:w="1275"/>
      </w:tblGrid>
      <w:tr w:rsidR="00E7728E">
        <w:trPr>
          <w:cantSplit/>
        </w:trPr>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lang w:bidi="en-GB"/>
              </w:rPr>
            </w:pPr>
            <w:bookmarkStart w:id="220" w:name="DOC_TBL00093_1_1"/>
            <w:bookmarkEnd w:id="220"/>
          </w:p>
        </w:tc>
        <w:tc>
          <w:tcPr>
            <w:tcW w:w="340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70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41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27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lang w:bidi="en-GB"/>
              </w:rPr>
            </w:pPr>
            <w:r>
              <w:rPr>
                <w:rFonts w:eastAsia="Verdana" w:cs="Verdana"/>
                <w:lang w:bidi="en-GB"/>
              </w:rPr>
              <w:t>EUR millions</w:t>
            </w:r>
          </w:p>
        </w:tc>
      </w:tr>
      <w:tr w:rsidR="00E7728E">
        <w:trPr>
          <w:cantSplit/>
        </w:trPr>
        <w:tc>
          <w:tcPr>
            <w:tcW w:w="392"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lang w:bidi="en-GB"/>
              </w:rPr>
            </w:pPr>
          </w:p>
        </w:tc>
        <w:tc>
          <w:tcPr>
            <w:tcW w:w="3402"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Right025"/>
              <w:rPr>
                <w:rFonts w:eastAsia="Verdana" w:cs="Verdana"/>
                <w:color w:val="auto"/>
                <w:lang w:bidi="en-GB"/>
              </w:rPr>
            </w:pPr>
          </w:p>
        </w:tc>
        <w:tc>
          <w:tcPr>
            <w:tcW w:w="155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Centered"/>
              <w:rPr>
                <w:rFonts w:eastAsia="Verdana" w:cs="Verdana"/>
                <w:lang w:bidi="en-GB"/>
              </w:rPr>
            </w:pPr>
            <w:r>
              <w:rPr>
                <w:rFonts w:eastAsia="Verdana" w:cs="Verdana"/>
                <w:lang w:bidi="en-GB"/>
              </w:rPr>
              <w:t>Initial adopted budget</w:t>
            </w:r>
          </w:p>
        </w:tc>
        <w:tc>
          <w:tcPr>
            <w:tcW w:w="170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Centered"/>
              <w:rPr>
                <w:rFonts w:eastAsia="Verdana" w:cs="Verdana"/>
                <w:lang w:bidi="en-GB"/>
              </w:rPr>
            </w:pPr>
            <w:r>
              <w:rPr>
                <w:rFonts w:eastAsia="Verdana" w:cs="Verdana"/>
                <w:lang w:bidi="en-GB"/>
              </w:rPr>
              <w:t>Amending budgets</w:t>
            </w:r>
          </w:p>
        </w:tc>
        <w:tc>
          <w:tcPr>
            <w:tcW w:w="141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Centered"/>
              <w:rPr>
                <w:rFonts w:eastAsia="Verdana" w:cs="Verdana"/>
                <w:lang w:bidi="en-GB"/>
              </w:rPr>
            </w:pPr>
            <w:r>
              <w:rPr>
                <w:rFonts w:eastAsia="Verdana" w:cs="Verdana"/>
                <w:lang w:bidi="en-GB"/>
              </w:rPr>
              <w:t>Final adopted budget</w:t>
            </w:r>
          </w:p>
        </w:tc>
        <w:tc>
          <w:tcPr>
            <w:tcW w:w="127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Centered"/>
              <w:rPr>
                <w:rFonts w:eastAsia="Verdana" w:cs="Verdana"/>
                <w:lang w:bidi="en-GB"/>
              </w:rPr>
            </w:pPr>
            <w:r>
              <w:rPr>
                <w:rFonts w:eastAsia="Verdana" w:cs="Verdana"/>
                <w:lang w:bidi="en-GB"/>
              </w:rPr>
              <w:t>Revenue</w:t>
            </w:r>
          </w:p>
        </w:tc>
      </w:tr>
      <w:tr w:rsidR="00E7728E">
        <w:trPr>
          <w:cantSplit/>
        </w:trPr>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1.</w:t>
            </w:r>
          </w:p>
        </w:tc>
        <w:tc>
          <w:tcPr>
            <w:tcW w:w="34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Own resources</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133 960</w:t>
            </w:r>
          </w:p>
        </w:tc>
        <w:tc>
          <w:tcPr>
            <w:tcW w:w="17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(5 572)</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128 388</w:t>
            </w:r>
          </w:p>
        </w:tc>
        <w:tc>
          <w:tcPr>
            <w:tcW w:w="127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128 867</w:t>
            </w:r>
          </w:p>
        </w:tc>
      </w:tr>
      <w:tr w:rsidR="00E7728E">
        <w:trPr>
          <w:cantSplit/>
        </w:trPr>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lang w:bidi="en-GB"/>
              </w:rPr>
            </w:pPr>
          </w:p>
        </w:tc>
        <w:tc>
          <w:tcPr>
            <w:tcW w:w="34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bidi="en-GB"/>
              </w:rPr>
            </w:pPr>
            <w:r>
              <w:rPr>
                <w:rFonts w:eastAsia="Verdana" w:cs="Verdana"/>
                <w:lang w:bidi="en-GB"/>
              </w:rPr>
              <w:t xml:space="preserve">   Of which Customs duties</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16 186</w:t>
            </w:r>
          </w:p>
        </w:tc>
        <w:tc>
          <w:tcPr>
            <w:tcW w:w="17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(12)</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16 174</w:t>
            </w:r>
          </w:p>
        </w:tc>
        <w:tc>
          <w:tcPr>
            <w:tcW w:w="127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16 499</w:t>
            </w:r>
          </w:p>
        </w:tc>
      </w:tr>
      <w:tr w:rsidR="00E7728E">
        <w:trPr>
          <w:cantSplit/>
        </w:trPr>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lang w:bidi="en-GB"/>
              </w:rPr>
            </w:pPr>
          </w:p>
        </w:tc>
        <w:tc>
          <w:tcPr>
            <w:tcW w:w="34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bidi="en-GB"/>
              </w:rPr>
            </w:pPr>
            <w:r>
              <w:rPr>
                <w:rFonts w:eastAsia="Verdana" w:cs="Verdana"/>
                <w:lang w:bidi="en-GB"/>
              </w:rPr>
              <w:t xml:space="preserve">   Of which VAT</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17 882</w:t>
            </w:r>
          </w:p>
        </w:tc>
        <w:tc>
          <w:tcPr>
            <w:tcW w:w="17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 xml:space="preserve"> (192)</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17 690</w:t>
            </w:r>
          </w:p>
        </w:tc>
        <w:tc>
          <w:tcPr>
            <w:tcW w:w="127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17 746</w:t>
            </w:r>
          </w:p>
        </w:tc>
      </w:tr>
      <w:tr w:rsidR="00E7728E">
        <w:trPr>
          <w:cantSplit/>
        </w:trPr>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lang w:bidi="en-GB"/>
              </w:rPr>
            </w:pPr>
          </w:p>
        </w:tc>
        <w:tc>
          <w:tcPr>
            <w:tcW w:w="34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lang w:bidi="en-GB"/>
              </w:rPr>
            </w:pPr>
            <w:r>
              <w:rPr>
                <w:rFonts w:eastAsia="Verdana" w:cs="Verdana"/>
                <w:lang w:bidi="en-GB"/>
              </w:rPr>
              <w:t xml:space="preserve">   Of which GNI</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99 767</w:t>
            </w:r>
          </w:p>
        </w:tc>
        <w:tc>
          <w:tcPr>
            <w:tcW w:w="17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(5 154)</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94 614</w:t>
            </w:r>
          </w:p>
        </w:tc>
        <w:tc>
          <w:tcPr>
            <w:tcW w:w="127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lang w:bidi="en-GB"/>
              </w:rPr>
            </w:pPr>
            <w:r>
              <w:rPr>
                <w:rFonts w:eastAsia="Verdana" w:cs="Verdana"/>
                <w:lang w:bidi="en-GB"/>
              </w:rPr>
              <w:t>94 863</w:t>
            </w:r>
          </w:p>
        </w:tc>
      </w:tr>
      <w:tr w:rsidR="00E7728E">
        <w:trPr>
          <w:cantSplit/>
        </w:trPr>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3.</w:t>
            </w:r>
          </w:p>
        </w:tc>
        <w:tc>
          <w:tcPr>
            <w:tcW w:w="34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Surpluses, balances and adjustments</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w:t>
            </w:r>
          </w:p>
        </w:tc>
        <w:tc>
          <w:tcPr>
            <w:tcW w:w="17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5 101</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5 101</w:t>
            </w:r>
          </w:p>
        </w:tc>
        <w:tc>
          <w:tcPr>
            <w:tcW w:w="127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5 100</w:t>
            </w:r>
          </w:p>
        </w:tc>
      </w:tr>
      <w:tr w:rsidR="00E7728E">
        <w:trPr>
          <w:cantSplit/>
        </w:trPr>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4.</w:t>
            </w:r>
          </w:p>
        </w:tc>
        <w:tc>
          <w:tcPr>
            <w:tcW w:w="34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Revenue accruing from persons working with the institutions and with other Union bodies</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1 275</w:t>
            </w:r>
          </w:p>
        </w:tc>
        <w:tc>
          <w:tcPr>
            <w:tcW w:w="17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1 275</w:t>
            </w:r>
          </w:p>
        </w:tc>
        <w:tc>
          <w:tcPr>
            <w:tcW w:w="127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1 251</w:t>
            </w:r>
          </w:p>
        </w:tc>
      </w:tr>
      <w:tr w:rsidR="00E7728E">
        <w:trPr>
          <w:cantSplit/>
        </w:trPr>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5.</w:t>
            </w:r>
          </w:p>
        </w:tc>
        <w:tc>
          <w:tcPr>
            <w:tcW w:w="34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Revenue accruing from the administrative operation of the institutions</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54</w:t>
            </w:r>
          </w:p>
        </w:tc>
        <w:tc>
          <w:tcPr>
            <w:tcW w:w="17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54</w:t>
            </w:r>
          </w:p>
        </w:tc>
        <w:tc>
          <w:tcPr>
            <w:tcW w:w="127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578</w:t>
            </w:r>
          </w:p>
        </w:tc>
      </w:tr>
      <w:tr w:rsidR="00E7728E">
        <w:trPr>
          <w:cantSplit/>
        </w:trPr>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6.</w:t>
            </w:r>
          </w:p>
        </w:tc>
        <w:tc>
          <w:tcPr>
            <w:tcW w:w="34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Contributions and refunds in connection with Union agreements and programmes</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60</w:t>
            </w:r>
          </w:p>
        </w:tc>
        <w:tc>
          <w:tcPr>
            <w:tcW w:w="17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60</w:t>
            </w:r>
          </w:p>
        </w:tc>
        <w:tc>
          <w:tcPr>
            <w:tcW w:w="127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3 225</w:t>
            </w:r>
          </w:p>
        </w:tc>
      </w:tr>
      <w:tr w:rsidR="00E7728E">
        <w:trPr>
          <w:cantSplit/>
        </w:trPr>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7.</w:t>
            </w:r>
          </w:p>
        </w:tc>
        <w:tc>
          <w:tcPr>
            <w:tcW w:w="34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Interests on late payments and fines</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123</w:t>
            </w:r>
          </w:p>
        </w:tc>
        <w:tc>
          <w:tcPr>
            <w:tcW w:w="17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3 850</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3 973</w:t>
            </w:r>
          </w:p>
        </w:tc>
        <w:tc>
          <w:tcPr>
            <w:tcW w:w="127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4 607</w:t>
            </w:r>
          </w:p>
        </w:tc>
      </w:tr>
      <w:tr w:rsidR="00E7728E">
        <w:trPr>
          <w:cantSplit/>
        </w:trPr>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8.</w:t>
            </w:r>
          </w:p>
        </w:tc>
        <w:tc>
          <w:tcPr>
            <w:tcW w:w="34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Borrowing and lending operations</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w:t>
            </w:r>
          </w:p>
        </w:tc>
        <w:tc>
          <w:tcPr>
            <w:tcW w:w="17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151</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153</w:t>
            </w:r>
          </w:p>
        </w:tc>
        <w:tc>
          <w:tcPr>
            <w:tcW w:w="127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297</w:t>
            </w:r>
          </w:p>
        </w:tc>
      </w:tr>
      <w:tr w:rsidR="00E7728E">
        <w:trPr>
          <w:cantSplit/>
        </w:trPr>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9.</w:t>
            </w:r>
          </w:p>
        </w:tc>
        <w:tc>
          <w:tcPr>
            <w:tcW w:w="34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Miscellaneous revenue</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30</w:t>
            </w:r>
          </w:p>
        </w:tc>
        <w:tc>
          <w:tcPr>
            <w:tcW w:w="17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30</w:t>
            </w:r>
          </w:p>
        </w:tc>
        <w:tc>
          <w:tcPr>
            <w:tcW w:w="127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15</w:t>
            </w:r>
          </w:p>
        </w:tc>
      </w:tr>
      <w:tr w:rsidR="00E7728E">
        <w:trPr>
          <w:cantSplit/>
        </w:trPr>
        <w:tc>
          <w:tcPr>
            <w:tcW w:w="3794" w:type="dxa"/>
            <w:gridSpan w:val="2"/>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Text9pBoldLeft"/>
              <w:rPr>
                <w:rFonts w:eastAsia="Verdana" w:cs="Verdana"/>
                <w:lang w:bidi="en-GB"/>
              </w:rPr>
            </w:pPr>
            <w:r>
              <w:rPr>
                <w:rFonts w:eastAsia="Verdana" w:cs="Verdana"/>
                <w:lang w:bidi="en-GB"/>
              </w:rPr>
              <w:t>Total</w:t>
            </w:r>
          </w:p>
        </w:tc>
        <w:tc>
          <w:tcPr>
            <w:tcW w:w="1559"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eastAsia="Verdana" w:cs="Verdana"/>
                <w:lang w:bidi="en-GB"/>
              </w:rPr>
            </w:pPr>
            <w:r>
              <w:rPr>
                <w:rFonts w:eastAsia="Verdana" w:cs="Verdana"/>
                <w:lang w:bidi="en-GB"/>
              </w:rPr>
              <w:t>135 505</w:t>
            </w:r>
          </w:p>
        </w:tc>
        <w:tc>
          <w:tcPr>
            <w:tcW w:w="1701"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eastAsia="Verdana" w:cs="Verdana"/>
                <w:lang w:bidi="en-GB"/>
              </w:rPr>
            </w:pPr>
            <w:r>
              <w:rPr>
                <w:rFonts w:eastAsia="Verdana" w:cs="Verdana"/>
                <w:lang w:bidi="en-GB"/>
              </w:rPr>
              <w:t>3 530</w:t>
            </w:r>
          </w:p>
        </w:tc>
        <w:tc>
          <w:tcPr>
            <w:tcW w:w="1418"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eastAsia="Verdana" w:cs="Verdana"/>
                <w:lang w:bidi="en-GB"/>
              </w:rPr>
            </w:pPr>
            <w:r>
              <w:rPr>
                <w:rFonts w:eastAsia="Verdana" w:cs="Verdana"/>
                <w:lang w:bidi="en-GB"/>
              </w:rPr>
              <w:t>139 034</w:t>
            </w:r>
          </w:p>
        </w:tc>
        <w:tc>
          <w:tcPr>
            <w:tcW w:w="1275"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eastAsia="Verdana" w:cs="Verdana"/>
                <w:lang w:bidi="en-GB"/>
              </w:rPr>
            </w:pPr>
            <w:r>
              <w:rPr>
                <w:rFonts w:eastAsia="Verdana" w:cs="Verdana"/>
                <w:lang w:bidi="en-GB"/>
              </w:rPr>
              <w:t>143 940</w:t>
            </w:r>
          </w:p>
        </w:tc>
      </w:tr>
    </w:tbl>
    <w:p w:rsidR="00F50689" w:rsidRDefault="005A36C4" w:rsidP="00F50689">
      <w:pPr>
        <w:pStyle w:val="Textstand-alone"/>
      </w:pPr>
      <w:r>
        <w:t xml:space="preserve">For details of the 2014 revenue implementation see note </w:t>
      </w:r>
      <w:r w:rsidRPr="009E7E05">
        <w:rPr>
          <w:b/>
        </w:rPr>
        <w:t>4</w:t>
      </w:r>
      <w:r>
        <w:t>.</w:t>
      </w:r>
    </w:p>
    <w:p w:rsidR="00F50689" w:rsidRDefault="00F50689" w:rsidP="00F50689">
      <w:pPr>
        <w:pStyle w:val="Textstand-alone"/>
      </w:pPr>
    </w:p>
    <w:bookmarkEnd w:id="219"/>
    <w:p w:rsidR="00F50689" w:rsidRDefault="00F50689" w:rsidP="00F50689">
      <w:pPr>
        <w:pStyle w:val="Textstand-alone"/>
        <w:sectPr w:rsidR="00F50689" w:rsidSect="00F50689">
          <w:headerReference w:type="even" r:id="rId449"/>
          <w:headerReference w:type="default" r:id="rId450"/>
          <w:footerReference w:type="even" r:id="rId451"/>
          <w:footerReference w:type="default" r:id="rId452"/>
          <w:headerReference w:type="first" r:id="rId453"/>
          <w:footerReference w:type="first" r:id="rId454"/>
          <w:pgSz w:w="11907" w:h="16840" w:code="9"/>
          <w:pgMar w:top="1134" w:right="1134" w:bottom="1134" w:left="1134" w:header="709" w:footer="709" w:gutter="0"/>
          <w:cols w:space="708"/>
          <w:docGrid w:linePitch="360"/>
        </w:sectPr>
      </w:pPr>
    </w:p>
    <w:p w:rsidR="00F50689" w:rsidRPr="009E7E05" w:rsidRDefault="005A36C4" w:rsidP="00F50689">
      <w:pPr>
        <w:pStyle w:val="HEADERTITLE3"/>
      </w:pPr>
      <w:bookmarkStart w:id="221" w:name="_DMBM_3457"/>
      <w:r>
        <w:t>BUDGET EXPENDITURE: COMMITMENTS BY MULTIANNUAL FINANCIAL FRAMEWORK (MFF) HEADING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552"/>
        <w:gridCol w:w="992"/>
        <w:gridCol w:w="1134"/>
        <w:gridCol w:w="1134"/>
        <w:gridCol w:w="992"/>
        <w:gridCol w:w="1276"/>
        <w:gridCol w:w="1417"/>
      </w:tblGrid>
      <w:tr w:rsidR="00E7728E">
        <w:trPr>
          <w:cantSplit/>
          <w:trHeight w:val="274"/>
        </w:trPr>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8pItalicLeft"/>
              <w:rPr>
                <w:rFonts w:eastAsia="Verdana" w:cs="Verdana"/>
                <w:lang w:bidi="en-GB"/>
              </w:rPr>
            </w:pPr>
            <w:bookmarkStart w:id="222" w:name="DOC_TBL00094_1_1"/>
            <w:bookmarkEnd w:id="222"/>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8pItalicRight025EUR"/>
              <w:jc w:val="left"/>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8pItalicRight025EUR"/>
              <w:rPr>
                <w:rFonts w:eastAsia="Verdana" w:cs="Verdana"/>
                <w:i w:val="0"/>
                <w:lang w:bidi="en-GB"/>
              </w:rPr>
            </w:pP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8pItalicRight025EUR"/>
              <w:rPr>
                <w:rFonts w:eastAsia="Verdana" w:cs="Verdana"/>
                <w:lang w:bidi="en-GB"/>
              </w:rPr>
            </w:pPr>
            <w:r w:rsidRPr="00AA69B7">
              <w:rPr>
                <w:rFonts w:eastAsia="Verdana" w:cs="Verdana"/>
                <w:lang w:bidi="en-GB"/>
              </w:rPr>
              <w:t>EUR millions</w:t>
            </w:r>
          </w:p>
        </w:tc>
      </w:tr>
      <w:tr w:rsidR="00E7728E">
        <w:trPr>
          <w:cantSplit/>
        </w:trPr>
        <w:tc>
          <w:tcPr>
            <w:tcW w:w="250" w:type="dxa"/>
            <w:tcBorders>
              <w:top w:val="nil"/>
              <w:left w:val="nil"/>
              <w:bottom w:val="nil"/>
              <w:right w:val="nil"/>
            </w:tcBorders>
            <w:shd w:val="clear" w:color="auto" w:fill="016794"/>
            <w:tcMar>
              <w:top w:w="0" w:type="dxa"/>
              <w:left w:w="0" w:type="dxa"/>
              <w:bottom w:w="0" w:type="dxa"/>
              <w:right w:w="0" w:type="dxa"/>
            </w:tcMar>
          </w:tcPr>
          <w:p w:rsidR="00F50689" w:rsidRPr="00AA69B7" w:rsidRDefault="00F50689" w:rsidP="00F50689">
            <w:pPr>
              <w:pStyle w:val="Heading10pNormalLeft"/>
              <w:rPr>
                <w:rFonts w:eastAsia="Verdana" w:cs="Verdana"/>
                <w:lang w:bidi="en-GB"/>
              </w:rPr>
            </w:pPr>
          </w:p>
        </w:tc>
        <w:tc>
          <w:tcPr>
            <w:tcW w:w="2552" w:type="dxa"/>
            <w:tcBorders>
              <w:top w:val="nil"/>
              <w:left w:val="nil"/>
              <w:bottom w:val="nil"/>
              <w:right w:val="nil"/>
            </w:tcBorders>
            <w:shd w:val="clear" w:color="auto" w:fill="016794"/>
            <w:tcMar>
              <w:top w:w="0" w:type="dxa"/>
              <w:left w:w="0" w:type="dxa"/>
              <w:bottom w:w="0" w:type="dxa"/>
              <w:right w:w="0" w:type="dxa"/>
            </w:tcMar>
          </w:tcPr>
          <w:p w:rsidR="00F50689" w:rsidRPr="00AA69B7" w:rsidRDefault="00F50689" w:rsidP="00F50689">
            <w:pPr>
              <w:pStyle w:val="Heading9pNormalCentered"/>
              <w:jc w:val="left"/>
              <w:rPr>
                <w:rFonts w:eastAsia="Verdana" w:cs="Verdana"/>
                <w:lang w:bidi="en-GB"/>
              </w:rPr>
            </w:pPr>
          </w:p>
        </w:tc>
        <w:tc>
          <w:tcPr>
            <w:tcW w:w="992" w:type="dxa"/>
            <w:tcBorders>
              <w:top w:val="nil"/>
              <w:left w:val="nil"/>
              <w:bottom w:val="nil"/>
              <w:right w:val="nil"/>
            </w:tcBorders>
            <w:shd w:val="clear" w:color="auto" w:fill="016794"/>
            <w:tcMar>
              <w:top w:w="0" w:type="dxa"/>
              <w:left w:w="0" w:type="dxa"/>
              <w:bottom w:w="0" w:type="dxa"/>
              <w:right w:w="0" w:type="dxa"/>
            </w:tcMar>
          </w:tcPr>
          <w:p w:rsidR="00F50689" w:rsidRPr="00AA69B7" w:rsidRDefault="005A36C4" w:rsidP="00F50689">
            <w:pPr>
              <w:pStyle w:val="Heading9pNormalCentered"/>
              <w:rPr>
                <w:rFonts w:eastAsia="Verdana" w:cs="Verdana"/>
                <w:lang w:bidi="en-GB"/>
              </w:rPr>
            </w:pPr>
            <w:r w:rsidRPr="00AA69B7">
              <w:rPr>
                <w:rFonts w:eastAsia="Verdana" w:cs="Verdana"/>
                <w:lang w:bidi="en-GB"/>
              </w:rPr>
              <w:t>Initial adopted budget</w:t>
            </w:r>
          </w:p>
        </w:tc>
        <w:tc>
          <w:tcPr>
            <w:tcW w:w="1134" w:type="dxa"/>
            <w:tcBorders>
              <w:top w:val="nil"/>
              <w:left w:val="nil"/>
              <w:bottom w:val="nil"/>
              <w:right w:val="nil"/>
            </w:tcBorders>
            <w:shd w:val="clear" w:color="auto" w:fill="016794"/>
            <w:tcMar>
              <w:top w:w="0" w:type="dxa"/>
              <w:left w:w="0" w:type="dxa"/>
              <w:bottom w:w="0" w:type="dxa"/>
              <w:right w:w="0" w:type="dxa"/>
            </w:tcMar>
          </w:tcPr>
          <w:p w:rsidR="00F50689" w:rsidRPr="00AA69B7" w:rsidRDefault="005A36C4" w:rsidP="00F50689">
            <w:pPr>
              <w:pStyle w:val="Heading9pNormalCentered"/>
              <w:rPr>
                <w:rFonts w:eastAsia="Verdana" w:cs="Verdana"/>
                <w:lang w:bidi="en-GB"/>
              </w:rPr>
            </w:pPr>
            <w:r w:rsidRPr="00AA69B7">
              <w:rPr>
                <w:rFonts w:eastAsia="Verdana" w:cs="Verdana"/>
                <w:lang w:bidi="en-GB"/>
              </w:rPr>
              <w:t>Amending budgets  &amp; transfers</w:t>
            </w:r>
          </w:p>
        </w:tc>
        <w:tc>
          <w:tcPr>
            <w:tcW w:w="1134" w:type="dxa"/>
            <w:tcBorders>
              <w:top w:val="nil"/>
              <w:left w:val="nil"/>
              <w:bottom w:val="nil"/>
              <w:right w:val="nil"/>
            </w:tcBorders>
            <w:shd w:val="clear" w:color="auto" w:fill="016794"/>
            <w:tcMar>
              <w:top w:w="0" w:type="dxa"/>
              <w:left w:w="0" w:type="dxa"/>
              <w:bottom w:w="0" w:type="dxa"/>
              <w:right w:w="0" w:type="dxa"/>
            </w:tcMar>
          </w:tcPr>
          <w:p w:rsidR="00F50689" w:rsidRPr="00AA69B7" w:rsidRDefault="005A36C4" w:rsidP="00F50689">
            <w:pPr>
              <w:pStyle w:val="Heading9pNormalCentered"/>
              <w:rPr>
                <w:rFonts w:eastAsia="Verdana" w:cs="Verdana"/>
                <w:lang w:bidi="en-GB"/>
              </w:rPr>
            </w:pPr>
            <w:r w:rsidRPr="00AA69B7">
              <w:rPr>
                <w:rFonts w:eastAsia="Verdana" w:cs="Verdana"/>
                <w:lang w:bidi="en-GB"/>
              </w:rPr>
              <w:t>Final adopted budget</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Pr="00AA69B7" w:rsidRDefault="005A36C4" w:rsidP="00F50689">
            <w:pPr>
              <w:pStyle w:val="Heading9pNormalCentered"/>
              <w:rPr>
                <w:rFonts w:eastAsia="Verdana" w:cs="Verdana"/>
                <w:lang w:bidi="en-GB"/>
              </w:rPr>
            </w:pPr>
            <w:r w:rsidRPr="00AA69B7">
              <w:rPr>
                <w:rFonts w:eastAsia="Verdana" w:cs="Verdana"/>
                <w:lang w:bidi="en-GB"/>
              </w:rPr>
              <w:t xml:space="preserve">Additional </w:t>
            </w:r>
            <w:proofErr w:type="spellStart"/>
            <w:r w:rsidRPr="00AA69B7">
              <w:rPr>
                <w:rFonts w:eastAsia="Verdana" w:cs="Verdana"/>
                <w:lang w:bidi="en-GB"/>
              </w:rPr>
              <w:t>appropri</w:t>
            </w:r>
            <w:proofErr w:type="spellEnd"/>
            <w:r w:rsidRPr="00AA69B7">
              <w:rPr>
                <w:rFonts w:eastAsia="Verdana" w:cs="Verdana"/>
                <w:lang w:bidi="en-GB"/>
              </w:rPr>
              <w:t>-</w:t>
            </w:r>
          </w:p>
          <w:p w:rsidR="00F50689" w:rsidRPr="00AA69B7" w:rsidRDefault="005A36C4" w:rsidP="00F50689">
            <w:pPr>
              <w:pStyle w:val="Heading9pNormalCentered"/>
              <w:rPr>
                <w:rFonts w:eastAsia="Verdana" w:cs="Verdana"/>
                <w:lang w:bidi="en-GB"/>
              </w:rPr>
            </w:pPr>
            <w:proofErr w:type="spellStart"/>
            <w:r w:rsidRPr="00AA69B7">
              <w:rPr>
                <w:rFonts w:eastAsia="Verdana" w:cs="Verdana"/>
                <w:lang w:bidi="en-GB"/>
              </w:rPr>
              <w:t>ations</w:t>
            </w:r>
            <w:proofErr w:type="spellEnd"/>
            <w:r w:rsidRPr="00AA69B7">
              <w:rPr>
                <w:rFonts w:eastAsia="Verdana" w:cs="Verdana"/>
                <w:lang w:bidi="en-GB"/>
              </w:rPr>
              <w:t>*</w:t>
            </w:r>
          </w:p>
        </w:tc>
        <w:tc>
          <w:tcPr>
            <w:tcW w:w="1276" w:type="dxa"/>
            <w:tcBorders>
              <w:top w:val="nil"/>
              <w:left w:val="nil"/>
              <w:bottom w:val="nil"/>
              <w:right w:val="nil"/>
            </w:tcBorders>
            <w:shd w:val="clear" w:color="auto" w:fill="016794"/>
            <w:tcMar>
              <w:top w:w="0" w:type="dxa"/>
              <w:left w:w="0" w:type="dxa"/>
              <w:bottom w:w="0" w:type="dxa"/>
              <w:right w:w="0" w:type="dxa"/>
            </w:tcMar>
          </w:tcPr>
          <w:p w:rsidR="00F50689" w:rsidRPr="00AA69B7" w:rsidRDefault="005A36C4" w:rsidP="00F50689">
            <w:pPr>
              <w:pStyle w:val="Heading9pNormalCentered"/>
              <w:rPr>
                <w:rFonts w:eastAsia="Verdana" w:cs="Verdana"/>
                <w:lang w:bidi="en-GB"/>
              </w:rPr>
            </w:pPr>
            <w:r w:rsidRPr="00AA69B7">
              <w:rPr>
                <w:rFonts w:eastAsia="Verdana" w:cs="Verdana"/>
                <w:lang w:bidi="en-GB"/>
              </w:rPr>
              <w:t xml:space="preserve">Total </w:t>
            </w:r>
            <w:proofErr w:type="spellStart"/>
            <w:r w:rsidRPr="00AA69B7">
              <w:rPr>
                <w:rFonts w:eastAsia="Verdana" w:cs="Verdana"/>
                <w:lang w:bidi="en-GB"/>
              </w:rPr>
              <w:t>appropria-tions</w:t>
            </w:r>
            <w:proofErr w:type="spellEnd"/>
            <w:r w:rsidRPr="00AA69B7">
              <w:rPr>
                <w:rFonts w:eastAsia="Verdana" w:cs="Verdana"/>
                <w:lang w:bidi="en-GB"/>
              </w:rPr>
              <w:t xml:space="preserve"> available</w:t>
            </w:r>
          </w:p>
        </w:tc>
        <w:tc>
          <w:tcPr>
            <w:tcW w:w="1417" w:type="dxa"/>
            <w:tcBorders>
              <w:top w:val="nil"/>
              <w:left w:val="nil"/>
              <w:bottom w:val="nil"/>
              <w:right w:val="nil"/>
            </w:tcBorders>
            <w:shd w:val="clear" w:color="auto" w:fill="016794"/>
            <w:tcMar>
              <w:top w:w="0" w:type="dxa"/>
              <w:left w:w="0" w:type="dxa"/>
              <w:bottom w:w="0" w:type="dxa"/>
              <w:right w:w="0" w:type="dxa"/>
            </w:tcMar>
          </w:tcPr>
          <w:p w:rsidR="00F50689" w:rsidRPr="00AA69B7" w:rsidRDefault="005A36C4" w:rsidP="00F50689">
            <w:pPr>
              <w:pStyle w:val="Heading9pNormalCentered"/>
              <w:rPr>
                <w:rFonts w:eastAsia="Verdana" w:cs="Verdana"/>
                <w:lang w:bidi="en-GB"/>
              </w:rPr>
            </w:pPr>
            <w:r w:rsidRPr="00AA69B7">
              <w:rPr>
                <w:rFonts w:eastAsia="Verdana" w:cs="Verdana"/>
                <w:lang w:bidi="en-GB"/>
              </w:rPr>
              <w:t>Commitments made</w:t>
            </w:r>
          </w:p>
        </w:tc>
      </w:tr>
      <w:tr w:rsidR="00E7728E">
        <w:trPr>
          <w:cantSplit/>
        </w:trPr>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BoldLeft"/>
              <w:rPr>
                <w:rFonts w:eastAsia="Verdana" w:cs="Verdana"/>
                <w:b w:val="0"/>
                <w:lang w:bidi="en-GB"/>
              </w:rPr>
            </w:pPr>
            <w:r w:rsidRPr="00AA69B7">
              <w:rPr>
                <w:rFonts w:eastAsia="Verdana" w:cs="Verdana"/>
                <w:b w:val="0"/>
                <w:lang w:bidi="en-GB"/>
              </w:rPr>
              <w:t>1.</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NormalLeft"/>
              <w:rPr>
                <w:rFonts w:eastAsia="Verdana" w:cs="Verdana"/>
                <w:lang w:bidi="en-GB"/>
              </w:rPr>
            </w:pPr>
            <w:r w:rsidRPr="00AA69B7">
              <w:rPr>
                <w:rFonts w:eastAsia="Verdana" w:cs="Verdana"/>
                <w:lang w:bidi="en-GB"/>
              </w:rPr>
              <w:t>Smart and inclusive growth</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63 986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63 986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3 625</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67 611</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45 972</w:t>
            </w:r>
          </w:p>
        </w:tc>
      </w:tr>
      <w:tr w:rsidR="00E7728E">
        <w:trPr>
          <w:cantSplit/>
        </w:trPr>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9pItalicLeft"/>
              <w:rPr>
                <w:rFonts w:eastAsia="Verdana" w:cs="Verdana"/>
                <w:lang w:bidi="en-GB"/>
              </w:rPr>
            </w:pP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ItalicLeft"/>
              <w:rPr>
                <w:rFonts w:eastAsia="Verdana" w:cs="Verdana"/>
                <w:lang w:bidi="en-GB"/>
              </w:rPr>
            </w:pPr>
            <w:r w:rsidRPr="00AA69B7">
              <w:rPr>
                <w:rFonts w:eastAsia="Verdana" w:cs="Verdana"/>
                <w:lang w:bidi="en-GB"/>
              </w:rPr>
              <w:t>1a: Competitiveness for growth and jobs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lang w:bidi="en-GB"/>
              </w:rPr>
            </w:pPr>
            <w:r w:rsidRPr="00AA69B7">
              <w:rPr>
                <w:rFonts w:eastAsia="Verdana" w:cs="Verdana"/>
                <w:lang w:bidi="en-GB"/>
              </w:rPr>
              <w:t>16 484</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lang w:bidi="en-GB"/>
              </w:rPr>
            </w:pPr>
            <w:r w:rsidRPr="00AA69B7">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lang w:bidi="en-GB"/>
              </w:rPr>
            </w:pPr>
            <w:r w:rsidRPr="00AA69B7">
              <w:rPr>
                <w:rFonts w:eastAsia="Verdana" w:cs="Verdana"/>
                <w:lang w:bidi="en-GB"/>
              </w:rPr>
              <w:t>16 484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lang w:bidi="en-GB"/>
              </w:rPr>
            </w:pPr>
            <w:r w:rsidRPr="00AA69B7">
              <w:rPr>
                <w:rFonts w:eastAsia="Verdana" w:cs="Verdana"/>
                <w:lang w:bidi="en-GB"/>
              </w:rPr>
              <w:t>2 645</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lang w:bidi="en-GB"/>
              </w:rPr>
            </w:pPr>
            <w:r w:rsidRPr="00AA69B7">
              <w:rPr>
                <w:rFonts w:eastAsia="Verdana" w:cs="Verdana"/>
                <w:lang w:bidi="en-GB"/>
              </w:rPr>
              <w:t>19 129</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lang w:bidi="en-GB"/>
              </w:rPr>
            </w:pPr>
            <w:r w:rsidRPr="00AA69B7">
              <w:rPr>
                <w:rFonts w:eastAsia="Verdana" w:cs="Verdana"/>
                <w:lang w:bidi="en-GB"/>
              </w:rPr>
              <w:t>18 018</w:t>
            </w:r>
          </w:p>
        </w:tc>
      </w:tr>
      <w:tr w:rsidR="00E7728E">
        <w:trPr>
          <w:cantSplit/>
        </w:trPr>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9pItalicLeft"/>
              <w:rPr>
                <w:rFonts w:eastAsia="Verdana" w:cs="Verdana"/>
                <w:lang w:bidi="en-GB"/>
              </w:rPr>
            </w:pP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ItalicLeft"/>
              <w:rPr>
                <w:rFonts w:eastAsia="Verdana" w:cs="Verdana"/>
                <w:lang w:bidi="en-GB"/>
              </w:rPr>
            </w:pPr>
            <w:r w:rsidRPr="00AA69B7">
              <w:rPr>
                <w:rFonts w:eastAsia="Verdana" w:cs="Verdana"/>
                <w:lang w:bidi="en-GB"/>
              </w:rPr>
              <w:t>1b: Economic, social and territorial cohesion</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lang w:bidi="en-GB"/>
              </w:rPr>
            </w:pPr>
            <w:r w:rsidRPr="00AA69B7">
              <w:rPr>
                <w:rFonts w:eastAsia="Verdana" w:cs="Verdana"/>
                <w:lang w:bidi="en-GB"/>
              </w:rPr>
              <w:t>47 502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lang w:bidi="en-GB"/>
              </w:rPr>
            </w:pPr>
            <w:r w:rsidRPr="00AA69B7">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lang w:bidi="en-GB"/>
              </w:rPr>
            </w:pPr>
            <w:r w:rsidRPr="00AA69B7">
              <w:rPr>
                <w:rFonts w:eastAsia="Verdana" w:cs="Verdana"/>
                <w:lang w:bidi="en-GB"/>
              </w:rPr>
              <w:t>47 502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lang w:bidi="en-GB"/>
              </w:rPr>
            </w:pPr>
            <w:r w:rsidRPr="00AA69B7">
              <w:rPr>
                <w:rFonts w:eastAsia="Verdana" w:cs="Verdana"/>
                <w:lang w:bidi="en-GB"/>
              </w:rPr>
              <w:t xml:space="preserve"> 980</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lang w:bidi="en-GB"/>
              </w:rPr>
            </w:pPr>
            <w:r w:rsidRPr="00AA69B7">
              <w:rPr>
                <w:rFonts w:eastAsia="Verdana" w:cs="Verdana"/>
                <w:lang w:bidi="en-GB"/>
              </w:rPr>
              <w:t>48 482</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lang w:bidi="en-GB"/>
              </w:rPr>
            </w:pPr>
            <w:r w:rsidRPr="00AA69B7">
              <w:rPr>
                <w:rFonts w:eastAsia="Verdana" w:cs="Verdana"/>
                <w:lang w:bidi="en-GB"/>
              </w:rPr>
              <w:t>27 954</w:t>
            </w:r>
          </w:p>
        </w:tc>
      </w:tr>
      <w:tr w:rsidR="00E7728E">
        <w:trPr>
          <w:cantSplit/>
        </w:trPr>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BoldLeft"/>
              <w:rPr>
                <w:rFonts w:eastAsia="Verdana" w:cs="Verdana"/>
                <w:b w:val="0"/>
                <w:lang w:bidi="en-GB"/>
              </w:rPr>
            </w:pPr>
            <w:r w:rsidRPr="00AA69B7">
              <w:rPr>
                <w:rFonts w:eastAsia="Verdana" w:cs="Verdana"/>
                <w:b w:val="0"/>
                <w:lang w:bidi="en-GB"/>
              </w:rPr>
              <w:t>2.</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NormalLeft"/>
              <w:rPr>
                <w:rFonts w:eastAsia="Verdana" w:cs="Verdana"/>
                <w:lang w:bidi="en-GB"/>
              </w:rPr>
            </w:pPr>
            <w:r w:rsidRPr="00AA69B7">
              <w:rPr>
                <w:rFonts w:eastAsia="Verdana" w:cs="Verdana"/>
                <w:lang w:bidi="en-GB"/>
              </w:rPr>
              <w:t>Sustainable growth: natural resources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59 267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 xml:space="preserve"> (76)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59 191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2 105</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61 296</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48 263</w:t>
            </w:r>
          </w:p>
        </w:tc>
      </w:tr>
      <w:tr w:rsidR="00E7728E">
        <w:trPr>
          <w:cantSplit/>
        </w:trPr>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9pItalicLeft"/>
              <w:rPr>
                <w:rFonts w:eastAsia="Verdana" w:cs="Verdana"/>
                <w:lang w:bidi="en-GB"/>
              </w:rPr>
            </w:pP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ItalicLeft"/>
              <w:rPr>
                <w:rFonts w:eastAsia="Verdana" w:cs="Verdana"/>
                <w:lang w:bidi="en-GB"/>
              </w:rPr>
            </w:pPr>
            <w:r w:rsidRPr="00AA69B7">
              <w:rPr>
                <w:rFonts w:eastAsia="Verdana" w:cs="Verdana"/>
                <w:lang w:bidi="en-GB"/>
              </w:rPr>
              <w:t>of which: market related expenditure and direct payments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lang w:bidi="en-GB"/>
              </w:rPr>
            </w:pPr>
            <w:r w:rsidRPr="00AA69B7">
              <w:rPr>
                <w:rFonts w:eastAsia="Verdana" w:cs="Verdana"/>
                <w:lang w:bidi="en-GB"/>
              </w:rPr>
              <w:t>43 778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lang w:bidi="en-GB"/>
              </w:rPr>
            </w:pPr>
            <w:r w:rsidRPr="00AA69B7">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lang w:bidi="en-GB"/>
              </w:rPr>
            </w:pPr>
            <w:r w:rsidRPr="00AA69B7">
              <w:rPr>
                <w:rFonts w:eastAsia="Verdana" w:cs="Verdana"/>
                <w:lang w:bidi="en-GB"/>
              </w:rPr>
              <w:t>43 778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lang w:bidi="en-GB"/>
              </w:rPr>
            </w:pPr>
            <w:r w:rsidRPr="00AA69B7">
              <w:rPr>
                <w:rFonts w:eastAsia="Verdana" w:cs="Verdana"/>
                <w:lang w:bidi="en-GB"/>
              </w:rPr>
              <w:t>1 724</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lang w:bidi="en-GB"/>
              </w:rPr>
            </w:pPr>
            <w:r w:rsidRPr="00AA69B7">
              <w:rPr>
                <w:rFonts w:eastAsia="Verdana" w:cs="Verdana"/>
                <w:lang w:bidi="en-GB"/>
              </w:rPr>
              <w:t>45 502</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lang w:bidi="en-GB"/>
              </w:rPr>
            </w:pPr>
            <w:r w:rsidRPr="00AA69B7">
              <w:rPr>
                <w:rFonts w:eastAsia="Verdana" w:cs="Verdana"/>
                <w:lang w:bidi="en-GB"/>
              </w:rPr>
              <w:t>44 293</w:t>
            </w:r>
          </w:p>
        </w:tc>
      </w:tr>
      <w:tr w:rsidR="00E7728E">
        <w:trPr>
          <w:cantSplit/>
        </w:trPr>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BoldLeft"/>
              <w:rPr>
                <w:rFonts w:eastAsia="Verdana" w:cs="Verdana"/>
                <w:b w:val="0"/>
                <w:lang w:bidi="en-GB"/>
              </w:rPr>
            </w:pPr>
            <w:r w:rsidRPr="00AA69B7">
              <w:rPr>
                <w:rFonts w:eastAsia="Verdana" w:cs="Verdana"/>
                <w:b w:val="0"/>
                <w:lang w:bidi="en-GB"/>
              </w:rPr>
              <w:t>3.</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NormalLeft"/>
              <w:rPr>
                <w:rFonts w:eastAsia="Verdana" w:cs="Verdana"/>
                <w:lang w:bidi="en-GB"/>
              </w:rPr>
            </w:pPr>
            <w:r w:rsidRPr="00AA69B7">
              <w:rPr>
                <w:rFonts w:eastAsia="Verdana" w:cs="Verdana"/>
                <w:lang w:bidi="en-GB"/>
              </w:rPr>
              <w:t>Security and citizenship</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2 172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2 172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 xml:space="preserve"> 84</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2 256</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1 507</w:t>
            </w:r>
          </w:p>
        </w:tc>
      </w:tr>
      <w:tr w:rsidR="00E7728E">
        <w:trPr>
          <w:cantSplit/>
        </w:trPr>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BoldLeft"/>
              <w:rPr>
                <w:rFonts w:eastAsia="Verdana" w:cs="Verdana"/>
                <w:b w:val="0"/>
                <w:lang w:bidi="en-GB"/>
              </w:rPr>
            </w:pPr>
            <w:r w:rsidRPr="00AA69B7">
              <w:rPr>
                <w:rFonts w:eastAsia="Verdana" w:cs="Verdana"/>
                <w:b w:val="0"/>
                <w:lang w:bidi="en-GB"/>
              </w:rPr>
              <w:t>4.</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NormalLeft"/>
              <w:rPr>
                <w:rFonts w:eastAsia="Verdana" w:cs="Verdana"/>
                <w:lang w:bidi="en-GB"/>
              </w:rPr>
            </w:pPr>
            <w:r w:rsidRPr="00AA69B7">
              <w:rPr>
                <w:rFonts w:eastAsia="Verdana" w:cs="Verdana"/>
                <w:lang w:bidi="en-GB"/>
              </w:rPr>
              <w:t>Global Europe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8 325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 xml:space="preserve"> 98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8 423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 xml:space="preserve"> 577</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9 000</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8 489</w:t>
            </w:r>
          </w:p>
        </w:tc>
      </w:tr>
      <w:tr w:rsidR="00E7728E">
        <w:trPr>
          <w:cantSplit/>
        </w:trPr>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BoldLeft"/>
              <w:rPr>
                <w:rFonts w:eastAsia="Verdana" w:cs="Verdana"/>
                <w:b w:val="0"/>
                <w:lang w:bidi="en-GB"/>
              </w:rPr>
            </w:pPr>
            <w:r w:rsidRPr="00AA69B7">
              <w:rPr>
                <w:rFonts w:eastAsia="Verdana" w:cs="Verdana"/>
                <w:b w:val="0"/>
                <w:lang w:bidi="en-GB"/>
              </w:rPr>
              <w:t>5.</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NormalLeft"/>
              <w:rPr>
                <w:rFonts w:eastAsia="Verdana" w:cs="Verdana"/>
                <w:lang w:bidi="en-GB"/>
              </w:rPr>
            </w:pPr>
            <w:r w:rsidRPr="00AA69B7">
              <w:rPr>
                <w:rFonts w:eastAsia="Verdana" w:cs="Verdana"/>
                <w:lang w:bidi="en-GB"/>
              </w:rPr>
              <w:t>Administration</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8 405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 xml:space="preserve"> (1)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8 405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 xml:space="preserve"> 766</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9 171</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8 884</w:t>
            </w:r>
          </w:p>
        </w:tc>
      </w:tr>
      <w:tr w:rsidR="00E7728E">
        <w:trPr>
          <w:cantSplit/>
        </w:trPr>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9pItalicLeft"/>
              <w:rPr>
                <w:rFonts w:eastAsia="Verdana" w:cs="Verdana"/>
                <w:lang w:bidi="en-GB"/>
              </w:rPr>
            </w:pP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ItalicLeft"/>
              <w:rPr>
                <w:rFonts w:eastAsia="Verdana" w:cs="Verdana"/>
                <w:lang w:bidi="en-GB"/>
              </w:rPr>
            </w:pPr>
            <w:r w:rsidRPr="00AA69B7">
              <w:rPr>
                <w:rFonts w:eastAsia="Verdana" w:cs="Verdana"/>
                <w:lang w:bidi="en-GB"/>
              </w:rPr>
              <w:t>of which: Administrative expenditure of the institutions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lang w:bidi="en-GB"/>
              </w:rPr>
            </w:pPr>
            <w:r w:rsidRPr="00AA69B7">
              <w:rPr>
                <w:rFonts w:eastAsia="Verdana" w:cs="Verdana"/>
                <w:lang w:bidi="en-GB"/>
              </w:rPr>
              <w:t>3 532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lang w:bidi="en-GB"/>
              </w:rPr>
            </w:pPr>
            <w:r w:rsidRPr="00AA69B7">
              <w:rPr>
                <w:rFonts w:eastAsia="Verdana" w:cs="Verdana"/>
                <w:lang w:bidi="en-GB"/>
              </w:rP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lang w:bidi="en-GB"/>
              </w:rPr>
            </w:pPr>
            <w:r w:rsidRPr="00AA69B7">
              <w:rPr>
                <w:rFonts w:eastAsia="Verdana" w:cs="Verdana"/>
                <w:lang w:bidi="en-GB"/>
              </w:rPr>
              <w:t>3 531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lang w:bidi="en-GB"/>
              </w:rPr>
            </w:pPr>
            <w:r w:rsidRPr="00AA69B7">
              <w:rPr>
                <w:rFonts w:eastAsia="Verdana" w:cs="Verdana"/>
                <w:lang w:bidi="en-GB"/>
              </w:rPr>
              <w:t xml:space="preserve"> 400</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lang w:bidi="en-GB"/>
              </w:rPr>
            </w:pPr>
            <w:r w:rsidRPr="00AA69B7">
              <w:rPr>
                <w:rFonts w:eastAsia="Verdana" w:cs="Verdana"/>
                <w:lang w:bidi="en-GB"/>
              </w:rPr>
              <w:t>3 931</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lang w:bidi="en-GB"/>
              </w:rPr>
            </w:pPr>
            <w:r w:rsidRPr="00AA69B7">
              <w:rPr>
                <w:rFonts w:eastAsia="Verdana" w:cs="Verdana"/>
                <w:lang w:bidi="en-GB"/>
              </w:rPr>
              <w:t>3 789</w:t>
            </w:r>
          </w:p>
        </w:tc>
      </w:tr>
      <w:tr w:rsidR="00E7728E">
        <w:trPr>
          <w:cantSplit/>
        </w:trPr>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BoldLeft"/>
              <w:rPr>
                <w:rFonts w:eastAsia="Verdana" w:cs="Verdana"/>
                <w:b w:val="0"/>
                <w:lang w:bidi="en-GB"/>
              </w:rPr>
            </w:pPr>
            <w:r w:rsidRPr="00AA69B7">
              <w:rPr>
                <w:rFonts w:eastAsia="Verdana" w:cs="Verdana"/>
                <w:b w:val="0"/>
                <w:lang w:bidi="en-GB"/>
              </w:rPr>
              <w:t>6.</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NormalLeft"/>
              <w:rPr>
                <w:rFonts w:eastAsia="Verdana" w:cs="Verdana"/>
                <w:lang w:bidi="en-GB"/>
              </w:rPr>
            </w:pPr>
            <w:r w:rsidRPr="00AA69B7">
              <w:rPr>
                <w:rFonts w:eastAsia="Verdana" w:cs="Verdana"/>
                <w:lang w:bidi="en-GB"/>
              </w:rPr>
              <w:t>Compensations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 xml:space="preserve"> 29</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 xml:space="preserve"> 29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 xml:space="preserve"> 29</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 xml:space="preserve"> 29</w:t>
            </w:r>
          </w:p>
        </w:tc>
      </w:tr>
      <w:tr w:rsidR="00E7728E">
        <w:trPr>
          <w:cantSplit/>
        </w:trPr>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BoldLeft"/>
              <w:rPr>
                <w:rFonts w:eastAsia="Verdana" w:cs="Verdana"/>
                <w:b w:val="0"/>
                <w:lang w:bidi="en-GB"/>
              </w:rPr>
            </w:pPr>
            <w:r w:rsidRPr="00AA69B7">
              <w:rPr>
                <w:rFonts w:eastAsia="Verdana" w:cs="Verdana"/>
                <w:b w:val="0"/>
                <w:lang w:bidi="en-GB"/>
              </w:rPr>
              <w:t>8.</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NormalLeft"/>
              <w:rPr>
                <w:rFonts w:eastAsia="Verdana" w:cs="Verdana"/>
                <w:lang w:bidi="en-GB"/>
              </w:rPr>
            </w:pPr>
            <w:r w:rsidRPr="00AA69B7">
              <w:rPr>
                <w:rFonts w:eastAsia="Verdana" w:cs="Verdana"/>
                <w:lang w:bidi="en-GB"/>
              </w:rPr>
              <w:t>Negative reserve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w:t>
            </w:r>
          </w:p>
        </w:tc>
      </w:tr>
      <w:tr w:rsidR="00E7728E">
        <w:trPr>
          <w:cantSplit/>
        </w:trPr>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BoldLeft"/>
              <w:rPr>
                <w:rFonts w:eastAsia="Verdana" w:cs="Verdana"/>
                <w:b w:val="0"/>
                <w:lang w:bidi="en-GB"/>
              </w:rPr>
            </w:pPr>
            <w:r w:rsidRPr="00AA69B7">
              <w:rPr>
                <w:rFonts w:eastAsia="Verdana" w:cs="Verdana"/>
                <w:b w:val="0"/>
                <w:lang w:bidi="en-GB"/>
              </w:rPr>
              <w:t>9.</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NormalLeft"/>
              <w:rPr>
                <w:rFonts w:eastAsia="Verdana" w:cs="Verdana"/>
                <w:lang w:bidi="en-GB"/>
              </w:rPr>
            </w:pPr>
            <w:r w:rsidRPr="00AA69B7">
              <w:rPr>
                <w:rFonts w:eastAsia="Verdana" w:cs="Verdana"/>
                <w:lang w:bidi="en-GB"/>
              </w:rPr>
              <w:t>Special Instruments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 xml:space="preserve"> 456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 xml:space="preserve"> 29</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 xml:space="preserve"> 485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 xml:space="preserve"> 92</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 xml:space="preserve"> 577</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 xml:space="preserve"> 64</w:t>
            </w:r>
          </w:p>
        </w:tc>
      </w:tr>
      <w:tr w:rsidR="00E7728E">
        <w:trPr>
          <w:cantSplit/>
        </w:trPr>
        <w:tc>
          <w:tcPr>
            <w:tcW w:w="2802" w:type="dxa"/>
            <w:gridSpan w:val="2"/>
            <w:tcBorders>
              <w:top w:val="nil"/>
              <w:left w:val="nil"/>
              <w:bottom w:val="nil"/>
              <w:right w:val="nil"/>
            </w:tcBorders>
            <w:shd w:val="clear" w:color="auto" w:fill="CBE1EA"/>
            <w:tcMar>
              <w:top w:w="0" w:type="dxa"/>
              <w:left w:w="0" w:type="dxa"/>
              <w:bottom w:w="0" w:type="dxa"/>
              <w:right w:w="0" w:type="dxa"/>
            </w:tcMar>
          </w:tcPr>
          <w:p w:rsidR="00F50689" w:rsidRPr="00AA69B7" w:rsidRDefault="005A36C4" w:rsidP="00F50689">
            <w:pPr>
              <w:pStyle w:val="Figures9pBoldRight025"/>
              <w:jc w:val="left"/>
              <w:rPr>
                <w:rFonts w:eastAsia="Verdana" w:cs="Verdana"/>
                <w:lang w:bidi="en-GB"/>
              </w:rPr>
            </w:pPr>
            <w:r w:rsidRPr="00AA69B7">
              <w:rPr>
                <w:rFonts w:eastAsia="Verdana" w:cs="Verdana"/>
                <w:lang w:bidi="en-GB"/>
              </w:rPr>
              <w:t>Total</w:t>
            </w:r>
          </w:p>
        </w:tc>
        <w:tc>
          <w:tcPr>
            <w:tcW w:w="992" w:type="dxa"/>
            <w:tcBorders>
              <w:top w:val="nil"/>
              <w:left w:val="nil"/>
              <w:bottom w:val="nil"/>
              <w:right w:val="nil"/>
            </w:tcBorders>
            <w:shd w:val="clear" w:color="auto" w:fill="CBE1EA"/>
            <w:tcMar>
              <w:top w:w="0" w:type="dxa"/>
              <w:left w:w="0" w:type="dxa"/>
              <w:bottom w:w="0" w:type="dxa"/>
              <w:right w:w="0" w:type="dxa"/>
            </w:tcMar>
          </w:tcPr>
          <w:p w:rsidR="00F50689" w:rsidRPr="00AA69B7" w:rsidRDefault="005A36C4" w:rsidP="00F50689">
            <w:pPr>
              <w:pStyle w:val="Figures9pBoldRight025"/>
              <w:rPr>
                <w:rFonts w:eastAsia="Verdana" w:cs="Verdana"/>
                <w:lang w:bidi="en-GB"/>
              </w:rPr>
            </w:pPr>
            <w:r w:rsidRPr="00AA69B7">
              <w:rPr>
                <w:rFonts w:eastAsia="Verdana" w:cs="Verdana"/>
                <w:lang w:bidi="en-GB"/>
              </w:rPr>
              <w:t>142 640</w:t>
            </w:r>
          </w:p>
        </w:tc>
        <w:tc>
          <w:tcPr>
            <w:tcW w:w="1134" w:type="dxa"/>
            <w:tcBorders>
              <w:top w:val="nil"/>
              <w:left w:val="nil"/>
              <w:bottom w:val="nil"/>
              <w:right w:val="nil"/>
            </w:tcBorders>
            <w:shd w:val="clear" w:color="auto" w:fill="CBE1EA"/>
            <w:tcMar>
              <w:top w:w="0" w:type="dxa"/>
              <w:left w:w="0" w:type="dxa"/>
              <w:bottom w:w="0" w:type="dxa"/>
              <w:right w:w="0" w:type="dxa"/>
            </w:tcMar>
          </w:tcPr>
          <w:p w:rsidR="00F50689" w:rsidRPr="00AA69B7" w:rsidRDefault="005A36C4" w:rsidP="00F50689">
            <w:pPr>
              <w:pStyle w:val="Figures9pBoldRight025"/>
              <w:rPr>
                <w:rFonts w:eastAsia="Verdana" w:cs="Verdana"/>
                <w:lang w:bidi="en-GB"/>
              </w:rPr>
            </w:pPr>
            <w:r w:rsidRPr="00AA69B7">
              <w:rPr>
                <w:rFonts w:eastAsia="Verdana" w:cs="Verdana"/>
                <w:lang w:bidi="en-GB"/>
              </w:rPr>
              <w:t xml:space="preserve"> 50</w:t>
            </w:r>
          </w:p>
        </w:tc>
        <w:tc>
          <w:tcPr>
            <w:tcW w:w="1134" w:type="dxa"/>
            <w:tcBorders>
              <w:top w:val="nil"/>
              <w:left w:val="nil"/>
              <w:bottom w:val="nil"/>
              <w:right w:val="nil"/>
            </w:tcBorders>
            <w:shd w:val="clear" w:color="auto" w:fill="CBE1EA"/>
            <w:tcMar>
              <w:top w:w="0" w:type="dxa"/>
              <w:left w:w="0" w:type="dxa"/>
              <w:bottom w:w="0" w:type="dxa"/>
              <w:right w:w="0" w:type="dxa"/>
            </w:tcMar>
          </w:tcPr>
          <w:p w:rsidR="00F50689" w:rsidRPr="00AA69B7" w:rsidRDefault="005A36C4" w:rsidP="00F50689">
            <w:pPr>
              <w:pStyle w:val="Figures9pBoldRight025"/>
              <w:rPr>
                <w:rFonts w:eastAsia="Verdana" w:cs="Verdana"/>
                <w:lang w:bidi="en-GB"/>
              </w:rPr>
            </w:pPr>
            <w:r w:rsidRPr="00AA69B7">
              <w:rPr>
                <w:rFonts w:eastAsia="Verdana" w:cs="Verdana"/>
                <w:lang w:bidi="en-GB"/>
              </w:rPr>
              <w:t>142 690</w:t>
            </w:r>
          </w:p>
        </w:tc>
        <w:tc>
          <w:tcPr>
            <w:tcW w:w="992" w:type="dxa"/>
            <w:tcBorders>
              <w:top w:val="nil"/>
              <w:left w:val="nil"/>
              <w:bottom w:val="nil"/>
              <w:right w:val="nil"/>
            </w:tcBorders>
            <w:shd w:val="clear" w:color="auto" w:fill="CBE1EA"/>
            <w:tcMar>
              <w:top w:w="0" w:type="dxa"/>
              <w:left w:w="0" w:type="dxa"/>
              <w:bottom w:w="0" w:type="dxa"/>
              <w:right w:w="0" w:type="dxa"/>
            </w:tcMar>
          </w:tcPr>
          <w:p w:rsidR="00F50689" w:rsidRPr="00AA69B7" w:rsidRDefault="005A36C4" w:rsidP="00F50689">
            <w:pPr>
              <w:pStyle w:val="Figures9pBoldRight025"/>
              <w:rPr>
                <w:rFonts w:eastAsia="Verdana" w:cs="Verdana"/>
                <w:lang w:bidi="en-GB"/>
              </w:rPr>
            </w:pPr>
            <w:r w:rsidRPr="00AA69B7">
              <w:rPr>
                <w:rFonts w:eastAsia="Verdana" w:cs="Verdana"/>
                <w:lang w:bidi="en-GB"/>
              </w:rPr>
              <w:t>7 249</w:t>
            </w:r>
          </w:p>
        </w:tc>
        <w:tc>
          <w:tcPr>
            <w:tcW w:w="1276" w:type="dxa"/>
            <w:tcBorders>
              <w:top w:val="nil"/>
              <w:left w:val="nil"/>
              <w:bottom w:val="nil"/>
              <w:right w:val="nil"/>
            </w:tcBorders>
            <w:shd w:val="clear" w:color="auto" w:fill="CBE1EA"/>
            <w:tcMar>
              <w:top w:w="0" w:type="dxa"/>
              <w:left w:w="0" w:type="dxa"/>
              <w:bottom w:w="0" w:type="dxa"/>
              <w:right w:w="0" w:type="dxa"/>
            </w:tcMar>
          </w:tcPr>
          <w:p w:rsidR="00F50689" w:rsidRPr="00AA69B7" w:rsidRDefault="005A36C4" w:rsidP="00F50689">
            <w:pPr>
              <w:pStyle w:val="Figures9pBoldRight025"/>
              <w:rPr>
                <w:rFonts w:eastAsia="Verdana" w:cs="Verdana"/>
                <w:lang w:bidi="en-GB"/>
              </w:rPr>
            </w:pPr>
            <w:r w:rsidRPr="00AA69B7">
              <w:rPr>
                <w:rFonts w:eastAsia="Verdana" w:cs="Verdana"/>
                <w:lang w:bidi="en-GB"/>
              </w:rPr>
              <w:t>149 939</w:t>
            </w:r>
          </w:p>
        </w:tc>
        <w:tc>
          <w:tcPr>
            <w:tcW w:w="1417" w:type="dxa"/>
            <w:tcBorders>
              <w:top w:val="nil"/>
              <w:left w:val="nil"/>
              <w:bottom w:val="nil"/>
              <w:right w:val="nil"/>
            </w:tcBorders>
            <w:shd w:val="clear" w:color="auto" w:fill="CBE1EA"/>
            <w:tcMar>
              <w:top w:w="0" w:type="dxa"/>
              <w:left w:w="0" w:type="dxa"/>
              <w:bottom w:w="0" w:type="dxa"/>
              <w:right w:w="0" w:type="dxa"/>
            </w:tcMar>
          </w:tcPr>
          <w:p w:rsidR="00F50689" w:rsidRPr="00AA69B7" w:rsidRDefault="005A36C4" w:rsidP="00F50689">
            <w:pPr>
              <w:pStyle w:val="Figures9pBoldRight025"/>
              <w:rPr>
                <w:rFonts w:eastAsia="Verdana" w:cs="Verdana"/>
                <w:lang w:bidi="en-GB"/>
              </w:rPr>
            </w:pPr>
            <w:r w:rsidRPr="00AA69B7">
              <w:rPr>
                <w:rFonts w:eastAsia="Verdana" w:cs="Verdana"/>
                <w:lang w:bidi="en-GB"/>
              </w:rPr>
              <w:t>113 208</w:t>
            </w:r>
          </w:p>
        </w:tc>
      </w:tr>
    </w:tbl>
    <w:p w:rsidR="00F50689" w:rsidRPr="008A7D59" w:rsidRDefault="005A36C4" w:rsidP="008A7D59">
      <w:pPr>
        <w:pStyle w:val="Textstand-alone"/>
        <w:spacing w:before="60"/>
        <w:rPr>
          <w:i/>
          <w:sz w:val="14"/>
        </w:rPr>
      </w:pPr>
      <w:r w:rsidRPr="008A7D59">
        <w:rPr>
          <w:i/>
          <w:sz w:val="14"/>
        </w:rPr>
        <w:t>* Additional appropriations include appropriations carried over from last year, assigned revenue and appropriations becoming available as a result of decommitments.</w:t>
      </w:r>
    </w:p>
    <w:p w:rsidR="00F50689" w:rsidRDefault="00F50689" w:rsidP="00F50689">
      <w:pPr>
        <w:pStyle w:val="HEADERTITLE3"/>
      </w:pPr>
    </w:p>
    <w:p w:rsidR="00F50689" w:rsidRDefault="00F50689" w:rsidP="00F50689">
      <w:pPr>
        <w:pStyle w:val="HEADERTITLE3"/>
      </w:pPr>
    </w:p>
    <w:p w:rsidR="00F50689" w:rsidRDefault="00F50689" w:rsidP="00F50689">
      <w:pPr>
        <w:pStyle w:val="HEADERTITLE3"/>
      </w:pPr>
    </w:p>
    <w:p w:rsidR="00F50689" w:rsidRDefault="00F50689" w:rsidP="00F50689">
      <w:pPr>
        <w:pStyle w:val="HEADERTITLE3"/>
      </w:pPr>
    </w:p>
    <w:p w:rsidR="00F50689" w:rsidRDefault="00F50689" w:rsidP="00F50689">
      <w:pPr>
        <w:pStyle w:val="HEADERTITLE3"/>
      </w:pPr>
    </w:p>
    <w:p w:rsidR="00F50689" w:rsidRDefault="00F50689" w:rsidP="00F50689">
      <w:pPr>
        <w:pStyle w:val="HEADERTITLE3"/>
      </w:pPr>
    </w:p>
    <w:p w:rsidR="00F50689" w:rsidRDefault="00F50689" w:rsidP="00F50689">
      <w:pPr>
        <w:pStyle w:val="HEADERTITLE3"/>
      </w:pPr>
    </w:p>
    <w:p w:rsidR="00F50689" w:rsidRDefault="00F50689" w:rsidP="00F50689">
      <w:pPr>
        <w:pStyle w:val="HEADERTITLE3"/>
      </w:pPr>
    </w:p>
    <w:p w:rsidR="00F50689" w:rsidRDefault="00F50689" w:rsidP="00F50689">
      <w:pPr>
        <w:pStyle w:val="HEADERTITLE3"/>
      </w:pPr>
    </w:p>
    <w:p w:rsidR="00F50689" w:rsidRDefault="00F50689" w:rsidP="00F50689">
      <w:pPr>
        <w:pStyle w:val="HEADERTITLE3"/>
      </w:pPr>
    </w:p>
    <w:p w:rsidR="00F50689" w:rsidRDefault="00F50689" w:rsidP="00F50689">
      <w:pPr>
        <w:pStyle w:val="HEADERTITLE3"/>
      </w:pPr>
    </w:p>
    <w:p w:rsidR="00F50689" w:rsidRDefault="00F50689" w:rsidP="00F50689">
      <w:pPr>
        <w:pStyle w:val="HEADERTITLE3"/>
      </w:pPr>
    </w:p>
    <w:p w:rsidR="00F50689" w:rsidRDefault="00F50689" w:rsidP="00F50689">
      <w:pPr>
        <w:pStyle w:val="HEADERTITLE3"/>
      </w:pPr>
    </w:p>
    <w:p w:rsidR="00F12CBE" w:rsidRDefault="00F12CBE">
      <w:pPr>
        <w:rPr>
          <w:rFonts w:ascii="Verdana" w:hAnsi="Verdana"/>
          <w:b/>
          <w:noProof/>
          <w:color w:val="016794"/>
          <w:szCs w:val="18"/>
          <w:lang w:eastAsia="en-US"/>
        </w:rPr>
      </w:pPr>
      <w:r>
        <w:br w:type="page"/>
      </w:r>
    </w:p>
    <w:p w:rsidR="00F50689" w:rsidRDefault="005A36C4" w:rsidP="00F50689">
      <w:pPr>
        <w:pStyle w:val="HEADERTITLE3"/>
      </w:pPr>
      <w:r>
        <w:t>BUDGET EXPENDITURE: PAYMENTS BY MULTIANNUAL FINANCIAL FRAMEWORK (MFF) HEADING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552"/>
        <w:gridCol w:w="992"/>
        <w:gridCol w:w="1134"/>
        <w:gridCol w:w="1134"/>
        <w:gridCol w:w="992"/>
        <w:gridCol w:w="1276"/>
        <w:gridCol w:w="1417"/>
      </w:tblGrid>
      <w:tr w:rsidR="00E7728E">
        <w:trPr>
          <w:trHeight w:val="274"/>
        </w:trPr>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8pItalicLeft"/>
              <w:rPr>
                <w:rFonts w:eastAsia="Verdana" w:cs="Verdana"/>
                <w:lang w:bidi="en-GB"/>
              </w:rPr>
            </w:pPr>
            <w:bookmarkStart w:id="223" w:name="DOC_TBL00095_1_1"/>
            <w:bookmarkEnd w:id="223"/>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8pItalicRight025EUR"/>
              <w:jc w:val="left"/>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8pItalicRight025EUR"/>
              <w:rPr>
                <w:rFonts w:eastAsia="Verdana" w:cs="Verdana"/>
                <w:i w:val="0"/>
                <w:lang w:bidi="en-GB"/>
              </w:rPr>
            </w:pP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8pItalicRight025EUR"/>
              <w:rPr>
                <w:rFonts w:eastAsia="Verdana" w:cs="Verdana"/>
                <w:lang w:bidi="en-GB"/>
              </w:rPr>
            </w:pPr>
            <w:r w:rsidRPr="00AA69B7">
              <w:rPr>
                <w:rFonts w:eastAsia="Verdana" w:cs="Verdana"/>
                <w:lang w:bidi="en-GB"/>
              </w:rPr>
              <w:t>EUR millions</w:t>
            </w:r>
          </w:p>
        </w:tc>
      </w:tr>
      <w:tr w:rsidR="00E7728E">
        <w:tc>
          <w:tcPr>
            <w:tcW w:w="250" w:type="dxa"/>
            <w:tcBorders>
              <w:top w:val="nil"/>
              <w:left w:val="nil"/>
              <w:bottom w:val="nil"/>
              <w:right w:val="nil"/>
            </w:tcBorders>
            <w:shd w:val="clear" w:color="auto" w:fill="016794"/>
            <w:tcMar>
              <w:top w:w="0" w:type="dxa"/>
              <w:left w:w="0" w:type="dxa"/>
              <w:bottom w:w="0" w:type="dxa"/>
              <w:right w:w="0" w:type="dxa"/>
            </w:tcMar>
          </w:tcPr>
          <w:p w:rsidR="00F50689" w:rsidRPr="00AA69B7" w:rsidRDefault="00F50689" w:rsidP="00F50689">
            <w:pPr>
              <w:pStyle w:val="Heading10pNormalLeft"/>
              <w:rPr>
                <w:rFonts w:eastAsia="Verdana" w:cs="Verdana"/>
                <w:lang w:bidi="en-GB"/>
              </w:rPr>
            </w:pPr>
          </w:p>
        </w:tc>
        <w:tc>
          <w:tcPr>
            <w:tcW w:w="2552" w:type="dxa"/>
            <w:tcBorders>
              <w:top w:val="nil"/>
              <w:left w:val="nil"/>
              <w:bottom w:val="nil"/>
              <w:right w:val="nil"/>
            </w:tcBorders>
            <w:shd w:val="clear" w:color="auto" w:fill="016794"/>
            <w:tcMar>
              <w:top w:w="0" w:type="dxa"/>
              <w:left w:w="0" w:type="dxa"/>
              <w:bottom w:w="0" w:type="dxa"/>
              <w:right w:w="0" w:type="dxa"/>
            </w:tcMar>
          </w:tcPr>
          <w:p w:rsidR="00F50689" w:rsidRPr="00AA69B7" w:rsidRDefault="00F50689" w:rsidP="00F50689">
            <w:pPr>
              <w:pStyle w:val="Heading9pNormalCentered"/>
              <w:jc w:val="left"/>
              <w:rPr>
                <w:rFonts w:eastAsia="Verdana" w:cs="Verdana"/>
                <w:lang w:bidi="en-GB"/>
              </w:rPr>
            </w:pPr>
          </w:p>
        </w:tc>
        <w:tc>
          <w:tcPr>
            <w:tcW w:w="992" w:type="dxa"/>
            <w:tcBorders>
              <w:top w:val="nil"/>
              <w:left w:val="nil"/>
              <w:bottom w:val="nil"/>
              <w:right w:val="nil"/>
            </w:tcBorders>
            <w:shd w:val="clear" w:color="auto" w:fill="016794"/>
            <w:tcMar>
              <w:top w:w="0" w:type="dxa"/>
              <w:left w:w="0" w:type="dxa"/>
              <w:bottom w:w="0" w:type="dxa"/>
              <w:right w:w="0" w:type="dxa"/>
            </w:tcMar>
          </w:tcPr>
          <w:p w:rsidR="00F50689" w:rsidRPr="00AA69B7" w:rsidRDefault="005A36C4" w:rsidP="00F50689">
            <w:pPr>
              <w:pStyle w:val="Heading9pNormalCentered"/>
              <w:rPr>
                <w:rFonts w:eastAsia="Verdana" w:cs="Verdana"/>
                <w:lang w:bidi="en-GB"/>
              </w:rPr>
            </w:pPr>
            <w:r w:rsidRPr="00AA69B7">
              <w:rPr>
                <w:rFonts w:eastAsia="Verdana" w:cs="Verdana"/>
                <w:lang w:bidi="en-GB"/>
              </w:rPr>
              <w:t>Initial adopted budget</w:t>
            </w:r>
          </w:p>
        </w:tc>
        <w:tc>
          <w:tcPr>
            <w:tcW w:w="1134" w:type="dxa"/>
            <w:tcBorders>
              <w:top w:val="nil"/>
              <w:left w:val="nil"/>
              <w:bottom w:val="nil"/>
              <w:right w:val="nil"/>
            </w:tcBorders>
            <w:shd w:val="clear" w:color="auto" w:fill="016794"/>
            <w:tcMar>
              <w:top w:w="0" w:type="dxa"/>
              <w:left w:w="0" w:type="dxa"/>
              <w:bottom w:w="0" w:type="dxa"/>
              <w:right w:w="0" w:type="dxa"/>
            </w:tcMar>
          </w:tcPr>
          <w:p w:rsidR="00F50689" w:rsidRPr="00AA69B7" w:rsidRDefault="005A36C4" w:rsidP="00F50689">
            <w:pPr>
              <w:pStyle w:val="Heading9pNormalCentered"/>
              <w:rPr>
                <w:rFonts w:eastAsia="Verdana" w:cs="Verdana"/>
                <w:lang w:bidi="en-GB"/>
              </w:rPr>
            </w:pPr>
            <w:r w:rsidRPr="00AA69B7">
              <w:rPr>
                <w:rFonts w:eastAsia="Verdana" w:cs="Verdana"/>
                <w:lang w:bidi="en-GB"/>
              </w:rPr>
              <w:t>Amending budgets  &amp; transfers</w:t>
            </w:r>
          </w:p>
        </w:tc>
        <w:tc>
          <w:tcPr>
            <w:tcW w:w="1134" w:type="dxa"/>
            <w:tcBorders>
              <w:top w:val="nil"/>
              <w:left w:val="nil"/>
              <w:bottom w:val="nil"/>
              <w:right w:val="nil"/>
            </w:tcBorders>
            <w:shd w:val="clear" w:color="auto" w:fill="016794"/>
            <w:tcMar>
              <w:top w:w="0" w:type="dxa"/>
              <w:left w:w="0" w:type="dxa"/>
              <w:bottom w:w="0" w:type="dxa"/>
              <w:right w:w="0" w:type="dxa"/>
            </w:tcMar>
          </w:tcPr>
          <w:p w:rsidR="00F50689" w:rsidRPr="00AA69B7" w:rsidRDefault="005A36C4" w:rsidP="00F50689">
            <w:pPr>
              <w:pStyle w:val="Heading9pNormalCentered"/>
              <w:rPr>
                <w:rFonts w:eastAsia="Verdana" w:cs="Verdana"/>
                <w:lang w:bidi="en-GB"/>
              </w:rPr>
            </w:pPr>
            <w:r w:rsidRPr="00AA69B7">
              <w:rPr>
                <w:rFonts w:eastAsia="Verdana" w:cs="Verdana"/>
                <w:lang w:bidi="en-GB"/>
              </w:rPr>
              <w:t>Final adopted budget</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Pr="00AA69B7" w:rsidRDefault="005A36C4" w:rsidP="00F50689">
            <w:pPr>
              <w:pStyle w:val="Heading9pNormalCentered"/>
              <w:rPr>
                <w:rFonts w:eastAsia="Verdana" w:cs="Verdana"/>
                <w:lang w:bidi="en-GB"/>
              </w:rPr>
            </w:pPr>
            <w:r w:rsidRPr="00AA69B7">
              <w:rPr>
                <w:rFonts w:eastAsia="Verdana" w:cs="Verdana"/>
                <w:lang w:bidi="en-GB"/>
              </w:rPr>
              <w:t xml:space="preserve">Additional </w:t>
            </w:r>
            <w:proofErr w:type="spellStart"/>
            <w:r w:rsidRPr="00AA69B7">
              <w:rPr>
                <w:rFonts w:eastAsia="Verdana" w:cs="Verdana"/>
                <w:lang w:bidi="en-GB"/>
              </w:rPr>
              <w:t>appropri</w:t>
            </w:r>
            <w:proofErr w:type="spellEnd"/>
            <w:r w:rsidRPr="00AA69B7">
              <w:rPr>
                <w:rFonts w:eastAsia="Verdana" w:cs="Verdana"/>
                <w:lang w:bidi="en-GB"/>
              </w:rPr>
              <w:t>-</w:t>
            </w:r>
          </w:p>
          <w:p w:rsidR="00F50689" w:rsidRPr="00AA69B7" w:rsidRDefault="005A36C4" w:rsidP="00F50689">
            <w:pPr>
              <w:pStyle w:val="Heading9pNormalCentered"/>
              <w:rPr>
                <w:rFonts w:eastAsia="Verdana" w:cs="Verdana"/>
                <w:lang w:bidi="en-GB"/>
              </w:rPr>
            </w:pPr>
            <w:proofErr w:type="spellStart"/>
            <w:r w:rsidRPr="00AA69B7">
              <w:rPr>
                <w:rFonts w:eastAsia="Verdana" w:cs="Verdana"/>
                <w:lang w:bidi="en-GB"/>
              </w:rPr>
              <w:t>ations</w:t>
            </w:r>
            <w:proofErr w:type="spellEnd"/>
            <w:r w:rsidRPr="00AA69B7">
              <w:rPr>
                <w:rFonts w:eastAsia="Verdana" w:cs="Verdana"/>
                <w:lang w:bidi="en-GB"/>
              </w:rPr>
              <w:t>*</w:t>
            </w:r>
          </w:p>
        </w:tc>
        <w:tc>
          <w:tcPr>
            <w:tcW w:w="1276" w:type="dxa"/>
            <w:tcBorders>
              <w:top w:val="nil"/>
              <w:left w:val="nil"/>
              <w:bottom w:val="nil"/>
              <w:right w:val="nil"/>
            </w:tcBorders>
            <w:shd w:val="clear" w:color="auto" w:fill="016794"/>
            <w:tcMar>
              <w:top w:w="0" w:type="dxa"/>
              <w:left w:w="0" w:type="dxa"/>
              <w:bottom w:w="0" w:type="dxa"/>
              <w:right w:w="0" w:type="dxa"/>
            </w:tcMar>
          </w:tcPr>
          <w:p w:rsidR="00F50689" w:rsidRPr="00AA69B7" w:rsidRDefault="005A36C4" w:rsidP="00F50689">
            <w:pPr>
              <w:pStyle w:val="Heading9pNormalCentered"/>
              <w:rPr>
                <w:rFonts w:eastAsia="Verdana" w:cs="Verdana"/>
                <w:lang w:bidi="en-GB"/>
              </w:rPr>
            </w:pPr>
            <w:r w:rsidRPr="00AA69B7">
              <w:rPr>
                <w:rFonts w:eastAsia="Verdana" w:cs="Verdana"/>
                <w:lang w:bidi="en-GB"/>
              </w:rPr>
              <w:t xml:space="preserve">Total </w:t>
            </w:r>
            <w:proofErr w:type="spellStart"/>
            <w:r w:rsidRPr="00AA69B7">
              <w:rPr>
                <w:rFonts w:eastAsia="Verdana" w:cs="Verdana"/>
                <w:lang w:bidi="en-GB"/>
              </w:rPr>
              <w:t>appropria-tions</w:t>
            </w:r>
            <w:proofErr w:type="spellEnd"/>
            <w:r w:rsidRPr="00AA69B7">
              <w:rPr>
                <w:rFonts w:eastAsia="Verdana" w:cs="Verdana"/>
                <w:lang w:bidi="en-GB"/>
              </w:rPr>
              <w:t xml:space="preserve"> available</w:t>
            </w:r>
          </w:p>
        </w:tc>
        <w:tc>
          <w:tcPr>
            <w:tcW w:w="1417" w:type="dxa"/>
            <w:tcBorders>
              <w:top w:val="nil"/>
              <w:left w:val="nil"/>
              <w:bottom w:val="nil"/>
              <w:right w:val="nil"/>
            </w:tcBorders>
            <w:shd w:val="clear" w:color="auto" w:fill="016794"/>
            <w:tcMar>
              <w:top w:w="0" w:type="dxa"/>
              <w:left w:w="0" w:type="dxa"/>
              <w:bottom w:w="0" w:type="dxa"/>
              <w:right w:w="0" w:type="dxa"/>
            </w:tcMar>
          </w:tcPr>
          <w:p w:rsidR="00F50689" w:rsidRPr="00AA69B7" w:rsidRDefault="005A36C4" w:rsidP="00F50689">
            <w:pPr>
              <w:pStyle w:val="Heading9pNormalCentered"/>
              <w:rPr>
                <w:rFonts w:eastAsia="Verdana" w:cs="Verdana"/>
                <w:lang w:bidi="en-GB"/>
              </w:rPr>
            </w:pPr>
            <w:r w:rsidRPr="00AA69B7">
              <w:rPr>
                <w:rFonts w:eastAsia="Verdana" w:cs="Verdana"/>
                <w:lang w:bidi="en-GB"/>
              </w:rPr>
              <w:t>Payments made</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BoldLeft"/>
              <w:rPr>
                <w:rFonts w:eastAsia="Verdana" w:cs="Verdana"/>
                <w:b w:val="0"/>
                <w:lang w:bidi="en-GB"/>
              </w:rPr>
            </w:pPr>
            <w:r w:rsidRPr="00AA69B7">
              <w:rPr>
                <w:rFonts w:eastAsia="Verdana" w:cs="Verdana"/>
                <w:b w:val="0"/>
                <w:lang w:bidi="en-GB"/>
              </w:rPr>
              <w:t>1.</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NormalLeft"/>
              <w:rPr>
                <w:rFonts w:eastAsia="Verdana" w:cs="Verdana"/>
                <w:lang w:bidi="en-GB"/>
              </w:rPr>
            </w:pPr>
            <w:r w:rsidRPr="00AA69B7">
              <w:rPr>
                <w:rFonts w:eastAsia="Verdana" w:cs="Verdana"/>
                <w:lang w:bidi="en-GB"/>
              </w:rPr>
              <w:t>Smart and inclusive growth</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62 393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3 470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65 863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3 836</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69 699</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67 683</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9pItalicLeft"/>
              <w:rPr>
                <w:rFonts w:eastAsia="Verdana" w:cs="Verdana"/>
                <w:lang w:bidi="en-GB"/>
              </w:rPr>
            </w:pP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ItalicLeft"/>
              <w:rPr>
                <w:rFonts w:eastAsia="Verdana" w:cs="Verdana"/>
                <w:lang w:bidi="en-GB"/>
              </w:rPr>
            </w:pPr>
            <w:r w:rsidRPr="00AA69B7">
              <w:rPr>
                <w:rFonts w:eastAsia="Verdana" w:cs="Verdana"/>
                <w:lang w:bidi="en-GB"/>
              </w:rPr>
              <w:t>1a: Competitiveness for growth and jobs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lang w:bidi="en-GB"/>
              </w:rPr>
            </w:pPr>
            <w:r w:rsidRPr="00AA69B7">
              <w:rPr>
                <w:rFonts w:eastAsia="Verdana" w:cs="Verdana"/>
                <w:lang w:bidi="en-GB"/>
              </w:rPr>
              <w:t>11 441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lang w:bidi="en-GB"/>
              </w:rPr>
            </w:pPr>
            <w:r w:rsidRPr="00AA69B7">
              <w:rPr>
                <w:rFonts w:eastAsia="Verdana" w:cs="Verdana"/>
                <w:lang w:bidi="en-GB"/>
              </w:rPr>
              <w:t xml:space="preserve"> 415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lang w:bidi="en-GB"/>
              </w:rPr>
            </w:pPr>
            <w:r w:rsidRPr="00AA69B7">
              <w:rPr>
                <w:rFonts w:eastAsia="Verdana" w:cs="Verdana"/>
                <w:lang w:bidi="en-GB"/>
              </w:rPr>
              <w:t>11 857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lang w:bidi="en-GB"/>
              </w:rPr>
            </w:pPr>
            <w:r w:rsidRPr="00AA69B7">
              <w:rPr>
                <w:rFonts w:eastAsia="Verdana" w:cs="Verdana"/>
                <w:lang w:bidi="en-GB"/>
              </w:rPr>
              <w:t>3 451</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lang w:bidi="en-GB"/>
              </w:rPr>
            </w:pPr>
            <w:r w:rsidRPr="00AA69B7">
              <w:rPr>
                <w:rFonts w:eastAsia="Verdana" w:cs="Verdana"/>
                <w:lang w:bidi="en-GB"/>
              </w:rPr>
              <w:t>15 308</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lang w:bidi="en-GB"/>
              </w:rPr>
            </w:pPr>
            <w:r w:rsidRPr="00AA69B7">
              <w:rPr>
                <w:rFonts w:eastAsia="Verdana" w:cs="Verdana"/>
                <w:lang w:bidi="en-GB"/>
              </w:rPr>
              <w:t>13 331</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9pItalicLeft"/>
              <w:rPr>
                <w:rFonts w:eastAsia="Verdana" w:cs="Verdana"/>
                <w:lang w:bidi="en-GB"/>
              </w:rPr>
            </w:pP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ItalicLeft"/>
              <w:rPr>
                <w:rFonts w:eastAsia="Verdana" w:cs="Verdana"/>
                <w:lang w:bidi="en-GB"/>
              </w:rPr>
            </w:pPr>
            <w:r w:rsidRPr="00AA69B7">
              <w:rPr>
                <w:rFonts w:eastAsia="Verdana" w:cs="Verdana"/>
                <w:lang w:bidi="en-GB"/>
              </w:rPr>
              <w:t>1b: Economic, social and territorial cohesion</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lang w:bidi="en-GB"/>
              </w:rPr>
            </w:pPr>
            <w:r w:rsidRPr="00AA69B7">
              <w:rPr>
                <w:rFonts w:eastAsia="Verdana" w:cs="Verdana"/>
                <w:lang w:bidi="en-GB"/>
              </w:rPr>
              <w:t>50 951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lang w:bidi="en-GB"/>
              </w:rPr>
            </w:pPr>
            <w:r w:rsidRPr="00AA69B7">
              <w:rPr>
                <w:rFonts w:eastAsia="Verdana" w:cs="Verdana"/>
                <w:lang w:bidi="en-GB"/>
              </w:rPr>
              <w:t>3 055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lang w:bidi="en-GB"/>
              </w:rPr>
            </w:pPr>
            <w:r w:rsidRPr="00AA69B7">
              <w:rPr>
                <w:rFonts w:eastAsia="Verdana" w:cs="Verdana"/>
                <w:lang w:bidi="en-GB"/>
              </w:rPr>
              <w:t>54 006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lang w:bidi="en-GB"/>
              </w:rPr>
            </w:pPr>
            <w:r w:rsidRPr="00AA69B7">
              <w:rPr>
                <w:rFonts w:eastAsia="Verdana" w:cs="Verdana"/>
                <w:lang w:bidi="en-GB"/>
              </w:rPr>
              <w:t xml:space="preserve"> 385</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lang w:bidi="en-GB"/>
              </w:rPr>
            </w:pPr>
            <w:r w:rsidRPr="00AA69B7">
              <w:rPr>
                <w:rFonts w:eastAsia="Verdana" w:cs="Verdana"/>
                <w:lang w:bidi="en-GB"/>
              </w:rPr>
              <w:t>54 392</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lang w:bidi="en-GB"/>
              </w:rPr>
            </w:pPr>
            <w:r w:rsidRPr="00AA69B7">
              <w:rPr>
                <w:rFonts w:eastAsia="Verdana" w:cs="Verdana"/>
                <w:lang w:bidi="en-GB"/>
              </w:rPr>
              <w:t>54 352</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BoldLeft"/>
              <w:rPr>
                <w:rFonts w:eastAsia="Verdana" w:cs="Verdana"/>
                <w:b w:val="0"/>
                <w:lang w:bidi="en-GB"/>
              </w:rPr>
            </w:pPr>
            <w:r w:rsidRPr="00AA69B7">
              <w:rPr>
                <w:rFonts w:eastAsia="Verdana" w:cs="Verdana"/>
                <w:b w:val="0"/>
                <w:lang w:bidi="en-GB"/>
              </w:rPr>
              <w:t>2.</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NormalLeft"/>
              <w:rPr>
                <w:rFonts w:eastAsia="Verdana" w:cs="Verdana"/>
                <w:lang w:bidi="en-GB"/>
              </w:rPr>
            </w:pPr>
            <w:r w:rsidRPr="00AA69B7">
              <w:rPr>
                <w:rFonts w:eastAsia="Verdana" w:cs="Verdana"/>
                <w:lang w:bidi="en-GB"/>
              </w:rPr>
              <w:t>Sustainable growth: natural resources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56 459</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 xml:space="preserve"> (500)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55 959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2 003</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57 962</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56 584</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9pItalicLeft"/>
              <w:rPr>
                <w:rFonts w:eastAsia="Verdana" w:cs="Verdana"/>
                <w:lang w:bidi="en-GB"/>
              </w:rPr>
            </w:pP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ItalicLeft"/>
              <w:rPr>
                <w:rFonts w:eastAsia="Verdana" w:cs="Verdana"/>
                <w:lang w:bidi="en-GB"/>
              </w:rPr>
            </w:pPr>
            <w:r w:rsidRPr="00AA69B7">
              <w:rPr>
                <w:rFonts w:eastAsia="Verdana" w:cs="Verdana"/>
                <w:lang w:bidi="en-GB"/>
              </w:rPr>
              <w:t>of which: market related expenditure and direct payments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lang w:bidi="en-GB"/>
              </w:rPr>
            </w:pPr>
            <w:r w:rsidRPr="00AA69B7">
              <w:rPr>
                <w:rFonts w:eastAsia="Verdana" w:cs="Verdana"/>
                <w:lang w:bidi="en-GB"/>
              </w:rPr>
              <w:t>43 777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lang w:bidi="en-GB"/>
              </w:rPr>
            </w:pPr>
            <w:r w:rsidRPr="00AA69B7">
              <w:rPr>
                <w:rFonts w:eastAsia="Verdana" w:cs="Verdana"/>
                <w:lang w:bidi="en-GB"/>
              </w:rPr>
              <w:t xml:space="preserve"> (1)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lang w:bidi="en-GB"/>
              </w:rPr>
            </w:pPr>
            <w:r w:rsidRPr="00AA69B7">
              <w:rPr>
                <w:rFonts w:eastAsia="Verdana" w:cs="Verdana"/>
                <w:lang w:bidi="en-GB"/>
              </w:rPr>
              <w:t>43 776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lang w:bidi="en-GB"/>
              </w:rPr>
            </w:pPr>
            <w:r w:rsidRPr="00AA69B7">
              <w:rPr>
                <w:rFonts w:eastAsia="Verdana" w:cs="Verdana"/>
                <w:lang w:bidi="en-GB"/>
              </w:rPr>
              <w:t>1 738</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lang w:bidi="en-GB"/>
              </w:rPr>
            </w:pPr>
            <w:r w:rsidRPr="00AA69B7">
              <w:rPr>
                <w:rFonts w:eastAsia="Verdana" w:cs="Verdana"/>
                <w:lang w:bidi="en-GB"/>
              </w:rPr>
              <w:t>45 514</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lang w:bidi="en-GB"/>
              </w:rPr>
            </w:pPr>
            <w:r w:rsidRPr="00AA69B7">
              <w:rPr>
                <w:rFonts w:eastAsia="Verdana" w:cs="Verdana"/>
                <w:lang w:bidi="en-GB"/>
              </w:rPr>
              <w:t>44 287</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BoldLeft"/>
              <w:rPr>
                <w:rFonts w:eastAsia="Verdana" w:cs="Verdana"/>
                <w:b w:val="0"/>
                <w:lang w:bidi="en-GB"/>
              </w:rPr>
            </w:pPr>
            <w:r w:rsidRPr="00AA69B7">
              <w:rPr>
                <w:rFonts w:eastAsia="Verdana" w:cs="Verdana"/>
                <w:b w:val="0"/>
                <w:lang w:bidi="en-GB"/>
              </w:rPr>
              <w:t>3.</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NormalLeft"/>
              <w:rPr>
                <w:rFonts w:eastAsia="Verdana" w:cs="Verdana"/>
                <w:lang w:bidi="en-GB"/>
              </w:rPr>
            </w:pPr>
            <w:r w:rsidRPr="00AA69B7">
              <w:rPr>
                <w:rFonts w:eastAsia="Verdana" w:cs="Verdana"/>
                <w:lang w:bidi="en-GB"/>
              </w:rPr>
              <w:t>Security and citizenship</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1 677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 xml:space="preserve"> (17)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1 660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 xml:space="preserve"> 88</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1 747</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1 711</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BoldLeft"/>
              <w:rPr>
                <w:rFonts w:eastAsia="Verdana" w:cs="Verdana"/>
                <w:b w:val="0"/>
                <w:lang w:bidi="en-GB"/>
              </w:rPr>
            </w:pPr>
            <w:r w:rsidRPr="00AA69B7">
              <w:rPr>
                <w:rFonts w:eastAsia="Verdana" w:cs="Verdana"/>
                <w:b w:val="0"/>
                <w:lang w:bidi="en-GB"/>
              </w:rPr>
              <w:t>4.</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NormalLeft"/>
              <w:rPr>
                <w:rFonts w:eastAsia="Verdana" w:cs="Verdana"/>
                <w:lang w:bidi="en-GB"/>
              </w:rPr>
            </w:pPr>
            <w:r w:rsidRPr="00AA69B7">
              <w:rPr>
                <w:rFonts w:eastAsia="Verdana" w:cs="Verdana"/>
                <w:lang w:bidi="en-GB"/>
              </w:rPr>
              <w:t>Global Europe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6 191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 xml:space="preserve"> 734</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6 925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 xml:space="preserve"> 556</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7 481</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7 206</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BoldLeft"/>
              <w:rPr>
                <w:rFonts w:eastAsia="Verdana" w:cs="Verdana"/>
                <w:b w:val="0"/>
                <w:lang w:bidi="en-GB"/>
              </w:rPr>
            </w:pPr>
            <w:r w:rsidRPr="00AA69B7">
              <w:rPr>
                <w:rFonts w:eastAsia="Verdana" w:cs="Verdana"/>
                <w:b w:val="0"/>
                <w:lang w:bidi="en-GB"/>
              </w:rPr>
              <w:t>5.</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NormalLeft"/>
              <w:rPr>
                <w:rFonts w:eastAsia="Verdana" w:cs="Verdana"/>
                <w:lang w:bidi="en-GB"/>
              </w:rPr>
            </w:pPr>
            <w:r w:rsidRPr="00AA69B7">
              <w:rPr>
                <w:rFonts w:eastAsia="Verdana" w:cs="Verdana"/>
                <w:lang w:bidi="en-GB"/>
              </w:rPr>
              <w:t>Administration</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8 406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8 406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1 634</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10 040</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8 819</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9pItalicLeft"/>
              <w:rPr>
                <w:rFonts w:eastAsia="Verdana" w:cs="Verdana"/>
                <w:lang w:bidi="en-GB"/>
              </w:rPr>
            </w:pP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ItalicLeft"/>
              <w:rPr>
                <w:rFonts w:eastAsia="Verdana" w:cs="Verdana"/>
                <w:lang w:bidi="en-GB"/>
              </w:rPr>
            </w:pPr>
            <w:r w:rsidRPr="00AA69B7">
              <w:rPr>
                <w:rFonts w:eastAsia="Verdana" w:cs="Verdana"/>
                <w:lang w:bidi="en-GB"/>
              </w:rPr>
              <w:t>of which: Administrative expenditure of the institutions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lang w:bidi="en-GB"/>
              </w:rPr>
            </w:pPr>
            <w:r w:rsidRPr="00AA69B7">
              <w:rPr>
                <w:rFonts w:eastAsia="Verdana" w:cs="Verdana"/>
                <w:lang w:bidi="en-GB"/>
              </w:rPr>
              <w:t>3 532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lang w:bidi="en-GB"/>
              </w:rPr>
            </w:pPr>
            <w:r w:rsidRPr="00AA69B7">
              <w:rPr>
                <w:rFonts w:eastAsia="Verdana" w:cs="Verdana"/>
                <w:lang w:bidi="en-GB"/>
              </w:rP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lang w:bidi="en-GB"/>
              </w:rPr>
            </w:pPr>
            <w:r w:rsidRPr="00AA69B7">
              <w:rPr>
                <w:rFonts w:eastAsia="Verdana" w:cs="Verdana"/>
                <w:lang w:bidi="en-GB"/>
              </w:rPr>
              <w:t>3 531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lang w:bidi="en-GB"/>
              </w:rPr>
            </w:pPr>
            <w:r w:rsidRPr="00AA69B7">
              <w:rPr>
                <w:rFonts w:eastAsia="Verdana" w:cs="Verdana"/>
                <w:lang w:bidi="en-GB"/>
              </w:rPr>
              <w:t xml:space="preserve"> 944</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lang w:bidi="en-GB"/>
              </w:rPr>
            </w:pPr>
            <w:r w:rsidRPr="00AA69B7">
              <w:rPr>
                <w:rFonts w:eastAsia="Verdana" w:cs="Verdana"/>
                <w:lang w:bidi="en-GB"/>
              </w:rPr>
              <w:t>4 475</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lang w:bidi="en-GB"/>
              </w:rPr>
            </w:pPr>
            <w:r w:rsidRPr="00AA69B7">
              <w:rPr>
                <w:rFonts w:eastAsia="Verdana" w:cs="Verdana"/>
                <w:lang w:bidi="en-GB"/>
              </w:rPr>
              <w:t>3 729</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BoldLeft"/>
              <w:rPr>
                <w:rFonts w:eastAsia="Verdana" w:cs="Verdana"/>
                <w:b w:val="0"/>
                <w:lang w:bidi="en-GB"/>
              </w:rPr>
            </w:pPr>
            <w:r w:rsidRPr="00AA69B7">
              <w:rPr>
                <w:rFonts w:eastAsia="Verdana" w:cs="Verdana"/>
                <w:b w:val="0"/>
                <w:lang w:bidi="en-GB"/>
              </w:rPr>
              <w:t>6.</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NormalLeft"/>
              <w:rPr>
                <w:rFonts w:eastAsia="Verdana" w:cs="Verdana"/>
                <w:lang w:bidi="en-GB"/>
              </w:rPr>
            </w:pPr>
            <w:r w:rsidRPr="00AA69B7">
              <w:rPr>
                <w:rFonts w:eastAsia="Verdana" w:cs="Verdana"/>
                <w:lang w:bidi="en-GB"/>
              </w:rPr>
              <w:t>Compensations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 xml:space="preserve"> 29</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 xml:space="preserve"> 29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 xml:space="preserve"> 29</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 xml:space="preserve"> 29</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BoldLeft"/>
              <w:rPr>
                <w:rFonts w:eastAsia="Verdana" w:cs="Verdana"/>
                <w:b w:val="0"/>
                <w:lang w:bidi="en-GB"/>
              </w:rPr>
            </w:pPr>
            <w:r w:rsidRPr="00AA69B7">
              <w:rPr>
                <w:rFonts w:eastAsia="Verdana" w:cs="Verdana"/>
                <w:b w:val="0"/>
                <w:lang w:bidi="en-GB"/>
              </w:rPr>
              <w:t>8.</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NormalLeft"/>
              <w:rPr>
                <w:rFonts w:eastAsia="Verdana" w:cs="Verdana"/>
                <w:lang w:bidi="en-GB"/>
              </w:rPr>
            </w:pPr>
            <w:r w:rsidRPr="00AA69B7">
              <w:rPr>
                <w:rFonts w:eastAsia="Verdana" w:cs="Verdana"/>
                <w:lang w:bidi="en-GB"/>
              </w:rPr>
              <w:t>Negative reserve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BoldLeft"/>
              <w:rPr>
                <w:rFonts w:eastAsia="Verdana" w:cs="Verdana"/>
                <w:b w:val="0"/>
                <w:lang w:bidi="en-GB"/>
              </w:rPr>
            </w:pPr>
            <w:r w:rsidRPr="00AA69B7">
              <w:rPr>
                <w:rFonts w:eastAsia="Verdana" w:cs="Verdana"/>
                <w:b w:val="0"/>
                <w:lang w:bidi="en-GB"/>
              </w:rPr>
              <w:t>9.</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NormalLeft"/>
              <w:rPr>
                <w:rFonts w:eastAsia="Verdana" w:cs="Verdana"/>
                <w:lang w:bidi="en-GB"/>
              </w:rPr>
            </w:pPr>
            <w:r w:rsidRPr="00AA69B7">
              <w:rPr>
                <w:rFonts w:eastAsia="Verdana" w:cs="Verdana"/>
                <w:lang w:bidi="en-GB"/>
              </w:rPr>
              <w:t>Special Instruments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 xml:space="preserve"> 350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 xml:space="preserve"> (157)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 xml:space="preserve"> 193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 xml:space="preserve"> 344</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 xml:space="preserve"> 536</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lang w:bidi="en-GB"/>
              </w:rPr>
            </w:pPr>
            <w:r w:rsidRPr="00AA69B7">
              <w:rPr>
                <w:rFonts w:eastAsia="Verdana" w:cs="Verdana"/>
                <w:lang w:bidi="en-GB"/>
              </w:rPr>
              <w:t xml:space="preserve"> 465</w:t>
            </w:r>
          </w:p>
        </w:tc>
      </w:tr>
      <w:tr w:rsidR="00E7728E">
        <w:tc>
          <w:tcPr>
            <w:tcW w:w="2802" w:type="dxa"/>
            <w:gridSpan w:val="2"/>
            <w:tcBorders>
              <w:top w:val="nil"/>
              <w:left w:val="nil"/>
              <w:bottom w:val="nil"/>
              <w:right w:val="nil"/>
            </w:tcBorders>
            <w:shd w:val="clear" w:color="auto" w:fill="CBE1EA"/>
            <w:tcMar>
              <w:top w:w="0" w:type="dxa"/>
              <w:left w:w="0" w:type="dxa"/>
              <w:bottom w:w="0" w:type="dxa"/>
              <w:right w:w="0" w:type="dxa"/>
            </w:tcMar>
          </w:tcPr>
          <w:p w:rsidR="00F50689" w:rsidRPr="00AA69B7" w:rsidRDefault="005A36C4" w:rsidP="00F50689">
            <w:pPr>
              <w:pStyle w:val="Figures9pBoldRight025"/>
              <w:jc w:val="left"/>
              <w:rPr>
                <w:rFonts w:eastAsia="Verdana" w:cs="Verdana"/>
                <w:lang w:bidi="en-GB"/>
              </w:rPr>
            </w:pPr>
            <w:r w:rsidRPr="00AA69B7">
              <w:rPr>
                <w:rFonts w:eastAsia="Verdana" w:cs="Verdana"/>
                <w:lang w:bidi="en-GB"/>
              </w:rPr>
              <w:t>Total</w:t>
            </w:r>
          </w:p>
        </w:tc>
        <w:tc>
          <w:tcPr>
            <w:tcW w:w="992" w:type="dxa"/>
            <w:tcBorders>
              <w:top w:val="nil"/>
              <w:left w:val="nil"/>
              <w:bottom w:val="nil"/>
              <w:right w:val="nil"/>
            </w:tcBorders>
            <w:shd w:val="clear" w:color="auto" w:fill="CBE1EA"/>
            <w:tcMar>
              <w:top w:w="0" w:type="dxa"/>
              <w:left w:w="0" w:type="dxa"/>
              <w:bottom w:w="0" w:type="dxa"/>
              <w:right w:w="0" w:type="dxa"/>
            </w:tcMar>
          </w:tcPr>
          <w:p w:rsidR="00F50689" w:rsidRPr="00AA69B7" w:rsidRDefault="005A36C4" w:rsidP="00F50689">
            <w:pPr>
              <w:pStyle w:val="Figures9pBoldRight025"/>
              <w:rPr>
                <w:rFonts w:eastAsia="Verdana" w:cs="Verdana"/>
                <w:lang w:bidi="en-GB"/>
              </w:rPr>
            </w:pPr>
            <w:r w:rsidRPr="00AA69B7">
              <w:rPr>
                <w:rFonts w:eastAsia="Verdana" w:cs="Verdana"/>
                <w:lang w:bidi="en-GB"/>
              </w:rPr>
              <w:t>135 505</w:t>
            </w:r>
          </w:p>
        </w:tc>
        <w:tc>
          <w:tcPr>
            <w:tcW w:w="1134" w:type="dxa"/>
            <w:tcBorders>
              <w:top w:val="nil"/>
              <w:left w:val="nil"/>
              <w:bottom w:val="nil"/>
              <w:right w:val="nil"/>
            </w:tcBorders>
            <w:shd w:val="clear" w:color="auto" w:fill="CBE1EA"/>
            <w:tcMar>
              <w:top w:w="0" w:type="dxa"/>
              <w:left w:w="0" w:type="dxa"/>
              <w:bottom w:w="0" w:type="dxa"/>
              <w:right w:w="0" w:type="dxa"/>
            </w:tcMar>
          </w:tcPr>
          <w:p w:rsidR="00F50689" w:rsidRPr="00AA69B7" w:rsidRDefault="005A36C4" w:rsidP="00F50689">
            <w:pPr>
              <w:pStyle w:val="Figures9pBoldRight025"/>
              <w:rPr>
                <w:rFonts w:eastAsia="Verdana" w:cs="Verdana"/>
                <w:lang w:bidi="en-GB"/>
              </w:rPr>
            </w:pPr>
            <w:r w:rsidRPr="00AA69B7">
              <w:rPr>
                <w:rFonts w:eastAsia="Verdana" w:cs="Verdana"/>
                <w:lang w:bidi="en-GB"/>
              </w:rPr>
              <w:t>3 530</w:t>
            </w:r>
          </w:p>
        </w:tc>
        <w:tc>
          <w:tcPr>
            <w:tcW w:w="1134" w:type="dxa"/>
            <w:tcBorders>
              <w:top w:val="nil"/>
              <w:left w:val="nil"/>
              <w:bottom w:val="nil"/>
              <w:right w:val="nil"/>
            </w:tcBorders>
            <w:shd w:val="clear" w:color="auto" w:fill="CBE1EA"/>
            <w:tcMar>
              <w:top w:w="0" w:type="dxa"/>
              <w:left w:w="0" w:type="dxa"/>
              <w:bottom w:w="0" w:type="dxa"/>
              <w:right w:w="0" w:type="dxa"/>
            </w:tcMar>
          </w:tcPr>
          <w:p w:rsidR="00F50689" w:rsidRPr="00AA69B7" w:rsidRDefault="005A36C4" w:rsidP="00F50689">
            <w:pPr>
              <w:pStyle w:val="Figures9pBoldRight025"/>
              <w:rPr>
                <w:rFonts w:eastAsia="Verdana" w:cs="Verdana"/>
                <w:lang w:bidi="en-GB"/>
              </w:rPr>
            </w:pPr>
            <w:r w:rsidRPr="00AA69B7">
              <w:rPr>
                <w:rFonts w:eastAsia="Verdana" w:cs="Verdana"/>
                <w:lang w:bidi="en-GB"/>
              </w:rPr>
              <w:t>139 034</w:t>
            </w:r>
          </w:p>
        </w:tc>
        <w:tc>
          <w:tcPr>
            <w:tcW w:w="992" w:type="dxa"/>
            <w:tcBorders>
              <w:top w:val="nil"/>
              <w:left w:val="nil"/>
              <w:bottom w:val="nil"/>
              <w:right w:val="nil"/>
            </w:tcBorders>
            <w:shd w:val="clear" w:color="auto" w:fill="CBE1EA"/>
            <w:tcMar>
              <w:top w:w="0" w:type="dxa"/>
              <w:left w:w="0" w:type="dxa"/>
              <w:bottom w:w="0" w:type="dxa"/>
              <w:right w:w="0" w:type="dxa"/>
            </w:tcMar>
          </w:tcPr>
          <w:p w:rsidR="00F50689" w:rsidRPr="00AA69B7" w:rsidRDefault="005A36C4" w:rsidP="00F50689">
            <w:pPr>
              <w:pStyle w:val="Figures9pBoldRight025"/>
              <w:rPr>
                <w:rFonts w:eastAsia="Verdana" w:cs="Verdana"/>
                <w:lang w:bidi="en-GB"/>
              </w:rPr>
            </w:pPr>
            <w:r w:rsidRPr="00AA69B7">
              <w:rPr>
                <w:rFonts w:eastAsia="Verdana" w:cs="Verdana"/>
                <w:lang w:bidi="en-GB"/>
              </w:rPr>
              <w:t>8 460</w:t>
            </w:r>
          </w:p>
        </w:tc>
        <w:tc>
          <w:tcPr>
            <w:tcW w:w="1276" w:type="dxa"/>
            <w:tcBorders>
              <w:top w:val="nil"/>
              <w:left w:val="nil"/>
              <w:bottom w:val="nil"/>
              <w:right w:val="nil"/>
            </w:tcBorders>
            <w:shd w:val="clear" w:color="auto" w:fill="CBE1EA"/>
            <w:tcMar>
              <w:top w:w="0" w:type="dxa"/>
              <w:left w:w="0" w:type="dxa"/>
              <w:bottom w:w="0" w:type="dxa"/>
              <w:right w:w="0" w:type="dxa"/>
            </w:tcMar>
          </w:tcPr>
          <w:p w:rsidR="00F50689" w:rsidRPr="00AA69B7" w:rsidRDefault="005A36C4" w:rsidP="00F50689">
            <w:pPr>
              <w:pStyle w:val="Figures9pBoldRight025"/>
              <w:rPr>
                <w:rFonts w:eastAsia="Verdana" w:cs="Verdana"/>
                <w:lang w:bidi="en-GB"/>
              </w:rPr>
            </w:pPr>
            <w:r w:rsidRPr="00AA69B7">
              <w:rPr>
                <w:rFonts w:eastAsia="Verdana" w:cs="Verdana"/>
                <w:lang w:bidi="en-GB"/>
              </w:rPr>
              <w:t>147 495</w:t>
            </w:r>
          </w:p>
        </w:tc>
        <w:tc>
          <w:tcPr>
            <w:tcW w:w="1417" w:type="dxa"/>
            <w:tcBorders>
              <w:top w:val="nil"/>
              <w:left w:val="nil"/>
              <w:bottom w:val="nil"/>
              <w:right w:val="nil"/>
            </w:tcBorders>
            <w:shd w:val="clear" w:color="auto" w:fill="CBE1EA"/>
            <w:tcMar>
              <w:top w:w="0" w:type="dxa"/>
              <w:left w:w="0" w:type="dxa"/>
              <w:bottom w:w="0" w:type="dxa"/>
              <w:right w:w="0" w:type="dxa"/>
            </w:tcMar>
          </w:tcPr>
          <w:p w:rsidR="00F50689" w:rsidRPr="00AA69B7" w:rsidRDefault="005A36C4" w:rsidP="00F50689">
            <w:pPr>
              <w:pStyle w:val="Figures9pBoldRight025"/>
              <w:rPr>
                <w:rFonts w:eastAsia="Verdana" w:cs="Verdana"/>
                <w:lang w:bidi="en-GB"/>
              </w:rPr>
            </w:pPr>
            <w:r w:rsidRPr="00AA69B7">
              <w:rPr>
                <w:rFonts w:eastAsia="Verdana" w:cs="Verdana"/>
                <w:lang w:bidi="en-GB"/>
              </w:rPr>
              <w:t>142 497</w:t>
            </w:r>
          </w:p>
        </w:tc>
      </w:tr>
    </w:tbl>
    <w:p w:rsidR="00F50689" w:rsidRPr="008A7D59" w:rsidRDefault="005A36C4" w:rsidP="008A7D59">
      <w:pPr>
        <w:pStyle w:val="Textstand-alone"/>
        <w:spacing w:before="60"/>
        <w:rPr>
          <w:i/>
          <w:sz w:val="14"/>
        </w:rPr>
      </w:pPr>
      <w:r w:rsidRPr="008A7D59">
        <w:rPr>
          <w:i/>
          <w:sz w:val="14"/>
        </w:rPr>
        <w:t>* Additional appropriations include appropriations carried over from last year, assigned revenue and appropriations becoming available as a result of decommitments.</w:t>
      </w:r>
    </w:p>
    <w:p w:rsidR="00F50689" w:rsidRDefault="005A36C4" w:rsidP="00F50689">
      <w:pPr>
        <w:pStyle w:val="Textstand-alone"/>
        <w:spacing w:after="0"/>
      </w:pPr>
      <w:r>
        <w:t xml:space="preserve">For details of the 2014 expenditure implementation see note </w:t>
      </w:r>
      <w:r>
        <w:rPr>
          <w:b/>
        </w:rPr>
        <w:t>5</w:t>
      </w:r>
      <w:r>
        <w:t xml:space="preserve"> and for the explanation note </w:t>
      </w:r>
      <w:r>
        <w:rPr>
          <w:b/>
        </w:rPr>
        <w:t>5.11</w:t>
      </w:r>
      <w:r>
        <w:t>.</w:t>
      </w:r>
    </w:p>
    <w:p w:rsidR="00F50689" w:rsidRPr="00AA69B7" w:rsidRDefault="005A36C4" w:rsidP="00F50689">
      <w:pPr>
        <w:pStyle w:val="Textstand-alone"/>
        <w:spacing w:before="0" w:after="0"/>
        <w:sectPr w:rsidR="00F50689" w:rsidRPr="00AA69B7" w:rsidSect="00F50689">
          <w:headerReference w:type="even" r:id="rId455"/>
          <w:headerReference w:type="default" r:id="rId456"/>
          <w:footerReference w:type="even" r:id="rId457"/>
          <w:footerReference w:type="default" r:id="rId458"/>
          <w:headerReference w:type="first" r:id="rId459"/>
          <w:footerReference w:type="first" r:id="rId460"/>
          <w:pgSz w:w="11907" w:h="16840" w:code="9"/>
          <w:pgMar w:top="1134" w:right="1134" w:bottom="1134" w:left="1134" w:header="709" w:footer="709" w:gutter="0"/>
          <w:cols w:space="708"/>
          <w:docGrid w:linePitch="360"/>
        </w:sectPr>
      </w:pPr>
      <w:r>
        <w:t xml:space="preserve"> </w:t>
      </w:r>
      <w:bookmarkEnd w:id="221"/>
    </w:p>
    <w:p w:rsidR="00F50689" w:rsidRPr="000C54D7" w:rsidRDefault="005A36C4" w:rsidP="00F50689">
      <w:pPr>
        <w:pStyle w:val="HEADERTITLE2"/>
      </w:pPr>
      <w:bookmarkStart w:id="224" w:name="_Toc424653730"/>
      <w:bookmarkStart w:id="225" w:name="_DMBM_3427"/>
      <w:r w:rsidRPr="000C54D7">
        <w:t>NOTES TO THE AGGREGATED REPORTS ON THE IMPLEMENTATION OF THE BUDGET</w:t>
      </w:r>
      <w:bookmarkEnd w:id="224"/>
      <w:r w:rsidRPr="000C54D7">
        <w:t xml:space="preserve"> </w:t>
      </w:r>
    </w:p>
    <w:p w:rsidR="00F50689" w:rsidRDefault="005A36C4" w:rsidP="00F50689">
      <w:pPr>
        <w:pStyle w:val="HEADER1Part3"/>
      </w:pPr>
      <w:bookmarkStart w:id="226" w:name="_Toc424653731"/>
      <w:r>
        <w:t>THE EU BUDGET CYCLE</w:t>
      </w:r>
      <w:bookmarkEnd w:id="226"/>
    </w:p>
    <w:p w:rsidR="00F50689" w:rsidRDefault="005A36C4" w:rsidP="00F50689">
      <w:pPr>
        <w:pStyle w:val="Textstand-alone"/>
      </w:pPr>
      <w:r>
        <w:t>The budgetary accounts are kept in accordance with the Financial Regulation (FR) and its rules of application. The general budget, the main instrument of the Union's financial policy, is the instrument which provides for and authorises the Union's revenue and expenditure every year. In accordance with the FR, there are two main elements: the multi annual financial framework (MFF), which sets the main ceilings for a period of 7 years, and the annual budget procedure.</w:t>
      </w:r>
    </w:p>
    <w:p w:rsidR="00F50689" w:rsidRDefault="005A36C4" w:rsidP="00F50689">
      <w:pPr>
        <w:pStyle w:val="HEADER2Part3"/>
      </w:pPr>
      <w:bookmarkStart w:id="227" w:name="_Toc424653732"/>
      <w:r>
        <w:t>MULTIANNUAL FINANCIAL FRAMEWORK 2014-2020</w:t>
      </w:r>
      <w:bookmarkEnd w:id="227"/>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900"/>
        <w:gridCol w:w="900"/>
        <w:gridCol w:w="900"/>
        <w:gridCol w:w="900"/>
        <w:gridCol w:w="900"/>
        <w:gridCol w:w="900"/>
        <w:gridCol w:w="900"/>
        <w:gridCol w:w="999"/>
      </w:tblGrid>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lang w:bidi="en-GB"/>
              </w:rPr>
            </w:pPr>
            <w:bookmarkStart w:id="228" w:name="DOC_TBL00096_1_1"/>
            <w:bookmarkEnd w:id="228"/>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899" w:type="dxa"/>
            <w:gridSpan w:val="2"/>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lang w:bidi="en-GB"/>
              </w:rPr>
            </w:pPr>
            <w:r>
              <w:rPr>
                <w:rFonts w:eastAsia="Verdana" w:cs="Verdana"/>
                <w:lang w:bidi="en-GB"/>
              </w:rPr>
              <w:t>EUR millions</w:t>
            </w:r>
          </w:p>
        </w:tc>
      </w:tr>
      <w:tr w:rsidR="00E7728E">
        <w:tc>
          <w:tcPr>
            <w:tcW w:w="2448"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Right01"/>
              <w:rPr>
                <w:rFonts w:eastAsia="Verdana" w:cs="Verdana"/>
                <w:lang w:bidi="en-GB"/>
              </w:rPr>
            </w:pPr>
          </w:p>
        </w:tc>
        <w:tc>
          <w:tcPr>
            <w:tcW w:w="90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25"/>
              <w:rPr>
                <w:rFonts w:eastAsia="Verdana" w:cs="Verdana"/>
                <w:lang w:bidi="en-GB"/>
              </w:rPr>
            </w:pPr>
            <w:r>
              <w:rPr>
                <w:rFonts w:eastAsia="Verdana" w:cs="Verdana"/>
                <w:lang w:bidi="en-GB"/>
              </w:rPr>
              <w:t>2014</w:t>
            </w:r>
          </w:p>
        </w:tc>
        <w:tc>
          <w:tcPr>
            <w:tcW w:w="90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25"/>
              <w:rPr>
                <w:rFonts w:eastAsia="Verdana" w:cs="Verdana"/>
                <w:lang w:bidi="en-GB"/>
              </w:rPr>
            </w:pPr>
            <w:r>
              <w:rPr>
                <w:rFonts w:eastAsia="Verdana" w:cs="Verdana"/>
                <w:lang w:bidi="en-GB"/>
              </w:rPr>
              <w:t>2015</w:t>
            </w:r>
          </w:p>
        </w:tc>
        <w:tc>
          <w:tcPr>
            <w:tcW w:w="90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25"/>
              <w:rPr>
                <w:rFonts w:eastAsia="Verdana" w:cs="Verdana"/>
                <w:lang w:bidi="en-GB"/>
              </w:rPr>
            </w:pPr>
            <w:r>
              <w:rPr>
                <w:rFonts w:eastAsia="Verdana" w:cs="Verdana"/>
                <w:lang w:bidi="en-GB"/>
              </w:rPr>
              <w:t>2016</w:t>
            </w:r>
          </w:p>
        </w:tc>
        <w:tc>
          <w:tcPr>
            <w:tcW w:w="90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25"/>
              <w:rPr>
                <w:rFonts w:eastAsia="Verdana" w:cs="Verdana"/>
                <w:lang w:bidi="en-GB"/>
              </w:rPr>
            </w:pPr>
            <w:r>
              <w:rPr>
                <w:rFonts w:eastAsia="Verdana" w:cs="Verdana"/>
                <w:lang w:bidi="en-GB"/>
              </w:rPr>
              <w:t>2017</w:t>
            </w:r>
          </w:p>
        </w:tc>
        <w:tc>
          <w:tcPr>
            <w:tcW w:w="90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25"/>
              <w:rPr>
                <w:rFonts w:eastAsia="Verdana" w:cs="Verdana"/>
                <w:lang w:bidi="en-GB"/>
              </w:rPr>
            </w:pPr>
            <w:r>
              <w:rPr>
                <w:rFonts w:eastAsia="Verdana" w:cs="Verdana"/>
                <w:lang w:bidi="en-GB"/>
              </w:rPr>
              <w:t>2018</w:t>
            </w:r>
          </w:p>
        </w:tc>
        <w:tc>
          <w:tcPr>
            <w:tcW w:w="90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25"/>
              <w:rPr>
                <w:rFonts w:eastAsia="Verdana" w:cs="Verdana"/>
                <w:lang w:bidi="en-GB"/>
              </w:rPr>
            </w:pPr>
            <w:r>
              <w:rPr>
                <w:rFonts w:eastAsia="Verdana" w:cs="Verdana"/>
                <w:lang w:bidi="en-GB"/>
              </w:rPr>
              <w:t>2019</w:t>
            </w:r>
          </w:p>
        </w:tc>
        <w:tc>
          <w:tcPr>
            <w:tcW w:w="90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25"/>
              <w:rPr>
                <w:rFonts w:eastAsia="Verdana" w:cs="Verdana"/>
                <w:lang w:bidi="en-GB"/>
              </w:rPr>
            </w:pPr>
            <w:r>
              <w:rPr>
                <w:rFonts w:eastAsia="Verdana" w:cs="Verdana"/>
                <w:lang w:bidi="en-GB"/>
              </w:rPr>
              <w:t>2020</w:t>
            </w:r>
          </w:p>
        </w:tc>
        <w:tc>
          <w:tcPr>
            <w:tcW w:w="99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25"/>
              <w:rPr>
                <w:rFonts w:eastAsia="Verdana" w:cs="Verdana"/>
                <w:lang w:bidi="en-GB"/>
              </w:rPr>
            </w:pPr>
            <w:r>
              <w:rPr>
                <w:rFonts w:eastAsia="Verdana" w:cs="Verdana"/>
                <w:lang w:bidi="en-GB"/>
              </w:rPr>
              <w:t>Total</w:t>
            </w:r>
          </w:p>
        </w:tc>
      </w:tr>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lang w:bidi="en-GB"/>
              </w:rPr>
            </w:pPr>
            <w:r>
              <w:rPr>
                <w:rFonts w:eastAsia="Verdana" w:cs="Verdana"/>
                <w:lang w:bidi="en-GB"/>
              </w:rPr>
              <w:t>1. Smart and inclusive growth</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63 973</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66 813</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69 304</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72 342</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75 271</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78 752</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82 466</w:t>
            </w:r>
          </w:p>
        </w:tc>
        <w:tc>
          <w:tcPr>
            <w:tcW w:w="99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508 921</w:t>
            </w:r>
          </w:p>
        </w:tc>
      </w:tr>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lang w:bidi="en-GB"/>
              </w:rPr>
            </w:pPr>
            <w:r>
              <w:rPr>
                <w:rFonts w:eastAsia="Verdana" w:cs="Verdana"/>
                <w:lang w:bidi="en-GB"/>
              </w:rPr>
              <w:t>1.a Competitiveness for growth and jobs</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16 560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17 666</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18 467</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19 925</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21 239</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23 082</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25 191</w:t>
            </w:r>
          </w:p>
        </w:tc>
        <w:tc>
          <w:tcPr>
            <w:tcW w:w="99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142 130</w:t>
            </w:r>
          </w:p>
        </w:tc>
      </w:tr>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lang w:bidi="en-GB"/>
              </w:rPr>
            </w:pPr>
            <w:r>
              <w:rPr>
                <w:rFonts w:eastAsia="Verdana" w:cs="Verdana"/>
                <w:lang w:bidi="en-GB"/>
              </w:rPr>
              <w:t>1.b Economic, social and territorial cohesion</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47 413</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49 147</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50 837</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52 417</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54 032</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55 670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57 275</w:t>
            </w:r>
          </w:p>
        </w:tc>
        <w:tc>
          <w:tcPr>
            <w:tcW w:w="99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366 791</w:t>
            </w:r>
          </w:p>
        </w:tc>
      </w:tr>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lang w:bidi="en-GB"/>
              </w:rPr>
            </w:pPr>
            <w:r>
              <w:rPr>
                <w:rFonts w:eastAsia="Verdana" w:cs="Verdana"/>
                <w:lang w:bidi="en-GB"/>
              </w:rPr>
              <w:t>2. Sustainable growth: natural resources</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59 303</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59 599</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59 909</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60 191</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60 267</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60 344</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60 421</w:t>
            </w:r>
          </w:p>
        </w:tc>
        <w:tc>
          <w:tcPr>
            <w:tcW w:w="99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420 034</w:t>
            </w:r>
          </w:p>
        </w:tc>
      </w:tr>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lang w:bidi="en-GB"/>
              </w:rPr>
            </w:pPr>
            <w:r>
              <w:rPr>
                <w:rFonts w:eastAsia="Verdana" w:cs="Verdana"/>
                <w:lang w:bidi="en-GB"/>
              </w:rPr>
              <w:t>of which: market related expenditure and direct payments</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43 779</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44 313</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44 624</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44 859</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44 885</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44 912</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44 937</w:t>
            </w:r>
          </w:p>
        </w:tc>
        <w:tc>
          <w:tcPr>
            <w:tcW w:w="99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312 309</w:t>
            </w:r>
          </w:p>
        </w:tc>
      </w:tr>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lang w:bidi="en-GB"/>
              </w:rPr>
            </w:pPr>
            <w:r>
              <w:rPr>
                <w:rFonts w:eastAsia="Verdana" w:cs="Verdana"/>
                <w:lang w:bidi="en-GB"/>
              </w:rPr>
              <w:t>3. Security and citizenship</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2 179</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2 246</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2 378</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2 514</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2 656</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2 801</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2 951</w:t>
            </w:r>
          </w:p>
        </w:tc>
        <w:tc>
          <w:tcPr>
            <w:tcW w:w="99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17 725</w:t>
            </w:r>
          </w:p>
        </w:tc>
      </w:tr>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lang w:bidi="en-GB"/>
              </w:rPr>
            </w:pPr>
            <w:r>
              <w:rPr>
                <w:rFonts w:eastAsia="Verdana" w:cs="Verdana"/>
                <w:lang w:bidi="en-GB"/>
              </w:rPr>
              <w:t>4. Global Europe</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8 335</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8 749</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9 143</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9 432</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9 825</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10 268</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10 510</w:t>
            </w:r>
          </w:p>
        </w:tc>
        <w:tc>
          <w:tcPr>
            <w:tcW w:w="99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66 262</w:t>
            </w:r>
          </w:p>
        </w:tc>
      </w:tr>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lang w:bidi="en-GB"/>
              </w:rPr>
            </w:pPr>
            <w:r>
              <w:rPr>
                <w:rFonts w:eastAsia="Verdana" w:cs="Verdana"/>
                <w:lang w:bidi="en-GB"/>
              </w:rPr>
              <w:t>5. Administration</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8 721</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9 076</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9 483</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9 918</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10 346</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10 786</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11 254</w:t>
            </w:r>
          </w:p>
        </w:tc>
        <w:tc>
          <w:tcPr>
            <w:tcW w:w="99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69 584</w:t>
            </w:r>
          </w:p>
        </w:tc>
      </w:tr>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lang w:bidi="en-GB"/>
              </w:rPr>
            </w:pPr>
            <w:r>
              <w:rPr>
                <w:rFonts w:eastAsia="Verdana" w:cs="Verdana"/>
                <w:lang w:bidi="en-GB"/>
              </w:rPr>
              <w:t>of which: Administrative expenditure of the institutions</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7 056</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7 351</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7 679</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8 007</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8 360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8 700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9 071</w:t>
            </w:r>
          </w:p>
        </w:tc>
        <w:tc>
          <w:tcPr>
            <w:tcW w:w="99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56 224</w:t>
            </w:r>
          </w:p>
        </w:tc>
      </w:tr>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lang w:bidi="en-GB"/>
              </w:rPr>
            </w:pPr>
            <w:r>
              <w:rPr>
                <w:rFonts w:eastAsia="Verdana" w:cs="Verdana"/>
                <w:lang w:bidi="en-GB"/>
              </w:rPr>
              <w:t>6. Compensations</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29</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w:t>
            </w:r>
          </w:p>
        </w:tc>
        <w:tc>
          <w:tcPr>
            <w:tcW w:w="99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29</w:t>
            </w:r>
          </w:p>
        </w:tc>
      </w:tr>
      <w:tr w:rsidR="00E7728E">
        <w:tc>
          <w:tcPr>
            <w:tcW w:w="244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7pBoldLeft"/>
              <w:rPr>
                <w:rFonts w:eastAsia="Verdana" w:cs="Verdana"/>
                <w:lang w:bidi="en-GB"/>
              </w:rPr>
            </w:pPr>
            <w:r>
              <w:rPr>
                <w:rFonts w:eastAsia="Verdana" w:cs="Verdana"/>
                <w:lang w:bidi="en-GB"/>
              </w:rPr>
              <w:t>Commitment appropriations:</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142 540</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146 483</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150 217</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154 397</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158 365</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162 951</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167 602</w:t>
            </w:r>
          </w:p>
        </w:tc>
        <w:tc>
          <w:tcPr>
            <w:tcW w:w="99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1 082 555</w:t>
            </w:r>
          </w:p>
        </w:tc>
      </w:tr>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lang w:bidi="en-GB"/>
              </w:rPr>
            </w:pP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7pItalicRight025"/>
              <w:rPr>
                <w:rFonts w:eastAsia="Verdana" w:cs="Verdana"/>
                <w:i w:val="0"/>
                <w:lang w:bidi="en-GB"/>
              </w:rPr>
            </w:pP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7pItalicRight025"/>
              <w:rPr>
                <w:rFonts w:eastAsia="Verdana" w:cs="Verdana"/>
                <w:i w:val="0"/>
                <w:lang w:bidi="en-GB"/>
              </w:rPr>
            </w:pP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7pItalicRight025"/>
              <w:rPr>
                <w:rFonts w:eastAsia="Verdana" w:cs="Verdana"/>
                <w:i w:val="0"/>
                <w:lang w:bidi="en-GB"/>
              </w:rPr>
            </w:pP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7pItalicRight025"/>
              <w:rPr>
                <w:rFonts w:eastAsia="Verdana" w:cs="Verdana"/>
                <w:i w:val="0"/>
                <w:lang w:bidi="en-GB"/>
              </w:rPr>
            </w:pP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7pItalicRight025"/>
              <w:rPr>
                <w:rFonts w:eastAsia="Verdana" w:cs="Verdana"/>
                <w:i w:val="0"/>
                <w:lang w:bidi="en-GB"/>
              </w:rPr>
            </w:pP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7pItalicRight025"/>
              <w:rPr>
                <w:rFonts w:eastAsia="Verdana" w:cs="Verdana"/>
                <w:i w:val="0"/>
                <w:lang w:bidi="en-GB"/>
              </w:rPr>
            </w:pP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7pItalicRight025"/>
              <w:rPr>
                <w:rFonts w:eastAsia="Verdana" w:cs="Verdana"/>
                <w:i w:val="0"/>
                <w:lang w:bidi="en-GB"/>
              </w:rPr>
            </w:pPr>
          </w:p>
        </w:tc>
        <w:tc>
          <w:tcPr>
            <w:tcW w:w="999"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7pItalicRight025"/>
              <w:rPr>
                <w:rFonts w:eastAsia="Verdana" w:cs="Verdana"/>
                <w:i w:val="0"/>
                <w:lang w:bidi="en-GB"/>
              </w:rPr>
            </w:pPr>
          </w:p>
        </w:tc>
      </w:tr>
      <w:tr w:rsidR="00E7728E">
        <w:tc>
          <w:tcPr>
            <w:tcW w:w="244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7pBoldLeft"/>
              <w:rPr>
                <w:rFonts w:eastAsia="Verdana" w:cs="Verdana"/>
                <w:lang w:bidi="en-GB"/>
              </w:rPr>
            </w:pPr>
            <w:r>
              <w:rPr>
                <w:rFonts w:eastAsia="Verdana" w:cs="Verdana"/>
                <w:lang w:bidi="en-GB"/>
              </w:rPr>
              <w:t>Total payment appropriations:</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135 866</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141 901</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144 685</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142 771</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149 074</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153 362</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156 295</w:t>
            </w:r>
          </w:p>
        </w:tc>
        <w:tc>
          <w:tcPr>
            <w:tcW w:w="99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1 023 954</w:t>
            </w:r>
          </w:p>
        </w:tc>
      </w:tr>
    </w:tbl>
    <w:p w:rsidR="00F50689" w:rsidRDefault="00F50689" w:rsidP="00F50689">
      <w:pPr>
        <w:pStyle w:val="Textstand-alone"/>
        <w:rPr>
          <w:lang w:bidi="en-GB"/>
        </w:rPr>
      </w:pPr>
    </w:p>
    <w:p w:rsidR="00F50689" w:rsidRDefault="005A36C4" w:rsidP="00F50689">
      <w:pPr>
        <w:pStyle w:val="Textstand-alone"/>
      </w:pPr>
      <w:r>
        <w:t>The above table shows the MFF ceilings at current prices. 2014 was the first financial year covered by the new MFF 2014-2020. The overall ceiling for commitments appropriations for 2014 was EUR 142 540 million, equivalent to 1.06 % of GNI, while the corresponding ceiling for payment appropriations was EUR 135 866 million, or 1.01 % of GNI.</w:t>
      </w:r>
    </w:p>
    <w:p w:rsidR="00F50689" w:rsidRDefault="005A36C4" w:rsidP="00F50689">
      <w:pPr>
        <w:pStyle w:val="Textstand-alone"/>
      </w:pPr>
      <w:r>
        <w:t>New flexibility provisions have been agreed for the 2014-2020 MFF. One of the new provisions is a possibility to mobilise a contingency margin (in exceptional circumstances). This allows for the mobilising of appropriations above the ceilings for a given year, with corresponding reductions in other years in order not to increase the total amount of payment and commitment appropriations over the whole 2014-2020 period. The contingency margin was mobilised in 2014 in order to provide EUR 3 168</w:t>
      </w:r>
      <w:r w:rsidR="002A6B91">
        <w:t> </w:t>
      </w:r>
      <w:r>
        <w:t>million in payment appropriations over and above the payment ceiling for 2014.</w:t>
      </w:r>
    </w:p>
    <w:p w:rsidR="00F50689" w:rsidRDefault="005A36C4" w:rsidP="00F50689">
      <w:pPr>
        <w:pStyle w:val="Textstand-alone"/>
      </w:pPr>
      <w:r w:rsidRPr="006271F5">
        <w:t>The reprogramming of unused 2014 commitment appropriations to 2015 and 2016 (according to MFF Art.</w:t>
      </w:r>
      <w:r w:rsidR="002A6B91">
        <w:t> </w:t>
      </w:r>
      <w:r w:rsidRPr="006271F5">
        <w:t>19) was agreed in April 2015 with a revision of the MFF ceilings and a related amending budget for 2015. The main impacts in 2015 were under Heading 1(b) (EUR</w:t>
      </w:r>
      <w:r w:rsidR="002A6B91">
        <w:t> </w:t>
      </w:r>
      <w:r w:rsidRPr="006271F5">
        <w:t>11.2</w:t>
      </w:r>
      <w:r w:rsidR="002A6B91">
        <w:t> </w:t>
      </w:r>
      <w:r w:rsidRPr="006271F5">
        <w:t>billion) and Heading 2 (EUR</w:t>
      </w:r>
      <w:r w:rsidR="002A6B91">
        <w:t> </w:t>
      </w:r>
      <w:r w:rsidRPr="006271F5">
        <w:t>5</w:t>
      </w:r>
      <w:r w:rsidR="002A6B91">
        <w:t> </w:t>
      </w:r>
      <w:r w:rsidRPr="006271F5">
        <w:t>billion), while for 2016 the main change is to Heading 2 (EUR</w:t>
      </w:r>
      <w:r w:rsidR="002A6B91">
        <w:t> </w:t>
      </w:r>
      <w:r w:rsidRPr="006271F5">
        <w:t>4.4</w:t>
      </w:r>
      <w:r w:rsidR="002A6B91">
        <w:t> </w:t>
      </w:r>
      <w:r w:rsidRPr="006271F5">
        <w:t>billion).</w:t>
      </w:r>
    </w:p>
    <w:p w:rsidR="00F50689" w:rsidRDefault="005A36C4" w:rsidP="00F50689">
      <w:pPr>
        <w:pStyle w:val="Textstand-alone"/>
      </w:pPr>
      <w:r>
        <w:t>An explanation of the various headings of the MFF is given below:</w:t>
      </w:r>
    </w:p>
    <w:p w:rsidR="00F50689" w:rsidRDefault="005A36C4" w:rsidP="00F50689">
      <w:pPr>
        <w:pStyle w:val="HEADER5"/>
      </w:pPr>
      <w:r>
        <w:t>Heading 1 – Smart and inclusive growth</w:t>
      </w:r>
    </w:p>
    <w:p w:rsidR="00F50689" w:rsidRDefault="005A36C4" w:rsidP="00F50689">
      <w:pPr>
        <w:pStyle w:val="Textstand-alone"/>
      </w:pPr>
      <w:r>
        <w:t>This heading is divided into two separate, but interlinked components</w:t>
      </w:r>
    </w:p>
    <w:p w:rsidR="00F50689" w:rsidRDefault="005A36C4" w:rsidP="0072577F">
      <w:pPr>
        <w:pStyle w:val="Textstand-alonenumberingJustified"/>
        <w:numPr>
          <w:ilvl w:val="0"/>
          <w:numId w:val="28"/>
        </w:numPr>
        <w:ind w:left="567" w:hanging="567"/>
      </w:pPr>
      <w:r>
        <w:t>Competitiveness for growth and jobs, encompassing expenditure on research and innovation, education and training, European Connecting Facility, social policy, the internal market and accompanying policies.</w:t>
      </w:r>
    </w:p>
    <w:p w:rsidR="00F50689" w:rsidRDefault="005A36C4" w:rsidP="0072577F">
      <w:pPr>
        <w:pStyle w:val="Textstand-alonenumberingJustified"/>
        <w:numPr>
          <w:ilvl w:val="0"/>
          <w:numId w:val="28"/>
        </w:numPr>
        <w:ind w:left="567" w:hanging="567"/>
      </w:pPr>
      <w:r>
        <w:t>Economic, social and territorial cohesion, designed to enhance convergence of the least developed Member States and regions, to complement the EU strategy for sustainable development outside the less prosperous regions and to support inter regional cooperation.</w:t>
      </w:r>
    </w:p>
    <w:p w:rsidR="00F50689" w:rsidRDefault="005A36C4" w:rsidP="00F50689">
      <w:pPr>
        <w:pStyle w:val="HEADER5"/>
      </w:pPr>
      <w:r>
        <w:t>Heading 2 – Sustainable growth: natural resources</w:t>
      </w:r>
    </w:p>
    <w:p w:rsidR="00F50689" w:rsidRDefault="005A36C4" w:rsidP="00F50689">
      <w:pPr>
        <w:pStyle w:val="Textstand-alone"/>
      </w:pPr>
      <w:r>
        <w:t>Heading 2 includes the common agricultural and fisheries policies, rural development and environmental measures, in particular Natura 2000.</w:t>
      </w:r>
    </w:p>
    <w:p w:rsidR="00F50689" w:rsidRDefault="005A36C4" w:rsidP="00F50689">
      <w:pPr>
        <w:pStyle w:val="HEADER5"/>
      </w:pPr>
      <w:r>
        <w:t>Heading 3 – Security and citizenship</w:t>
      </w:r>
    </w:p>
    <w:p w:rsidR="00F50689" w:rsidRDefault="005A36C4" w:rsidP="00F50689">
      <w:pPr>
        <w:pStyle w:val="Textstand-alone"/>
      </w:pPr>
      <w:r>
        <w:t>Heading 3 (Security and citizenship) reflects the growing importance attached to certain fields where the EU has been assigned particular tasks – justice and home affairs, border protection, immigration and asylum policy, public health and consumer protection, culture, youth, information and dialogue with citizens.</w:t>
      </w:r>
    </w:p>
    <w:p w:rsidR="00F50689" w:rsidRDefault="005A36C4" w:rsidP="00F50689">
      <w:pPr>
        <w:pStyle w:val="HEADER5"/>
      </w:pPr>
      <w:r>
        <w:t>Heading 4 – Global Europe</w:t>
      </w:r>
    </w:p>
    <w:p w:rsidR="00F50689" w:rsidRDefault="005A36C4" w:rsidP="00F50689">
      <w:pPr>
        <w:pStyle w:val="Textstand-alone"/>
      </w:pPr>
      <w:r>
        <w:t>Heading 4 covers all external action, including development cooperation, humanitarian aid, pre-accession and neigbourhood instruments. The EDF remains outside of the EU budget and is not part of the MFF.</w:t>
      </w:r>
    </w:p>
    <w:p w:rsidR="00F50689" w:rsidRDefault="005A36C4" w:rsidP="00F50689">
      <w:pPr>
        <w:pStyle w:val="HEADER5"/>
      </w:pPr>
      <w:r>
        <w:t>Heading 5 - Administration</w:t>
      </w:r>
    </w:p>
    <w:p w:rsidR="00F50689" w:rsidRDefault="005A36C4" w:rsidP="00F50689">
      <w:pPr>
        <w:pStyle w:val="Textstand-alone"/>
      </w:pPr>
      <w:r>
        <w:t>This heading covers administrative expenditure for all institutions, pensions and the European Schools. For the Institutions other than the Commission, these costs make up the total of their expenditure.</w:t>
      </w:r>
    </w:p>
    <w:p w:rsidR="00F50689" w:rsidRDefault="005A36C4" w:rsidP="00F50689">
      <w:pPr>
        <w:pStyle w:val="HEADER5"/>
      </w:pPr>
      <w:r>
        <w:t>Heading 6 - Compensations</w:t>
      </w:r>
    </w:p>
    <w:p w:rsidR="00F50689" w:rsidRDefault="005A36C4" w:rsidP="00F50689">
      <w:pPr>
        <w:pStyle w:val="Textstand-alone"/>
      </w:pPr>
      <w:r>
        <w:t>In accordance with the political agreement that new Member States should not become net-contributors to the budget at the very beginning of their membership, compensation was foreseen under this heading. This amount was available as transfers to them to balance their budgetary receipts and contributions.</w:t>
      </w:r>
    </w:p>
    <w:p w:rsidR="00F50689" w:rsidRPr="00DF449A" w:rsidRDefault="005A36C4" w:rsidP="00F50689">
      <w:pPr>
        <w:pStyle w:val="HEADER2Part3"/>
      </w:pPr>
      <w:bookmarkStart w:id="229" w:name="_Toc424653733"/>
      <w:r w:rsidRPr="00DF449A">
        <w:t>P</w:t>
      </w:r>
      <w:r>
        <w:t>OLICY AREAS</w:t>
      </w:r>
      <w:bookmarkEnd w:id="229"/>
    </w:p>
    <w:p w:rsidR="00F50689" w:rsidRDefault="005A36C4" w:rsidP="00F50689">
      <w:pPr>
        <w:pStyle w:val="Textstand-alone"/>
      </w:pPr>
      <w:r>
        <w:t>As part of its use of Activity Based Management (ABM) the Commission implements Activity Based Budgeting (ABB) in its planning and management processes. ABB involves a budget structure where budget titles correspond to policy areas and budget chapters to activities. ABB aims to provide a clear framework for translating the Commission's policy objectives into action, either through legislative, financial or any other public policy means. By structuring the Commission's work in terms of activities, a clear picture is obtained of the Commission's undertakings and simultaneously a common framework is established for priority setting. Resources are allocated to priorities during the budget procedure, using the activities as the building blocks for budgeting purposes. By establishing such a link between activities and the resources allocated to them, ABB aims to increase efficiency and effectiveness in the use of resources in the Commission.</w:t>
      </w:r>
    </w:p>
    <w:p w:rsidR="00F50689" w:rsidRDefault="005A36C4" w:rsidP="00F50689">
      <w:pPr>
        <w:pStyle w:val="Textstand-alone"/>
      </w:pPr>
      <w:r>
        <w:t>A policy area may be defined as a homogeneous grouping of activities constituting parts of the Commission's work, which are relevant for the decision-making process. Each policy area corresponds, in general, to a Directorate General, and encompassing an average of about 6 or 7 individual activities. Policy areas are mainly operational, since their core activities aim at benefiting a third-party beneficiary within their respective domains of activity. The operational budget is completed with the necessary administrative expenditure for each policy area.</w:t>
      </w:r>
    </w:p>
    <w:p w:rsidR="00F50689" w:rsidRPr="00324E96" w:rsidRDefault="005A36C4" w:rsidP="00F50689">
      <w:pPr>
        <w:pStyle w:val="HEADER2Part3"/>
      </w:pPr>
      <w:bookmarkStart w:id="230" w:name="_Toc424653734"/>
      <w:r w:rsidRPr="00324E96">
        <w:t>ANNUAL BUDGET</w:t>
      </w:r>
      <w:bookmarkEnd w:id="230"/>
    </w:p>
    <w:p w:rsidR="00F50689" w:rsidRDefault="005A36C4" w:rsidP="00F50689">
      <w:pPr>
        <w:pStyle w:val="Textstand-alone"/>
      </w:pPr>
      <w:r>
        <w:t xml:space="preserve">Every year, the Commission estimates all the Institutions' revenue and expenditure for the year and draws up a draft budget which it sends to the budgetary authority. On the basis of this draft budget, the Council sets out its position, which is then the subject of negotiations between the two arms of the budgetary authority. The President of Parliament declares that the joint draft has been finally adopted, thus making the budget enforceable. </w:t>
      </w:r>
      <w:r w:rsidRPr="00E246C7">
        <w:t>During the year in question, amending budgets are adopted. The task of executing the budget is mainly the responsibility of the Commission.</w:t>
      </w:r>
    </w:p>
    <w:p w:rsidR="00F50689" w:rsidRDefault="005A36C4" w:rsidP="00F50689">
      <w:pPr>
        <w:pStyle w:val="Textstand-alone"/>
      </w:pPr>
      <w:r>
        <w:t xml:space="preserve">The </w:t>
      </w:r>
      <w:r w:rsidRPr="0052342E">
        <w:t>budget structure</w:t>
      </w:r>
      <w:r>
        <w:t xml:space="preserve"> for the Commission consists of administrative and operational appropriations. The other Institutions have only administrative appropriations. Furthermore, the budget distinguishes between two types of appropriations: non-differentiated and differentiated. Non-differentiated appropriations are used to finance operations of an annual nature (which comply with the principle of annuality). Differentiated appropriations are used in order to reconcile the principle of annuality with the need to manage multi-annual operations. Differentiated appropriations are split into commitment and payment appropriations:</w:t>
      </w:r>
    </w:p>
    <w:p w:rsidR="00F50689" w:rsidRDefault="005A36C4" w:rsidP="00F50689">
      <w:pPr>
        <w:pStyle w:val="Textstand-aloneBulletpoint"/>
        <w:ind w:left="357" w:hanging="357"/>
        <w:jc w:val="both"/>
      </w:pPr>
      <w:proofErr w:type="gramStart"/>
      <w:r w:rsidRPr="00A6015C">
        <w:rPr>
          <w:b/>
        </w:rPr>
        <w:t>commitment</w:t>
      </w:r>
      <w:proofErr w:type="gramEnd"/>
      <w:r w:rsidRPr="00A6015C">
        <w:rPr>
          <w:b/>
        </w:rPr>
        <w:t xml:space="preserve"> appropriations</w:t>
      </w:r>
      <w:r>
        <w:t>: cover the total cost of the legal obligations entered into for the current financial year for operations extending over a number of years. However, budgetary commitments for actions extending over more than one financial year may be broken down over several years into annual instalments where the basic act so provides.</w:t>
      </w:r>
    </w:p>
    <w:p w:rsidR="00F50689" w:rsidRDefault="00F50689" w:rsidP="00F50689">
      <w:pPr>
        <w:pStyle w:val="Textstand-aloneBulletpoint"/>
        <w:numPr>
          <w:ilvl w:val="0"/>
          <w:numId w:val="0"/>
        </w:numPr>
        <w:ind w:left="1080" w:hanging="360"/>
      </w:pPr>
    </w:p>
    <w:p w:rsidR="00F50689" w:rsidRDefault="005A36C4" w:rsidP="00F50689">
      <w:pPr>
        <w:pStyle w:val="Textstand-aloneBulletpoint"/>
        <w:ind w:left="357" w:hanging="357"/>
        <w:jc w:val="both"/>
      </w:pPr>
      <w:proofErr w:type="gramStart"/>
      <w:r w:rsidRPr="00A6015C">
        <w:rPr>
          <w:b/>
        </w:rPr>
        <w:t>payment</w:t>
      </w:r>
      <w:proofErr w:type="gramEnd"/>
      <w:r w:rsidRPr="00A6015C">
        <w:rPr>
          <w:b/>
        </w:rPr>
        <w:t xml:space="preserve"> appropriations</w:t>
      </w:r>
      <w:r w:rsidRPr="0052342E">
        <w:t>:</w:t>
      </w:r>
      <w:r>
        <w:t xml:space="preserve"> cover expenditure arising from commitments entered into in the current financial year and/or earlier financial years.</w:t>
      </w:r>
    </w:p>
    <w:p w:rsidR="00F50689" w:rsidRPr="00A6015C" w:rsidRDefault="005A36C4" w:rsidP="00F50689">
      <w:pPr>
        <w:pStyle w:val="Textstand-alone"/>
        <w:rPr>
          <w:b/>
        </w:rPr>
      </w:pPr>
      <w:r w:rsidRPr="00A6015C">
        <w:rPr>
          <w:b/>
        </w:rPr>
        <w:t>Origin of Appropriations</w:t>
      </w:r>
    </w:p>
    <w:p w:rsidR="00F50689" w:rsidRDefault="005A36C4" w:rsidP="00F50689">
      <w:pPr>
        <w:pStyle w:val="Textstand-alone"/>
      </w:pPr>
      <w:r>
        <w:t>The main source of appropriations is the Union's adopted budget for the current year. However, there are other types of appropriations resulting from the provisions of the Financial Regulation. They come from previous financial years or outside sources:</w:t>
      </w:r>
    </w:p>
    <w:p w:rsidR="00F50689" w:rsidRDefault="005A36C4" w:rsidP="00F50689">
      <w:pPr>
        <w:numPr>
          <w:ilvl w:val="0"/>
          <w:numId w:val="21"/>
        </w:numPr>
        <w:tabs>
          <w:tab w:val="clear" w:pos="0"/>
        </w:tabs>
        <w:ind w:left="357" w:hanging="357"/>
        <w:jc w:val="both"/>
        <w:rPr>
          <w:rFonts w:ascii="Verdana" w:hAnsi="Verdana"/>
          <w:sz w:val="18"/>
          <w:szCs w:val="18"/>
        </w:rPr>
      </w:pPr>
      <w:r>
        <w:rPr>
          <w:rFonts w:ascii="Verdana" w:hAnsi="Verdana"/>
          <w:b/>
          <w:sz w:val="18"/>
          <w:szCs w:val="18"/>
        </w:rPr>
        <w:t>B</w:t>
      </w:r>
      <w:r w:rsidRPr="00A6015C">
        <w:rPr>
          <w:rFonts w:ascii="Verdana" w:hAnsi="Verdana"/>
          <w:b/>
          <w:sz w:val="18"/>
          <w:szCs w:val="18"/>
        </w:rPr>
        <w:t xml:space="preserve">udget appropriations </w:t>
      </w:r>
      <w:r w:rsidRPr="00A6015C">
        <w:rPr>
          <w:rFonts w:ascii="Verdana" w:hAnsi="Verdana"/>
          <w:sz w:val="18"/>
          <w:szCs w:val="18"/>
        </w:rPr>
        <w:t xml:space="preserve">from </w:t>
      </w:r>
      <w:r>
        <w:rPr>
          <w:rFonts w:ascii="Verdana" w:hAnsi="Verdana"/>
          <w:sz w:val="18"/>
          <w:szCs w:val="18"/>
        </w:rPr>
        <w:t xml:space="preserve">initial adopted </w:t>
      </w:r>
      <w:r w:rsidRPr="00A6015C">
        <w:rPr>
          <w:rFonts w:ascii="Verdana" w:hAnsi="Verdana"/>
          <w:sz w:val="18"/>
          <w:szCs w:val="18"/>
        </w:rPr>
        <w:t xml:space="preserve">budget </w:t>
      </w:r>
      <w:r>
        <w:rPr>
          <w:rFonts w:ascii="Verdana" w:hAnsi="Verdana"/>
          <w:sz w:val="18"/>
          <w:szCs w:val="18"/>
        </w:rPr>
        <w:t>and</w:t>
      </w:r>
      <w:r w:rsidRPr="00A6015C">
        <w:rPr>
          <w:rFonts w:ascii="Verdana" w:hAnsi="Verdana"/>
          <w:sz w:val="18"/>
          <w:szCs w:val="18"/>
        </w:rPr>
        <w:t xml:space="preserve"> amending budgets</w:t>
      </w:r>
    </w:p>
    <w:p w:rsidR="00F50689" w:rsidRPr="00A6015C" w:rsidRDefault="005A36C4" w:rsidP="00F50689">
      <w:pPr>
        <w:numPr>
          <w:ilvl w:val="0"/>
          <w:numId w:val="21"/>
        </w:numPr>
        <w:tabs>
          <w:tab w:val="clear" w:pos="0"/>
        </w:tabs>
        <w:ind w:left="357" w:hanging="357"/>
        <w:jc w:val="both"/>
        <w:rPr>
          <w:rFonts w:ascii="Verdana" w:hAnsi="Verdana"/>
          <w:b/>
          <w:sz w:val="18"/>
          <w:szCs w:val="18"/>
        </w:rPr>
      </w:pPr>
      <w:r w:rsidRPr="00A6015C">
        <w:rPr>
          <w:rFonts w:ascii="Verdana" w:hAnsi="Verdana"/>
          <w:b/>
          <w:sz w:val="18"/>
          <w:szCs w:val="18"/>
        </w:rPr>
        <w:t xml:space="preserve">Appropriations carried over </w:t>
      </w:r>
      <w:r w:rsidRPr="00A6015C">
        <w:rPr>
          <w:rFonts w:ascii="Verdana" w:hAnsi="Verdana"/>
          <w:sz w:val="18"/>
          <w:szCs w:val="18"/>
        </w:rPr>
        <w:t>from previous year</w:t>
      </w:r>
    </w:p>
    <w:p w:rsidR="00F50689" w:rsidRDefault="005A36C4" w:rsidP="00F50689">
      <w:pPr>
        <w:numPr>
          <w:ilvl w:val="0"/>
          <w:numId w:val="21"/>
        </w:numPr>
        <w:tabs>
          <w:tab w:val="clear" w:pos="0"/>
        </w:tabs>
        <w:ind w:left="357" w:hanging="357"/>
        <w:jc w:val="both"/>
        <w:rPr>
          <w:rFonts w:ascii="Verdana" w:hAnsi="Verdana"/>
          <w:sz w:val="18"/>
          <w:szCs w:val="18"/>
        </w:rPr>
      </w:pPr>
      <w:r w:rsidRPr="00A6015C">
        <w:rPr>
          <w:rFonts w:ascii="Verdana" w:hAnsi="Verdana"/>
          <w:b/>
          <w:sz w:val="18"/>
          <w:szCs w:val="18"/>
        </w:rPr>
        <w:t xml:space="preserve">Assigned revenue </w:t>
      </w:r>
      <w:r w:rsidRPr="00A6015C">
        <w:rPr>
          <w:rFonts w:ascii="Verdana" w:hAnsi="Verdana"/>
          <w:sz w:val="18"/>
          <w:szCs w:val="18"/>
        </w:rPr>
        <w:t>which is made up of refunds, EFTA appropriations, revenue from third parties/other countries, work for third parties and appropriations made available again as a result of repayment of payments on account.</w:t>
      </w:r>
    </w:p>
    <w:p w:rsidR="00F50689" w:rsidRPr="00A6015C" w:rsidRDefault="005A36C4" w:rsidP="00F50689">
      <w:pPr>
        <w:pStyle w:val="Textstand-alone"/>
        <w:rPr>
          <w:b/>
        </w:rPr>
      </w:pPr>
      <w:r w:rsidRPr="00A6015C">
        <w:rPr>
          <w:b/>
        </w:rPr>
        <w:t>Composition of Total Available Budget</w:t>
      </w:r>
    </w:p>
    <w:p w:rsidR="00F50689" w:rsidRPr="005B5C3C" w:rsidRDefault="005A36C4" w:rsidP="00F50689">
      <w:pPr>
        <w:numPr>
          <w:ilvl w:val="0"/>
          <w:numId w:val="21"/>
        </w:numPr>
        <w:tabs>
          <w:tab w:val="clear" w:pos="0"/>
        </w:tabs>
        <w:ind w:left="357" w:hanging="357"/>
        <w:jc w:val="both"/>
        <w:rPr>
          <w:rFonts w:ascii="Verdana" w:hAnsi="Verdana"/>
          <w:sz w:val="18"/>
          <w:szCs w:val="18"/>
        </w:rPr>
      </w:pPr>
      <w:r w:rsidRPr="005B5C3C">
        <w:rPr>
          <w:rFonts w:ascii="Verdana" w:hAnsi="Verdana"/>
          <w:sz w:val="18"/>
          <w:szCs w:val="18"/>
        </w:rPr>
        <w:t xml:space="preserve">Initial </w:t>
      </w:r>
      <w:r>
        <w:rPr>
          <w:rFonts w:ascii="Verdana" w:hAnsi="Verdana"/>
          <w:sz w:val="18"/>
          <w:szCs w:val="18"/>
        </w:rPr>
        <w:t xml:space="preserve">adopted </w:t>
      </w:r>
      <w:r w:rsidRPr="005B5C3C">
        <w:rPr>
          <w:rFonts w:ascii="Verdana" w:hAnsi="Verdana"/>
          <w:sz w:val="18"/>
          <w:szCs w:val="18"/>
        </w:rPr>
        <w:t>budget = appropriations voted in year N-1;</w:t>
      </w:r>
    </w:p>
    <w:p w:rsidR="00F50689" w:rsidRPr="005B5C3C" w:rsidRDefault="005A36C4" w:rsidP="00F50689">
      <w:pPr>
        <w:numPr>
          <w:ilvl w:val="0"/>
          <w:numId w:val="21"/>
        </w:numPr>
        <w:tabs>
          <w:tab w:val="clear" w:pos="0"/>
        </w:tabs>
        <w:ind w:left="357" w:hanging="357"/>
        <w:jc w:val="both"/>
        <w:rPr>
          <w:rFonts w:ascii="Verdana" w:hAnsi="Verdana"/>
          <w:sz w:val="18"/>
          <w:szCs w:val="18"/>
        </w:rPr>
      </w:pPr>
      <w:r w:rsidRPr="005B5C3C">
        <w:rPr>
          <w:rFonts w:ascii="Verdana" w:hAnsi="Verdana"/>
          <w:sz w:val="18"/>
          <w:szCs w:val="18"/>
        </w:rPr>
        <w:t xml:space="preserve">Amending budgets </w:t>
      </w:r>
      <w:r>
        <w:rPr>
          <w:rFonts w:ascii="Verdana" w:hAnsi="Verdana"/>
          <w:sz w:val="18"/>
          <w:szCs w:val="18"/>
        </w:rPr>
        <w:t>adopt</w:t>
      </w:r>
      <w:r w:rsidRPr="005B5C3C">
        <w:rPr>
          <w:rFonts w:ascii="Verdana" w:hAnsi="Verdana"/>
          <w:sz w:val="18"/>
          <w:szCs w:val="18"/>
        </w:rPr>
        <w:t>ed;</w:t>
      </w:r>
    </w:p>
    <w:p w:rsidR="00F50689" w:rsidRPr="005B5C3C" w:rsidRDefault="005A36C4" w:rsidP="00F50689">
      <w:pPr>
        <w:numPr>
          <w:ilvl w:val="0"/>
          <w:numId w:val="21"/>
        </w:numPr>
        <w:tabs>
          <w:tab w:val="clear" w:pos="0"/>
        </w:tabs>
        <w:ind w:left="357" w:hanging="357"/>
        <w:jc w:val="both"/>
        <w:rPr>
          <w:rFonts w:ascii="Verdana" w:hAnsi="Verdana"/>
          <w:sz w:val="18"/>
          <w:szCs w:val="18"/>
        </w:rPr>
      </w:pPr>
      <w:r w:rsidRPr="005B5C3C">
        <w:rPr>
          <w:rFonts w:ascii="Verdana" w:hAnsi="Verdana"/>
          <w:sz w:val="18"/>
          <w:szCs w:val="18"/>
        </w:rPr>
        <w:t xml:space="preserve">Additional appropriations = assigned revenue + appropriations carried over from the previous financial year or made available again following </w:t>
      </w:r>
      <w:proofErr w:type="spellStart"/>
      <w:r w:rsidRPr="005B5C3C">
        <w:rPr>
          <w:rFonts w:ascii="Verdana" w:hAnsi="Verdana"/>
          <w:sz w:val="18"/>
          <w:szCs w:val="18"/>
        </w:rPr>
        <w:t>decommitments</w:t>
      </w:r>
      <w:proofErr w:type="spellEnd"/>
      <w:r w:rsidRPr="005B5C3C">
        <w:rPr>
          <w:rFonts w:ascii="Verdana" w:hAnsi="Verdana"/>
          <w:sz w:val="18"/>
          <w:szCs w:val="18"/>
        </w:rPr>
        <w:t>.</w:t>
      </w:r>
    </w:p>
    <w:p w:rsidR="00F50689" w:rsidRDefault="005A36C4" w:rsidP="00F50689">
      <w:pPr>
        <w:pStyle w:val="Textstand-aloneBulletpoint"/>
        <w:numPr>
          <w:ilvl w:val="0"/>
          <w:numId w:val="0"/>
        </w:numPr>
      </w:pPr>
      <w:r>
        <w:t xml:space="preserve"> </w:t>
      </w:r>
    </w:p>
    <w:p w:rsidR="00F50689" w:rsidRDefault="00F50689" w:rsidP="00F50689"/>
    <w:p w:rsidR="00F50689" w:rsidRPr="003527CC" w:rsidRDefault="005A36C4" w:rsidP="00F50689">
      <w:pPr>
        <w:sectPr w:rsidR="00F50689" w:rsidRPr="003527CC" w:rsidSect="00F50689">
          <w:headerReference w:type="even" r:id="rId461"/>
          <w:headerReference w:type="default" r:id="rId462"/>
          <w:footerReference w:type="even" r:id="rId463"/>
          <w:footerReference w:type="default" r:id="rId464"/>
          <w:headerReference w:type="first" r:id="rId465"/>
          <w:footerReference w:type="first" r:id="rId466"/>
          <w:pgSz w:w="11907" w:h="16840" w:code="9"/>
          <w:pgMar w:top="1134" w:right="1134" w:bottom="1134" w:left="1134" w:header="709" w:footer="709" w:gutter="0"/>
          <w:cols w:space="708"/>
          <w:docGrid w:linePitch="360"/>
        </w:sectPr>
      </w:pPr>
      <w:r w:rsidRPr="003527CC">
        <w:t xml:space="preserve"> </w:t>
      </w:r>
      <w:bookmarkEnd w:id="225"/>
    </w:p>
    <w:p w:rsidR="00F50689" w:rsidRDefault="005A36C4" w:rsidP="00F50689">
      <w:pPr>
        <w:pStyle w:val="HEADER1Part3"/>
      </w:pPr>
      <w:bookmarkStart w:id="231" w:name="_Toc424653735"/>
      <w:bookmarkStart w:id="232" w:name="_DMBM_3458"/>
      <w:r>
        <w:t>NOTES TO THE EU BUDGET RESULT</w:t>
      </w:r>
      <w:bookmarkEnd w:id="231"/>
    </w:p>
    <w:p w:rsidR="00F50689" w:rsidRDefault="005A36C4" w:rsidP="00F50689">
      <w:pPr>
        <w:pStyle w:val="HEADER2Part3"/>
      </w:pPr>
      <w:bookmarkStart w:id="233" w:name="_Toc424653736"/>
      <w:r>
        <w:t>CALCULATION OF THE BUDGET RESULT</w:t>
      </w:r>
      <w:bookmarkEnd w:id="233"/>
    </w:p>
    <w:p w:rsidR="00F50689" w:rsidRDefault="005A36C4" w:rsidP="00F50689">
      <w:pPr>
        <w:pStyle w:val="Textstand-alone"/>
      </w:pPr>
      <w:r>
        <w:t>The budget result of the EU is returned to the Member States during the following year through deduction of their amounts due for that year.</w:t>
      </w:r>
    </w:p>
    <w:p w:rsidR="00F50689" w:rsidRDefault="005A36C4" w:rsidP="00F50689">
      <w:pPr>
        <w:pStyle w:val="Textstand-alone"/>
      </w:pPr>
      <w:r>
        <w:t>The amounts of own resources entered in the accounts are those credited during the course of the year to the accounts opened in the Commission's name by the governments of the Member States. Revenue comprises also, in the case of a surplus, of the budget result for the previous financial year. The other revenue entered in the accounts is the amount actually received during the course of the year.</w:t>
      </w:r>
    </w:p>
    <w:p w:rsidR="00F50689" w:rsidRDefault="005A36C4" w:rsidP="00F50689">
      <w:pPr>
        <w:pStyle w:val="Textstand-alone"/>
      </w:pPr>
      <w:r>
        <w:t>For the purposes of calculating the budget result for the year, expenditure comprises payments made against the year's appropriations plus any of the appropriations for that year that are carried over to the following year. Payments made against the year's appropriations means payments that are made by the accounting officer by 31 December of the financial year. For the EAGF, payments are those effected by the Member States between 16 October N-1 and 15 October N, provided that the accounting officer was notified of the commitment and authorisation by 31 January N+1. EAGF expenditure may be subject to a conformity decision following controls in the Member States.</w:t>
      </w:r>
    </w:p>
    <w:p w:rsidR="00F50689" w:rsidRDefault="005A36C4" w:rsidP="00F50689">
      <w:pPr>
        <w:pStyle w:val="Textstand-alone"/>
      </w:pPr>
      <w:r>
        <w:t>The budget result comprises two elements: the result of the EU and the result of the participation of the EFTA countries belonging to the EEA. In accordance with Article 15 of Regulation No 1150/2000 on own resources, this result represents the difference between:</w:t>
      </w:r>
    </w:p>
    <w:p w:rsidR="00F50689" w:rsidRDefault="005A36C4" w:rsidP="00F50689">
      <w:pPr>
        <w:pStyle w:val="Textstand-aloneBulletpoint"/>
        <w:spacing w:after="120"/>
      </w:pPr>
      <w:r>
        <w:t>total revenue received for the financial year; and</w:t>
      </w:r>
    </w:p>
    <w:p w:rsidR="00F50689" w:rsidRDefault="00F50689" w:rsidP="00F50689">
      <w:pPr>
        <w:pStyle w:val="Textstand-aloneBulletpoint"/>
        <w:numPr>
          <w:ilvl w:val="0"/>
          <w:numId w:val="0"/>
        </w:numPr>
        <w:spacing w:after="120"/>
        <w:ind w:left="1080"/>
      </w:pPr>
    </w:p>
    <w:p w:rsidR="00F50689" w:rsidRDefault="005A36C4" w:rsidP="00F50689">
      <w:pPr>
        <w:pStyle w:val="Textstand-aloneBulletpoint"/>
      </w:pPr>
      <w:proofErr w:type="gramStart"/>
      <w:r>
        <w:t>total</w:t>
      </w:r>
      <w:proofErr w:type="gramEnd"/>
      <w:r>
        <w:t xml:space="preserve"> payments made against current year's appropriations plus the total amount of that year's appropriations carried over to the following year.</w:t>
      </w:r>
    </w:p>
    <w:p w:rsidR="00F50689" w:rsidRDefault="005A36C4" w:rsidP="00F50689">
      <w:pPr>
        <w:pStyle w:val="Textstand-alone"/>
      </w:pPr>
      <w:r>
        <w:t>The following are added to or deducted from the resulting figure:</w:t>
      </w:r>
    </w:p>
    <w:p w:rsidR="00F50689" w:rsidRDefault="005A36C4" w:rsidP="00F50689">
      <w:pPr>
        <w:pStyle w:val="Textstand-aloneBulletpoint"/>
      </w:pPr>
      <w:r>
        <w:t xml:space="preserve">the net balance of cancellations of payment appropriations carried over from previous years and any payments which, because of fluctuations in the euro rate, exceed non-differentiated appropriations carried over from the previous year; </w:t>
      </w:r>
    </w:p>
    <w:p w:rsidR="00F50689" w:rsidRDefault="00F50689" w:rsidP="00F50689">
      <w:pPr>
        <w:pStyle w:val="Textstand-aloneBulletpoint"/>
        <w:numPr>
          <w:ilvl w:val="0"/>
          <w:numId w:val="0"/>
        </w:numPr>
        <w:ind w:left="1080"/>
      </w:pPr>
    </w:p>
    <w:p w:rsidR="00F50689" w:rsidRDefault="005A36C4" w:rsidP="00F50689">
      <w:pPr>
        <w:pStyle w:val="Textstand-aloneBulletpoint"/>
      </w:pPr>
      <w:r>
        <w:t>the evolution of assigned revenue; and</w:t>
      </w:r>
    </w:p>
    <w:p w:rsidR="00F50689" w:rsidRDefault="00F50689" w:rsidP="00F50689">
      <w:pPr>
        <w:pStyle w:val="Textstand-aloneBulletpoint"/>
        <w:numPr>
          <w:ilvl w:val="0"/>
          <w:numId w:val="0"/>
        </w:numPr>
        <w:ind w:left="1080"/>
      </w:pPr>
    </w:p>
    <w:p w:rsidR="00F50689" w:rsidRDefault="005A36C4" w:rsidP="00F50689">
      <w:pPr>
        <w:pStyle w:val="Textstand-aloneBulletpoint"/>
      </w:pPr>
      <w:proofErr w:type="gramStart"/>
      <w:r>
        <w:t>the</w:t>
      </w:r>
      <w:proofErr w:type="gramEnd"/>
      <w:r>
        <w:t xml:space="preserve"> net exchange-rate gains or losses recorded during the year.</w:t>
      </w:r>
    </w:p>
    <w:p w:rsidR="00F50689" w:rsidRDefault="005A36C4" w:rsidP="00F50689">
      <w:pPr>
        <w:pStyle w:val="Textstand-alone"/>
      </w:pPr>
      <w:r>
        <w:t>Appropriations carried over from the previous financial year in respect of contributions by and work for third parties, which by definition never lapse, are included as additional appropriations for the financial year. This explains the difference between carryovers from the previous year in the 2014 budget implementation statements and those carried over to the following year in the 2013 budget implementation statements. Appropriations made available again following the repayment of payments on account are disregarded when calculating the budget result.</w:t>
      </w:r>
    </w:p>
    <w:p w:rsidR="00F50689" w:rsidRDefault="005A36C4" w:rsidP="00F50689">
      <w:pPr>
        <w:pStyle w:val="Textstand-alone"/>
      </w:pPr>
      <w:r>
        <w:t>Payment appropriations carried over include: automatic carryovers and carryovers by decision. The cancellation of unused payment appropriations carried over from the previous year shows the cancellations of appropriations carried over automatically and by decision.</w:t>
      </w:r>
    </w:p>
    <w:p w:rsidR="00BD5073" w:rsidRDefault="00BD5073">
      <w:pPr>
        <w:rPr>
          <w:rFonts w:ascii="Verdana" w:hAnsi="Verdana"/>
          <w:b/>
          <w:noProof/>
          <w:color w:val="016794"/>
          <w:sz w:val="28"/>
          <w:szCs w:val="30"/>
        </w:rPr>
      </w:pPr>
      <w:bookmarkStart w:id="234" w:name="_Toc424653737"/>
      <w:r>
        <w:br w:type="page"/>
      </w:r>
    </w:p>
    <w:p w:rsidR="00F50689" w:rsidRPr="001571C6" w:rsidRDefault="005A36C4" w:rsidP="00F50689">
      <w:pPr>
        <w:pStyle w:val="HEADER2Part3"/>
      </w:pPr>
      <w:r>
        <w:t>IMPLEMENTATION OF THE</w:t>
      </w:r>
      <w:r w:rsidRPr="001571C6">
        <w:t xml:space="preserve"> 2014 EU B</w:t>
      </w:r>
      <w:r>
        <w:t>UDGET</w:t>
      </w:r>
      <w:bookmarkEnd w:id="234"/>
    </w:p>
    <w:p w:rsidR="00F50689" w:rsidRPr="00CC012A" w:rsidRDefault="005A36C4" w:rsidP="00F50689">
      <w:pPr>
        <w:pStyle w:val="Textstand-alone"/>
        <w:rPr>
          <w:b/>
        </w:rPr>
      </w:pPr>
      <w:r w:rsidRPr="00CC012A">
        <w:rPr>
          <w:b/>
        </w:rPr>
        <w:t xml:space="preserve">Budget surplus </w:t>
      </w:r>
      <w:r>
        <w:rPr>
          <w:b/>
        </w:rPr>
        <w:t xml:space="preserve">of </w:t>
      </w:r>
      <w:r w:rsidRPr="00CC012A">
        <w:rPr>
          <w:b/>
        </w:rPr>
        <w:t>EUR 1.4 billion:</w:t>
      </w:r>
    </w:p>
    <w:p w:rsidR="00F50689" w:rsidRDefault="005A36C4" w:rsidP="00F50689">
      <w:pPr>
        <w:pStyle w:val="Textstand-alone"/>
        <w:numPr>
          <w:ilvl w:val="0"/>
          <w:numId w:val="22"/>
        </w:numPr>
      </w:pPr>
      <w:r>
        <w:t>The surplus comes primarily from the revenue side (EUR 1.2 billion), from over-execution of custom duties (EUR 0.5 billion) and additional, non-budgeted, fines (EUR 0.6 billion);</w:t>
      </w:r>
    </w:p>
    <w:p w:rsidR="00F50689" w:rsidRDefault="005A36C4" w:rsidP="00F50689">
      <w:pPr>
        <w:pStyle w:val="Textstand-alone"/>
        <w:numPr>
          <w:ilvl w:val="0"/>
          <w:numId w:val="22"/>
        </w:numPr>
      </w:pPr>
      <w:r>
        <w:t>The minor surplus on the expenditure side (EUR 142 million) comes mainly from the other institutions as the Commission implementation rate is practically 100 %;</w:t>
      </w:r>
    </w:p>
    <w:p w:rsidR="00F50689" w:rsidRDefault="005A36C4" w:rsidP="00F50689">
      <w:pPr>
        <w:pStyle w:val="Textstand-alone"/>
        <w:numPr>
          <w:ilvl w:val="0"/>
          <w:numId w:val="22"/>
        </w:numPr>
      </w:pPr>
      <w:r>
        <w:t>The remaining EUR 110 million of surplus comes from exchange rate gains.</w:t>
      </w:r>
    </w:p>
    <w:p w:rsidR="00F50689" w:rsidRPr="00D73ABB" w:rsidRDefault="005A36C4" w:rsidP="00F50689">
      <w:pPr>
        <w:pStyle w:val="Textstand-alone"/>
        <w:rPr>
          <w:b/>
        </w:rPr>
      </w:pPr>
      <w:r w:rsidRPr="00D73ABB">
        <w:rPr>
          <w:b/>
        </w:rPr>
        <w:t>Revenue:</w:t>
      </w:r>
    </w:p>
    <w:p w:rsidR="00F50689" w:rsidRPr="00EB4E0D" w:rsidRDefault="005A36C4" w:rsidP="00F50689">
      <w:pPr>
        <w:pStyle w:val="Textstand-alone"/>
        <w:numPr>
          <w:ilvl w:val="0"/>
          <w:numId w:val="22"/>
        </w:numPr>
      </w:pPr>
      <w:r w:rsidRPr="00EB4E0D">
        <w:t>Revenue</w:t>
      </w:r>
      <w:r>
        <w:t>,</w:t>
      </w:r>
      <w:r w:rsidRPr="00EB4E0D">
        <w:t xml:space="preserve"> </w:t>
      </w:r>
      <w:r>
        <w:t xml:space="preserve">totalling EUR 143.9 billion, </w:t>
      </w:r>
      <w:r w:rsidRPr="00EB4E0D">
        <w:t>was EUR</w:t>
      </w:r>
      <w:r>
        <w:t> 4.9 </w:t>
      </w:r>
      <w:r w:rsidRPr="00EB4E0D">
        <w:t xml:space="preserve">billion higher than </w:t>
      </w:r>
      <w:r>
        <w:t>the final adopted budget</w:t>
      </w:r>
      <w:r w:rsidRPr="00EB4E0D">
        <w:t xml:space="preserve"> due primarily to </w:t>
      </w:r>
      <w:r>
        <w:t xml:space="preserve">assigned revenue under headings 5 and 6 – see table </w:t>
      </w:r>
      <w:r w:rsidRPr="009B7AF6">
        <w:rPr>
          <w:b/>
        </w:rPr>
        <w:t>4.1</w:t>
      </w:r>
      <w:r>
        <w:t xml:space="preserve"> below;</w:t>
      </w:r>
    </w:p>
    <w:p w:rsidR="00F50689" w:rsidRPr="00EB4E0D" w:rsidRDefault="005A36C4" w:rsidP="00F50689">
      <w:pPr>
        <w:pStyle w:val="Textstand-alone"/>
        <w:numPr>
          <w:ilvl w:val="0"/>
          <w:numId w:val="22"/>
        </w:numPr>
      </w:pPr>
      <w:r>
        <w:t>F</w:t>
      </w:r>
      <w:r w:rsidRPr="00EB4E0D">
        <w:t xml:space="preserve">ines revenue </w:t>
      </w:r>
      <w:r>
        <w:t xml:space="preserve">of EUR 4.2 billion </w:t>
      </w:r>
      <w:r w:rsidRPr="00EB4E0D">
        <w:t>was used to finance the increased need for payment appropriations;</w:t>
      </w:r>
    </w:p>
    <w:p w:rsidR="00F50689" w:rsidRDefault="005A36C4" w:rsidP="00F50689">
      <w:pPr>
        <w:pStyle w:val="Textstand-alone"/>
        <w:numPr>
          <w:ilvl w:val="0"/>
          <w:numId w:val="22"/>
        </w:numPr>
      </w:pPr>
      <w:r w:rsidRPr="00EB4E0D">
        <w:t>There was an exceptionally high revision of GNI own resources made in 2014 (EUR</w:t>
      </w:r>
      <w:r>
        <w:t> </w:t>
      </w:r>
      <w:r w:rsidRPr="00EB4E0D">
        <w:t>9.5</w:t>
      </w:r>
      <w:r>
        <w:t> </w:t>
      </w:r>
      <w:r w:rsidRPr="00EB4E0D">
        <w:t xml:space="preserve">billion) </w:t>
      </w:r>
      <w:r>
        <w:t>covering the period</w:t>
      </w:r>
      <w:r w:rsidRPr="00EB4E0D">
        <w:t xml:space="preserve"> back to 2002</w:t>
      </w:r>
      <w:r>
        <w:t>.</w:t>
      </w:r>
      <w:r w:rsidRPr="00EB4E0D">
        <w:t xml:space="preserve"> </w:t>
      </w:r>
      <w:r>
        <w:t>T</w:t>
      </w:r>
      <w:r w:rsidRPr="00EB4E0D">
        <w:t>his</w:t>
      </w:r>
      <w:r>
        <w:t>, however,</w:t>
      </w:r>
      <w:r w:rsidRPr="00EB4E0D">
        <w:t xml:space="preserve"> had a negligible impact on the budget revenue for 2014 since amounts were effectively adjusted between Member States (some are to receive refunds, others have to pay)</w:t>
      </w:r>
      <w:r>
        <w:t xml:space="preserve"> and, moreover, most amounts have been deferred until 2015.</w:t>
      </w:r>
    </w:p>
    <w:p w:rsidR="00F50689" w:rsidRPr="00D73ABB" w:rsidRDefault="005A36C4" w:rsidP="00F50689">
      <w:pPr>
        <w:pStyle w:val="Textstand-alone"/>
        <w:rPr>
          <w:b/>
        </w:rPr>
      </w:pPr>
      <w:r w:rsidRPr="00D73ABB">
        <w:rPr>
          <w:b/>
        </w:rPr>
        <w:t>Expenditure:</w:t>
      </w:r>
    </w:p>
    <w:p w:rsidR="00F50689" w:rsidRPr="00EB4E0D" w:rsidRDefault="005A36C4" w:rsidP="00F50689">
      <w:pPr>
        <w:pStyle w:val="Textstand-alone"/>
        <w:numPr>
          <w:ilvl w:val="0"/>
          <w:numId w:val="22"/>
        </w:numPr>
      </w:pPr>
      <w:r w:rsidRPr="00EB4E0D">
        <w:t xml:space="preserve">Initial </w:t>
      </w:r>
      <w:r>
        <w:t>payment appropriations (EUR </w:t>
      </w:r>
      <w:r w:rsidRPr="001858A3">
        <w:t>135</w:t>
      </w:r>
      <w:r>
        <w:t>.</w:t>
      </w:r>
      <w:r w:rsidRPr="00EB4E0D">
        <w:t>5</w:t>
      </w:r>
      <w:r>
        <w:t> b</w:t>
      </w:r>
      <w:r w:rsidRPr="00EB4E0D">
        <w:t xml:space="preserve">illion) were exceptionally low – </w:t>
      </w:r>
      <w:r w:rsidRPr="001858A3">
        <w:t>6</w:t>
      </w:r>
      <w:r>
        <w:t> </w:t>
      </w:r>
      <w:r w:rsidRPr="00EB4E0D">
        <w:t>% lower than the final adopted budget for 2013. Amending budgets eventually increased the final adopted a</w:t>
      </w:r>
      <w:r>
        <w:t>ppropriations to EUR 139 </w:t>
      </w:r>
      <w:r w:rsidRPr="00EB4E0D">
        <w:t>million</w:t>
      </w:r>
      <w:r>
        <w:t xml:space="preserve"> – see table </w:t>
      </w:r>
      <w:r w:rsidRPr="001858A3">
        <w:rPr>
          <w:b/>
        </w:rPr>
        <w:t>5.1</w:t>
      </w:r>
      <w:r w:rsidRPr="00EB4E0D">
        <w:t>;</w:t>
      </w:r>
    </w:p>
    <w:p w:rsidR="00F50689" w:rsidRDefault="005A36C4" w:rsidP="00F50689">
      <w:pPr>
        <w:pStyle w:val="Textstand-alone"/>
        <w:numPr>
          <w:ilvl w:val="0"/>
          <w:numId w:val="22"/>
        </w:numPr>
      </w:pPr>
      <w:r w:rsidRPr="00EB4E0D">
        <w:t>Total payments amounted to EUR</w:t>
      </w:r>
      <w:r>
        <w:t> 142.5 b</w:t>
      </w:r>
      <w:r w:rsidRPr="00EB4E0D">
        <w:t xml:space="preserve">illion, </w:t>
      </w:r>
      <w:r>
        <w:t xml:space="preserve">(2013: EUR 148.5 billion) – see table </w:t>
      </w:r>
      <w:r w:rsidRPr="001858A3">
        <w:rPr>
          <w:b/>
        </w:rPr>
        <w:t>5.3</w:t>
      </w:r>
      <w:r>
        <w:t>.;</w:t>
      </w:r>
    </w:p>
    <w:p w:rsidR="00F50689" w:rsidRDefault="005A36C4" w:rsidP="00F50689">
      <w:pPr>
        <w:pStyle w:val="Textstand-alone"/>
        <w:numPr>
          <w:ilvl w:val="0"/>
          <w:numId w:val="22"/>
        </w:numPr>
      </w:pPr>
      <w:r>
        <w:t>Under-implementation of payments (after carry-overs) of EUR 32 million is one of the lowest recorded, confirming the tight constraints imposed on payment appropriations.</w:t>
      </w:r>
    </w:p>
    <w:p w:rsidR="00F50689" w:rsidRPr="00D73ABB" w:rsidRDefault="005A36C4" w:rsidP="00F50689">
      <w:pPr>
        <w:pStyle w:val="Textstand-alone"/>
        <w:rPr>
          <w:b/>
        </w:rPr>
      </w:pPr>
      <w:r w:rsidRPr="00D73ABB">
        <w:rPr>
          <w:b/>
        </w:rPr>
        <w:t>Commitments &amp; RAL:</w:t>
      </w:r>
    </w:p>
    <w:p w:rsidR="00F50689" w:rsidRDefault="005A36C4" w:rsidP="00F50689">
      <w:pPr>
        <w:pStyle w:val="Textstand-alone"/>
        <w:numPr>
          <w:ilvl w:val="0"/>
          <w:numId w:val="22"/>
        </w:numPr>
      </w:pPr>
      <w:r>
        <w:t xml:space="preserve">Available commitment appropriations of EUR 149.9 billion were only implemented at an overall level of 76 % and a large amount of appropriations were carried over or reprogrammed to 2015 – see table </w:t>
      </w:r>
      <w:r w:rsidRPr="00E76E7E">
        <w:rPr>
          <w:b/>
        </w:rPr>
        <w:t>5.2</w:t>
      </w:r>
      <w:r>
        <w:t>;</w:t>
      </w:r>
    </w:p>
    <w:p w:rsidR="00F50689" w:rsidRPr="00EB4E0D" w:rsidRDefault="005A36C4" w:rsidP="00F50689">
      <w:pPr>
        <w:pStyle w:val="Textstand-alone"/>
        <w:numPr>
          <w:ilvl w:val="0"/>
          <w:numId w:val="22"/>
        </w:numPr>
      </w:pPr>
      <w:r>
        <w:t xml:space="preserve">Outstanding commitments ("RAL") decreased significantly from EUR 222.4 bilion at end 2013 to EUR 189.6 billion at end 2014 – see table </w:t>
      </w:r>
      <w:r w:rsidRPr="009B7AF6">
        <w:rPr>
          <w:b/>
        </w:rPr>
        <w:t>5.9</w:t>
      </w:r>
      <w:r>
        <w:t>. This reflects the low implementation of commitments at the start of new programming period – had all appropriations for the new programmes been committed in 2014, the RAL would have remained at a similar level as 2013.</w:t>
      </w:r>
    </w:p>
    <w:p w:rsidR="00F50689" w:rsidRDefault="00F50689" w:rsidP="00F50689">
      <w:pPr>
        <w:pStyle w:val="Textstand-alone"/>
      </w:pPr>
    </w:p>
    <w:p w:rsidR="00F50689" w:rsidRDefault="005A36C4" w:rsidP="00F50689">
      <w:pPr>
        <w:pStyle w:val="Textstand-alone"/>
      </w:pPr>
      <w:r>
        <w:t>A more detailed analysis of budgetary adjustments, their relevant context, their justification and their impact is presented in Commission's Report on Budgetary and Financial Management 2014, Part A "Overview at budget level" and Part B dealing with each heading of the multi-annual financial framework.</w:t>
      </w:r>
    </w:p>
    <w:p w:rsidR="00F50689" w:rsidRDefault="005A36C4" w:rsidP="00F50689">
      <w:pPr>
        <w:pStyle w:val="Textstand-alone"/>
        <w:sectPr w:rsidR="00F50689" w:rsidSect="00F50689">
          <w:headerReference w:type="even" r:id="rId467"/>
          <w:headerReference w:type="default" r:id="rId468"/>
          <w:footerReference w:type="even" r:id="rId469"/>
          <w:footerReference w:type="default" r:id="rId470"/>
          <w:headerReference w:type="first" r:id="rId471"/>
          <w:footerReference w:type="first" r:id="rId472"/>
          <w:pgSz w:w="11907" w:h="16840" w:code="9"/>
          <w:pgMar w:top="1134" w:right="1134" w:bottom="1134" w:left="1134" w:header="709" w:footer="709" w:gutter="0"/>
          <w:cols w:space="708"/>
          <w:docGrid w:linePitch="360"/>
        </w:sectPr>
      </w:pPr>
      <w:r>
        <w:t xml:space="preserve"> </w:t>
      </w:r>
      <w:bookmarkEnd w:id="232"/>
    </w:p>
    <w:p w:rsidR="00F50689" w:rsidRDefault="005A36C4" w:rsidP="00F50689">
      <w:pPr>
        <w:pStyle w:val="HEADER1Part3"/>
      </w:pPr>
      <w:bookmarkStart w:id="235" w:name="_Toc424653738"/>
      <w:bookmarkStart w:id="236" w:name="_DMBM_3459"/>
      <w:r>
        <w:t>NOTES TO THE RECONCILIATION OF ECONOMIC RESULT WITH BUDGET RESULT</w:t>
      </w:r>
      <w:bookmarkEnd w:id="235"/>
    </w:p>
    <w:p w:rsidR="00F50689" w:rsidRDefault="005A36C4" w:rsidP="00F50689">
      <w:pPr>
        <w:pStyle w:val="Textstand-alone"/>
      </w:pPr>
      <w:r>
        <w:t xml:space="preserve">In accordance with the Financial Regulation, the economic result of the year is calculated on the basis of accrual accounting principles, while the budget result is based on modified cash accounting rules. As the economic result and the budget result both cover the same underlying transactions, it is a useful control to ensure that they are reconcilable. </w:t>
      </w:r>
    </w:p>
    <w:p w:rsidR="00F50689" w:rsidRPr="00663B51" w:rsidRDefault="005A36C4" w:rsidP="00F50689">
      <w:pPr>
        <w:pStyle w:val="Textstand-alone"/>
        <w:rPr>
          <w:b/>
        </w:rPr>
      </w:pPr>
      <w:r w:rsidRPr="00663B51">
        <w:rPr>
          <w:b/>
        </w:rPr>
        <w:t>Reconciling items - Revenue</w:t>
      </w:r>
    </w:p>
    <w:p w:rsidR="00F50689" w:rsidRDefault="005A36C4" w:rsidP="00F50689">
      <w:pPr>
        <w:pStyle w:val="Textstand-alone"/>
      </w:pPr>
      <w:r>
        <w:t xml:space="preserve">The actual budgetary revenue for a financial year corresponds to the revenue collected from entitlements established in the course of the year and amounts collected from entitlements established in previous years. Therefore the entitlements established in the current year but not yet collected are to be deducted from the economic result for reconciliation purposes as they do not form part of budgetary revenue. On the contrary the entitlements established in previous years and collected in current year must be added to the economic result for reconciliation purposes. </w:t>
      </w:r>
    </w:p>
    <w:p w:rsidR="00F50689" w:rsidRDefault="005A36C4" w:rsidP="00F50689">
      <w:pPr>
        <w:pStyle w:val="Textstand-alone"/>
      </w:pPr>
      <w:r>
        <w:t xml:space="preserve">The net accrued revenue mainly consists of accrued revenue for agriculture, own resources and interests and dividends. Only the net-effect, i.e. accrued revenue for current year minus reversal accrued revenue from previous year, is taken into consideration. </w:t>
      </w:r>
    </w:p>
    <w:p w:rsidR="00F50689" w:rsidRPr="00663B51" w:rsidRDefault="005A36C4" w:rsidP="00F50689">
      <w:pPr>
        <w:pStyle w:val="Textstand-alone"/>
        <w:rPr>
          <w:b/>
        </w:rPr>
      </w:pPr>
      <w:r w:rsidRPr="00663B51">
        <w:rPr>
          <w:b/>
        </w:rPr>
        <w:t xml:space="preserve">Reconciling items - Expenditure </w:t>
      </w:r>
    </w:p>
    <w:p w:rsidR="00F50689" w:rsidRDefault="005A36C4" w:rsidP="00F50689">
      <w:pPr>
        <w:pStyle w:val="Textstand-alone"/>
      </w:pPr>
      <w:r>
        <w:t>Net accrued expenses mainly consists of accruals made for year-end cut-off purposes, i.e. eligible expenses incurred by beneficiaries of EU funds but not yet reported to the Commission. While accrued expenses are not considered as budgetary expenditure, payments made in the current year relating to invoices registered in prior years are part of current year's budgetary expenditure.</w:t>
      </w:r>
    </w:p>
    <w:p w:rsidR="00F50689" w:rsidRDefault="005A36C4" w:rsidP="00F50689">
      <w:pPr>
        <w:pStyle w:val="Textstand-alone"/>
      </w:pPr>
      <w:r>
        <w:t xml:space="preserve">The net effect of pre-financing is the combination of (1) the new pre-financing amounts paid in the current year and recognised as budgetary expenditure of the year and (2) the clearing of the pre-financing paid in current year or previous years through the acceptance of eligible costs. The latter represent an expense in accrual terms but not in the budgetary accounts since the payment of the initial pre-financing had already been considered as a budgetary expenditure at the time of its payment. </w:t>
      </w:r>
    </w:p>
    <w:p w:rsidR="00F50689" w:rsidRDefault="005A36C4" w:rsidP="00F50689">
      <w:pPr>
        <w:pStyle w:val="Textstand-alone"/>
      </w:pPr>
      <w:r>
        <w:t>Besides the payments made against the year's appropriations, the appropriations for that year that are carried forward to the next year also need to be taken into account in calculating the budget result for the year (in accordance with Article 15 of Regulation No 1150/2000). The same applies for the budgetary payments made in the current year from carry-overs from previous years, and the cancellation of unused payment appropriations.</w:t>
      </w:r>
    </w:p>
    <w:p w:rsidR="00F50689" w:rsidRDefault="005A36C4" w:rsidP="00F50689">
      <w:pPr>
        <w:pStyle w:val="Textstand-alone"/>
      </w:pPr>
      <w:r>
        <w:t>The movement in provisions relates to year-end estimates made in the financial statements (employee benefits mainly) that do not impact the budgetary accounts. Other reconciling amounts comprise different elements such as asset depreciation, asset acquisitions, capital lease payments and financial participations for which the budgetary and accrual accounting treatments differ.</w:t>
      </w:r>
    </w:p>
    <w:p w:rsidR="00F50689" w:rsidRDefault="005A36C4" w:rsidP="00F50689">
      <w:pPr>
        <w:pStyle w:val="Textstand-alone"/>
        <w:sectPr w:rsidR="00F50689" w:rsidSect="00F50689">
          <w:headerReference w:type="even" r:id="rId473"/>
          <w:headerReference w:type="default" r:id="rId474"/>
          <w:footerReference w:type="even" r:id="rId475"/>
          <w:footerReference w:type="default" r:id="rId476"/>
          <w:headerReference w:type="first" r:id="rId477"/>
          <w:footerReference w:type="first" r:id="rId478"/>
          <w:pgSz w:w="11907" w:h="16840" w:code="9"/>
          <w:pgMar w:top="1134" w:right="1134" w:bottom="1134" w:left="1134" w:header="709" w:footer="709" w:gutter="0"/>
          <w:cols w:space="708"/>
          <w:docGrid w:linePitch="360"/>
        </w:sectPr>
      </w:pPr>
      <w:r>
        <w:t xml:space="preserve"> </w:t>
      </w:r>
      <w:bookmarkEnd w:id="236"/>
    </w:p>
    <w:p w:rsidR="00F50689" w:rsidRDefault="005A36C4" w:rsidP="00F50689">
      <w:pPr>
        <w:pStyle w:val="HEADER1Part3"/>
        <w:spacing w:after="0"/>
      </w:pPr>
      <w:bookmarkStart w:id="237" w:name="_Toc424653739"/>
      <w:bookmarkStart w:id="238" w:name="_DMBM_3432"/>
      <w:r w:rsidRPr="002D5D0B">
        <w:t>IMPLEMENTATION OF EU BUDGET REVENUE</w:t>
      </w:r>
      <w:bookmarkEnd w:id="237"/>
    </w:p>
    <w:p w:rsidR="00F50689" w:rsidRDefault="005A36C4" w:rsidP="00F50689">
      <w:pPr>
        <w:pStyle w:val="HEADER5"/>
        <w:sectPr w:rsidR="00F50689" w:rsidSect="00F50689">
          <w:headerReference w:type="even" r:id="rId479"/>
          <w:headerReference w:type="default" r:id="rId480"/>
          <w:footerReference w:type="even" r:id="rId481"/>
          <w:footerReference w:type="default" r:id="rId482"/>
          <w:headerReference w:type="first" r:id="rId483"/>
          <w:footerReference w:type="first" r:id="rId484"/>
          <w:type w:val="continuous"/>
          <w:pgSz w:w="16840" w:h="11907" w:orient="landscape" w:code="9"/>
          <w:pgMar w:top="1134" w:right="1134" w:bottom="1134" w:left="1134" w:header="708" w:footer="708" w:gutter="0"/>
          <w:cols w:space="708"/>
          <w:docGrid w:linePitch="360"/>
        </w:sectPr>
      </w:pPr>
      <w:r>
        <w:t xml:space="preserve"> </w:t>
      </w:r>
      <w:bookmarkEnd w:id="238"/>
    </w:p>
    <w:p w:rsidR="00F50689" w:rsidRDefault="005A36C4" w:rsidP="00F50689">
      <w:pPr>
        <w:pStyle w:val="HEADER2Part3"/>
      </w:pPr>
      <w:bookmarkStart w:id="239" w:name="_Toc424653740"/>
      <w:bookmarkStart w:id="240" w:name="_DMBM_3433"/>
      <w:r w:rsidRPr="00D068C3">
        <w:t>SUMMARY OF THE IMPLEMENTATION OF BUDGET REVENUE</w:t>
      </w:r>
      <w:bookmarkEnd w:id="239"/>
    </w:p>
    <w:tbl>
      <w:tblPr>
        <w:tblW w:w="14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551"/>
        <w:gridCol w:w="1134"/>
        <w:gridCol w:w="1134"/>
        <w:gridCol w:w="1086"/>
        <w:gridCol w:w="1087"/>
        <w:gridCol w:w="1087"/>
        <w:gridCol w:w="1276"/>
        <w:gridCol w:w="1276"/>
        <w:gridCol w:w="1134"/>
        <w:gridCol w:w="1134"/>
        <w:gridCol w:w="1276"/>
      </w:tblGrid>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lang w:bidi="en-GB"/>
              </w:rPr>
            </w:pPr>
            <w:bookmarkStart w:id="241" w:name="DOC_TBL00098_1_1"/>
            <w:bookmarkEnd w:id="241"/>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lang w:bidi="en-GB"/>
              </w:rPr>
            </w:pPr>
            <w:r>
              <w:rPr>
                <w:rFonts w:eastAsia="Verdana" w:cs="Verdana"/>
                <w:lang w:bidi="en-GB"/>
              </w:rPr>
              <w:t>EUR millions</w:t>
            </w:r>
          </w:p>
        </w:tc>
      </w:tr>
      <w:tr w:rsidR="00E7728E">
        <w:tc>
          <w:tcPr>
            <w:tcW w:w="568"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8pNormalCentered"/>
              <w:rPr>
                <w:rFonts w:eastAsia="Verdana" w:cs="Verdana"/>
                <w:lang w:bidi="en-GB"/>
              </w:rPr>
            </w:pPr>
          </w:p>
        </w:tc>
        <w:tc>
          <w:tcPr>
            <w:tcW w:w="255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lang w:bidi="en-GB"/>
              </w:rPr>
            </w:pPr>
            <w:r>
              <w:rPr>
                <w:rFonts w:eastAsia="Verdana" w:cs="Verdana"/>
                <w:lang w:bidi="en-GB"/>
              </w:rPr>
              <w:t>Title</w:t>
            </w:r>
          </w:p>
        </w:tc>
        <w:tc>
          <w:tcPr>
            <w:tcW w:w="2268" w:type="dxa"/>
            <w:gridSpan w:val="2"/>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lang w:bidi="en-GB"/>
              </w:rPr>
            </w:pPr>
            <w:r>
              <w:rPr>
                <w:rFonts w:eastAsia="Verdana" w:cs="Verdana"/>
                <w:lang w:bidi="en-GB"/>
              </w:rPr>
              <w:t>Income appropriations</w:t>
            </w:r>
          </w:p>
        </w:tc>
        <w:tc>
          <w:tcPr>
            <w:tcW w:w="3260" w:type="dxa"/>
            <w:gridSpan w:val="3"/>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lang w:bidi="en-GB"/>
              </w:rPr>
            </w:pPr>
            <w:r>
              <w:rPr>
                <w:rFonts w:eastAsia="Verdana" w:cs="Verdana"/>
                <w:lang w:bidi="en-GB"/>
              </w:rPr>
              <w:t>Entitlements established</w:t>
            </w:r>
          </w:p>
        </w:tc>
        <w:tc>
          <w:tcPr>
            <w:tcW w:w="3686" w:type="dxa"/>
            <w:gridSpan w:val="3"/>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lang w:bidi="en-GB"/>
              </w:rPr>
            </w:pPr>
            <w:r>
              <w:rPr>
                <w:rFonts w:eastAsia="Verdana" w:cs="Verdana"/>
                <w:lang w:bidi="en-GB"/>
              </w:rPr>
              <w:t>Revenue</w:t>
            </w:r>
          </w:p>
        </w:tc>
        <w:tc>
          <w:tcPr>
            <w:tcW w:w="1134" w:type="dxa"/>
            <w:tcBorders>
              <w:top w:val="nil"/>
              <w:left w:val="nil"/>
              <w:bottom w:val="nil"/>
              <w:right w:val="nil"/>
            </w:tcBorders>
            <w:shd w:val="clear" w:color="auto" w:fill="016794"/>
            <w:tcMar>
              <w:top w:w="0" w:type="dxa"/>
              <w:left w:w="0" w:type="dxa"/>
              <w:bottom w:w="0" w:type="dxa"/>
              <w:right w:w="0" w:type="dxa"/>
            </w:tcMar>
            <w:vAlign w:val="bottom"/>
          </w:tcPr>
          <w:p w:rsidR="00F50689" w:rsidRDefault="005A36C4" w:rsidP="00F50689">
            <w:pPr>
              <w:pStyle w:val="Heading8pNormalCentered"/>
              <w:jc w:val="left"/>
              <w:rPr>
                <w:rFonts w:eastAsia="Verdana" w:cs="Verdana"/>
                <w:lang w:bidi="en-GB"/>
              </w:rPr>
            </w:pPr>
            <w:r>
              <w:rPr>
                <w:rFonts w:eastAsia="Verdana" w:cs="Verdana"/>
                <w:lang w:bidi="en-GB"/>
              </w:rPr>
              <w:t xml:space="preserve">Receipts as </w:t>
            </w:r>
          </w:p>
        </w:tc>
        <w:tc>
          <w:tcPr>
            <w:tcW w:w="127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lang w:bidi="en-GB"/>
              </w:rPr>
            </w:pPr>
            <w:r>
              <w:rPr>
                <w:rFonts w:eastAsia="Verdana" w:cs="Verdana"/>
                <w:lang w:bidi="en-GB"/>
              </w:rPr>
              <w:t>Outstanding</w:t>
            </w:r>
          </w:p>
        </w:tc>
      </w:tr>
      <w:tr w:rsidR="00E7728E">
        <w:tc>
          <w:tcPr>
            <w:tcW w:w="568"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8pNormalCentered"/>
              <w:rPr>
                <w:rFonts w:eastAsia="Verdana" w:cs="Verdana"/>
                <w:lang w:bidi="en-GB"/>
              </w:rPr>
            </w:pPr>
          </w:p>
        </w:tc>
        <w:tc>
          <w:tcPr>
            <w:tcW w:w="2551" w:type="dxa"/>
            <w:tcBorders>
              <w:top w:val="nil"/>
              <w:left w:val="nil"/>
              <w:bottom w:val="nil"/>
              <w:right w:val="nil"/>
            </w:tcBorders>
            <w:shd w:val="clear" w:color="auto" w:fill="016794"/>
            <w:tcMar>
              <w:top w:w="0" w:type="dxa"/>
              <w:left w:w="0" w:type="dxa"/>
              <w:bottom w:w="0" w:type="dxa"/>
              <w:right w:w="0" w:type="dxa"/>
            </w:tcMar>
            <w:vAlign w:val="center"/>
          </w:tcPr>
          <w:p w:rsidR="00F50689" w:rsidRDefault="00F50689" w:rsidP="00F50689">
            <w:pPr>
              <w:pStyle w:val="Heading8pNormalCentered"/>
              <w:rPr>
                <w:rFonts w:eastAsia="Verdana" w:cs="Verdana"/>
                <w:color w:val="auto"/>
                <w:lang w:bidi="en-GB"/>
              </w:rPr>
            </w:pPr>
          </w:p>
        </w:tc>
        <w:tc>
          <w:tcPr>
            <w:tcW w:w="1134"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lang w:bidi="en-GB"/>
              </w:rPr>
            </w:pPr>
            <w:r>
              <w:rPr>
                <w:rFonts w:eastAsia="Verdana" w:cs="Verdana"/>
                <w:lang w:bidi="en-GB"/>
              </w:rPr>
              <w:t>Initial adopted budget</w:t>
            </w:r>
          </w:p>
        </w:tc>
        <w:tc>
          <w:tcPr>
            <w:tcW w:w="1134"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lang w:bidi="en-GB"/>
              </w:rPr>
            </w:pPr>
            <w:r>
              <w:rPr>
                <w:rFonts w:eastAsia="Verdana" w:cs="Verdana"/>
                <w:lang w:bidi="en-GB"/>
              </w:rPr>
              <w:t>Final adopted budget</w:t>
            </w:r>
          </w:p>
        </w:tc>
        <w:tc>
          <w:tcPr>
            <w:tcW w:w="1086"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lang w:bidi="en-GB"/>
              </w:rPr>
            </w:pPr>
            <w:r>
              <w:rPr>
                <w:rFonts w:eastAsia="Verdana" w:cs="Verdana"/>
                <w:lang w:bidi="en-GB"/>
              </w:rPr>
              <w:t>Current  year</w:t>
            </w:r>
          </w:p>
        </w:tc>
        <w:tc>
          <w:tcPr>
            <w:tcW w:w="1087"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lang w:bidi="en-GB"/>
              </w:rPr>
            </w:pPr>
            <w:r>
              <w:rPr>
                <w:rFonts w:eastAsia="Verdana" w:cs="Verdana"/>
                <w:lang w:bidi="en-GB"/>
              </w:rPr>
              <w:t>Carried  over</w:t>
            </w:r>
          </w:p>
        </w:tc>
        <w:tc>
          <w:tcPr>
            <w:tcW w:w="1087"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lang w:bidi="en-GB"/>
              </w:rPr>
            </w:pPr>
            <w:r>
              <w:rPr>
                <w:rFonts w:eastAsia="Verdana" w:cs="Verdana"/>
                <w:lang w:bidi="en-GB"/>
              </w:rPr>
              <w:t>Total</w:t>
            </w:r>
          </w:p>
        </w:tc>
        <w:tc>
          <w:tcPr>
            <w:tcW w:w="1276"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lang w:bidi="en-GB"/>
              </w:rPr>
            </w:pPr>
            <w:r>
              <w:rPr>
                <w:rFonts w:eastAsia="Verdana" w:cs="Verdana"/>
                <w:lang w:bidi="en-GB"/>
              </w:rPr>
              <w:t>On entitlements current year</w:t>
            </w:r>
          </w:p>
        </w:tc>
        <w:tc>
          <w:tcPr>
            <w:tcW w:w="1276"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lang w:bidi="en-GB"/>
              </w:rPr>
            </w:pPr>
            <w:r>
              <w:rPr>
                <w:rFonts w:eastAsia="Verdana" w:cs="Verdana"/>
                <w:lang w:bidi="en-GB"/>
              </w:rPr>
              <w:t>On entitlements carried over</w:t>
            </w:r>
          </w:p>
        </w:tc>
        <w:tc>
          <w:tcPr>
            <w:tcW w:w="1134"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lang w:bidi="en-GB"/>
              </w:rPr>
            </w:pPr>
            <w:r>
              <w:rPr>
                <w:rFonts w:eastAsia="Verdana" w:cs="Verdana"/>
                <w:lang w:bidi="en-GB"/>
              </w:rPr>
              <w:t>Total</w:t>
            </w:r>
          </w:p>
        </w:tc>
        <w:tc>
          <w:tcPr>
            <w:tcW w:w="1134"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lang w:bidi="en-GB"/>
              </w:rPr>
            </w:pPr>
            <w:r>
              <w:rPr>
                <w:rFonts w:eastAsia="Verdana" w:cs="Verdana"/>
                <w:lang w:bidi="en-GB"/>
              </w:rPr>
              <w:t>% of budget</w:t>
            </w:r>
          </w:p>
        </w:tc>
        <w:tc>
          <w:tcPr>
            <w:tcW w:w="1276"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8pNormalCentered"/>
              <w:rPr>
                <w:rFonts w:eastAsia="Verdana" w:cs="Verdana"/>
                <w:color w:val="auto"/>
                <w:lang w:bidi="en-GB"/>
              </w:rPr>
            </w:pP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lang w:bidi="en-GB"/>
              </w:rPr>
            </w:pPr>
            <w:r>
              <w:rPr>
                <w:rFonts w:eastAsia="Verdana" w:cs="Verdana"/>
                <w:lang w:bidi="en-GB"/>
              </w:rPr>
              <w:t>1.</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Own resources</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133 960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128 388</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128 853</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46</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128 899</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128 841</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25</w:t>
            </w:r>
          </w:p>
        </w:tc>
        <w:tc>
          <w:tcPr>
            <w:tcW w:w="1134"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128 867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100.37%</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32</w:t>
            </w: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lang w:bidi="en-GB"/>
              </w:rPr>
            </w:pPr>
            <w:r>
              <w:rPr>
                <w:rFonts w:eastAsia="Verdana" w:cs="Verdana"/>
                <w:lang w:bidi="en-GB"/>
              </w:rPr>
              <w:t>3.</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Surpluses, balances and adjustments</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5 101</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10 507</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10 507</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5 100</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5 100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99.98%</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5 407</w:t>
            </w: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lang w:bidi="en-GB"/>
              </w:rPr>
            </w:pPr>
            <w:r>
              <w:rPr>
                <w:rFonts w:eastAsia="Verdana" w:cs="Verdana"/>
                <w:lang w:bidi="en-GB"/>
              </w:rPr>
              <w:t>4.</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Revenue accruing from persons working with the institutions and other Union bodies</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1 275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1 275</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1 248</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12</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1 260</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1 240</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11</w:t>
            </w:r>
          </w:p>
        </w:tc>
        <w:tc>
          <w:tcPr>
            <w:tcW w:w="1134"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1 251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98.14%</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8</w:t>
            </w: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lang w:bidi="en-GB"/>
              </w:rPr>
            </w:pPr>
            <w:r>
              <w:rPr>
                <w:rFonts w:eastAsia="Verdana" w:cs="Verdana"/>
                <w:lang w:bidi="en-GB"/>
              </w:rPr>
              <w:t>5.</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Revenue accruing from the administrative operation of the institutions</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54</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54</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578</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21</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599</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563</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15</w:t>
            </w:r>
          </w:p>
        </w:tc>
        <w:tc>
          <w:tcPr>
            <w:tcW w:w="1134"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578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1075.46%</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21</w:t>
            </w: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lang w:bidi="en-GB"/>
              </w:rPr>
            </w:pPr>
            <w:r>
              <w:rPr>
                <w:rFonts w:eastAsia="Verdana" w:cs="Verdana"/>
                <w:lang w:bidi="en-GB"/>
              </w:rPr>
              <w:t>6.</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Contributions and refunds in connection with Union agreements and programmes</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60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60</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3 267</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228</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3 496</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3 120</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105</w:t>
            </w:r>
          </w:p>
        </w:tc>
        <w:tc>
          <w:tcPr>
            <w:tcW w:w="1134"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3 225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5374.97%</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271</w:t>
            </w: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lang w:bidi="en-GB"/>
              </w:rPr>
            </w:pPr>
            <w:r>
              <w:rPr>
                <w:rFonts w:eastAsia="Verdana" w:cs="Verdana"/>
                <w:lang w:bidi="en-GB"/>
              </w:rPr>
              <w:t>7.</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Interests on late payments and fines</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123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3 973</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2 206</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10 416</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12 622</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1 131</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3 475</w:t>
            </w:r>
          </w:p>
        </w:tc>
        <w:tc>
          <w:tcPr>
            <w:tcW w:w="1134"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4 607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115.95%</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8 016</w:t>
            </w: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lang w:bidi="en-GB"/>
              </w:rPr>
            </w:pPr>
            <w:r>
              <w:rPr>
                <w:rFonts w:eastAsia="Verdana" w:cs="Verdana"/>
                <w:lang w:bidi="en-GB"/>
              </w:rPr>
              <w:t>8.</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Borrowing and lending operations</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153</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46</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255</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301</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43</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254</w:t>
            </w:r>
          </w:p>
        </w:tc>
        <w:tc>
          <w:tcPr>
            <w:tcW w:w="1134"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297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193.72%</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3</w:t>
            </w: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lang w:bidi="en-GB"/>
              </w:rPr>
            </w:pPr>
            <w:r>
              <w:rPr>
                <w:rFonts w:eastAsia="Verdana" w:cs="Verdana"/>
                <w:lang w:bidi="en-GB"/>
              </w:rPr>
              <w:t>9.</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Miscellaneous revenue</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30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30</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15</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10</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25</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13</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2</w:t>
            </w:r>
          </w:p>
        </w:tc>
        <w:tc>
          <w:tcPr>
            <w:tcW w:w="1134"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50.01%</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10</w:t>
            </w:r>
          </w:p>
        </w:tc>
      </w:tr>
      <w:tr w:rsidR="00E7728E">
        <w:tc>
          <w:tcPr>
            <w:tcW w:w="568"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8pBoldRight025"/>
              <w:rPr>
                <w:rFonts w:eastAsia="Verdana" w:cs="Verdana"/>
                <w:lang w:bidi="en-GB"/>
              </w:rPr>
            </w:pPr>
          </w:p>
        </w:tc>
        <w:tc>
          <w:tcPr>
            <w:tcW w:w="25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8pBoldLeft"/>
              <w:rPr>
                <w:rFonts w:eastAsia="Verdana" w:cs="Verdana"/>
                <w:lang w:bidi="en-GB"/>
              </w:rPr>
            </w:pPr>
            <w:r>
              <w:rPr>
                <w:rFonts w:eastAsia="Verdana" w:cs="Verdana"/>
                <w:lang w:bidi="en-GB"/>
              </w:rPr>
              <w:t>Total</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lang w:bidi="en-GB"/>
              </w:rPr>
            </w:pPr>
            <w:r>
              <w:rPr>
                <w:rFonts w:eastAsia="Verdana" w:cs="Verdana"/>
                <w:lang w:bidi="en-GB"/>
              </w:rPr>
              <w:t>135 505</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lang w:bidi="en-GB"/>
              </w:rPr>
            </w:pPr>
            <w:r>
              <w:rPr>
                <w:rFonts w:eastAsia="Verdana" w:cs="Verdana"/>
                <w:lang w:bidi="en-GB"/>
              </w:rPr>
              <w:t>139 034</w:t>
            </w:r>
          </w:p>
        </w:tc>
        <w:tc>
          <w:tcPr>
            <w:tcW w:w="108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lang w:bidi="en-GB"/>
              </w:rPr>
            </w:pPr>
            <w:r>
              <w:rPr>
                <w:rFonts w:eastAsia="Verdana" w:cs="Verdana"/>
                <w:lang w:bidi="en-GB"/>
              </w:rPr>
              <w:t>146 721</w:t>
            </w:r>
          </w:p>
        </w:tc>
        <w:tc>
          <w:tcPr>
            <w:tcW w:w="108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lang w:bidi="en-GB"/>
              </w:rPr>
            </w:pPr>
            <w:r>
              <w:rPr>
                <w:rFonts w:eastAsia="Verdana" w:cs="Verdana"/>
                <w:lang w:bidi="en-GB"/>
              </w:rPr>
              <w:t>10 988</w:t>
            </w:r>
          </w:p>
        </w:tc>
        <w:tc>
          <w:tcPr>
            <w:tcW w:w="108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lang w:bidi="en-GB"/>
              </w:rPr>
            </w:pPr>
            <w:r>
              <w:rPr>
                <w:rFonts w:eastAsia="Verdana" w:cs="Verdana"/>
                <w:lang w:bidi="en-GB"/>
              </w:rPr>
              <w:t>157 709</w:t>
            </w:r>
          </w:p>
        </w:tc>
        <w:tc>
          <w:tcPr>
            <w:tcW w:w="127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lang w:bidi="en-GB"/>
              </w:rPr>
            </w:pPr>
            <w:r>
              <w:rPr>
                <w:rFonts w:eastAsia="Verdana" w:cs="Verdana"/>
                <w:lang w:bidi="en-GB"/>
              </w:rPr>
              <w:t>140 052</w:t>
            </w:r>
          </w:p>
        </w:tc>
        <w:tc>
          <w:tcPr>
            <w:tcW w:w="127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lang w:bidi="en-GB"/>
              </w:rPr>
            </w:pPr>
            <w:r>
              <w:rPr>
                <w:rFonts w:eastAsia="Verdana" w:cs="Verdana"/>
                <w:lang w:bidi="en-GB"/>
              </w:rPr>
              <w:t>3 888</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lang w:bidi="en-GB"/>
              </w:rPr>
            </w:pPr>
            <w:r>
              <w:rPr>
                <w:rFonts w:eastAsia="Verdana" w:cs="Verdana"/>
                <w:lang w:bidi="en-GB"/>
              </w:rPr>
              <w:t>143 940</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lang w:bidi="en-GB"/>
              </w:rPr>
            </w:pPr>
            <w:r>
              <w:rPr>
                <w:rFonts w:eastAsia="Verdana" w:cs="Verdana"/>
                <w:lang w:bidi="en-GB"/>
              </w:rPr>
              <w:t>103.53%</w:t>
            </w:r>
          </w:p>
        </w:tc>
        <w:tc>
          <w:tcPr>
            <w:tcW w:w="127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lang w:bidi="en-GB"/>
              </w:rPr>
            </w:pPr>
            <w:r>
              <w:rPr>
                <w:rFonts w:eastAsia="Verdana" w:cs="Verdana"/>
                <w:lang w:bidi="en-GB"/>
              </w:rPr>
              <w:t>13 769</w:t>
            </w:r>
          </w:p>
        </w:tc>
      </w:tr>
    </w:tbl>
    <w:p w:rsidR="00F50689" w:rsidRDefault="00F50689" w:rsidP="00F50689">
      <w:pPr>
        <w:pStyle w:val="Textstand-alone"/>
        <w:rPr>
          <w:lang w:bidi="en-GB"/>
        </w:rPr>
      </w:pPr>
    </w:p>
    <w:tbl>
      <w:tblPr>
        <w:tblW w:w="14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551"/>
        <w:gridCol w:w="1134"/>
        <w:gridCol w:w="1134"/>
        <w:gridCol w:w="1086"/>
        <w:gridCol w:w="1087"/>
        <w:gridCol w:w="1087"/>
        <w:gridCol w:w="1276"/>
        <w:gridCol w:w="1276"/>
        <w:gridCol w:w="1134"/>
        <w:gridCol w:w="1134"/>
        <w:gridCol w:w="1276"/>
      </w:tblGrid>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lang w:bidi="en-GB"/>
              </w:rPr>
            </w:pPr>
            <w:bookmarkStart w:id="242" w:name="DOC_TBL00099_1_1"/>
            <w:bookmarkEnd w:id="242"/>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lang w:bidi="en-GB"/>
              </w:rPr>
            </w:pPr>
            <w:r>
              <w:rPr>
                <w:rFonts w:eastAsia="Verdana" w:cs="Verdana"/>
                <w:lang w:bidi="en-GB"/>
              </w:rPr>
              <w:t>EUR millions</w:t>
            </w:r>
          </w:p>
        </w:tc>
      </w:tr>
      <w:tr w:rsidR="00E7728E">
        <w:tc>
          <w:tcPr>
            <w:tcW w:w="14743" w:type="dxa"/>
            <w:gridSpan w:val="12"/>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Heading9pBoldCentered"/>
              <w:rPr>
                <w:rFonts w:eastAsia="Verdana" w:cs="Verdana"/>
                <w:lang w:bidi="en-GB"/>
              </w:rPr>
            </w:pPr>
            <w:r>
              <w:rPr>
                <w:rFonts w:eastAsia="Verdana" w:cs="Verdana"/>
                <w:lang w:bidi="en-GB"/>
              </w:rPr>
              <w:t>Detail Title 1: Own resources</w:t>
            </w:r>
          </w:p>
        </w:tc>
      </w:tr>
      <w:tr w:rsidR="00E7728E">
        <w:tc>
          <w:tcPr>
            <w:tcW w:w="568"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8pNormalCentered"/>
              <w:rPr>
                <w:rFonts w:eastAsia="Verdana" w:cs="Verdana"/>
                <w:lang w:bidi="en-GB"/>
              </w:rPr>
            </w:pPr>
          </w:p>
        </w:tc>
        <w:tc>
          <w:tcPr>
            <w:tcW w:w="255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lang w:bidi="en-GB"/>
              </w:rPr>
            </w:pPr>
            <w:r>
              <w:rPr>
                <w:rFonts w:eastAsia="Verdana" w:cs="Verdana"/>
                <w:lang w:bidi="en-GB"/>
              </w:rPr>
              <w:t>Chapter</w:t>
            </w:r>
          </w:p>
        </w:tc>
        <w:tc>
          <w:tcPr>
            <w:tcW w:w="2268" w:type="dxa"/>
            <w:gridSpan w:val="2"/>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lang w:bidi="en-GB"/>
              </w:rPr>
            </w:pPr>
            <w:r>
              <w:rPr>
                <w:rFonts w:eastAsia="Verdana" w:cs="Verdana"/>
                <w:lang w:bidi="en-GB"/>
              </w:rPr>
              <w:t>Income appropriations</w:t>
            </w:r>
          </w:p>
        </w:tc>
        <w:tc>
          <w:tcPr>
            <w:tcW w:w="3260" w:type="dxa"/>
            <w:gridSpan w:val="3"/>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lang w:bidi="en-GB"/>
              </w:rPr>
            </w:pPr>
            <w:r>
              <w:rPr>
                <w:rFonts w:eastAsia="Verdana" w:cs="Verdana"/>
                <w:lang w:bidi="en-GB"/>
              </w:rPr>
              <w:t>Entitlements established</w:t>
            </w:r>
          </w:p>
        </w:tc>
        <w:tc>
          <w:tcPr>
            <w:tcW w:w="3686" w:type="dxa"/>
            <w:gridSpan w:val="3"/>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lang w:bidi="en-GB"/>
              </w:rPr>
            </w:pPr>
            <w:r>
              <w:rPr>
                <w:rFonts w:eastAsia="Verdana" w:cs="Verdana"/>
                <w:lang w:bidi="en-GB"/>
              </w:rPr>
              <w:t>Revenue</w:t>
            </w:r>
          </w:p>
        </w:tc>
        <w:tc>
          <w:tcPr>
            <w:tcW w:w="1134" w:type="dxa"/>
            <w:tcBorders>
              <w:top w:val="nil"/>
              <w:left w:val="nil"/>
              <w:bottom w:val="nil"/>
              <w:right w:val="nil"/>
            </w:tcBorders>
            <w:shd w:val="clear" w:color="auto" w:fill="016794"/>
            <w:tcMar>
              <w:top w:w="0" w:type="dxa"/>
              <w:left w:w="0" w:type="dxa"/>
              <w:bottom w:w="0" w:type="dxa"/>
              <w:right w:w="0" w:type="dxa"/>
            </w:tcMar>
            <w:vAlign w:val="bottom"/>
          </w:tcPr>
          <w:p w:rsidR="00F50689" w:rsidRDefault="005A36C4" w:rsidP="00F50689">
            <w:pPr>
              <w:pStyle w:val="Heading8pNormalCentered"/>
              <w:jc w:val="left"/>
              <w:rPr>
                <w:rFonts w:eastAsia="Verdana" w:cs="Verdana"/>
                <w:lang w:bidi="en-GB"/>
              </w:rPr>
            </w:pPr>
            <w:r>
              <w:rPr>
                <w:rFonts w:eastAsia="Verdana" w:cs="Verdana"/>
                <w:lang w:bidi="en-GB"/>
              </w:rPr>
              <w:t xml:space="preserve">Receipts as </w:t>
            </w:r>
          </w:p>
        </w:tc>
        <w:tc>
          <w:tcPr>
            <w:tcW w:w="127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lang w:bidi="en-GB"/>
              </w:rPr>
            </w:pPr>
            <w:r>
              <w:rPr>
                <w:rFonts w:eastAsia="Verdana" w:cs="Verdana"/>
                <w:lang w:bidi="en-GB"/>
              </w:rPr>
              <w:t>Outstanding</w:t>
            </w:r>
          </w:p>
        </w:tc>
      </w:tr>
      <w:tr w:rsidR="00E7728E">
        <w:tc>
          <w:tcPr>
            <w:tcW w:w="568"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8pNormalCentered"/>
              <w:rPr>
                <w:rFonts w:eastAsia="Verdana" w:cs="Verdana"/>
                <w:lang w:bidi="en-GB"/>
              </w:rPr>
            </w:pPr>
          </w:p>
        </w:tc>
        <w:tc>
          <w:tcPr>
            <w:tcW w:w="2551" w:type="dxa"/>
            <w:tcBorders>
              <w:top w:val="nil"/>
              <w:left w:val="nil"/>
              <w:bottom w:val="nil"/>
              <w:right w:val="nil"/>
            </w:tcBorders>
            <w:shd w:val="clear" w:color="auto" w:fill="016794"/>
            <w:tcMar>
              <w:top w:w="0" w:type="dxa"/>
              <w:left w:w="0" w:type="dxa"/>
              <w:bottom w:w="0" w:type="dxa"/>
              <w:right w:w="0" w:type="dxa"/>
            </w:tcMar>
            <w:vAlign w:val="center"/>
          </w:tcPr>
          <w:p w:rsidR="00F50689" w:rsidRDefault="00F50689" w:rsidP="00F50689">
            <w:pPr>
              <w:pStyle w:val="Heading8pNormalCentered"/>
              <w:rPr>
                <w:rFonts w:eastAsia="Verdana" w:cs="Verdana"/>
                <w:color w:val="auto"/>
                <w:lang w:bidi="en-GB"/>
              </w:rPr>
            </w:pPr>
          </w:p>
        </w:tc>
        <w:tc>
          <w:tcPr>
            <w:tcW w:w="1134"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lang w:bidi="en-GB"/>
              </w:rPr>
            </w:pPr>
            <w:r>
              <w:rPr>
                <w:rFonts w:eastAsia="Verdana" w:cs="Verdana"/>
                <w:lang w:bidi="en-GB"/>
              </w:rPr>
              <w:t>Initial budget voted</w:t>
            </w:r>
          </w:p>
        </w:tc>
        <w:tc>
          <w:tcPr>
            <w:tcW w:w="1134"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lang w:bidi="en-GB"/>
              </w:rPr>
            </w:pPr>
            <w:r>
              <w:rPr>
                <w:rFonts w:eastAsia="Verdana" w:cs="Verdana"/>
                <w:lang w:bidi="en-GB"/>
              </w:rPr>
              <w:t>Final adopted budget</w:t>
            </w:r>
          </w:p>
        </w:tc>
        <w:tc>
          <w:tcPr>
            <w:tcW w:w="1086"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lang w:bidi="en-GB"/>
              </w:rPr>
            </w:pPr>
            <w:r>
              <w:rPr>
                <w:rFonts w:eastAsia="Verdana" w:cs="Verdana"/>
                <w:lang w:bidi="en-GB"/>
              </w:rPr>
              <w:t>Current  year</w:t>
            </w:r>
          </w:p>
        </w:tc>
        <w:tc>
          <w:tcPr>
            <w:tcW w:w="1087"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lang w:bidi="en-GB"/>
              </w:rPr>
            </w:pPr>
            <w:r>
              <w:rPr>
                <w:rFonts w:eastAsia="Verdana" w:cs="Verdana"/>
                <w:lang w:bidi="en-GB"/>
              </w:rPr>
              <w:t>Carried  over</w:t>
            </w:r>
          </w:p>
        </w:tc>
        <w:tc>
          <w:tcPr>
            <w:tcW w:w="1087"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lang w:bidi="en-GB"/>
              </w:rPr>
            </w:pPr>
            <w:r>
              <w:rPr>
                <w:rFonts w:eastAsia="Verdana" w:cs="Verdana"/>
                <w:lang w:bidi="en-GB"/>
              </w:rPr>
              <w:t>Total</w:t>
            </w:r>
          </w:p>
        </w:tc>
        <w:tc>
          <w:tcPr>
            <w:tcW w:w="1276"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lang w:bidi="en-GB"/>
              </w:rPr>
            </w:pPr>
            <w:r>
              <w:rPr>
                <w:rFonts w:eastAsia="Verdana" w:cs="Verdana"/>
                <w:lang w:bidi="en-GB"/>
              </w:rPr>
              <w:t>On entitlements current year</w:t>
            </w:r>
          </w:p>
        </w:tc>
        <w:tc>
          <w:tcPr>
            <w:tcW w:w="1276"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lang w:bidi="en-GB"/>
              </w:rPr>
            </w:pPr>
            <w:r>
              <w:rPr>
                <w:rFonts w:eastAsia="Verdana" w:cs="Verdana"/>
                <w:lang w:bidi="en-GB"/>
              </w:rPr>
              <w:t>On entitlements carried over</w:t>
            </w:r>
          </w:p>
        </w:tc>
        <w:tc>
          <w:tcPr>
            <w:tcW w:w="1134"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lang w:bidi="en-GB"/>
              </w:rPr>
            </w:pPr>
            <w:r>
              <w:rPr>
                <w:rFonts w:eastAsia="Verdana" w:cs="Verdana"/>
                <w:lang w:bidi="en-GB"/>
              </w:rPr>
              <w:t xml:space="preserve"> Total </w:t>
            </w:r>
          </w:p>
        </w:tc>
        <w:tc>
          <w:tcPr>
            <w:tcW w:w="1134"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lang w:bidi="en-GB"/>
              </w:rPr>
            </w:pPr>
            <w:r>
              <w:rPr>
                <w:rFonts w:eastAsia="Verdana" w:cs="Verdana"/>
                <w:lang w:bidi="en-GB"/>
              </w:rPr>
              <w:t>% of budget</w:t>
            </w:r>
          </w:p>
        </w:tc>
        <w:tc>
          <w:tcPr>
            <w:tcW w:w="1276"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8pNormalCentered"/>
              <w:rPr>
                <w:rFonts w:eastAsia="Verdana" w:cs="Verdana"/>
                <w:color w:val="auto"/>
                <w:lang w:bidi="en-GB"/>
              </w:rPr>
            </w:pP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lang w:bidi="en-GB"/>
              </w:rPr>
            </w:pPr>
            <w:r>
              <w:rPr>
                <w:rFonts w:eastAsia="Verdana" w:cs="Verdana"/>
                <w:lang w:bidi="en-GB"/>
              </w:rPr>
              <w:t>11.</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Sugar levies</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125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(90)</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(69)</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(69)</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(69)</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(69)</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77.12%</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lang w:bidi="en-GB"/>
              </w:rPr>
            </w:pPr>
            <w:r>
              <w:rPr>
                <w:rFonts w:eastAsia="Verdana" w:cs="Verdana"/>
                <w:lang w:bidi="en-GB"/>
              </w:rPr>
              <w:t>12.</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Customs duties</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16 186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16 174</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16 485</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46</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16 531</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16 473</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25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16 499</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102.01%</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32</w:t>
            </w: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lang w:bidi="en-GB"/>
              </w:rPr>
            </w:pPr>
            <w:r>
              <w:rPr>
                <w:rFonts w:eastAsia="Verdana" w:cs="Verdana"/>
                <w:lang w:bidi="en-GB"/>
              </w:rPr>
              <w:t>13.</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VAT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17 882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17 690</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17 746</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17 746</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17 746</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17 746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100.32%</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lang w:bidi="en-GB"/>
              </w:rPr>
            </w:pPr>
            <w:r>
              <w:rPr>
                <w:rFonts w:eastAsia="Verdana" w:cs="Verdana"/>
                <w:lang w:bidi="en-GB"/>
              </w:rPr>
              <w:t>14.</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GNI</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99 767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94 614</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94 863</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94 863</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94 863</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94 863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100.26%</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lang w:bidi="en-GB"/>
              </w:rPr>
            </w:pPr>
            <w:r>
              <w:rPr>
                <w:rFonts w:eastAsia="Verdana" w:cs="Verdana"/>
                <w:lang w:bidi="en-GB"/>
              </w:rPr>
              <w:t>15.</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Correction of budgetary imbalances</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(172)</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(172)</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(172)</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(172)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0.00%</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r>
      <w:tr w:rsidR="00E7728E">
        <w:tc>
          <w:tcPr>
            <w:tcW w:w="568"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8pBoldRight025"/>
              <w:rPr>
                <w:rFonts w:eastAsia="Verdana" w:cs="Verdana"/>
                <w:lang w:bidi="en-GB"/>
              </w:rPr>
            </w:pPr>
          </w:p>
        </w:tc>
        <w:tc>
          <w:tcPr>
            <w:tcW w:w="25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8pBoldLeft"/>
              <w:rPr>
                <w:rFonts w:eastAsia="Verdana" w:cs="Verdana"/>
                <w:lang w:bidi="en-GB"/>
              </w:rPr>
            </w:pPr>
            <w:r>
              <w:rPr>
                <w:rFonts w:eastAsia="Verdana" w:cs="Verdana"/>
                <w:lang w:bidi="en-GB"/>
              </w:rPr>
              <w:t>Total</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lang w:bidi="en-GB"/>
              </w:rPr>
            </w:pPr>
            <w:r>
              <w:rPr>
                <w:rFonts w:eastAsia="Verdana" w:cs="Verdana"/>
                <w:lang w:bidi="en-GB"/>
              </w:rPr>
              <w:t>133 960</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lang w:bidi="en-GB"/>
              </w:rPr>
            </w:pPr>
            <w:r>
              <w:rPr>
                <w:rFonts w:eastAsia="Verdana" w:cs="Verdana"/>
                <w:lang w:bidi="en-GB"/>
              </w:rPr>
              <w:t>128 388</w:t>
            </w:r>
          </w:p>
        </w:tc>
        <w:tc>
          <w:tcPr>
            <w:tcW w:w="108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lang w:bidi="en-GB"/>
              </w:rPr>
            </w:pPr>
            <w:r>
              <w:rPr>
                <w:rFonts w:eastAsia="Verdana" w:cs="Verdana"/>
                <w:lang w:bidi="en-GB"/>
              </w:rPr>
              <w:t>128 853</w:t>
            </w:r>
          </w:p>
        </w:tc>
        <w:tc>
          <w:tcPr>
            <w:tcW w:w="108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lang w:bidi="en-GB"/>
              </w:rPr>
            </w:pPr>
            <w:r>
              <w:rPr>
                <w:rFonts w:eastAsia="Verdana" w:cs="Verdana"/>
                <w:lang w:bidi="en-GB"/>
              </w:rPr>
              <w:t xml:space="preserve"> 46</w:t>
            </w:r>
          </w:p>
        </w:tc>
        <w:tc>
          <w:tcPr>
            <w:tcW w:w="108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lang w:bidi="en-GB"/>
              </w:rPr>
            </w:pPr>
            <w:r>
              <w:rPr>
                <w:rFonts w:eastAsia="Verdana" w:cs="Verdana"/>
                <w:lang w:bidi="en-GB"/>
              </w:rPr>
              <w:t>128 899</w:t>
            </w:r>
          </w:p>
        </w:tc>
        <w:tc>
          <w:tcPr>
            <w:tcW w:w="127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lang w:bidi="en-GB"/>
              </w:rPr>
            </w:pPr>
            <w:r>
              <w:rPr>
                <w:rFonts w:eastAsia="Verdana" w:cs="Verdana"/>
                <w:lang w:bidi="en-GB"/>
              </w:rPr>
              <w:t>128 841</w:t>
            </w:r>
          </w:p>
        </w:tc>
        <w:tc>
          <w:tcPr>
            <w:tcW w:w="127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lang w:bidi="en-GB"/>
              </w:rPr>
            </w:pPr>
            <w:r>
              <w:rPr>
                <w:rFonts w:eastAsia="Verdana" w:cs="Verdana"/>
                <w:lang w:bidi="en-GB"/>
              </w:rPr>
              <w:t xml:space="preserve"> 25</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lang w:bidi="en-GB"/>
              </w:rPr>
            </w:pPr>
            <w:r>
              <w:rPr>
                <w:rFonts w:eastAsia="Verdana" w:cs="Verdana"/>
                <w:lang w:bidi="en-GB"/>
              </w:rPr>
              <w:t>128 867</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lang w:bidi="en-GB"/>
              </w:rPr>
            </w:pPr>
            <w:r>
              <w:rPr>
                <w:rFonts w:eastAsia="Verdana" w:cs="Verdana"/>
                <w:lang w:bidi="en-GB"/>
              </w:rPr>
              <w:t>100.37%</w:t>
            </w:r>
          </w:p>
        </w:tc>
        <w:tc>
          <w:tcPr>
            <w:tcW w:w="127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lang w:bidi="en-GB"/>
              </w:rPr>
            </w:pPr>
            <w:r>
              <w:rPr>
                <w:rFonts w:eastAsia="Verdana" w:cs="Verdana"/>
                <w:lang w:bidi="en-GB"/>
              </w:rPr>
              <w:t xml:space="preserve"> 32</w:t>
            </w:r>
          </w:p>
        </w:tc>
      </w:tr>
    </w:tbl>
    <w:p w:rsidR="00F50689" w:rsidRDefault="00F50689" w:rsidP="00F50689">
      <w:pPr>
        <w:pStyle w:val="Textstand-alone"/>
        <w:rPr>
          <w:lang w:bidi="en-GB"/>
        </w:rPr>
      </w:pPr>
    </w:p>
    <w:tbl>
      <w:tblPr>
        <w:tblW w:w="14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551"/>
        <w:gridCol w:w="1134"/>
        <w:gridCol w:w="1134"/>
        <w:gridCol w:w="1086"/>
        <w:gridCol w:w="1087"/>
        <w:gridCol w:w="1087"/>
        <w:gridCol w:w="1276"/>
        <w:gridCol w:w="1276"/>
        <w:gridCol w:w="1134"/>
        <w:gridCol w:w="1134"/>
        <w:gridCol w:w="1276"/>
      </w:tblGrid>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lang w:bidi="en-GB"/>
              </w:rPr>
            </w:pPr>
            <w:bookmarkStart w:id="243" w:name="DOC_TBL00097_1_1"/>
            <w:bookmarkEnd w:id="243"/>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lang w:bidi="en-GB"/>
              </w:rPr>
            </w:pPr>
            <w:r>
              <w:rPr>
                <w:rFonts w:eastAsia="Verdana" w:cs="Verdana"/>
                <w:lang w:bidi="en-GB"/>
              </w:rPr>
              <w:t>EUR millions</w:t>
            </w:r>
          </w:p>
        </w:tc>
      </w:tr>
      <w:tr w:rsidR="00E7728E">
        <w:tc>
          <w:tcPr>
            <w:tcW w:w="14743" w:type="dxa"/>
            <w:gridSpan w:val="12"/>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Heading9pBoldCentered"/>
              <w:rPr>
                <w:rFonts w:eastAsia="Verdana" w:cs="Verdana"/>
                <w:lang w:bidi="en-GB"/>
              </w:rPr>
            </w:pPr>
            <w:r>
              <w:rPr>
                <w:rFonts w:eastAsia="Verdana" w:cs="Verdana"/>
                <w:lang w:bidi="en-GB"/>
              </w:rPr>
              <w:t>Detail Title 3: Surpluses, balances and adjustments on own resources</w:t>
            </w:r>
          </w:p>
        </w:tc>
      </w:tr>
      <w:tr w:rsidR="00E7728E">
        <w:tc>
          <w:tcPr>
            <w:tcW w:w="568"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8pNormalCentered"/>
              <w:rPr>
                <w:rFonts w:eastAsia="Verdana" w:cs="Verdana"/>
                <w:lang w:bidi="en-GB"/>
              </w:rPr>
            </w:pPr>
          </w:p>
        </w:tc>
        <w:tc>
          <w:tcPr>
            <w:tcW w:w="255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lang w:bidi="en-GB"/>
              </w:rPr>
            </w:pPr>
            <w:r>
              <w:rPr>
                <w:rFonts w:eastAsia="Verdana" w:cs="Verdana"/>
                <w:lang w:bidi="en-GB"/>
              </w:rPr>
              <w:t>Chapter</w:t>
            </w:r>
          </w:p>
        </w:tc>
        <w:tc>
          <w:tcPr>
            <w:tcW w:w="2268" w:type="dxa"/>
            <w:gridSpan w:val="2"/>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lang w:bidi="en-GB"/>
              </w:rPr>
            </w:pPr>
            <w:r>
              <w:rPr>
                <w:rFonts w:eastAsia="Verdana" w:cs="Verdana"/>
                <w:lang w:bidi="en-GB"/>
              </w:rPr>
              <w:t>Income appropriations</w:t>
            </w:r>
          </w:p>
        </w:tc>
        <w:tc>
          <w:tcPr>
            <w:tcW w:w="3260" w:type="dxa"/>
            <w:gridSpan w:val="3"/>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lang w:bidi="en-GB"/>
              </w:rPr>
            </w:pPr>
            <w:r>
              <w:rPr>
                <w:rFonts w:eastAsia="Verdana" w:cs="Verdana"/>
                <w:lang w:bidi="en-GB"/>
              </w:rPr>
              <w:t>Entitlements established</w:t>
            </w:r>
          </w:p>
        </w:tc>
        <w:tc>
          <w:tcPr>
            <w:tcW w:w="3686" w:type="dxa"/>
            <w:gridSpan w:val="3"/>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lang w:bidi="en-GB"/>
              </w:rPr>
            </w:pPr>
            <w:r>
              <w:rPr>
                <w:rFonts w:eastAsia="Verdana" w:cs="Verdana"/>
                <w:lang w:bidi="en-GB"/>
              </w:rPr>
              <w:t>Revenue</w:t>
            </w:r>
          </w:p>
        </w:tc>
        <w:tc>
          <w:tcPr>
            <w:tcW w:w="1134" w:type="dxa"/>
            <w:tcBorders>
              <w:top w:val="nil"/>
              <w:left w:val="nil"/>
              <w:bottom w:val="nil"/>
              <w:right w:val="nil"/>
            </w:tcBorders>
            <w:shd w:val="clear" w:color="auto" w:fill="016794"/>
            <w:tcMar>
              <w:top w:w="0" w:type="dxa"/>
              <w:left w:w="0" w:type="dxa"/>
              <w:bottom w:w="0" w:type="dxa"/>
              <w:right w:w="0" w:type="dxa"/>
            </w:tcMar>
            <w:vAlign w:val="bottom"/>
          </w:tcPr>
          <w:p w:rsidR="00F50689" w:rsidRDefault="005A36C4" w:rsidP="00F50689">
            <w:pPr>
              <w:pStyle w:val="Heading8pNormalCentered"/>
              <w:jc w:val="left"/>
              <w:rPr>
                <w:rFonts w:eastAsia="Verdana" w:cs="Verdana"/>
                <w:lang w:bidi="en-GB"/>
              </w:rPr>
            </w:pPr>
            <w:r>
              <w:rPr>
                <w:rFonts w:eastAsia="Verdana" w:cs="Verdana"/>
                <w:lang w:bidi="en-GB"/>
              </w:rPr>
              <w:t xml:space="preserve">Receipts as </w:t>
            </w:r>
          </w:p>
        </w:tc>
        <w:tc>
          <w:tcPr>
            <w:tcW w:w="127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lang w:bidi="en-GB"/>
              </w:rPr>
            </w:pPr>
            <w:r>
              <w:rPr>
                <w:rFonts w:eastAsia="Verdana" w:cs="Verdana"/>
                <w:lang w:bidi="en-GB"/>
              </w:rPr>
              <w:t>Outstanding</w:t>
            </w:r>
          </w:p>
        </w:tc>
      </w:tr>
      <w:tr w:rsidR="00E7728E">
        <w:tc>
          <w:tcPr>
            <w:tcW w:w="568"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8pNormalCentered"/>
              <w:rPr>
                <w:rFonts w:eastAsia="Verdana" w:cs="Verdana"/>
                <w:lang w:bidi="en-GB"/>
              </w:rPr>
            </w:pPr>
          </w:p>
        </w:tc>
        <w:tc>
          <w:tcPr>
            <w:tcW w:w="2551" w:type="dxa"/>
            <w:tcBorders>
              <w:top w:val="nil"/>
              <w:left w:val="nil"/>
              <w:bottom w:val="nil"/>
              <w:right w:val="nil"/>
            </w:tcBorders>
            <w:shd w:val="clear" w:color="auto" w:fill="016794"/>
            <w:tcMar>
              <w:top w:w="0" w:type="dxa"/>
              <w:left w:w="0" w:type="dxa"/>
              <w:bottom w:w="0" w:type="dxa"/>
              <w:right w:w="0" w:type="dxa"/>
            </w:tcMar>
            <w:vAlign w:val="center"/>
          </w:tcPr>
          <w:p w:rsidR="00F50689" w:rsidRDefault="00F50689" w:rsidP="00F50689">
            <w:pPr>
              <w:pStyle w:val="Heading8pNormalCentered"/>
              <w:rPr>
                <w:rFonts w:eastAsia="Verdana" w:cs="Verdana"/>
                <w:color w:val="auto"/>
                <w:lang w:bidi="en-GB"/>
              </w:rPr>
            </w:pPr>
          </w:p>
        </w:tc>
        <w:tc>
          <w:tcPr>
            <w:tcW w:w="1134"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lang w:bidi="en-GB"/>
              </w:rPr>
            </w:pPr>
            <w:r>
              <w:rPr>
                <w:rFonts w:eastAsia="Verdana" w:cs="Verdana"/>
                <w:lang w:bidi="en-GB"/>
              </w:rPr>
              <w:t>Initial budget voted</w:t>
            </w:r>
          </w:p>
        </w:tc>
        <w:tc>
          <w:tcPr>
            <w:tcW w:w="1134"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lang w:bidi="en-GB"/>
              </w:rPr>
            </w:pPr>
            <w:r>
              <w:rPr>
                <w:rFonts w:eastAsia="Verdana" w:cs="Verdana"/>
                <w:lang w:bidi="en-GB"/>
              </w:rPr>
              <w:t>Final adopted budget</w:t>
            </w:r>
          </w:p>
        </w:tc>
        <w:tc>
          <w:tcPr>
            <w:tcW w:w="1086"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lang w:bidi="en-GB"/>
              </w:rPr>
            </w:pPr>
            <w:r>
              <w:rPr>
                <w:rFonts w:eastAsia="Verdana" w:cs="Verdana"/>
                <w:lang w:bidi="en-GB"/>
              </w:rPr>
              <w:t>Current  year</w:t>
            </w:r>
          </w:p>
        </w:tc>
        <w:tc>
          <w:tcPr>
            <w:tcW w:w="1087"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lang w:bidi="en-GB"/>
              </w:rPr>
            </w:pPr>
            <w:r>
              <w:rPr>
                <w:rFonts w:eastAsia="Verdana" w:cs="Verdana"/>
                <w:lang w:bidi="en-GB"/>
              </w:rPr>
              <w:t>Carried  over</w:t>
            </w:r>
          </w:p>
        </w:tc>
        <w:tc>
          <w:tcPr>
            <w:tcW w:w="1087"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lang w:bidi="en-GB"/>
              </w:rPr>
            </w:pPr>
            <w:r>
              <w:rPr>
                <w:rFonts w:eastAsia="Verdana" w:cs="Verdana"/>
                <w:lang w:bidi="en-GB"/>
              </w:rPr>
              <w:t>Total</w:t>
            </w:r>
          </w:p>
        </w:tc>
        <w:tc>
          <w:tcPr>
            <w:tcW w:w="1276"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lang w:bidi="en-GB"/>
              </w:rPr>
            </w:pPr>
            <w:r>
              <w:rPr>
                <w:rFonts w:eastAsia="Verdana" w:cs="Verdana"/>
                <w:lang w:bidi="en-GB"/>
              </w:rPr>
              <w:t>On entitlements current year</w:t>
            </w:r>
          </w:p>
        </w:tc>
        <w:tc>
          <w:tcPr>
            <w:tcW w:w="1276"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lang w:bidi="en-GB"/>
              </w:rPr>
            </w:pPr>
            <w:r>
              <w:rPr>
                <w:rFonts w:eastAsia="Verdana" w:cs="Verdana"/>
                <w:lang w:bidi="en-GB"/>
              </w:rPr>
              <w:t>On entitlements carried over</w:t>
            </w:r>
          </w:p>
        </w:tc>
        <w:tc>
          <w:tcPr>
            <w:tcW w:w="1134"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lang w:bidi="en-GB"/>
              </w:rPr>
            </w:pPr>
            <w:r>
              <w:rPr>
                <w:rFonts w:eastAsia="Verdana" w:cs="Verdana"/>
                <w:lang w:bidi="en-GB"/>
              </w:rPr>
              <w:t>Total</w:t>
            </w:r>
          </w:p>
        </w:tc>
        <w:tc>
          <w:tcPr>
            <w:tcW w:w="1134"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lang w:bidi="en-GB"/>
              </w:rPr>
            </w:pPr>
            <w:r>
              <w:rPr>
                <w:rFonts w:eastAsia="Verdana" w:cs="Verdana"/>
                <w:lang w:bidi="en-GB"/>
              </w:rPr>
              <w:t>% of budget</w:t>
            </w:r>
          </w:p>
        </w:tc>
        <w:tc>
          <w:tcPr>
            <w:tcW w:w="1276"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8pNormalCentered"/>
              <w:rPr>
                <w:rFonts w:eastAsia="Verdana" w:cs="Verdana"/>
                <w:color w:val="auto"/>
                <w:lang w:bidi="en-GB"/>
              </w:rPr>
            </w:pP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lang w:bidi="en-GB"/>
              </w:rPr>
            </w:pPr>
            <w:r>
              <w:rPr>
                <w:rFonts w:eastAsia="Verdana" w:cs="Verdana"/>
                <w:lang w:bidi="en-GB"/>
              </w:rPr>
              <w:t>30.</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Surplus from previous year</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1 005</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1 005</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1 005</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1 005</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1 005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100.00%</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lang w:bidi="en-GB"/>
              </w:rPr>
            </w:pPr>
            <w:r>
              <w:rPr>
                <w:rFonts w:eastAsia="Verdana" w:cs="Verdana"/>
                <w:lang w:bidi="en-GB"/>
              </w:rPr>
              <w:t>31.</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VAT balances</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(81)</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(284)</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(284)</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(79)</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(79)</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97.59%</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(205)</w:t>
            </w: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lang w:bidi="en-GB"/>
              </w:rPr>
            </w:pPr>
            <w:r>
              <w:rPr>
                <w:rFonts w:eastAsia="Verdana" w:cs="Verdana"/>
                <w:lang w:bidi="en-GB"/>
              </w:rPr>
              <w:t>32.</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GNI balances</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4 176</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9 825</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9 825</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4 212</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4 212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100.87%</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5 613</w:t>
            </w: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lang w:bidi="en-GB"/>
              </w:rPr>
            </w:pPr>
            <w:r>
              <w:rPr>
                <w:rFonts w:eastAsia="Verdana" w:cs="Verdana"/>
                <w:lang w:bidi="en-GB"/>
              </w:rPr>
              <w:t>34.</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Adjustment for non-participation in JHAP</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(2)</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(2)</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(2)</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0.00%</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lang w:bidi="en-GB"/>
              </w:rPr>
            </w:pPr>
            <w:r>
              <w:rPr>
                <w:rFonts w:eastAsia="Verdana" w:cs="Verdana"/>
                <w:lang w:bidi="en-GB"/>
              </w:rPr>
              <w:t>35.</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United Kingdom correction - adjustments</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(18)</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(18)</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(18)</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0.00%</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lang w:bidi="en-GB"/>
              </w:rPr>
            </w:pPr>
            <w:r>
              <w:rPr>
                <w:rFonts w:eastAsia="Verdana" w:cs="Verdana"/>
                <w:lang w:bidi="en-GB"/>
              </w:rPr>
              <w:t>36.</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United Kingdom correction - Intermediate calculation</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(19)</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(19)</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(19)</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(19)</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0.00%</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r>
      <w:tr w:rsidR="00E7728E">
        <w:tc>
          <w:tcPr>
            <w:tcW w:w="568"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8pBoldRight025"/>
              <w:rPr>
                <w:rFonts w:eastAsia="Verdana" w:cs="Verdana"/>
                <w:lang w:bidi="en-GB"/>
              </w:rPr>
            </w:pPr>
          </w:p>
        </w:tc>
        <w:tc>
          <w:tcPr>
            <w:tcW w:w="25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8pBoldLeft"/>
              <w:rPr>
                <w:rFonts w:eastAsia="Verdana" w:cs="Verdana"/>
                <w:lang w:bidi="en-GB"/>
              </w:rPr>
            </w:pPr>
            <w:r>
              <w:rPr>
                <w:rFonts w:eastAsia="Verdana" w:cs="Verdana"/>
                <w:lang w:bidi="en-GB"/>
              </w:rPr>
              <w:t>Total</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lang w:bidi="en-GB"/>
              </w:rPr>
            </w:pPr>
            <w:r>
              <w:rPr>
                <w:rFonts w:eastAsia="Verdana" w:cs="Verdana"/>
                <w:lang w:bidi="en-GB"/>
              </w:rPr>
              <w:t>5 101</w:t>
            </w:r>
          </w:p>
        </w:tc>
        <w:tc>
          <w:tcPr>
            <w:tcW w:w="108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lang w:bidi="en-GB"/>
              </w:rPr>
            </w:pPr>
            <w:r>
              <w:rPr>
                <w:rFonts w:eastAsia="Verdana" w:cs="Verdana"/>
                <w:lang w:bidi="en-GB"/>
              </w:rPr>
              <w:t>10 507</w:t>
            </w:r>
          </w:p>
        </w:tc>
        <w:tc>
          <w:tcPr>
            <w:tcW w:w="108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lang w:bidi="en-GB"/>
              </w:rPr>
            </w:pPr>
            <w:r>
              <w:rPr>
                <w:rFonts w:eastAsia="Verdana" w:cs="Verdana"/>
                <w:lang w:bidi="en-GB"/>
              </w:rPr>
              <w:t>–</w:t>
            </w:r>
          </w:p>
        </w:tc>
        <w:tc>
          <w:tcPr>
            <w:tcW w:w="108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lang w:bidi="en-GB"/>
              </w:rPr>
            </w:pPr>
            <w:r>
              <w:rPr>
                <w:rFonts w:eastAsia="Verdana" w:cs="Verdana"/>
                <w:lang w:bidi="en-GB"/>
              </w:rPr>
              <w:t>10 507</w:t>
            </w:r>
          </w:p>
        </w:tc>
        <w:tc>
          <w:tcPr>
            <w:tcW w:w="127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lang w:bidi="en-GB"/>
              </w:rPr>
            </w:pPr>
            <w:r>
              <w:rPr>
                <w:rFonts w:eastAsia="Verdana" w:cs="Verdana"/>
                <w:lang w:bidi="en-GB"/>
              </w:rPr>
              <w:t>5 100</w:t>
            </w:r>
          </w:p>
        </w:tc>
        <w:tc>
          <w:tcPr>
            <w:tcW w:w="127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lang w:bidi="en-GB"/>
              </w:rPr>
            </w:pPr>
            <w:r>
              <w:rPr>
                <w:rFonts w:eastAsia="Verdana" w:cs="Verdana"/>
                <w:lang w:bidi="en-GB"/>
              </w:rPr>
              <w:t>5 100</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lang w:bidi="en-GB"/>
              </w:rPr>
            </w:pPr>
            <w:r>
              <w:rPr>
                <w:rFonts w:eastAsia="Verdana" w:cs="Verdana"/>
                <w:lang w:bidi="en-GB"/>
              </w:rPr>
              <w:t>99.98%</w:t>
            </w:r>
          </w:p>
        </w:tc>
        <w:tc>
          <w:tcPr>
            <w:tcW w:w="127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lang w:bidi="en-GB"/>
              </w:rPr>
            </w:pPr>
            <w:r>
              <w:rPr>
                <w:rFonts w:eastAsia="Verdana" w:cs="Verdana"/>
                <w:lang w:bidi="en-GB"/>
              </w:rPr>
              <w:t>5 407</w:t>
            </w:r>
          </w:p>
        </w:tc>
      </w:tr>
    </w:tbl>
    <w:p w:rsidR="00F50689" w:rsidRDefault="005A36C4" w:rsidP="00F50689">
      <w:pPr>
        <w:pStyle w:val="Textstand-alone"/>
        <w:sectPr w:rsidR="00F50689" w:rsidSect="00F50689">
          <w:headerReference w:type="even" r:id="rId485"/>
          <w:headerReference w:type="default" r:id="rId486"/>
          <w:footerReference w:type="even" r:id="rId487"/>
          <w:footerReference w:type="default" r:id="rId488"/>
          <w:headerReference w:type="first" r:id="rId489"/>
          <w:footerReference w:type="first" r:id="rId490"/>
          <w:type w:val="continuous"/>
          <w:pgSz w:w="16840" w:h="11907" w:orient="landscape" w:code="9"/>
          <w:pgMar w:top="1134" w:right="1134" w:bottom="1134" w:left="1134" w:header="708" w:footer="708" w:gutter="0"/>
          <w:cols w:space="708"/>
          <w:docGrid w:linePitch="360"/>
        </w:sectPr>
      </w:pPr>
      <w:r>
        <w:t xml:space="preserve"> </w:t>
      </w:r>
      <w:bookmarkEnd w:id="240"/>
    </w:p>
    <w:p w:rsidR="00F50689" w:rsidRPr="00087998" w:rsidRDefault="005A36C4" w:rsidP="00F50689">
      <w:pPr>
        <w:pStyle w:val="HEADER2Part3"/>
      </w:pPr>
      <w:bookmarkStart w:id="244" w:name="_Toc406426450"/>
      <w:bookmarkStart w:id="245" w:name="_Toc424653741"/>
      <w:bookmarkStart w:id="246" w:name="_DMBM_3461"/>
      <w:r>
        <w:t>REVENUE IMPLEMENTATION</w:t>
      </w:r>
      <w:bookmarkEnd w:id="244"/>
      <w:bookmarkEnd w:id="245"/>
    </w:p>
    <w:p w:rsidR="00F50689" w:rsidRPr="00C72D18" w:rsidRDefault="005A36C4" w:rsidP="00F50689">
      <w:pPr>
        <w:pStyle w:val="HEADER3Part3"/>
      </w:pPr>
      <w:r w:rsidRPr="00C72D18">
        <w:t>Overview of 2014 revenue</w:t>
      </w:r>
    </w:p>
    <w:p w:rsidR="00F50689" w:rsidRPr="005F4D1B" w:rsidRDefault="005A36C4" w:rsidP="00F50689">
      <w:pPr>
        <w:pStyle w:val="DGTextstand-alone"/>
      </w:pPr>
      <w:r w:rsidRPr="005F4D1B">
        <w:t>In the initial adopted EU budget, signed by the President of the European Parliament on</w:t>
      </w:r>
      <w:r>
        <w:t xml:space="preserve"> </w:t>
      </w:r>
      <w:r w:rsidRPr="005F4D1B">
        <w:t>20</w:t>
      </w:r>
      <w:r>
        <w:t> </w:t>
      </w:r>
      <w:r w:rsidRPr="005F4D1B">
        <w:t>November</w:t>
      </w:r>
      <w:r>
        <w:t> </w:t>
      </w:r>
      <w:r w:rsidRPr="005F4D1B">
        <w:t>2013, the amount of payment appropriations was EUR</w:t>
      </w:r>
      <w:r>
        <w:t> </w:t>
      </w:r>
      <w:r w:rsidRPr="005F4D1B">
        <w:t>135</w:t>
      </w:r>
      <w:r>
        <w:t> </w:t>
      </w:r>
      <w:r w:rsidRPr="005F4D1B">
        <w:t>505</w:t>
      </w:r>
      <w:r>
        <w:t> </w:t>
      </w:r>
      <w:r w:rsidRPr="005F4D1B">
        <w:t>million and the</w:t>
      </w:r>
      <w:r>
        <w:t xml:space="preserve"> </w:t>
      </w:r>
      <w:r w:rsidRPr="005F4D1B">
        <w:t>amount to be financed by own resources totalled EUR</w:t>
      </w:r>
      <w:r>
        <w:t> </w:t>
      </w:r>
      <w:r w:rsidRPr="005F4D1B">
        <w:t>133</w:t>
      </w:r>
      <w:r>
        <w:t> </w:t>
      </w:r>
      <w:r w:rsidRPr="005F4D1B">
        <w:t>960</w:t>
      </w:r>
      <w:r>
        <w:t> </w:t>
      </w:r>
      <w:r w:rsidRPr="005F4D1B">
        <w:t>million. The revenue and</w:t>
      </w:r>
      <w:r>
        <w:t xml:space="preserve"> </w:t>
      </w:r>
      <w:r w:rsidRPr="005F4D1B">
        <w:t>expenditure estimates in the initial budget are typically adjusted during the budgetary year,</w:t>
      </w:r>
      <w:r>
        <w:t xml:space="preserve"> </w:t>
      </w:r>
      <w:r w:rsidRPr="005F4D1B">
        <w:t>such modifications being presented in Amending Budgets. Adjustments in the GNI-based own</w:t>
      </w:r>
      <w:r>
        <w:t xml:space="preserve"> </w:t>
      </w:r>
      <w:r w:rsidRPr="005F4D1B">
        <w:t>resources ensure that budgeted revenue matches exactly budgeted expenditure. In</w:t>
      </w:r>
      <w:r>
        <w:t xml:space="preserve"> </w:t>
      </w:r>
      <w:r w:rsidRPr="005F4D1B">
        <w:t>accordance with the principle of equilibrium, budget revenue and expenditure (payment</w:t>
      </w:r>
      <w:r>
        <w:t xml:space="preserve"> </w:t>
      </w:r>
      <w:r w:rsidRPr="005F4D1B">
        <w:t>appropriations) must be in balance.</w:t>
      </w:r>
    </w:p>
    <w:p w:rsidR="00F50689" w:rsidRPr="005F4D1B" w:rsidRDefault="005A36C4" w:rsidP="00F50689">
      <w:pPr>
        <w:pStyle w:val="DGTextstand-alone"/>
      </w:pPr>
      <w:r w:rsidRPr="005F4D1B">
        <w:t>During 2014</w:t>
      </w:r>
      <w:r>
        <w:t>,</w:t>
      </w:r>
      <w:r w:rsidRPr="005F4D1B">
        <w:t xml:space="preserve"> seven amending budgets were adopted. Taking them into account, the total final </w:t>
      </w:r>
      <w:r>
        <w:t>adopted</w:t>
      </w:r>
      <w:r w:rsidRPr="005F4D1B">
        <w:t xml:space="preserve"> r</w:t>
      </w:r>
      <w:r>
        <w:t>evenue for 2014 amounted to EUR </w:t>
      </w:r>
      <w:r w:rsidRPr="005F4D1B">
        <w:t>139</w:t>
      </w:r>
      <w:r>
        <w:t> </w:t>
      </w:r>
      <w:r w:rsidRPr="005F4D1B">
        <w:t>034</w:t>
      </w:r>
      <w:r>
        <w:t> </w:t>
      </w:r>
      <w:r w:rsidRPr="005F4D1B">
        <w:t>million. This was financed by own resources totalling EUR</w:t>
      </w:r>
      <w:r>
        <w:t> </w:t>
      </w:r>
      <w:r w:rsidRPr="005F4D1B">
        <w:t>128</w:t>
      </w:r>
      <w:r>
        <w:t> </w:t>
      </w:r>
      <w:r w:rsidRPr="005F4D1B">
        <w:t>388</w:t>
      </w:r>
      <w:r>
        <w:t> </w:t>
      </w:r>
      <w:r w:rsidRPr="005F4D1B">
        <w:t>million (thus EUR</w:t>
      </w:r>
      <w:r>
        <w:t> </w:t>
      </w:r>
      <w:r w:rsidRPr="005F4D1B">
        <w:t>5</w:t>
      </w:r>
      <w:r>
        <w:t> </w:t>
      </w:r>
      <w:r w:rsidRPr="005F4D1B">
        <w:t>572</w:t>
      </w:r>
      <w:r>
        <w:t> </w:t>
      </w:r>
      <w:r w:rsidRPr="005F4D1B">
        <w:t>million less than initially forecasted) and the remainder by other revenue. The increased need for financing payment appropriations was covered mainly by income coming from fines. Moreover</w:t>
      </w:r>
      <w:r>
        <w:t>,</w:t>
      </w:r>
      <w:r w:rsidRPr="005F4D1B">
        <w:t xml:space="preserve"> the surplus from the previous financial year and extraordinary income coming from the VAT and GNI adjustments of previous years reduced substan</w:t>
      </w:r>
      <w:r>
        <w:t>t</w:t>
      </w:r>
      <w:r w:rsidRPr="005F4D1B">
        <w:t>ially Member States' GNI balancing contribution.</w:t>
      </w:r>
    </w:p>
    <w:p w:rsidR="00F50689" w:rsidRPr="005F4D1B" w:rsidRDefault="005A36C4" w:rsidP="00F50689">
      <w:pPr>
        <w:pStyle w:val="DGTextstand-alone"/>
      </w:pPr>
      <w:r w:rsidRPr="005F4D1B">
        <w:t>The Amending Budgets No. 2 and No. 3/2014 included fines and related interest on undertakings totalling EUR</w:t>
      </w:r>
      <w:r>
        <w:t> </w:t>
      </w:r>
      <w:r w:rsidRPr="005F4D1B">
        <w:t>3</w:t>
      </w:r>
      <w:r>
        <w:t> </w:t>
      </w:r>
      <w:r w:rsidRPr="005F4D1B">
        <w:t>850</w:t>
      </w:r>
      <w:r>
        <w:t> </w:t>
      </w:r>
      <w:r w:rsidRPr="005F4D1B">
        <w:t>million that were known at the time when the corresponding Draft Amending Budgets were established. By 31 December 2014, other fines became definitive, either after a definitive judgement or because companies did not appeal new fine decisions.</w:t>
      </w:r>
    </w:p>
    <w:p w:rsidR="00F50689" w:rsidRPr="005F4D1B" w:rsidRDefault="005A36C4" w:rsidP="00F50689">
      <w:pPr>
        <w:pStyle w:val="DGTextstand-alone"/>
      </w:pPr>
      <w:r w:rsidRPr="005F4D1B">
        <w:t xml:space="preserve">Revenue, contributions and refunds in connection with </w:t>
      </w:r>
      <w:r>
        <w:t>EU</w:t>
      </w:r>
      <w:r w:rsidRPr="005F4D1B">
        <w:t xml:space="preserve"> agreements and programmes total an amount of EUR</w:t>
      </w:r>
      <w:r>
        <w:t> </w:t>
      </w:r>
      <w:r w:rsidRPr="005F4D1B">
        <w:t>3</w:t>
      </w:r>
      <w:r>
        <w:t> </w:t>
      </w:r>
      <w:r w:rsidRPr="005F4D1B">
        <w:t>2</w:t>
      </w:r>
      <w:r>
        <w:t>25 </w:t>
      </w:r>
      <w:r w:rsidRPr="005F4D1B">
        <w:t xml:space="preserve">million. The principal amounts concern the EAGF and EAFRD (and in particular the clearance of accounts and irregularities), the participation of third countries in research programs and other contributions and refunds to </w:t>
      </w:r>
      <w:r>
        <w:t>EU</w:t>
      </w:r>
      <w:r w:rsidRPr="005F4D1B">
        <w:t xml:space="preserve"> programs/activities. A substantial part of this total is made </w:t>
      </w:r>
      <w:r>
        <w:t xml:space="preserve">up </w:t>
      </w:r>
      <w:r w:rsidRPr="005F4D1B">
        <w:t xml:space="preserve">of earmarked revenue, which typically gives rise to the entering of additional appropriations </w:t>
      </w:r>
      <w:r>
        <w:t>o</w:t>
      </w:r>
      <w:r w:rsidRPr="005F4D1B">
        <w:t>n the expenditure side.</w:t>
      </w:r>
    </w:p>
    <w:p w:rsidR="00F50689" w:rsidRPr="005F4D1B" w:rsidRDefault="005A36C4" w:rsidP="00F50689">
      <w:pPr>
        <w:pStyle w:val="DGTextstand-alone"/>
      </w:pPr>
      <w:r w:rsidRPr="005F4D1B">
        <w:t xml:space="preserve">As far as the own resources result is concerned, the collection of traditional own resources was close to the forecasted amounts. </w:t>
      </w:r>
      <w:r>
        <w:t>This is primarily</w:t>
      </w:r>
      <w:r w:rsidRPr="005F4D1B">
        <w:t xml:space="preserve"> because the budget estimates that were modified at the time the Draft Amending Budget No. 4/2014 was established (they were decreased by EUR</w:t>
      </w:r>
      <w:r>
        <w:t> </w:t>
      </w:r>
      <w:r w:rsidRPr="005F4D1B">
        <w:t>646</w:t>
      </w:r>
      <w:r>
        <w:t> </w:t>
      </w:r>
      <w:r w:rsidRPr="005F4D1B">
        <w:t>million according to the new forecasts of spring 2014), were once again amended in the Draft Amending Budget No. 6/2014 to take into account the actual rhythm of collection. Thus they were increased by EUR</w:t>
      </w:r>
      <w:r>
        <w:t> </w:t>
      </w:r>
      <w:r w:rsidRPr="005F4D1B">
        <w:t>420</w:t>
      </w:r>
      <w:r>
        <w:t> </w:t>
      </w:r>
      <w:r w:rsidRPr="005F4D1B">
        <w:t>million.</w:t>
      </w:r>
    </w:p>
    <w:p w:rsidR="00F50689" w:rsidRPr="005F4D1B" w:rsidRDefault="005A36C4" w:rsidP="00F50689">
      <w:pPr>
        <w:pStyle w:val="DGTextstand-alone"/>
      </w:pPr>
      <w:r w:rsidRPr="005F4D1B">
        <w:t>The final Member States' VAT and GNI payments also correspond closely to the final budgetary estimate. The differences between the forecasted amounts and the amounts actually paid are due to the differences between the euro rates used for budgetary purposes and the rates in force at the time when the Member States outside the EMU actually made their payments.</w:t>
      </w:r>
    </w:p>
    <w:p w:rsidR="00F50689" w:rsidRDefault="005A36C4" w:rsidP="00F50689">
      <w:pPr>
        <w:pStyle w:val="DGTextstand-alone"/>
      </w:pPr>
      <w:r w:rsidRPr="005F4D1B">
        <w:t xml:space="preserve">The adjustment in 2014 included major revisions for the GNI dating back to 2002. Thus the adjustment was unprecedented in size totalling </w:t>
      </w:r>
      <w:r>
        <w:t xml:space="preserve">EUR </w:t>
      </w:r>
      <w:r w:rsidRPr="005F4D1B">
        <w:t>9.5 billion across all EU Member States. In order to address the exceptional situation</w:t>
      </w:r>
      <w:r>
        <w:t>,</w:t>
      </w:r>
      <w:r w:rsidRPr="005F4D1B">
        <w:t xml:space="preserve"> the Council adopted on 18 December a Commission proposal </w:t>
      </w:r>
      <w:r>
        <w:t>(</w:t>
      </w:r>
      <w:r w:rsidRPr="005F4D1B">
        <w:t>Council Regulation (EU, Euratom) No 1377/2014 of 18 December 2014</w:t>
      </w:r>
      <w:r>
        <w:t xml:space="preserve">) </w:t>
      </w:r>
      <w:r w:rsidRPr="005F4D1B">
        <w:t xml:space="preserve">allowing Member States to defer payment, interest free, under strict conditions, up to 1 September 2015. Accordingly 6 Member States opted to pay their adjustments in 2015. The deferred payment amounts to </w:t>
      </w:r>
      <w:r>
        <w:t>EUR 5.4 billion</w:t>
      </w:r>
      <w:r w:rsidRPr="005F4D1B">
        <w:t>.</w:t>
      </w:r>
    </w:p>
    <w:p w:rsidR="00F50689" w:rsidRDefault="005A36C4" w:rsidP="00F50689">
      <w:pPr>
        <w:pStyle w:val="DGTextstand-alone"/>
      </w:pPr>
      <w:r w:rsidRPr="005F4D1B">
        <w:t>The amount of own resources to be received relates to the Amending Budgets N</w:t>
      </w:r>
      <w:r>
        <w:t>umbers</w:t>
      </w:r>
      <w:r w:rsidRPr="005F4D1B">
        <w:t xml:space="preserve"> 2 to 7/2014 adopted on 17 December 2014. According to Article 10 of Council Regulation 1150/2000 of 22</w:t>
      </w:r>
      <w:r>
        <w:t> </w:t>
      </w:r>
      <w:r w:rsidRPr="005F4D1B">
        <w:t>May</w:t>
      </w:r>
      <w:r>
        <w:t> </w:t>
      </w:r>
      <w:r w:rsidRPr="005F4D1B">
        <w:t>2000 (OJ</w:t>
      </w:r>
      <w:r>
        <w:t> </w:t>
      </w:r>
      <w:r w:rsidRPr="005F4D1B">
        <w:t>L</w:t>
      </w:r>
      <w:r>
        <w:t> </w:t>
      </w:r>
      <w:r w:rsidRPr="005F4D1B">
        <w:t>130, 31.5.2000, p.</w:t>
      </w:r>
      <w:r>
        <w:t> </w:t>
      </w:r>
      <w:r w:rsidRPr="005F4D1B">
        <w:t>1) the entries corresponding to the readjustments of own resources contributions were carried out on the first working day of February 2015. The adjustments to Member States’ national EU budget contributions based on VAT and GNI takes place every year on the first working day of December.</w:t>
      </w:r>
    </w:p>
    <w:p w:rsidR="00F50689" w:rsidRDefault="00F50689" w:rsidP="00F50689">
      <w:pPr>
        <w:pStyle w:val="DGTextstand-alone"/>
      </w:pPr>
    </w:p>
    <w:p w:rsidR="00F50689" w:rsidRPr="00514E98" w:rsidRDefault="00F50689" w:rsidP="00F50689">
      <w:pPr>
        <w:pStyle w:val="DGTextstand-alone"/>
      </w:pPr>
    </w:p>
    <w:p w:rsidR="00F50689" w:rsidRPr="00C72D18" w:rsidRDefault="005A36C4" w:rsidP="00F50689">
      <w:pPr>
        <w:pStyle w:val="HEADER3Part3"/>
      </w:pPr>
      <w:r w:rsidRPr="00C72D18">
        <w:t>Own resources revenue</w:t>
      </w:r>
    </w:p>
    <w:p w:rsidR="00F50689" w:rsidRDefault="005A36C4" w:rsidP="00F50689">
      <w:pPr>
        <w:pStyle w:val="DGTextstand-alone"/>
      </w:pPr>
      <w:r>
        <w:t xml:space="preserve">The vast majority of revenue comes from own resources. This is laid down in Article 311 of the Treaty on the Functioning of the EU, which states that: "Without prejudice to other revenue, the budget shall be financed wholly from own resources." The bulk of budgetary expenditure is financed by own resources. </w:t>
      </w:r>
    </w:p>
    <w:p w:rsidR="00F50689" w:rsidRPr="00C72D18" w:rsidRDefault="005A36C4" w:rsidP="00F50689">
      <w:pPr>
        <w:pStyle w:val="DGTextStand-alonebulletpoint"/>
      </w:pPr>
      <w:r w:rsidRPr="00C72D18">
        <w:t>Own resources can be divided into the following categories:</w:t>
      </w:r>
    </w:p>
    <w:p w:rsidR="00F50689" w:rsidRPr="00C72D18" w:rsidRDefault="005A36C4" w:rsidP="00F50689">
      <w:pPr>
        <w:pStyle w:val="DGTextStand-alonebulletpoint"/>
      </w:pPr>
      <w:r w:rsidRPr="00C72D18">
        <w:t>(1)</w:t>
      </w:r>
      <w:r w:rsidRPr="00C72D18">
        <w:tab/>
        <w:t>Traditional own resources (TOR) consist of customs duties and sugar levies. These own resources are levied on economic operators and collected by Member States on behalf of the EU. However, Member States keep 25 % as a compensation for their collection costs (20 % as of 2014). Customs duties are levied on imports of products coming from third countries, at rates based on the Common Customs Tariff. Sugar levies are paid by sugar producers to finance the export refunds for sugar. TOR usually account for +/- 13 % of own resource revenue.</w:t>
      </w:r>
    </w:p>
    <w:p w:rsidR="00F50689" w:rsidRPr="00C72D18" w:rsidRDefault="005A36C4" w:rsidP="00F50689">
      <w:pPr>
        <w:pStyle w:val="DGTextStand-alonebulletpoint"/>
      </w:pPr>
      <w:r w:rsidRPr="00C72D18">
        <w:t>(2)</w:t>
      </w:r>
      <w:r w:rsidRPr="00C72D18">
        <w:tab/>
        <w:t>The own resource based on value added tax (VAT) is levied on Member States' VAT bases, which are harmonised for this purpose in accordance with EU rules. The same percentage is levied on the harmonised base of each Member State. However, the VAT base to take into account is capped at 50 % of each Member State’s GNI. The VAT-based resource usually accounts for around 12 % of own resource revenue.</w:t>
      </w:r>
    </w:p>
    <w:p w:rsidR="00F50689" w:rsidRPr="00C72D18" w:rsidRDefault="005A36C4" w:rsidP="00F50689">
      <w:pPr>
        <w:pStyle w:val="DGTextStand-alonebulletpoint"/>
      </w:pPr>
      <w:r w:rsidRPr="00C72D18">
        <w:t>(3)</w:t>
      </w:r>
      <w:r w:rsidRPr="00C72D18">
        <w:tab/>
        <w:t>The resource based on gross national income (GNI) is used to balance budget revenue and expenditure, i.e. to finance the part of the budget not covered by any other sources of revenue. The same percentage rate is levied on each Member States' GNI, which is established in accordance with EU rules. The GNI-based resource usually accounts for +/- 75 % of own resource revenue.</w:t>
      </w:r>
    </w:p>
    <w:p w:rsidR="00F50689" w:rsidRDefault="005A36C4" w:rsidP="00F50689">
      <w:pPr>
        <w:pStyle w:val="DGTextstand-alone"/>
      </w:pPr>
      <w:r>
        <w:t xml:space="preserve">The allocation of own resources is made in accordance with the rules laid down in the Council Decision No. 2007/436/EC, Euratom of 7 June 2007 on the system of the EU's own resources (ORD 2007). A new decision establishing the system of the EU’s own resources has been adopted for the 2014-2020 period (ORD 2014: Council Decision No. 2014/335/EU, Euratom of 26 May 2014). The 2014 ORD will enter into force after it has been ratified by all Member States according to their constitutional rules (expected for beginning of 2016). Until then, the 2007 ORD remains valid. </w:t>
      </w:r>
      <w:r w:rsidRPr="00353DC1">
        <w:t>The retroactive effects</w:t>
      </w:r>
      <w:r>
        <w:t xml:space="preserve"> (the ORD 2014 will apply from 1 January 2014)</w:t>
      </w:r>
      <w:r w:rsidRPr="00353DC1">
        <w:t xml:space="preserve"> will be taken into account in the budgetary year when the decision will enter in</w:t>
      </w:r>
      <w:r>
        <w:t xml:space="preserve">to </w:t>
      </w:r>
      <w:r w:rsidRPr="00353DC1">
        <w:t>force.</w:t>
      </w:r>
    </w:p>
    <w:p w:rsidR="00F50689" w:rsidRPr="00C72D18" w:rsidRDefault="005A36C4" w:rsidP="00F50689">
      <w:pPr>
        <w:pStyle w:val="HEADER3Part3"/>
      </w:pPr>
      <w:r w:rsidRPr="00C72D18">
        <w:t>Traditional own resources</w:t>
      </w:r>
    </w:p>
    <w:p w:rsidR="00F50689" w:rsidRDefault="005A36C4" w:rsidP="00F50689">
      <w:pPr>
        <w:pStyle w:val="DGTextstand-alone"/>
      </w:pPr>
      <w:r>
        <w:t>Traditional own resources: All established traditional own resource amounts must be entered in one or other of the accounts kept by the competent authorities.</w:t>
      </w:r>
    </w:p>
    <w:p w:rsidR="00F50689" w:rsidRPr="00FA3EA7" w:rsidRDefault="005A36C4" w:rsidP="00F50689">
      <w:pPr>
        <w:pStyle w:val="Textstand-aloneBulletpoint"/>
      </w:pPr>
      <w:r w:rsidRPr="00FA3EA7">
        <w:t>In the ordinary account provided for in Article 6(3</w:t>
      </w:r>
      <w:proofErr w:type="gramStart"/>
      <w:r w:rsidRPr="00FA3EA7">
        <w:t>)(</w:t>
      </w:r>
      <w:proofErr w:type="gramEnd"/>
      <w:r w:rsidRPr="00FA3EA7">
        <w:t>a) of Regulation No 1150/2000: all amounts recovered or guaranteed.</w:t>
      </w:r>
    </w:p>
    <w:p w:rsidR="00F50689" w:rsidRDefault="005A36C4" w:rsidP="00F50689">
      <w:pPr>
        <w:pStyle w:val="Textstand-aloneBulletpoint"/>
      </w:pPr>
      <w:r>
        <w:t>In the separate account provided for in Article 6(3</w:t>
      </w:r>
      <w:proofErr w:type="gramStart"/>
      <w:r>
        <w:t>)(</w:t>
      </w:r>
      <w:proofErr w:type="gramEnd"/>
      <w:r>
        <w:t>b) of Regulation No 1150/2000: all amounts not yet recovered and/or not guaranteed; amounts guaranteed but challenged may also be entered in this account.</w:t>
      </w:r>
    </w:p>
    <w:p w:rsidR="00F50689" w:rsidRDefault="005A36C4" w:rsidP="00F50689">
      <w:pPr>
        <w:pStyle w:val="DGTextstand-alone"/>
      </w:pPr>
      <w:r>
        <w:t>For the separate account, the Member States quarterly statement to the Commission includes:</w:t>
      </w:r>
    </w:p>
    <w:p w:rsidR="00F50689" w:rsidRDefault="005A36C4" w:rsidP="00F50689">
      <w:pPr>
        <w:pStyle w:val="Textstand-aloneBulletpoint"/>
      </w:pPr>
      <w:r>
        <w:t>the balance to be recovered during the previous quarter,</w:t>
      </w:r>
    </w:p>
    <w:p w:rsidR="00F50689" w:rsidRDefault="005A36C4" w:rsidP="00F50689">
      <w:pPr>
        <w:pStyle w:val="Textstand-aloneBulletpoint"/>
      </w:pPr>
      <w:r>
        <w:t>the established entitlements during the quarter in question,</w:t>
      </w:r>
    </w:p>
    <w:p w:rsidR="00F50689" w:rsidRDefault="005A36C4" w:rsidP="00F50689">
      <w:pPr>
        <w:pStyle w:val="Textstand-aloneBulletpoint"/>
      </w:pPr>
      <w:r>
        <w:t>rectifications of the base (corrections/cancellations) during the quarter in question,</w:t>
      </w:r>
    </w:p>
    <w:p w:rsidR="00F50689" w:rsidRDefault="005A36C4" w:rsidP="00F50689">
      <w:pPr>
        <w:pStyle w:val="Textstand-aloneBulletpoint"/>
      </w:pPr>
      <w:r>
        <w:t>amounts written off (which cannot be made available according to Article 17(2) of Regulation 1150/2000),</w:t>
      </w:r>
    </w:p>
    <w:p w:rsidR="00F50689" w:rsidRDefault="005A36C4" w:rsidP="00F50689">
      <w:pPr>
        <w:pStyle w:val="Textstand-aloneBulletpoint"/>
      </w:pPr>
      <w:r>
        <w:t>the amounts recovered during the quarter in question,</w:t>
      </w:r>
    </w:p>
    <w:p w:rsidR="00F50689" w:rsidRDefault="005A36C4" w:rsidP="00F50689">
      <w:pPr>
        <w:pStyle w:val="Textstand-aloneBulletpoint"/>
      </w:pPr>
      <w:proofErr w:type="gramStart"/>
      <w:r>
        <w:t>the</w:t>
      </w:r>
      <w:proofErr w:type="gramEnd"/>
      <w:r>
        <w:t xml:space="preserve"> balance to be recovered at the end of the quarter in question.</w:t>
      </w:r>
    </w:p>
    <w:p w:rsidR="00F50689" w:rsidRDefault="005A36C4" w:rsidP="00F50689">
      <w:pPr>
        <w:pStyle w:val="DGTextstand-alone"/>
      </w:pPr>
      <w:r>
        <w:t>Traditional own resources must be entered in the Commission's account with the Treasury or the body appointed by the Member State at the latest on the first working day following the 19th day of the second month following the month during which the entitlement was established (or recovered in the case of the separate account). Member States retain, by way of collection costs, 25 % of traditional own resources (20 % according to the 2014 ORD). The contingent own resources entitlements are adjusted on the basis of the likelihood of their recovery.</w:t>
      </w:r>
    </w:p>
    <w:p w:rsidR="00F50689" w:rsidRPr="00C72D18" w:rsidRDefault="005A36C4" w:rsidP="00F50689">
      <w:pPr>
        <w:pStyle w:val="HEADER3Part3"/>
      </w:pPr>
      <w:r w:rsidRPr="00C72D18">
        <w:t>VAT-based resources and GNI-based resources</w:t>
      </w:r>
    </w:p>
    <w:p w:rsidR="00F50689" w:rsidRDefault="005A36C4" w:rsidP="00F50689">
      <w:pPr>
        <w:pStyle w:val="DGTextstand-alone"/>
      </w:pPr>
      <w:r>
        <w:t>VAT-based own resources derive from the application of a uniform rate, for all Member States, to the harmonised VAT base determined in accordance with the rules of Article 2(1)(b) of the ORD 2007. The uniform rate is fixed at 0.30 % except for the period 2007-2013 in which the rate of call for Austria was fixed at 0.225 %, for Germany at 0.15 % and for Netherlands and Sweden at 0.10 %. The VAT base is capped at 50 % of GNI for all Member States. According to the 2014 ORD, the rate of call will remain at 0.3 %, except for the period 2014-20 the rate of call for Germany, the Netherlands and Sweden will be fixed at 0.15 %.</w:t>
      </w:r>
    </w:p>
    <w:p w:rsidR="00F50689" w:rsidRDefault="005A36C4" w:rsidP="00F50689">
      <w:pPr>
        <w:pStyle w:val="DGTextstand-alone"/>
      </w:pPr>
      <w:r>
        <w:t xml:space="preserve">The GNI-based resource is a variable resource intended to supply the revenue required, in any given year, to cover expenditure exceeding the amount collected from traditional own resources, VAT resources and miscellaneous revenue. The revenue derives from the application of a uniform rate to the aggregate GNI of all the Member States. VAT and GNI-based resources are determined on the basis of forecasts of VAT and GNI bases made when the draft budget is being prepared. These forecasts are subsequently revised; the figures are updated during the budget year in question by means of an amending budget. The actual figures for the VAT and GNI bases are available in the course of the year following the budget year in question. The Commission calculates the differences between the amounts due by the Member States by reference to the actual bases and the sums actually paid on the basis of the (revised) forecasts. These VAT and GNI balances, either positive or negative, are called in by the Commission from the Member States for the first working day of December of the year following the budget year in question. </w:t>
      </w:r>
      <w:r w:rsidRPr="0032685F">
        <w:t>The Council adopted on 18 December 2014 Regulation (EU, Euratom) No 1377/2014 which allows Member States, under certain conditions, to defer making available the amounts of VAT and GNI balances until the first working day of September of the following year.</w:t>
      </w:r>
      <w:r>
        <w:rPr>
          <w:rFonts w:ascii="Book Antiqua" w:hAnsi="Book Antiqua"/>
          <w:sz w:val="16"/>
          <w:szCs w:val="16"/>
        </w:rPr>
        <w:t xml:space="preserve"> </w:t>
      </w:r>
      <w:r>
        <w:t>Corrections may still be made to the actual VAT and GNI bases during the subsequent four years, unless a reservation is issued. The balances calculated earlier are adjusted and the difference is called in at the same time as the VAT and GNI balances for the previous budget year.</w:t>
      </w:r>
    </w:p>
    <w:p w:rsidR="00F50689" w:rsidRDefault="005A36C4" w:rsidP="00F50689">
      <w:pPr>
        <w:pStyle w:val="DGTextstand-alone"/>
      </w:pPr>
      <w:r>
        <w:t>When conducting controls of VAT statements and GNI data, the Commission may notify reservations to the Member States regarding certain points which may have consequences to their own resources contributions. These points, for example, may result from an absence of acceptable data, or a need to develop a suitable methodology. These reservations have to be seen as potential claims on the Member States for uncertain amounts as their financial impact cannot be estimated with accuracy. When the exact amount can be determined, the corresponding VAT and GNI-based resources are called either in connection with VAT and GNI balances or by individual calls for funds.</w:t>
      </w:r>
    </w:p>
    <w:p w:rsidR="00F50689" w:rsidRPr="00C72D18" w:rsidRDefault="005A36C4" w:rsidP="00F50689">
      <w:pPr>
        <w:pStyle w:val="HEADER3Part3"/>
      </w:pPr>
      <w:r w:rsidRPr="00C72D18">
        <w:t>UK correction</w:t>
      </w:r>
    </w:p>
    <w:p w:rsidR="00F50689" w:rsidRDefault="005A36C4" w:rsidP="00F50689">
      <w:pPr>
        <w:pStyle w:val="DGTextstand-alone"/>
      </w:pPr>
      <w:r>
        <w:t>This mechanism reduces the own resources payments of the UK in proportion to what is known as its "budgetary imbalance" and increases the own resources payments of the other Member States correspondingly. The budgetary imbalance correction mechanism in favour of the United Kingdom was instituted by the European Council in Fontainebleau (June 1984) and the resulting Own Resources Decision of 7 May 1985. The purpose of the mechanism was to reduce the budgetary imbalance of the UK through a reduction in its payments to the EU. Germany, Austria, Sweden and Netherlands benefit from a reduced financing of the correction (restricted to one fourth of their normal share).</w:t>
      </w:r>
    </w:p>
    <w:p w:rsidR="00F50689" w:rsidRPr="00C72D18" w:rsidRDefault="005A36C4" w:rsidP="00BD5073">
      <w:pPr>
        <w:pStyle w:val="HEADER3Part3"/>
        <w:spacing w:after="240"/>
      </w:pPr>
      <w:r w:rsidRPr="00C72D18">
        <w:t>Gross reduction</w:t>
      </w:r>
    </w:p>
    <w:p w:rsidR="00F50689" w:rsidRDefault="005A36C4" w:rsidP="00F50689">
      <w:pPr>
        <w:pStyle w:val="DGTextstand-alone"/>
        <w:spacing w:after="0"/>
      </w:pPr>
      <w:r>
        <w:t xml:space="preserve">The European Council of 15 and 16 December 2005 concluded that the Netherlands and Sweden shall benefit from gross reductions in their annual GNI-based contributions during the period 2007-2013. Reflecting these conclusions, the 2007 ORD provides that the Netherlands shall benefit from a gross reduction in its annual GNI contribution of EUR 605 million and Sweden from a gross reduction in its annual GNI contribution of EUR 150 million, measured at 2004 prices. The European Council of 7-8 February 2013 </w:t>
      </w:r>
      <w:r w:rsidRPr="00C911A8">
        <w:t>concluded that Denmark, the Netherlands and Sweden are to benefit from gross reductions in their annual contributions based on gross national income (GNI) for the period 2014-2020 only and that Austria is to benefit from gross reductions in its annual GNI-based contributions for the period 2014-2016 only.</w:t>
      </w:r>
      <w:r w:rsidRPr="00284C28">
        <w:t xml:space="preserve"> </w:t>
      </w:r>
      <w:r w:rsidRPr="009D676C">
        <w:t>Denmark, the Netherlands and Sweden shall benefit from gross reductions in their annual GNI-based contribution of EUR</w:t>
      </w:r>
      <w:r>
        <w:t> </w:t>
      </w:r>
      <w:r w:rsidRPr="009D676C">
        <w:t>130</w:t>
      </w:r>
      <w:r>
        <w:t> </w:t>
      </w:r>
      <w:r w:rsidRPr="009D676C">
        <w:t>million, EUR</w:t>
      </w:r>
      <w:r>
        <w:t> </w:t>
      </w:r>
      <w:r w:rsidRPr="009D676C">
        <w:t>695</w:t>
      </w:r>
      <w:r>
        <w:t> </w:t>
      </w:r>
      <w:r w:rsidRPr="009D676C">
        <w:t>million and EUR 185 million respectively. Austria shall benefit from a gross reduction in its annual GNI-based contribution of EUR</w:t>
      </w:r>
      <w:r>
        <w:t> </w:t>
      </w:r>
      <w:r w:rsidRPr="009D676C">
        <w:t>30</w:t>
      </w:r>
      <w:r>
        <w:t> million in 2014, EUR </w:t>
      </w:r>
      <w:r w:rsidRPr="009D676C">
        <w:t>20</w:t>
      </w:r>
      <w:r>
        <w:t> million in 2015 and EUR </w:t>
      </w:r>
      <w:r w:rsidRPr="009D676C">
        <w:t>10</w:t>
      </w:r>
      <w:r>
        <w:t> </w:t>
      </w:r>
      <w:r w:rsidRPr="009D676C">
        <w:t>million in 2016 (all amounts in 2011 prices). These provisions were taken up in the 2014 ORD and will be applied (retroactively) after its entry into force.</w:t>
      </w:r>
    </w:p>
    <w:p w:rsidR="00F50689" w:rsidRPr="00191FF5" w:rsidRDefault="005A36C4" w:rsidP="00F50689">
      <w:pPr>
        <w:pStyle w:val="DGTextstand-alone"/>
        <w:spacing w:before="0" w:after="0"/>
        <w:sectPr w:rsidR="00F50689" w:rsidRPr="00191FF5" w:rsidSect="00F50689">
          <w:headerReference w:type="even" r:id="rId491"/>
          <w:headerReference w:type="default" r:id="rId492"/>
          <w:footerReference w:type="even" r:id="rId493"/>
          <w:footerReference w:type="default" r:id="rId494"/>
          <w:headerReference w:type="first" r:id="rId495"/>
          <w:footerReference w:type="first" r:id="rId496"/>
          <w:pgSz w:w="11907" w:h="16840" w:code="9"/>
          <w:pgMar w:top="1134" w:right="1134" w:bottom="1134" w:left="1134" w:header="709" w:footer="709" w:gutter="0"/>
          <w:cols w:space="708"/>
          <w:docGrid w:linePitch="360"/>
        </w:sectPr>
      </w:pPr>
      <w:r>
        <w:t xml:space="preserve"> </w:t>
      </w:r>
      <w:bookmarkEnd w:id="246"/>
    </w:p>
    <w:p w:rsidR="00F50689" w:rsidRDefault="005A36C4" w:rsidP="00F50689">
      <w:pPr>
        <w:pStyle w:val="HEADER1Part3"/>
        <w:spacing w:after="0"/>
      </w:pPr>
      <w:bookmarkStart w:id="247" w:name="_Toc424653742"/>
      <w:bookmarkStart w:id="248" w:name="_DMBM_3435"/>
      <w:r w:rsidRPr="000A646A">
        <w:t>IMPLEMENTATION OF EU BUDGET EXPENDITURE</w:t>
      </w:r>
      <w:bookmarkEnd w:id="247"/>
    </w:p>
    <w:p w:rsidR="00F50689" w:rsidRPr="0039458F" w:rsidRDefault="005A36C4" w:rsidP="00F50689">
      <w:pPr>
        <w:pStyle w:val="HEADER5"/>
        <w:sectPr w:rsidR="00F50689" w:rsidRPr="0039458F" w:rsidSect="00F50689">
          <w:headerReference w:type="even" r:id="rId497"/>
          <w:headerReference w:type="default" r:id="rId498"/>
          <w:footerReference w:type="even" r:id="rId499"/>
          <w:footerReference w:type="default" r:id="rId500"/>
          <w:headerReference w:type="first" r:id="rId501"/>
          <w:footerReference w:type="first" r:id="rId502"/>
          <w:type w:val="continuous"/>
          <w:pgSz w:w="16840" w:h="11907" w:orient="landscape"/>
          <w:pgMar w:top="1134" w:right="1134" w:bottom="1134" w:left="1134" w:header="708" w:footer="708" w:gutter="0"/>
          <w:cols w:space="708"/>
          <w:docGrid w:linePitch="360"/>
        </w:sectPr>
      </w:pPr>
      <w:r>
        <w:t xml:space="preserve"> </w:t>
      </w:r>
      <w:bookmarkEnd w:id="248"/>
    </w:p>
    <w:p w:rsidR="00F50689" w:rsidRDefault="005A36C4" w:rsidP="00F50689">
      <w:pPr>
        <w:pStyle w:val="HEADER2Part3"/>
      </w:pPr>
      <w:bookmarkStart w:id="249" w:name="_Toc424653743"/>
      <w:bookmarkStart w:id="250" w:name="_DMBM_3436"/>
      <w:r>
        <w:t>MFF: BREAKDOWN &amp; CHANGES IN COMMITMENT &amp; PAYMENT APPROPRIATIONS</w:t>
      </w:r>
      <w:bookmarkEnd w:id="249"/>
    </w:p>
    <w:tbl>
      <w:tblPr>
        <w:tblW w:w="14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702"/>
        <w:gridCol w:w="1135"/>
        <w:gridCol w:w="1132"/>
        <w:gridCol w:w="995"/>
        <w:gridCol w:w="853"/>
        <w:gridCol w:w="995"/>
        <w:gridCol w:w="1138"/>
        <w:gridCol w:w="1274"/>
        <w:gridCol w:w="1132"/>
        <w:gridCol w:w="995"/>
        <w:gridCol w:w="992"/>
        <w:gridCol w:w="992"/>
        <w:gridCol w:w="1126"/>
      </w:tblGrid>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color w:val="FFFFFF"/>
                <w:lang w:bidi="en-GB"/>
              </w:rPr>
            </w:pPr>
            <w:bookmarkStart w:id="251" w:name="DOC_TBL00100_1_1"/>
            <w:bookmarkEnd w:id="251"/>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lang w:bidi="en-GB"/>
              </w:rPr>
            </w:pP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lang w:bidi="en-GB"/>
              </w:rPr>
            </w:pP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lang w:bidi="en-GB"/>
              </w:rPr>
            </w:pP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lang w:bidi="en-GB"/>
              </w:rPr>
            </w:pP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lang w:bidi="en-GB"/>
              </w:rPr>
            </w:pP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lang w:bidi="en-GB"/>
              </w:rPr>
            </w:pP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lang w:bidi="en-GB"/>
              </w:rPr>
            </w:pP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lang w:bidi="en-GB"/>
              </w:rPr>
            </w:pP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lang w:bidi="en-GB"/>
              </w:rPr>
            </w:pP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lang w:bidi="en-GB"/>
              </w:rPr>
            </w:pPr>
          </w:p>
        </w:tc>
        <w:tc>
          <w:tcPr>
            <w:tcW w:w="2118" w:type="dxa"/>
            <w:gridSpan w:val="2"/>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lang w:bidi="en-GB"/>
              </w:rPr>
            </w:pPr>
            <w:r>
              <w:rPr>
                <w:rFonts w:eastAsia="Verdana" w:cs="Verdana"/>
                <w:lang w:bidi="en-GB"/>
              </w:rPr>
              <w:t>EUR millions</w:t>
            </w:r>
          </w:p>
        </w:tc>
      </w:tr>
      <w:tr w:rsidR="00E7728E">
        <w:tc>
          <w:tcPr>
            <w:tcW w:w="2094" w:type="dxa"/>
            <w:gridSpan w:val="2"/>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lang w:bidi="en-GB"/>
              </w:rPr>
            </w:pPr>
          </w:p>
        </w:tc>
        <w:tc>
          <w:tcPr>
            <w:tcW w:w="6248" w:type="dxa"/>
            <w:gridSpan w:val="6"/>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lang w:bidi="en-GB"/>
              </w:rPr>
            </w:pPr>
            <w:r>
              <w:rPr>
                <w:rFonts w:eastAsia="Verdana" w:cs="Verdana"/>
                <w:lang w:bidi="en-GB"/>
              </w:rPr>
              <w:t>Commitment appropriations</w:t>
            </w:r>
          </w:p>
        </w:tc>
        <w:tc>
          <w:tcPr>
            <w:tcW w:w="6511" w:type="dxa"/>
            <w:gridSpan w:val="6"/>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lang w:bidi="en-GB"/>
              </w:rPr>
            </w:pPr>
            <w:r>
              <w:rPr>
                <w:rFonts w:eastAsia="Verdana" w:cs="Verdana"/>
                <w:lang w:bidi="en-GB"/>
              </w:rPr>
              <w:t>Payment appropriations</w:t>
            </w:r>
          </w:p>
        </w:tc>
      </w:tr>
      <w:tr w:rsidR="00E7728E">
        <w:tc>
          <w:tcPr>
            <w:tcW w:w="2094" w:type="dxa"/>
            <w:gridSpan w:val="2"/>
            <w:tcBorders>
              <w:top w:val="nil"/>
              <w:left w:val="nil"/>
              <w:bottom w:val="nil"/>
              <w:right w:val="nil"/>
            </w:tcBorders>
            <w:shd w:val="clear" w:color="auto" w:fill="016794"/>
            <w:tcMar>
              <w:top w:w="0" w:type="dxa"/>
              <w:left w:w="0" w:type="dxa"/>
              <w:bottom w:w="0" w:type="dxa"/>
              <w:right w:w="0" w:type="dxa"/>
            </w:tcMar>
            <w:vAlign w:val="bottom"/>
          </w:tcPr>
          <w:p w:rsidR="00F50689" w:rsidRDefault="00F50689" w:rsidP="00F50689">
            <w:pPr>
              <w:pStyle w:val="Heading7pNormalCentered"/>
              <w:rPr>
                <w:rFonts w:eastAsia="Verdana" w:cs="Verdana"/>
                <w:lang w:bidi="en-GB"/>
              </w:rPr>
            </w:pPr>
          </w:p>
        </w:tc>
        <w:tc>
          <w:tcPr>
            <w:tcW w:w="3262" w:type="dxa"/>
            <w:gridSpan w:val="3"/>
            <w:tcBorders>
              <w:top w:val="nil"/>
              <w:left w:val="nil"/>
              <w:bottom w:val="nil"/>
              <w:right w:val="nil"/>
            </w:tcBorders>
            <w:shd w:val="clear" w:color="auto" w:fill="016794"/>
            <w:tcMar>
              <w:top w:w="0" w:type="dxa"/>
              <w:left w:w="0" w:type="dxa"/>
              <w:bottom w:w="0" w:type="dxa"/>
              <w:right w:w="0" w:type="dxa"/>
            </w:tcMar>
            <w:vAlign w:val="bottom"/>
          </w:tcPr>
          <w:p w:rsidR="00F50689" w:rsidRDefault="005A36C4" w:rsidP="00F50689">
            <w:pPr>
              <w:pStyle w:val="Heading8pNormalCentered"/>
              <w:rPr>
                <w:rFonts w:eastAsia="Verdana" w:cs="Verdana"/>
                <w:lang w:bidi="en-GB"/>
              </w:rPr>
            </w:pPr>
            <w:r>
              <w:rPr>
                <w:rFonts w:eastAsia="Verdana" w:cs="Verdana"/>
                <w:lang w:bidi="en-GB"/>
              </w:rPr>
              <w:t>Budget appropriations</w:t>
            </w:r>
          </w:p>
        </w:tc>
        <w:tc>
          <w:tcPr>
            <w:tcW w:w="1848" w:type="dxa"/>
            <w:gridSpan w:val="2"/>
            <w:tcBorders>
              <w:top w:val="nil"/>
              <w:left w:val="nil"/>
              <w:bottom w:val="nil"/>
              <w:right w:val="nil"/>
            </w:tcBorders>
            <w:shd w:val="clear" w:color="auto" w:fill="016794"/>
            <w:tcMar>
              <w:top w:w="0" w:type="dxa"/>
              <w:left w:w="0" w:type="dxa"/>
              <w:bottom w:w="0" w:type="dxa"/>
              <w:right w:w="0" w:type="dxa"/>
            </w:tcMar>
            <w:vAlign w:val="bottom"/>
          </w:tcPr>
          <w:p w:rsidR="00F50689" w:rsidRDefault="005A36C4" w:rsidP="00F50689">
            <w:pPr>
              <w:pStyle w:val="Heading8pNormalCentered"/>
              <w:rPr>
                <w:rFonts w:eastAsia="Verdana" w:cs="Verdana"/>
                <w:lang w:bidi="en-GB"/>
              </w:rPr>
            </w:pPr>
            <w:r>
              <w:rPr>
                <w:rFonts w:eastAsia="Verdana" w:cs="Verdana"/>
                <w:lang w:bidi="en-GB"/>
              </w:rPr>
              <w:t>Additional appropriations</w:t>
            </w:r>
          </w:p>
        </w:tc>
        <w:tc>
          <w:tcPr>
            <w:tcW w:w="1138" w:type="dxa"/>
            <w:tcBorders>
              <w:top w:val="nil"/>
              <w:left w:val="nil"/>
              <w:bottom w:val="nil"/>
              <w:right w:val="nil"/>
            </w:tcBorders>
            <w:shd w:val="clear" w:color="auto" w:fill="016794"/>
            <w:tcMar>
              <w:top w:w="0" w:type="dxa"/>
              <w:left w:w="0" w:type="dxa"/>
              <w:bottom w:w="0" w:type="dxa"/>
              <w:right w:w="0" w:type="dxa"/>
            </w:tcMar>
            <w:vAlign w:val="bottom"/>
          </w:tcPr>
          <w:p w:rsidR="00F50689" w:rsidRDefault="005A36C4" w:rsidP="00F50689">
            <w:pPr>
              <w:pStyle w:val="Heading8pNormalCentered"/>
              <w:rPr>
                <w:rFonts w:eastAsia="Verdana" w:cs="Verdana"/>
                <w:lang w:bidi="en-GB"/>
              </w:rPr>
            </w:pPr>
            <w:r>
              <w:rPr>
                <w:rFonts w:eastAsia="Verdana" w:cs="Verdana"/>
                <w:lang w:bidi="en-GB"/>
              </w:rPr>
              <w:t>Total appropri-</w:t>
            </w:r>
          </w:p>
          <w:p w:rsidR="00F50689" w:rsidRDefault="005A36C4" w:rsidP="00F50689">
            <w:pPr>
              <w:pStyle w:val="Heading8pNormalCentered"/>
              <w:rPr>
                <w:rFonts w:eastAsia="Verdana" w:cs="Verdana"/>
                <w:lang w:bidi="en-GB"/>
              </w:rPr>
            </w:pPr>
            <w:r>
              <w:rPr>
                <w:rFonts w:eastAsia="Verdana" w:cs="Verdana"/>
                <w:lang w:bidi="en-GB"/>
              </w:rPr>
              <w:t>ations</w:t>
            </w:r>
          </w:p>
        </w:tc>
        <w:tc>
          <w:tcPr>
            <w:tcW w:w="3401" w:type="dxa"/>
            <w:gridSpan w:val="3"/>
            <w:tcBorders>
              <w:top w:val="nil"/>
              <w:left w:val="nil"/>
              <w:bottom w:val="nil"/>
              <w:right w:val="nil"/>
            </w:tcBorders>
            <w:shd w:val="clear" w:color="auto" w:fill="016794"/>
            <w:tcMar>
              <w:top w:w="0" w:type="dxa"/>
              <w:left w:w="0" w:type="dxa"/>
              <w:bottom w:w="0" w:type="dxa"/>
              <w:right w:w="0" w:type="dxa"/>
            </w:tcMar>
            <w:vAlign w:val="bottom"/>
          </w:tcPr>
          <w:p w:rsidR="00F50689" w:rsidRDefault="005A36C4" w:rsidP="00F50689">
            <w:pPr>
              <w:pStyle w:val="Heading8pNormalCentered"/>
              <w:rPr>
                <w:rFonts w:eastAsia="Verdana" w:cs="Verdana"/>
                <w:lang w:bidi="en-GB"/>
              </w:rPr>
            </w:pPr>
            <w:r>
              <w:rPr>
                <w:rFonts w:eastAsia="Verdana" w:cs="Verdana"/>
                <w:lang w:bidi="en-GB"/>
              </w:rPr>
              <w:t>Budget appropriations</w:t>
            </w:r>
          </w:p>
        </w:tc>
        <w:tc>
          <w:tcPr>
            <w:tcW w:w="1984" w:type="dxa"/>
            <w:gridSpan w:val="2"/>
            <w:tcBorders>
              <w:top w:val="nil"/>
              <w:left w:val="nil"/>
              <w:bottom w:val="nil"/>
              <w:right w:val="nil"/>
            </w:tcBorders>
            <w:shd w:val="clear" w:color="auto" w:fill="016794"/>
            <w:tcMar>
              <w:top w:w="0" w:type="dxa"/>
              <w:left w:w="0" w:type="dxa"/>
              <w:bottom w:w="0" w:type="dxa"/>
              <w:right w:w="0" w:type="dxa"/>
            </w:tcMar>
            <w:vAlign w:val="bottom"/>
          </w:tcPr>
          <w:p w:rsidR="00F50689" w:rsidRDefault="005A36C4" w:rsidP="00F50689">
            <w:pPr>
              <w:pStyle w:val="Heading8pNormalCentered"/>
              <w:rPr>
                <w:rFonts w:eastAsia="Verdana" w:cs="Verdana"/>
                <w:lang w:bidi="en-GB"/>
              </w:rPr>
            </w:pPr>
            <w:r>
              <w:rPr>
                <w:rFonts w:eastAsia="Verdana" w:cs="Verdana"/>
                <w:lang w:bidi="en-GB"/>
              </w:rPr>
              <w:t>Additional appropriations</w:t>
            </w:r>
          </w:p>
        </w:tc>
        <w:tc>
          <w:tcPr>
            <w:tcW w:w="1126" w:type="dxa"/>
            <w:tcBorders>
              <w:top w:val="nil"/>
              <w:left w:val="nil"/>
              <w:bottom w:val="nil"/>
              <w:right w:val="nil"/>
            </w:tcBorders>
            <w:shd w:val="clear" w:color="auto" w:fill="016794"/>
            <w:tcMar>
              <w:top w:w="0" w:type="dxa"/>
              <w:left w:w="0" w:type="dxa"/>
              <w:bottom w:w="0" w:type="dxa"/>
              <w:right w:w="0" w:type="dxa"/>
            </w:tcMar>
            <w:vAlign w:val="bottom"/>
          </w:tcPr>
          <w:p w:rsidR="00F50689" w:rsidRDefault="005A36C4" w:rsidP="00F50689">
            <w:pPr>
              <w:pStyle w:val="Heading8pNormalCentered"/>
              <w:rPr>
                <w:rFonts w:eastAsia="Verdana" w:cs="Verdana"/>
                <w:lang w:bidi="en-GB"/>
              </w:rPr>
            </w:pPr>
            <w:r>
              <w:rPr>
                <w:rFonts w:eastAsia="Verdana" w:cs="Verdana"/>
                <w:lang w:bidi="en-GB"/>
              </w:rPr>
              <w:t>Total appropri-</w:t>
            </w:r>
          </w:p>
          <w:p w:rsidR="00F50689" w:rsidRDefault="005A36C4" w:rsidP="00F50689">
            <w:pPr>
              <w:pStyle w:val="Heading8pNormalCentered"/>
              <w:rPr>
                <w:rFonts w:eastAsia="Verdana" w:cs="Verdana"/>
                <w:lang w:bidi="en-GB"/>
              </w:rPr>
            </w:pPr>
            <w:r>
              <w:rPr>
                <w:rFonts w:eastAsia="Verdana" w:cs="Verdana"/>
                <w:lang w:bidi="en-GB"/>
              </w:rPr>
              <w:t>ations</w:t>
            </w:r>
          </w:p>
        </w:tc>
      </w:tr>
      <w:tr w:rsidR="00E7728E">
        <w:tc>
          <w:tcPr>
            <w:tcW w:w="2094" w:type="dxa"/>
            <w:gridSpan w:val="2"/>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MFF Heading</w:t>
            </w:r>
          </w:p>
        </w:tc>
        <w:tc>
          <w:tcPr>
            <w:tcW w:w="1135"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Initial adopted budget</w:t>
            </w:r>
          </w:p>
        </w:tc>
        <w:tc>
          <w:tcPr>
            <w:tcW w:w="113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Amending budgets &amp; Transfers</w:t>
            </w:r>
          </w:p>
        </w:tc>
        <w:tc>
          <w:tcPr>
            <w:tcW w:w="995"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Final adopted budget</w:t>
            </w:r>
          </w:p>
        </w:tc>
        <w:tc>
          <w:tcPr>
            <w:tcW w:w="853"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 xml:space="preserve">Carry-overs </w:t>
            </w:r>
          </w:p>
        </w:tc>
        <w:tc>
          <w:tcPr>
            <w:tcW w:w="995"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Assigned revenue</w:t>
            </w:r>
          </w:p>
        </w:tc>
        <w:tc>
          <w:tcPr>
            <w:tcW w:w="113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lang w:bidi="en-GB"/>
              </w:rPr>
            </w:pPr>
            <w:r>
              <w:rPr>
                <w:rFonts w:eastAsia="Verdana" w:cs="Verdana"/>
                <w:lang w:bidi="en-GB"/>
              </w:rPr>
              <w:t>available</w:t>
            </w:r>
          </w:p>
        </w:tc>
        <w:tc>
          <w:tcPr>
            <w:tcW w:w="1274"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Initial adopted budget</w:t>
            </w:r>
          </w:p>
        </w:tc>
        <w:tc>
          <w:tcPr>
            <w:tcW w:w="113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Amending budgets &amp; Transfers</w:t>
            </w:r>
          </w:p>
        </w:tc>
        <w:tc>
          <w:tcPr>
            <w:tcW w:w="995"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Final adopted budget</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 xml:space="preserve">Carry-overs </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Assigned revenue</w:t>
            </w:r>
          </w:p>
        </w:tc>
        <w:tc>
          <w:tcPr>
            <w:tcW w:w="1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lang w:bidi="en-GB"/>
              </w:rPr>
            </w:pPr>
            <w:r>
              <w:rPr>
                <w:rFonts w:eastAsia="Verdana" w:cs="Verdana"/>
                <w:lang w:bidi="en-GB"/>
              </w:rPr>
              <w:t>available</w:t>
            </w:r>
          </w:p>
        </w:tc>
      </w:tr>
      <w:tr w:rsidR="00E7728E">
        <w:tc>
          <w:tcPr>
            <w:tcW w:w="2094" w:type="dxa"/>
            <w:gridSpan w:val="2"/>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lang w:bidi="en-GB"/>
              </w:rPr>
            </w:pPr>
          </w:p>
        </w:tc>
        <w:tc>
          <w:tcPr>
            <w:tcW w:w="1135"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1</w:t>
            </w:r>
          </w:p>
        </w:tc>
        <w:tc>
          <w:tcPr>
            <w:tcW w:w="113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2</w:t>
            </w:r>
          </w:p>
        </w:tc>
        <w:tc>
          <w:tcPr>
            <w:tcW w:w="995"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3=1+2</w:t>
            </w:r>
          </w:p>
        </w:tc>
        <w:tc>
          <w:tcPr>
            <w:tcW w:w="853"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4</w:t>
            </w:r>
          </w:p>
        </w:tc>
        <w:tc>
          <w:tcPr>
            <w:tcW w:w="995"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5</w:t>
            </w:r>
          </w:p>
        </w:tc>
        <w:tc>
          <w:tcPr>
            <w:tcW w:w="1138"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jc w:val="right"/>
              <w:rPr>
                <w:rFonts w:eastAsia="Verdana" w:cs="Verdana"/>
                <w:lang w:bidi="en-GB"/>
              </w:rPr>
            </w:pPr>
            <w:r>
              <w:rPr>
                <w:rFonts w:eastAsia="Verdana" w:cs="Verdana"/>
                <w:lang w:bidi="en-GB"/>
              </w:rPr>
              <w:t>6=3+4+5</w:t>
            </w:r>
          </w:p>
        </w:tc>
        <w:tc>
          <w:tcPr>
            <w:tcW w:w="1274"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7</w:t>
            </w:r>
          </w:p>
        </w:tc>
        <w:tc>
          <w:tcPr>
            <w:tcW w:w="113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8</w:t>
            </w:r>
          </w:p>
        </w:tc>
        <w:tc>
          <w:tcPr>
            <w:tcW w:w="995"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9=7+8</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10</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11</w:t>
            </w:r>
          </w:p>
        </w:tc>
        <w:tc>
          <w:tcPr>
            <w:tcW w:w="1126"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jc w:val="right"/>
              <w:rPr>
                <w:rFonts w:eastAsia="Verdana" w:cs="Verdana"/>
                <w:lang w:bidi="en-GB"/>
              </w:rPr>
            </w:pPr>
            <w:r>
              <w:rPr>
                <w:rFonts w:eastAsia="Verdana" w:cs="Verdana"/>
                <w:lang w:bidi="en-GB"/>
              </w:rPr>
              <w:t>12=9+10+11</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lang w:bidi="en-GB"/>
              </w:rPr>
            </w:pPr>
            <w:r>
              <w:rPr>
                <w:rFonts w:eastAsia="Verdana" w:cs="Verdana"/>
                <w:lang w:bidi="en-GB"/>
              </w:rPr>
              <w:t>1.</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lang w:bidi="en-GB"/>
              </w:rPr>
            </w:pPr>
            <w:r>
              <w:rPr>
                <w:rFonts w:eastAsia="Verdana" w:cs="Verdana"/>
                <w:i w:val="0"/>
                <w:lang w:bidi="en-GB"/>
              </w:rPr>
              <w:t>Smart and inclusive growth</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63 986</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63 986</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150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3 474</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67 611</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62 393</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3 470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65 863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289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3 548</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69 699</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lang w:bidi="en-GB"/>
              </w:rPr>
            </w:pP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lang w:bidi="en-GB"/>
              </w:rPr>
            </w:pPr>
            <w:r>
              <w:rPr>
                <w:rFonts w:eastAsia="Verdana" w:cs="Verdana"/>
                <w:lang w:bidi="en-GB"/>
              </w:rPr>
              <w:t>1a: Competitiveness for growth and jobs</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16 484</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16 484</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2 645</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19 129</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11 441</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415</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11 857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128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3 323</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15 308</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lang w:bidi="en-GB"/>
              </w:rPr>
            </w:pP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lang w:bidi="en-GB"/>
              </w:rPr>
            </w:pPr>
            <w:r>
              <w:rPr>
                <w:rFonts w:eastAsia="Verdana" w:cs="Verdana"/>
                <w:lang w:bidi="en-GB"/>
              </w:rPr>
              <w:t>1b: Economic, social and territorial cohesion</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47 502</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47 502</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150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830</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48 482</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50 951</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3 055</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54 006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161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224</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54 392</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lang w:bidi="en-GB"/>
              </w:rPr>
            </w:pPr>
            <w:r>
              <w:rPr>
                <w:rFonts w:eastAsia="Verdana" w:cs="Verdana"/>
                <w:lang w:bidi="en-GB"/>
              </w:rPr>
              <w:t xml:space="preserve">2. </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lang w:bidi="en-GB"/>
              </w:rPr>
            </w:pPr>
            <w:r>
              <w:rPr>
                <w:rFonts w:eastAsia="Verdana" w:cs="Verdana"/>
                <w:i w:val="0"/>
                <w:lang w:bidi="en-GB"/>
              </w:rPr>
              <w:t>Sustainable growth: natural resources</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59 267</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(76)</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59 191</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2 105</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61 296</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56 459</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(500)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55 959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1 968</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57 962</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lang w:bidi="en-GB"/>
              </w:rPr>
            </w:pP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lang w:bidi="en-GB"/>
              </w:rPr>
            </w:pPr>
            <w:r>
              <w:rPr>
                <w:rFonts w:eastAsia="Verdana" w:cs="Verdana"/>
                <w:lang w:bidi="en-GB"/>
              </w:rPr>
              <w:t>of which: market related expenditure and direct payments</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43 778</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43 778</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1 724</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45 502</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43 777</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43 776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13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1 724</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45 514</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lang w:bidi="en-GB"/>
              </w:rPr>
            </w:pPr>
            <w:r>
              <w:rPr>
                <w:rFonts w:eastAsia="Verdana" w:cs="Verdana"/>
                <w:lang w:bidi="en-GB"/>
              </w:rPr>
              <w:t>3.</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lang w:bidi="en-GB"/>
              </w:rPr>
            </w:pPr>
            <w:r>
              <w:rPr>
                <w:rFonts w:eastAsia="Verdana" w:cs="Verdana"/>
                <w:i w:val="0"/>
                <w:lang w:bidi="en-GB"/>
              </w:rPr>
              <w:t>Security and citizenship</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2 172</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2 172</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81</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2 256</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1 677</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(17)</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1 660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78</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1 747</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lang w:bidi="en-GB"/>
              </w:rPr>
            </w:pPr>
            <w:r>
              <w:rPr>
                <w:rFonts w:eastAsia="Verdana" w:cs="Verdana"/>
                <w:lang w:bidi="en-GB"/>
              </w:rPr>
              <w:t>4.</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lang w:bidi="en-GB"/>
              </w:rPr>
            </w:pPr>
            <w:r>
              <w:rPr>
                <w:rFonts w:eastAsia="Verdana" w:cs="Verdana"/>
                <w:i w:val="0"/>
                <w:lang w:bidi="en-GB"/>
              </w:rPr>
              <w:t>Global Europe</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8 325</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98</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8 423</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571</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9 000</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6 191</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734</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6 925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521</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7 481</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lang w:bidi="en-GB"/>
              </w:rPr>
            </w:pPr>
            <w:r>
              <w:rPr>
                <w:rFonts w:eastAsia="Verdana" w:cs="Verdana"/>
                <w:lang w:bidi="en-GB"/>
              </w:rPr>
              <w:t>5.</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lang w:bidi="en-GB"/>
              </w:rPr>
            </w:pPr>
            <w:r>
              <w:rPr>
                <w:rFonts w:eastAsia="Verdana" w:cs="Verdana"/>
                <w:i w:val="0"/>
                <w:lang w:bidi="en-GB"/>
              </w:rPr>
              <w:t>Administration</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8 405</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8 405</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765</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9 171</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8 406</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8 406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772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862</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10 040</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lang w:bidi="en-GB"/>
              </w:rPr>
            </w:pP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lang w:bidi="en-GB"/>
              </w:rPr>
            </w:pPr>
            <w:r>
              <w:rPr>
                <w:rFonts w:eastAsia="Verdana" w:cs="Verdana"/>
                <w:lang w:bidi="en-GB"/>
              </w:rPr>
              <w:t>of which: Administrative expenditure of the institutions</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3 532</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3 531</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399</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3 931</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3 532</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3 531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452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492</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4 475</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lang w:bidi="en-GB"/>
              </w:rPr>
            </w:pPr>
            <w:r>
              <w:rPr>
                <w:rFonts w:eastAsia="Verdana" w:cs="Verdana"/>
                <w:lang w:bidi="en-GB"/>
              </w:rPr>
              <w:t>6.</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lang w:bidi="en-GB"/>
              </w:rPr>
            </w:pPr>
            <w:r>
              <w:rPr>
                <w:rFonts w:eastAsia="Verdana" w:cs="Verdana"/>
                <w:i w:val="0"/>
                <w:lang w:bidi="en-GB"/>
              </w:rPr>
              <w:t>Compensations</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29</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29</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29</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29</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29</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lang w:bidi="en-GB"/>
              </w:rPr>
            </w:pPr>
            <w:r>
              <w:rPr>
                <w:rFonts w:eastAsia="Verdana" w:cs="Verdana"/>
                <w:lang w:bidi="en-GB"/>
              </w:rPr>
              <w:t>8.</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lang w:bidi="en-GB"/>
              </w:rPr>
            </w:pPr>
            <w:r>
              <w:rPr>
                <w:rFonts w:eastAsia="Verdana" w:cs="Verdana"/>
                <w:i w:val="0"/>
                <w:lang w:bidi="en-GB"/>
              </w:rPr>
              <w:t>Negative reserve</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lang w:bidi="en-GB"/>
              </w:rPr>
            </w:pPr>
            <w:r>
              <w:rPr>
                <w:rFonts w:eastAsia="Verdana" w:cs="Verdana"/>
                <w:lang w:bidi="en-GB"/>
              </w:rPr>
              <w:t>9.</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lang w:bidi="en-GB"/>
              </w:rPr>
            </w:pPr>
            <w:r>
              <w:rPr>
                <w:rFonts w:eastAsia="Verdana" w:cs="Verdana"/>
                <w:i w:val="0"/>
                <w:lang w:bidi="en-GB"/>
              </w:rPr>
              <w:t>Special Instruments</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456</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29</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485</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18</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74</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577</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350</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(157)</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193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270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74</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536</w:t>
            </w:r>
          </w:p>
        </w:tc>
      </w:tr>
      <w:tr w:rsidR="00E7728E">
        <w:tc>
          <w:tcPr>
            <w:tcW w:w="392"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8pBoldRight025"/>
              <w:rPr>
                <w:rFonts w:eastAsia="Verdana" w:cs="Verdana"/>
                <w:lang w:bidi="en-GB"/>
              </w:rPr>
            </w:pPr>
          </w:p>
        </w:tc>
        <w:tc>
          <w:tcPr>
            <w:tcW w:w="170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7pBoldLeft"/>
              <w:rPr>
                <w:rFonts w:eastAsia="Verdana" w:cs="Verdana"/>
                <w:lang w:bidi="en-GB"/>
              </w:rPr>
            </w:pPr>
            <w:r>
              <w:rPr>
                <w:rFonts w:eastAsia="Verdana" w:cs="Verdana"/>
                <w:lang w:bidi="en-GB"/>
              </w:rPr>
              <w:t>Total</w:t>
            </w:r>
          </w:p>
        </w:tc>
        <w:tc>
          <w:tcPr>
            <w:tcW w:w="113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142 640</w:t>
            </w:r>
          </w:p>
        </w:tc>
        <w:tc>
          <w:tcPr>
            <w:tcW w:w="113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 xml:space="preserve"> 50</w:t>
            </w:r>
          </w:p>
        </w:tc>
        <w:tc>
          <w:tcPr>
            <w:tcW w:w="99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142 690</w:t>
            </w:r>
          </w:p>
        </w:tc>
        <w:tc>
          <w:tcPr>
            <w:tcW w:w="85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 xml:space="preserve"> 179</w:t>
            </w:r>
          </w:p>
        </w:tc>
        <w:tc>
          <w:tcPr>
            <w:tcW w:w="99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7 070</w:t>
            </w:r>
          </w:p>
        </w:tc>
        <w:tc>
          <w:tcPr>
            <w:tcW w:w="113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149 939</w:t>
            </w:r>
          </w:p>
        </w:tc>
        <w:tc>
          <w:tcPr>
            <w:tcW w:w="127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135 505</w:t>
            </w:r>
          </w:p>
        </w:tc>
        <w:tc>
          <w:tcPr>
            <w:tcW w:w="113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3 530</w:t>
            </w:r>
          </w:p>
        </w:tc>
        <w:tc>
          <w:tcPr>
            <w:tcW w:w="99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139 034</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1 410</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7 050</w:t>
            </w:r>
          </w:p>
        </w:tc>
        <w:tc>
          <w:tcPr>
            <w:tcW w:w="1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147 495</w:t>
            </w:r>
          </w:p>
        </w:tc>
      </w:tr>
    </w:tbl>
    <w:p w:rsidR="00F50689" w:rsidRDefault="005A36C4" w:rsidP="00F50689">
      <w:pPr>
        <w:pStyle w:val="Textstand-alone"/>
        <w:sectPr w:rsidR="00F50689" w:rsidSect="00F50689">
          <w:headerReference w:type="even" r:id="rId503"/>
          <w:headerReference w:type="default" r:id="rId504"/>
          <w:footerReference w:type="even" r:id="rId505"/>
          <w:footerReference w:type="default" r:id="rId506"/>
          <w:headerReference w:type="first" r:id="rId507"/>
          <w:footerReference w:type="first" r:id="rId508"/>
          <w:type w:val="continuous"/>
          <w:pgSz w:w="16840" w:h="11907" w:orient="landscape"/>
          <w:pgMar w:top="1134" w:right="1134" w:bottom="1134" w:left="1134" w:header="708" w:footer="708" w:gutter="0"/>
          <w:cols w:space="708"/>
          <w:docGrid w:linePitch="360"/>
        </w:sectPr>
      </w:pPr>
      <w:r>
        <w:t xml:space="preserve"> </w:t>
      </w:r>
      <w:bookmarkEnd w:id="250"/>
    </w:p>
    <w:p w:rsidR="00F50689" w:rsidRDefault="005A36C4" w:rsidP="00F50689">
      <w:pPr>
        <w:pStyle w:val="HEADER2Part3"/>
      </w:pPr>
      <w:bookmarkStart w:id="252" w:name="_Toc424653744"/>
      <w:bookmarkStart w:id="253" w:name="_DMBM_3437"/>
      <w:r>
        <w:t xml:space="preserve">MFF: </w:t>
      </w:r>
      <w:r w:rsidRPr="004B697F">
        <w:t>IMPLEMENTATI</w:t>
      </w:r>
      <w:r>
        <w:t>ON OF COMMITMENT APPROPRIATIONS</w:t>
      </w:r>
      <w:bookmarkEnd w:id="252"/>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268"/>
        <w:gridCol w:w="992"/>
        <w:gridCol w:w="1134"/>
        <w:gridCol w:w="709"/>
        <w:gridCol w:w="851"/>
        <w:gridCol w:w="850"/>
        <w:gridCol w:w="851"/>
        <w:gridCol w:w="850"/>
        <w:gridCol w:w="851"/>
        <w:gridCol w:w="708"/>
        <w:gridCol w:w="851"/>
        <w:gridCol w:w="992"/>
        <w:gridCol w:w="709"/>
        <w:gridCol w:w="850"/>
        <w:gridCol w:w="709"/>
        <w:gridCol w:w="851"/>
      </w:tblGrid>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color w:val="FFFFFF"/>
                <w:lang w:bidi="en-GB"/>
              </w:rPr>
            </w:pPr>
            <w:bookmarkStart w:id="254" w:name="DOC_TBL00101_1_1"/>
            <w:bookmarkEnd w:id="254"/>
          </w:p>
        </w:tc>
        <w:tc>
          <w:tcPr>
            <w:tcW w:w="226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lang w:bidi="en-GB"/>
              </w:rPr>
            </w:pP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lang w:bidi="en-GB"/>
              </w:rPr>
            </w:pP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lang w:bidi="en-GB"/>
              </w:rPr>
            </w:pP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lang w:bidi="en-GB"/>
              </w:rPr>
            </w:pP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lang w:bidi="en-GB"/>
              </w:rPr>
            </w:pP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lang w:bidi="en-GB"/>
              </w:rPr>
            </w:pP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lang w:bidi="en-GB"/>
              </w:rPr>
            </w:pP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lang w:bidi="en-GB"/>
              </w:rPr>
            </w:pP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lang w:bidi="en-GB"/>
              </w:rPr>
            </w:pP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lang w:bidi="en-GB"/>
              </w:rPr>
            </w:pPr>
          </w:p>
        </w:tc>
        <w:tc>
          <w:tcPr>
            <w:tcW w:w="2410" w:type="dxa"/>
            <w:gridSpan w:val="3"/>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lang w:bidi="en-GB"/>
              </w:rPr>
            </w:pPr>
            <w:r>
              <w:rPr>
                <w:rFonts w:eastAsia="Verdana" w:cs="Verdana"/>
                <w:lang w:bidi="en-GB"/>
              </w:rPr>
              <w:t>EUR millions</w:t>
            </w:r>
          </w:p>
        </w:tc>
      </w:tr>
      <w:tr w:rsidR="00E7728E">
        <w:tc>
          <w:tcPr>
            <w:tcW w:w="25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lang w:bidi="en-GB"/>
              </w:rPr>
            </w:pPr>
          </w:p>
        </w:tc>
        <w:tc>
          <w:tcPr>
            <w:tcW w:w="2268"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lang w:bidi="en-GB"/>
              </w:rPr>
            </w:pP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lang w:bidi="en-GB"/>
              </w:rPr>
            </w:pPr>
          </w:p>
        </w:tc>
        <w:tc>
          <w:tcPr>
            <w:tcW w:w="4395" w:type="dxa"/>
            <w:gridSpan w:val="5"/>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Commitments made</w:t>
            </w:r>
          </w:p>
        </w:tc>
        <w:tc>
          <w:tcPr>
            <w:tcW w:w="3260" w:type="dxa"/>
            <w:gridSpan w:val="4"/>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Appropriations carried over to 2015</w:t>
            </w:r>
          </w:p>
        </w:tc>
        <w:tc>
          <w:tcPr>
            <w:tcW w:w="4111" w:type="dxa"/>
            <w:gridSpan w:val="5"/>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Appropriations lapsing</w:t>
            </w:r>
          </w:p>
        </w:tc>
      </w:tr>
      <w:tr w:rsidR="00E7728E">
        <w:tc>
          <w:tcPr>
            <w:tcW w:w="25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lang w:bidi="en-GB"/>
              </w:rPr>
            </w:pPr>
          </w:p>
        </w:tc>
        <w:tc>
          <w:tcPr>
            <w:tcW w:w="226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MFF Heading</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Total appropriations available</w:t>
            </w:r>
          </w:p>
        </w:tc>
        <w:tc>
          <w:tcPr>
            <w:tcW w:w="1134"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From final adopted budget</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From carry-overs</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From assigned revenue</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Total</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Assigned revenue</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Carry-overs by decision</w:t>
            </w:r>
          </w:p>
        </w:tc>
        <w:tc>
          <w:tcPr>
            <w:tcW w:w="70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Total</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From final adopted budget</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From carry-overs</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Assigned revenue (EFTA)</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Total</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w:t>
            </w:r>
          </w:p>
        </w:tc>
      </w:tr>
      <w:tr w:rsidR="00E7728E">
        <w:tc>
          <w:tcPr>
            <w:tcW w:w="250" w:type="dxa"/>
            <w:tcBorders>
              <w:top w:val="nil"/>
              <w:left w:val="nil"/>
              <w:bottom w:val="nil"/>
              <w:right w:val="nil"/>
            </w:tcBorders>
            <w:shd w:val="clear" w:color="auto" w:fill="016794"/>
            <w:tcMar>
              <w:top w:w="0" w:type="dxa"/>
              <w:left w:w="0" w:type="dxa"/>
              <w:bottom w:w="0" w:type="dxa"/>
              <w:right w:w="0" w:type="dxa"/>
            </w:tcMar>
            <w:vAlign w:val="center"/>
          </w:tcPr>
          <w:p w:rsidR="00F50689" w:rsidRDefault="00F50689" w:rsidP="00F50689">
            <w:pPr>
              <w:pStyle w:val="Heading7pNormalCentered"/>
              <w:rPr>
                <w:rFonts w:eastAsia="Verdana" w:cs="Verdana"/>
                <w:lang w:bidi="en-GB"/>
              </w:rPr>
            </w:pPr>
          </w:p>
        </w:tc>
        <w:tc>
          <w:tcPr>
            <w:tcW w:w="2268" w:type="dxa"/>
            <w:tcBorders>
              <w:top w:val="nil"/>
              <w:left w:val="nil"/>
              <w:bottom w:val="nil"/>
              <w:right w:val="nil"/>
            </w:tcBorders>
            <w:shd w:val="clear" w:color="auto" w:fill="016794"/>
            <w:tcMar>
              <w:top w:w="0" w:type="dxa"/>
              <w:left w:w="0" w:type="dxa"/>
              <w:bottom w:w="0" w:type="dxa"/>
              <w:right w:w="0" w:type="dxa"/>
            </w:tcMar>
            <w:vAlign w:val="center"/>
          </w:tcPr>
          <w:p w:rsidR="00F50689" w:rsidRDefault="00F50689" w:rsidP="00F50689">
            <w:pPr>
              <w:pStyle w:val="Text7pItalicLeft"/>
              <w:jc w:val="center"/>
              <w:rPr>
                <w:rFonts w:eastAsia="Verdana" w:cs="Verdana"/>
                <w:i w:val="0"/>
                <w:lang w:bidi="en-GB"/>
              </w:rPr>
            </w:pPr>
          </w:p>
        </w:tc>
        <w:tc>
          <w:tcPr>
            <w:tcW w:w="992"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Verdana" w:cs="Verdana"/>
                <w:lang w:bidi="en-GB"/>
              </w:rPr>
            </w:pPr>
            <w:r>
              <w:rPr>
                <w:rFonts w:eastAsia="Verdana" w:cs="Verdana"/>
                <w:lang w:bidi="en-GB"/>
              </w:rPr>
              <w:t>1</w:t>
            </w:r>
          </w:p>
        </w:tc>
        <w:tc>
          <w:tcPr>
            <w:tcW w:w="1134"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lang w:bidi="en-GB"/>
              </w:rPr>
            </w:pPr>
            <w:r>
              <w:rPr>
                <w:rFonts w:eastAsia="Verdana" w:cs="Verdana"/>
                <w:lang w:bidi="en-GB"/>
              </w:rPr>
              <w:t>2</w:t>
            </w:r>
          </w:p>
        </w:tc>
        <w:tc>
          <w:tcPr>
            <w:tcW w:w="709"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lang w:bidi="en-GB"/>
              </w:rPr>
            </w:pPr>
            <w:r>
              <w:rPr>
                <w:rFonts w:eastAsia="Verdana" w:cs="Verdana"/>
                <w:lang w:bidi="en-GB"/>
              </w:rPr>
              <w:t>3</w:t>
            </w:r>
          </w:p>
        </w:tc>
        <w:tc>
          <w:tcPr>
            <w:tcW w:w="851"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lang w:bidi="en-GB"/>
              </w:rPr>
            </w:pPr>
            <w:r>
              <w:rPr>
                <w:rFonts w:eastAsia="Verdana" w:cs="Verdana"/>
                <w:lang w:bidi="en-GB"/>
              </w:rPr>
              <w:t>4</w:t>
            </w:r>
          </w:p>
        </w:tc>
        <w:tc>
          <w:tcPr>
            <w:tcW w:w="850"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lang w:bidi="en-GB"/>
              </w:rPr>
            </w:pPr>
            <w:r>
              <w:rPr>
                <w:rFonts w:eastAsia="Verdana" w:cs="Verdana"/>
                <w:lang w:bidi="en-GB"/>
              </w:rPr>
              <w:t>5=2+3+4</w:t>
            </w:r>
          </w:p>
        </w:tc>
        <w:tc>
          <w:tcPr>
            <w:tcW w:w="851"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lang w:bidi="en-GB"/>
              </w:rPr>
            </w:pPr>
            <w:r>
              <w:rPr>
                <w:rFonts w:eastAsia="Verdana" w:cs="Verdana"/>
                <w:lang w:bidi="en-GB"/>
              </w:rPr>
              <w:t>6=5/1</w:t>
            </w:r>
          </w:p>
        </w:tc>
        <w:tc>
          <w:tcPr>
            <w:tcW w:w="850"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lang w:bidi="en-GB"/>
              </w:rPr>
            </w:pPr>
            <w:r>
              <w:rPr>
                <w:rFonts w:eastAsia="Verdana" w:cs="Verdana"/>
                <w:lang w:bidi="en-GB"/>
              </w:rPr>
              <w:t>7</w:t>
            </w:r>
          </w:p>
        </w:tc>
        <w:tc>
          <w:tcPr>
            <w:tcW w:w="851"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lang w:bidi="en-GB"/>
              </w:rPr>
            </w:pPr>
            <w:r>
              <w:rPr>
                <w:rFonts w:eastAsia="Verdana" w:cs="Verdana"/>
                <w:lang w:bidi="en-GB"/>
              </w:rPr>
              <w:t>8</w:t>
            </w:r>
          </w:p>
        </w:tc>
        <w:tc>
          <w:tcPr>
            <w:tcW w:w="708"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lang w:bidi="en-GB"/>
              </w:rPr>
            </w:pPr>
            <w:r>
              <w:rPr>
                <w:rFonts w:eastAsia="Verdana" w:cs="Verdana"/>
                <w:lang w:bidi="en-GB"/>
              </w:rPr>
              <w:t>9=7+8</w:t>
            </w:r>
          </w:p>
        </w:tc>
        <w:tc>
          <w:tcPr>
            <w:tcW w:w="851"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lang w:bidi="en-GB"/>
              </w:rPr>
            </w:pPr>
            <w:r>
              <w:rPr>
                <w:rFonts w:eastAsia="Verdana" w:cs="Verdana"/>
                <w:lang w:bidi="en-GB"/>
              </w:rPr>
              <w:t>10=9/1</w:t>
            </w:r>
          </w:p>
        </w:tc>
        <w:tc>
          <w:tcPr>
            <w:tcW w:w="992"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lang w:bidi="en-GB"/>
              </w:rPr>
            </w:pPr>
            <w:r>
              <w:rPr>
                <w:rFonts w:eastAsia="Verdana" w:cs="Verdana"/>
                <w:lang w:bidi="en-GB"/>
              </w:rPr>
              <w:t>11</w:t>
            </w:r>
          </w:p>
        </w:tc>
        <w:tc>
          <w:tcPr>
            <w:tcW w:w="709"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lang w:bidi="en-GB"/>
              </w:rPr>
            </w:pPr>
            <w:r>
              <w:rPr>
                <w:rFonts w:eastAsia="Verdana" w:cs="Verdana"/>
                <w:lang w:bidi="en-GB"/>
              </w:rPr>
              <w:t>12</w:t>
            </w:r>
          </w:p>
        </w:tc>
        <w:tc>
          <w:tcPr>
            <w:tcW w:w="850"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lang w:bidi="en-GB"/>
              </w:rPr>
            </w:pPr>
            <w:r>
              <w:rPr>
                <w:rFonts w:eastAsia="Verdana" w:cs="Verdana"/>
                <w:lang w:bidi="en-GB"/>
              </w:rPr>
              <w:t>13</w:t>
            </w:r>
          </w:p>
        </w:tc>
        <w:tc>
          <w:tcPr>
            <w:tcW w:w="709"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lang w:bidi="en-GB"/>
              </w:rPr>
            </w:pPr>
            <w:r>
              <w:rPr>
                <w:rFonts w:eastAsia="Verdana" w:cs="Verdana"/>
                <w:lang w:bidi="en-GB"/>
              </w:rPr>
              <w:t>14=11+12+13</w:t>
            </w:r>
          </w:p>
        </w:tc>
        <w:tc>
          <w:tcPr>
            <w:tcW w:w="851"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lang w:bidi="en-GB"/>
              </w:rPr>
            </w:pPr>
            <w:r>
              <w:rPr>
                <w:rFonts w:eastAsia="Verdana" w:cs="Verdana"/>
                <w:lang w:bidi="en-GB"/>
              </w:rPr>
              <w:t>15=14/1</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1.</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Smart and inclusive growth</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67 611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44 260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150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1 561</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45 972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67.99%</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1 913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8 480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10 392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15.37%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11 246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11 247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16.63%</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NormalLeft"/>
              <w:ind w:left="0"/>
              <w:rPr>
                <w:rFonts w:eastAsia="Verdana" w:cs="Verdana"/>
                <w:lang w:bidi="en-GB"/>
              </w:rPr>
            </w:pPr>
          </w:p>
        </w:tc>
        <w:tc>
          <w:tcPr>
            <w:tcW w:w="22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lang w:bidi="en-GB"/>
              </w:rPr>
            </w:pPr>
            <w:r>
              <w:rPr>
                <w:rFonts w:eastAsia="Verdana" w:cs="Verdana"/>
                <w:lang w:bidi="en-GB"/>
              </w:rPr>
              <w:t>1a: Competitiveness for growth and jobs</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19 129</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16 466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1 552</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18 018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94.19%</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1 092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1 092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5.71%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18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19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0.10%</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NormalLeft"/>
              <w:ind w:left="0"/>
              <w:rPr>
                <w:rFonts w:eastAsia="Verdana" w:cs="Verdana"/>
                <w:lang w:bidi="en-GB"/>
              </w:rPr>
            </w:pPr>
          </w:p>
        </w:tc>
        <w:tc>
          <w:tcPr>
            <w:tcW w:w="22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lang w:bidi="en-GB"/>
              </w:rPr>
            </w:pPr>
            <w:r>
              <w:rPr>
                <w:rFonts w:eastAsia="Verdana" w:cs="Verdana"/>
                <w:lang w:bidi="en-GB"/>
              </w:rPr>
              <w:t>1b: Economic, social and territorial cohesion</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48 482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27 794</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150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9</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27 954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57.66%</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820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8 480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9 300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19.18%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11 228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11 228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23.16%</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 xml:space="preserve">2. </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Sustainable growth: natural resources</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61 296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46 866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1 397</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48 263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78.74%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708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2 866</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3 575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5.83%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9 458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9 458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15.43%</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NormalLeft"/>
              <w:ind w:left="0"/>
              <w:rPr>
                <w:rFonts w:eastAsia="Verdana" w:cs="Verdana"/>
                <w:lang w:bidi="en-GB"/>
              </w:rPr>
            </w:pPr>
          </w:p>
        </w:tc>
        <w:tc>
          <w:tcPr>
            <w:tcW w:w="22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lang w:bidi="en-GB"/>
              </w:rPr>
            </w:pPr>
            <w:r>
              <w:rPr>
                <w:rFonts w:eastAsia="Verdana" w:cs="Verdana"/>
                <w:lang w:bidi="en-GB"/>
              </w:rPr>
              <w:t>of which: market related expenditure and direct payments</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45 502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42 910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1 383</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44 293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97.34%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341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868</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1 209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2.66%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0.00%</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3.</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Security and citizenship</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2 256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1 463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41</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1 507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66.81%</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254</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294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13.02%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455</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455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20.17%</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4.</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Global Europe</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9 000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8 280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203</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8 489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94.32%</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368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136</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504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5.60%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0.07%</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5.</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Administration</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9 171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8 313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571</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8 884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96.87%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195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199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2.17%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0.96%</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NormalLeft"/>
              <w:ind w:left="0"/>
              <w:rPr>
                <w:rFonts w:eastAsia="Verdana" w:cs="Verdana"/>
                <w:lang w:bidi="en-GB"/>
              </w:rPr>
            </w:pPr>
          </w:p>
        </w:tc>
        <w:tc>
          <w:tcPr>
            <w:tcW w:w="22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lang w:bidi="en-GB"/>
              </w:rPr>
            </w:pPr>
            <w:r>
              <w:rPr>
                <w:rFonts w:eastAsia="Verdana" w:cs="Verdana"/>
                <w:lang w:bidi="en-GB"/>
              </w:rPr>
              <w:t>of which: Administrative expenditure of the institutions</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3 931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3 445</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343</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3 789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96.40%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56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4</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60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0.00%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82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82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2.09%</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6.</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Compensations</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29</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29</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100.00%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0.00%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0.00%</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8.</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Negative reserve</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0.00%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0.00%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0.00%</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9.</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Special Instruments</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577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45</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11.06%</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361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435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75.37%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13.57%</w:t>
            </w:r>
          </w:p>
        </w:tc>
      </w:tr>
      <w:tr w:rsidR="00E7728E">
        <w:tc>
          <w:tcPr>
            <w:tcW w:w="250"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7pBoldRight025"/>
              <w:rPr>
                <w:rFonts w:eastAsia="Verdana" w:cs="Verdana"/>
                <w:lang w:bidi="en-GB"/>
              </w:rPr>
            </w:pPr>
          </w:p>
        </w:tc>
        <w:tc>
          <w:tcPr>
            <w:tcW w:w="226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7pBoldLeft"/>
              <w:rPr>
                <w:rFonts w:eastAsia="Verdana" w:cs="Verdana"/>
                <w:lang w:bidi="en-GB"/>
              </w:rPr>
            </w:pPr>
            <w:r>
              <w:rPr>
                <w:rFonts w:eastAsia="Verdana" w:cs="Verdana"/>
                <w:lang w:bidi="en-GB"/>
              </w:rPr>
              <w:t>Total</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149 939</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109 256</w:t>
            </w:r>
          </w:p>
        </w:tc>
        <w:tc>
          <w:tcPr>
            <w:tcW w:w="70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 xml:space="preserve"> 179</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3 772</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113 208</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75.50%</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3 297</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12 101</w:t>
            </w:r>
          </w:p>
        </w:tc>
        <w:tc>
          <w:tcPr>
            <w:tcW w:w="70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15 399</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10.27%</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21 333</w:t>
            </w:r>
          </w:p>
        </w:tc>
        <w:tc>
          <w:tcPr>
            <w:tcW w:w="70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 xml:space="preserve"> 0</w:t>
            </w:r>
          </w:p>
        </w:tc>
        <w:tc>
          <w:tcPr>
            <w:tcW w:w="70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21 333</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14.23%</w:t>
            </w:r>
          </w:p>
        </w:tc>
      </w:tr>
    </w:tbl>
    <w:p w:rsidR="00F50689" w:rsidRDefault="005A36C4" w:rsidP="00F50689">
      <w:pPr>
        <w:pStyle w:val="Textstand-alone"/>
        <w:sectPr w:rsidR="00F50689" w:rsidSect="00F50689">
          <w:headerReference w:type="even" r:id="rId509"/>
          <w:headerReference w:type="default" r:id="rId510"/>
          <w:footerReference w:type="even" r:id="rId511"/>
          <w:footerReference w:type="default" r:id="rId512"/>
          <w:headerReference w:type="first" r:id="rId513"/>
          <w:footerReference w:type="first" r:id="rId514"/>
          <w:pgSz w:w="16840" w:h="11907" w:orient="landscape" w:code="9"/>
          <w:pgMar w:top="1134" w:right="1134" w:bottom="1134" w:left="1134" w:header="708" w:footer="708" w:gutter="0"/>
          <w:cols w:space="708"/>
          <w:docGrid w:linePitch="360"/>
        </w:sectPr>
      </w:pPr>
      <w:r>
        <w:t xml:space="preserve"> </w:t>
      </w:r>
      <w:bookmarkEnd w:id="253"/>
    </w:p>
    <w:p w:rsidR="00F50689" w:rsidRDefault="005A36C4" w:rsidP="00F50689">
      <w:pPr>
        <w:pStyle w:val="HEADER2Part3"/>
      </w:pPr>
      <w:bookmarkStart w:id="255" w:name="_Toc424653745"/>
      <w:bookmarkStart w:id="256" w:name="_DMBM_3438"/>
      <w:r>
        <w:t xml:space="preserve">MFF: </w:t>
      </w:r>
      <w:r w:rsidRPr="006726D4">
        <w:t>IMPLEMENT</w:t>
      </w:r>
      <w:r>
        <w:t>ATION OF PAYMENT APPROPRIATIONS</w:t>
      </w:r>
      <w:bookmarkEnd w:id="255"/>
    </w:p>
    <w:tbl>
      <w:tblPr>
        <w:tblW w:w="1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1392"/>
        <w:gridCol w:w="821"/>
        <w:gridCol w:w="821"/>
        <w:gridCol w:w="821"/>
        <w:gridCol w:w="821"/>
        <w:gridCol w:w="821"/>
        <w:gridCol w:w="821"/>
        <w:gridCol w:w="822"/>
        <w:gridCol w:w="822"/>
        <w:gridCol w:w="822"/>
        <w:gridCol w:w="822"/>
        <w:gridCol w:w="822"/>
        <w:gridCol w:w="822"/>
        <w:gridCol w:w="822"/>
        <w:gridCol w:w="822"/>
        <w:gridCol w:w="822"/>
        <w:gridCol w:w="822"/>
      </w:tblGrid>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lang w:bidi="en-GB"/>
              </w:rPr>
            </w:pPr>
            <w:bookmarkStart w:id="257" w:name="DOC_TBL00102_1_1"/>
            <w:bookmarkEnd w:id="257"/>
          </w:p>
        </w:tc>
        <w:tc>
          <w:tcPr>
            <w:tcW w:w="1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i w:val="0"/>
                <w:lang w:bidi="en-GB"/>
              </w:rPr>
            </w:pP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i w:val="0"/>
                <w:lang w:bidi="en-GB"/>
              </w:rPr>
            </w:pP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i w:val="0"/>
                <w:lang w:bidi="en-GB"/>
              </w:rPr>
            </w:pP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i w:val="0"/>
                <w:lang w:bidi="en-GB"/>
              </w:rPr>
            </w:pP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i w:val="0"/>
                <w:lang w:bidi="en-GB"/>
              </w:rPr>
            </w:pP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i w:val="0"/>
                <w:lang w:bidi="en-GB"/>
              </w:rPr>
            </w:pP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i w:val="0"/>
                <w:lang w:bidi="en-GB"/>
              </w:rPr>
            </w:pP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i w:val="0"/>
                <w:lang w:bidi="en-GB"/>
              </w:rPr>
            </w:pP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i w:val="0"/>
                <w:lang w:bidi="en-GB"/>
              </w:rPr>
            </w:pP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i w:val="0"/>
                <w:lang w:bidi="en-GB"/>
              </w:rPr>
            </w:pP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i w:val="0"/>
                <w:lang w:bidi="en-GB"/>
              </w:rPr>
            </w:pP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i w:val="0"/>
                <w:lang w:bidi="en-GB"/>
              </w:rPr>
            </w:pP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i w:val="0"/>
                <w:lang w:bidi="en-GB"/>
              </w:rPr>
            </w:pP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i w:val="0"/>
                <w:lang w:bidi="en-GB"/>
              </w:rPr>
            </w:pP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i w:val="0"/>
                <w:lang w:bidi="en-GB"/>
              </w:rPr>
            </w:pPr>
          </w:p>
        </w:tc>
        <w:tc>
          <w:tcPr>
            <w:tcW w:w="1644" w:type="dxa"/>
            <w:gridSpan w:val="2"/>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lang w:bidi="en-GB"/>
              </w:rPr>
            </w:pPr>
            <w:r>
              <w:rPr>
                <w:rFonts w:eastAsia="Verdana" w:cs="Verdana"/>
                <w:lang w:bidi="en-GB"/>
              </w:rPr>
              <w:t>EUR millions</w:t>
            </w:r>
          </w:p>
        </w:tc>
      </w:tr>
      <w:tr w:rsidR="00E7728E">
        <w:tc>
          <w:tcPr>
            <w:tcW w:w="25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lang w:bidi="en-GB"/>
              </w:rPr>
            </w:pPr>
          </w:p>
        </w:tc>
        <w:tc>
          <w:tcPr>
            <w:tcW w:w="1392"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lang w:bidi="en-GB"/>
              </w:rPr>
            </w:pPr>
          </w:p>
        </w:tc>
        <w:tc>
          <w:tcPr>
            <w:tcW w:w="82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color w:val="auto"/>
                <w:lang w:bidi="en-GB"/>
              </w:rPr>
            </w:pPr>
          </w:p>
        </w:tc>
        <w:tc>
          <w:tcPr>
            <w:tcW w:w="4105" w:type="dxa"/>
            <w:gridSpan w:val="5"/>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Payments made</w:t>
            </w:r>
          </w:p>
        </w:tc>
        <w:tc>
          <w:tcPr>
            <w:tcW w:w="4110" w:type="dxa"/>
            <w:gridSpan w:val="5"/>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Appropriations carried over</w:t>
            </w:r>
          </w:p>
        </w:tc>
        <w:tc>
          <w:tcPr>
            <w:tcW w:w="4110" w:type="dxa"/>
            <w:gridSpan w:val="5"/>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Appropriations lapsing</w:t>
            </w:r>
          </w:p>
        </w:tc>
      </w:tr>
      <w:tr w:rsidR="00E7728E">
        <w:tc>
          <w:tcPr>
            <w:tcW w:w="25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lang w:bidi="en-GB"/>
              </w:rPr>
            </w:pPr>
          </w:p>
        </w:tc>
        <w:tc>
          <w:tcPr>
            <w:tcW w:w="13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MFF Heading</w:t>
            </w:r>
          </w:p>
        </w:tc>
        <w:tc>
          <w:tcPr>
            <w:tcW w:w="82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Total appropriations available</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From final adopted budget</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From carry-overs</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From assigned revenue</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Total</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Automatic carry-overs</w:t>
            </w:r>
          </w:p>
        </w:tc>
        <w:tc>
          <w:tcPr>
            <w:tcW w:w="82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Carry-overs by decision</w:t>
            </w:r>
          </w:p>
        </w:tc>
        <w:tc>
          <w:tcPr>
            <w:tcW w:w="82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Assigned revenue</w:t>
            </w:r>
          </w:p>
        </w:tc>
        <w:tc>
          <w:tcPr>
            <w:tcW w:w="82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Total</w:t>
            </w:r>
          </w:p>
        </w:tc>
        <w:tc>
          <w:tcPr>
            <w:tcW w:w="82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From final adopted budget</w:t>
            </w:r>
          </w:p>
        </w:tc>
        <w:tc>
          <w:tcPr>
            <w:tcW w:w="82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From carry-overs</w:t>
            </w:r>
          </w:p>
        </w:tc>
        <w:tc>
          <w:tcPr>
            <w:tcW w:w="82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Assigned revenue (EFTA)</w:t>
            </w:r>
          </w:p>
        </w:tc>
        <w:tc>
          <w:tcPr>
            <w:tcW w:w="82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Total</w:t>
            </w:r>
          </w:p>
        </w:tc>
        <w:tc>
          <w:tcPr>
            <w:tcW w:w="82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w:t>
            </w:r>
          </w:p>
        </w:tc>
      </w:tr>
      <w:tr w:rsidR="00E7728E">
        <w:tc>
          <w:tcPr>
            <w:tcW w:w="250" w:type="dxa"/>
            <w:tcBorders>
              <w:top w:val="nil"/>
              <w:left w:val="nil"/>
              <w:bottom w:val="nil"/>
              <w:right w:val="nil"/>
            </w:tcBorders>
            <w:shd w:val="clear" w:color="auto" w:fill="016794"/>
            <w:tcMar>
              <w:top w:w="0" w:type="dxa"/>
              <w:left w:w="0" w:type="dxa"/>
              <w:bottom w:w="0" w:type="dxa"/>
              <w:right w:w="0" w:type="dxa"/>
            </w:tcMar>
            <w:vAlign w:val="center"/>
          </w:tcPr>
          <w:p w:rsidR="00F50689" w:rsidRDefault="00F50689" w:rsidP="00F50689">
            <w:pPr>
              <w:pStyle w:val="Heading7pNormalCentered"/>
              <w:rPr>
                <w:rFonts w:eastAsia="Verdana" w:cs="Verdana"/>
                <w:lang w:bidi="en-GB"/>
              </w:rPr>
            </w:pPr>
          </w:p>
        </w:tc>
        <w:tc>
          <w:tcPr>
            <w:tcW w:w="1392" w:type="dxa"/>
            <w:tcBorders>
              <w:top w:val="nil"/>
              <w:left w:val="nil"/>
              <w:bottom w:val="nil"/>
              <w:right w:val="nil"/>
            </w:tcBorders>
            <w:shd w:val="clear" w:color="auto" w:fill="016794"/>
            <w:tcMar>
              <w:top w:w="0" w:type="dxa"/>
              <w:left w:w="0" w:type="dxa"/>
              <w:bottom w:w="0" w:type="dxa"/>
              <w:right w:w="0" w:type="dxa"/>
            </w:tcMar>
            <w:vAlign w:val="center"/>
          </w:tcPr>
          <w:p w:rsidR="00F50689" w:rsidRDefault="00F50689" w:rsidP="00F50689">
            <w:pPr>
              <w:pStyle w:val="Heading7pNormalCentered"/>
              <w:rPr>
                <w:rFonts w:eastAsia="Verdana" w:cs="Verdana"/>
                <w:lang w:bidi="en-GB"/>
              </w:rPr>
            </w:pPr>
          </w:p>
        </w:tc>
        <w:tc>
          <w:tcPr>
            <w:tcW w:w="821"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Verdana" w:cs="Verdana"/>
                <w:lang w:bidi="en-GB"/>
              </w:rPr>
            </w:pPr>
            <w:r>
              <w:rPr>
                <w:rFonts w:eastAsia="Verdana" w:cs="Verdana"/>
                <w:lang w:bidi="en-GB"/>
              </w:rPr>
              <w:t>1</w:t>
            </w:r>
          </w:p>
        </w:tc>
        <w:tc>
          <w:tcPr>
            <w:tcW w:w="821"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lang w:bidi="en-GB"/>
              </w:rPr>
            </w:pPr>
            <w:r>
              <w:rPr>
                <w:rFonts w:eastAsia="Verdana" w:cs="Verdana"/>
                <w:lang w:bidi="en-GB"/>
              </w:rPr>
              <w:t>2</w:t>
            </w:r>
          </w:p>
        </w:tc>
        <w:tc>
          <w:tcPr>
            <w:tcW w:w="821"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lang w:bidi="en-GB"/>
              </w:rPr>
            </w:pPr>
            <w:r>
              <w:rPr>
                <w:rFonts w:eastAsia="Verdana" w:cs="Verdana"/>
                <w:lang w:bidi="en-GB"/>
              </w:rPr>
              <w:t>3</w:t>
            </w:r>
          </w:p>
        </w:tc>
        <w:tc>
          <w:tcPr>
            <w:tcW w:w="821"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lang w:bidi="en-GB"/>
              </w:rPr>
            </w:pPr>
            <w:r>
              <w:rPr>
                <w:rFonts w:eastAsia="Verdana" w:cs="Verdana"/>
                <w:lang w:bidi="en-GB"/>
              </w:rPr>
              <w:t>4</w:t>
            </w:r>
          </w:p>
        </w:tc>
        <w:tc>
          <w:tcPr>
            <w:tcW w:w="821"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lang w:bidi="en-GB"/>
              </w:rPr>
            </w:pPr>
            <w:r>
              <w:rPr>
                <w:rFonts w:eastAsia="Verdana" w:cs="Verdana"/>
                <w:lang w:bidi="en-GB"/>
              </w:rPr>
              <w:t>5=2+3+4</w:t>
            </w:r>
          </w:p>
        </w:tc>
        <w:tc>
          <w:tcPr>
            <w:tcW w:w="821"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lang w:bidi="en-GB"/>
              </w:rPr>
            </w:pPr>
            <w:r>
              <w:rPr>
                <w:rFonts w:eastAsia="Verdana" w:cs="Verdana"/>
                <w:lang w:bidi="en-GB"/>
              </w:rPr>
              <w:t>6=5/1</w:t>
            </w:r>
          </w:p>
        </w:tc>
        <w:tc>
          <w:tcPr>
            <w:tcW w:w="822"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lang w:bidi="en-GB"/>
              </w:rPr>
            </w:pPr>
            <w:r>
              <w:rPr>
                <w:rFonts w:eastAsia="Verdana" w:cs="Verdana"/>
                <w:lang w:bidi="en-GB"/>
              </w:rPr>
              <w:t>7</w:t>
            </w:r>
          </w:p>
        </w:tc>
        <w:tc>
          <w:tcPr>
            <w:tcW w:w="822"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lang w:bidi="en-GB"/>
              </w:rPr>
            </w:pPr>
            <w:r>
              <w:rPr>
                <w:rFonts w:eastAsia="Verdana" w:cs="Verdana"/>
                <w:lang w:bidi="en-GB"/>
              </w:rPr>
              <w:t>8</w:t>
            </w:r>
          </w:p>
        </w:tc>
        <w:tc>
          <w:tcPr>
            <w:tcW w:w="822"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lang w:bidi="en-GB"/>
              </w:rPr>
            </w:pPr>
            <w:r>
              <w:rPr>
                <w:rFonts w:eastAsia="Verdana" w:cs="Verdana"/>
                <w:lang w:bidi="en-GB"/>
              </w:rPr>
              <w:t>9</w:t>
            </w:r>
          </w:p>
        </w:tc>
        <w:tc>
          <w:tcPr>
            <w:tcW w:w="822"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lang w:bidi="en-GB"/>
              </w:rPr>
            </w:pPr>
            <w:r>
              <w:rPr>
                <w:rFonts w:eastAsia="Verdana" w:cs="Verdana"/>
                <w:lang w:bidi="en-GB"/>
              </w:rPr>
              <w:t>10=7+8+9</w:t>
            </w:r>
          </w:p>
        </w:tc>
        <w:tc>
          <w:tcPr>
            <w:tcW w:w="822"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lang w:bidi="en-GB"/>
              </w:rPr>
            </w:pPr>
            <w:r>
              <w:rPr>
                <w:rFonts w:eastAsia="Verdana" w:cs="Verdana"/>
                <w:lang w:bidi="en-GB"/>
              </w:rPr>
              <w:t>11=10/1</w:t>
            </w:r>
          </w:p>
        </w:tc>
        <w:tc>
          <w:tcPr>
            <w:tcW w:w="822"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lang w:bidi="en-GB"/>
              </w:rPr>
            </w:pPr>
            <w:r>
              <w:rPr>
                <w:rFonts w:eastAsia="Verdana" w:cs="Verdana"/>
                <w:lang w:bidi="en-GB"/>
              </w:rPr>
              <w:t>12</w:t>
            </w:r>
          </w:p>
        </w:tc>
        <w:tc>
          <w:tcPr>
            <w:tcW w:w="822"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lang w:bidi="en-GB"/>
              </w:rPr>
            </w:pPr>
            <w:r>
              <w:rPr>
                <w:rFonts w:eastAsia="Verdana" w:cs="Verdana"/>
                <w:lang w:bidi="en-GB"/>
              </w:rPr>
              <w:t>13</w:t>
            </w:r>
          </w:p>
        </w:tc>
        <w:tc>
          <w:tcPr>
            <w:tcW w:w="822"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lang w:bidi="en-GB"/>
              </w:rPr>
            </w:pPr>
            <w:r>
              <w:rPr>
                <w:rFonts w:eastAsia="Verdana" w:cs="Verdana"/>
                <w:lang w:bidi="en-GB"/>
              </w:rPr>
              <w:t>14</w:t>
            </w:r>
          </w:p>
        </w:tc>
        <w:tc>
          <w:tcPr>
            <w:tcW w:w="822"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lang w:bidi="en-GB"/>
              </w:rPr>
            </w:pPr>
            <w:r>
              <w:rPr>
                <w:rFonts w:eastAsia="Verdana" w:cs="Verdana"/>
                <w:lang w:bidi="en-GB"/>
              </w:rPr>
              <w:t>15=12+ 13+14</w:t>
            </w:r>
          </w:p>
        </w:tc>
        <w:tc>
          <w:tcPr>
            <w:tcW w:w="822"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lang w:bidi="en-GB"/>
              </w:rPr>
            </w:pPr>
            <w:r>
              <w:rPr>
                <w:rFonts w:eastAsia="Verdana" w:cs="Verdana"/>
                <w:lang w:bidi="en-GB"/>
              </w:rPr>
              <w:t>16= 15/1</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1.</w:t>
            </w:r>
          </w:p>
        </w:tc>
        <w:tc>
          <w:tcPr>
            <w:tcW w:w="1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Smart and inclusive growth</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69 699</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65 730</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267</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1 686</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67 683</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97.11%</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121</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1 860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1 980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2.84%</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12</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22</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36</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0.05%</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NormalLeft"/>
              <w:ind w:left="0"/>
              <w:rPr>
                <w:rFonts w:eastAsia="Verdana" w:cs="Verdana"/>
                <w:lang w:bidi="en-GB"/>
              </w:rPr>
            </w:pPr>
          </w:p>
        </w:tc>
        <w:tc>
          <w:tcPr>
            <w:tcW w:w="1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lang w:bidi="en-GB"/>
              </w:rPr>
            </w:pPr>
            <w:r>
              <w:rPr>
                <w:rFonts w:eastAsia="Verdana" w:cs="Verdana"/>
                <w:lang w:bidi="en-GB"/>
              </w:rPr>
              <w:t>1a: Competitiveness for growth and jobs</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15 308</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11 740</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108</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1 483</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13 331</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87.09%</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104</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1 838</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1 943</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12.69%</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12</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20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2</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33</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0.22%</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NormalLeft"/>
              <w:ind w:left="0"/>
              <w:rPr>
                <w:rFonts w:eastAsia="Verdana" w:cs="Verdana"/>
                <w:lang w:bidi="en-GB"/>
              </w:rPr>
            </w:pPr>
          </w:p>
        </w:tc>
        <w:tc>
          <w:tcPr>
            <w:tcW w:w="1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lang w:bidi="en-GB"/>
              </w:rPr>
            </w:pPr>
            <w:r>
              <w:rPr>
                <w:rFonts w:eastAsia="Verdana" w:cs="Verdana"/>
                <w:lang w:bidi="en-GB"/>
              </w:rPr>
              <w:t>1b: Economic, social and territorial cohesion</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54 392</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53 990</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159</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203</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54 352</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99.93%</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16</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21</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38</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0.07%</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2</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2</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0.00%</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 xml:space="preserve">2. </w:t>
            </w:r>
          </w:p>
        </w:tc>
        <w:tc>
          <w:tcPr>
            <w:tcW w:w="1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Sustainable growth: natural resources</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57 962</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55 050</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33</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1 502</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56 584</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97.62%</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34</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868</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467</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1 369</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2.36%</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0.02%</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NormalLeft"/>
              <w:ind w:left="0"/>
              <w:rPr>
                <w:rFonts w:eastAsia="Verdana" w:cs="Verdana"/>
                <w:lang w:bidi="en-GB"/>
              </w:rPr>
            </w:pPr>
          </w:p>
        </w:tc>
        <w:tc>
          <w:tcPr>
            <w:tcW w:w="1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lang w:bidi="en-GB"/>
              </w:rPr>
            </w:pPr>
            <w:r>
              <w:rPr>
                <w:rFonts w:eastAsia="Verdana" w:cs="Verdana"/>
                <w:lang w:bidi="en-GB"/>
              </w:rPr>
              <w:t>of which: market related expenditure and direct payments</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45 514</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42 891</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12</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1 383</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44 287</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97.30%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16</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868</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341</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1 226</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2.69%</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1</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2</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0.00%</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3.</w:t>
            </w:r>
          </w:p>
        </w:tc>
        <w:tc>
          <w:tcPr>
            <w:tcW w:w="1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Security and citizenship</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1 747</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1 648</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55</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1 711</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97.94%</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23</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31</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1.75%</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0.31%</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4.</w:t>
            </w:r>
          </w:p>
        </w:tc>
        <w:tc>
          <w:tcPr>
            <w:tcW w:w="1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Global Europe</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7 481</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6 880</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29</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297</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7 206</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96.32%</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34</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224</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267</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3.57%</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0.10%</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5.</w:t>
            </w:r>
          </w:p>
        </w:tc>
        <w:tc>
          <w:tcPr>
            <w:tcW w:w="1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Administration</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10 040</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7 643</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697</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480</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8 819</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87.84%</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673</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382</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1 060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10.55%</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86</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75</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161</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1.61%</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NormalLeft"/>
              <w:ind w:left="0"/>
              <w:rPr>
                <w:rFonts w:eastAsia="Verdana" w:cs="Verdana"/>
                <w:lang w:bidi="en-GB"/>
              </w:rPr>
            </w:pPr>
          </w:p>
        </w:tc>
        <w:tc>
          <w:tcPr>
            <w:tcW w:w="1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lang w:bidi="en-GB"/>
              </w:rPr>
            </w:pPr>
            <w:r>
              <w:rPr>
                <w:rFonts w:eastAsia="Verdana" w:cs="Verdana"/>
                <w:lang w:bidi="en-GB"/>
              </w:rPr>
              <w:t>of which: Administrative expenditure of the institutions</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4 475</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3 027</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402</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300</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3 729</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83.33%</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418</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4</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192</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614</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13.72%</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82</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50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132</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2.94%</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6.</w:t>
            </w:r>
          </w:p>
        </w:tc>
        <w:tc>
          <w:tcPr>
            <w:tcW w:w="1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Compensations</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29</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29</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29</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100.00%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0.00%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0.00%</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8.</w:t>
            </w:r>
          </w:p>
        </w:tc>
        <w:tc>
          <w:tcPr>
            <w:tcW w:w="1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Negative reserve</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0.00%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0.00%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0.00%</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9.</w:t>
            </w:r>
          </w:p>
        </w:tc>
        <w:tc>
          <w:tcPr>
            <w:tcW w:w="1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Special Instruments</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536</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157</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270</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38</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465</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86.70%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36</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35</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71</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13.28%</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0.02%</w:t>
            </w:r>
          </w:p>
        </w:tc>
      </w:tr>
      <w:tr w:rsidR="00E7728E">
        <w:tc>
          <w:tcPr>
            <w:tcW w:w="250"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7pNormalLeft"/>
              <w:ind w:left="0"/>
              <w:rPr>
                <w:rFonts w:eastAsia="Verdana" w:cs="Verdana"/>
                <w:lang w:bidi="en-GB"/>
              </w:rPr>
            </w:pPr>
          </w:p>
        </w:tc>
        <w:tc>
          <w:tcPr>
            <w:tcW w:w="13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7pBoldLeft"/>
              <w:rPr>
                <w:rFonts w:eastAsia="Verdana" w:cs="Verdana"/>
                <w:lang w:bidi="en-GB"/>
              </w:rPr>
            </w:pPr>
            <w:r>
              <w:rPr>
                <w:rFonts w:eastAsia="Verdana" w:cs="Verdana"/>
                <w:lang w:bidi="en-GB"/>
              </w:rPr>
              <w:t>Total</w:t>
            </w:r>
          </w:p>
        </w:tc>
        <w:tc>
          <w:tcPr>
            <w:tcW w:w="82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147 495</w:t>
            </w:r>
          </w:p>
        </w:tc>
        <w:tc>
          <w:tcPr>
            <w:tcW w:w="82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137 136</w:t>
            </w:r>
          </w:p>
        </w:tc>
        <w:tc>
          <w:tcPr>
            <w:tcW w:w="82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1 304</w:t>
            </w:r>
          </w:p>
        </w:tc>
        <w:tc>
          <w:tcPr>
            <w:tcW w:w="82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4 057</w:t>
            </w:r>
          </w:p>
        </w:tc>
        <w:tc>
          <w:tcPr>
            <w:tcW w:w="82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142 497</w:t>
            </w:r>
          </w:p>
        </w:tc>
        <w:tc>
          <w:tcPr>
            <w:tcW w:w="82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96.61%</w:t>
            </w:r>
          </w:p>
        </w:tc>
        <w:tc>
          <w:tcPr>
            <w:tcW w:w="82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 xml:space="preserve"> 870</w:t>
            </w:r>
          </w:p>
        </w:tc>
        <w:tc>
          <w:tcPr>
            <w:tcW w:w="82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 xml:space="preserve"> 917</w:t>
            </w:r>
          </w:p>
        </w:tc>
        <w:tc>
          <w:tcPr>
            <w:tcW w:w="82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2 991</w:t>
            </w:r>
          </w:p>
        </w:tc>
        <w:tc>
          <w:tcPr>
            <w:tcW w:w="82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4 778</w:t>
            </w:r>
          </w:p>
        </w:tc>
        <w:tc>
          <w:tcPr>
            <w:tcW w:w="82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3.24%</w:t>
            </w:r>
          </w:p>
        </w:tc>
        <w:tc>
          <w:tcPr>
            <w:tcW w:w="82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 xml:space="preserve"> 112</w:t>
            </w:r>
          </w:p>
        </w:tc>
        <w:tc>
          <w:tcPr>
            <w:tcW w:w="82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 xml:space="preserve"> 106</w:t>
            </w:r>
          </w:p>
        </w:tc>
        <w:tc>
          <w:tcPr>
            <w:tcW w:w="82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 xml:space="preserve"> 2</w:t>
            </w:r>
          </w:p>
        </w:tc>
        <w:tc>
          <w:tcPr>
            <w:tcW w:w="82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 xml:space="preserve"> 220</w:t>
            </w:r>
          </w:p>
        </w:tc>
        <w:tc>
          <w:tcPr>
            <w:tcW w:w="82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0.15%</w:t>
            </w:r>
          </w:p>
        </w:tc>
      </w:tr>
    </w:tbl>
    <w:p w:rsidR="00F50689" w:rsidRDefault="005A36C4" w:rsidP="00F50689">
      <w:pPr>
        <w:pStyle w:val="Textstand-alone"/>
        <w:sectPr w:rsidR="00F50689" w:rsidSect="00F50689">
          <w:headerReference w:type="even" r:id="rId515"/>
          <w:headerReference w:type="default" r:id="rId516"/>
          <w:footerReference w:type="even" r:id="rId517"/>
          <w:footerReference w:type="default" r:id="rId518"/>
          <w:headerReference w:type="first" r:id="rId519"/>
          <w:footerReference w:type="first" r:id="rId520"/>
          <w:pgSz w:w="16840" w:h="11907" w:orient="landscape" w:code="9"/>
          <w:pgMar w:top="1134" w:right="1134" w:bottom="1134" w:left="1134" w:header="708" w:footer="708" w:gutter="0"/>
          <w:cols w:space="708"/>
          <w:docGrid w:linePitch="360"/>
        </w:sectPr>
      </w:pPr>
      <w:r>
        <w:t xml:space="preserve"> </w:t>
      </w:r>
      <w:bookmarkEnd w:id="256"/>
    </w:p>
    <w:p w:rsidR="00F50689" w:rsidRDefault="005A36C4" w:rsidP="00F50689">
      <w:pPr>
        <w:pStyle w:val="HEADER2Part3"/>
      </w:pPr>
      <w:bookmarkStart w:id="258" w:name="_Toc424653746"/>
      <w:bookmarkStart w:id="259" w:name="_DMBM_3439"/>
      <w:r>
        <w:t xml:space="preserve">MFF: </w:t>
      </w:r>
      <w:r w:rsidRPr="00B72FC6">
        <w:t xml:space="preserve">MOVEMENTS IN COMMITMENTS OUTSTANDING </w:t>
      </w:r>
      <w:r>
        <w:t>(RAL)</w:t>
      </w:r>
      <w:bookmarkEnd w:id="258"/>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673"/>
        <w:gridCol w:w="1306"/>
        <w:gridCol w:w="1431"/>
        <w:gridCol w:w="1230"/>
        <w:gridCol w:w="1307"/>
        <w:gridCol w:w="1307"/>
        <w:gridCol w:w="1230"/>
        <w:gridCol w:w="1301"/>
        <w:gridCol w:w="1308"/>
        <w:gridCol w:w="1301"/>
      </w:tblGrid>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lang w:bidi="en-GB"/>
              </w:rPr>
            </w:pPr>
            <w:bookmarkStart w:id="260" w:name="DOC_TBL00103_1_1"/>
            <w:bookmarkEnd w:id="260"/>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i w:val="0"/>
                <w:lang w:bidi="en-GB"/>
              </w:rPr>
            </w:pP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lang w:bidi="en-GB"/>
              </w:rPr>
            </w:pPr>
            <w:r>
              <w:rPr>
                <w:rFonts w:eastAsia="Verdana" w:cs="Verdana"/>
                <w:lang w:bidi="en-GB"/>
              </w:rPr>
              <w:t>EUR millions</w:t>
            </w:r>
          </w:p>
        </w:tc>
      </w:tr>
      <w:tr w:rsidR="00E7728E">
        <w:tc>
          <w:tcPr>
            <w:tcW w:w="392"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lang w:bidi="en-GB"/>
              </w:rPr>
            </w:pPr>
          </w:p>
        </w:tc>
        <w:tc>
          <w:tcPr>
            <w:tcW w:w="2673"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lang w:bidi="en-GB"/>
              </w:rPr>
            </w:pPr>
          </w:p>
        </w:tc>
        <w:tc>
          <w:tcPr>
            <w:tcW w:w="5274" w:type="dxa"/>
            <w:gridSpan w:val="4"/>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Commitments outstanding at the end of the previous year</w:t>
            </w:r>
          </w:p>
        </w:tc>
        <w:tc>
          <w:tcPr>
            <w:tcW w:w="5146" w:type="dxa"/>
            <w:gridSpan w:val="4"/>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Commitments of the year</w:t>
            </w:r>
          </w:p>
        </w:tc>
        <w:tc>
          <w:tcPr>
            <w:tcW w:w="130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color w:val="auto"/>
                <w:lang w:bidi="en-GB"/>
              </w:rPr>
            </w:pPr>
          </w:p>
        </w:tc>
      </w:tr>
      <w:tr w:rsidR="00E7728E">
        <w:tc>
          <w:tcPr>
            <w:tcW w:w="392"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lang w:bidi="en-GB"/>
              </w:rPr>
            </w:pPr>
          </w:p>
        </w:tc>
        <w:tc>
          <w:tcPr>
            <w:tcW w:w="267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MFF Heading</w:t>
            </w:r>
          </w:p>
        </w:tc>
        <w:tc>
          <w:tcPr>
            <w:tcW w:w="1306"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Commitments carried forward from previous year</w:t>
            </w:r>
          </w:p>
        </w:tc>
        <w:tc>
          <w:tcPr>
            <w:tcW w:w="143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Decommitments /Revaluations/ Cancellations</w:t>
            </w:r>
          </w:p>
        </w:tc>
        <w:tc>
          <w:tcPr>
            <w:tcW w:w="123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 xml:space="preserve">Payments </w:t>
            </w:r>
          </w:p>
        </w:tc>
        <w:tc>
          <w:tcPr>
            <w:tcW w:w="1307"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Commitments outstanding at year-end</w:t>
            </w:r>
          </w:p>
        </w:tc>
        <w:tc>
          <w:tcPr>
            <w:tcW w:w="1307"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Commitments made during the year</w:t>
            </w:r>
          </w:p>
        </w:tc>
        <w:tc>
          <w:tcPr>
            <w:tcW w:w="123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Payments</w:t>
            </w:r>
          </w:p>
        </w:tc>
        <w:tc>
          <w:tcPr>
            <w:tcW w:w="130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Cancellation of commitments which cannot be carried over</w:t>
            </w:r>
          </w:p>
        </w:tc>
        <w:tc>
          <w:tcPr>
            <w:tcW w:w="130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Commitments outstanding at year-end</w:t>
            </w:r>
          </w:p>
        </w:tc>
        <w:tc>
          <w:tcPr>
            <w:tcW w:w="130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Total Commitments outstanding at year-end</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1.</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Smart and inclusive growth</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166 761</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(2 037)</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(60 662)</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104 062</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45 972</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(7 021)</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38 947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143 009</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lang w:bidi="en-GB"/>
              </w:rPr>
            </w:pP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lang w:bidi="en-GB"/>
              </w:rPr>
            </w:pPr>
            <w:r>
              <w:rPr>
                <w:rFonts w:eastAsia="Verdana" w:cs="Verdana"/>
                <w:lang w:bidi="en-GB"/>
              </w:rPr>
              <w:t>1a: Competitiveness for growth and jobs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29 657</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(808)</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(8 167)</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20 681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18 018</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(5 164)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(4)</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12 850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33 532</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lang w:bidi="en-GB"/>
              </w:rPr>
            </w:pP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lang w:bidi="en-GB"/>
              </w:rPr>
            </w:pPr>
            <w:r>
              <w:rPr>
                <w:rFonts w:eastAsia="Verdana" w:cs="Verdana"/>
                <w:lang w:bidi="en-GB"/>
              </w:rPr>
              <w:t>1b: Economic, social and territorial cohesion</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137 105</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(1 229)</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(52 494)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83 381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27 954</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(1 857)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26 096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109 477</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 xml:space="preserve">2. </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Sustainable growth: natural resources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27 978</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(275)</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(11 930)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15 773</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48 263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(44 655)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3 609</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19 382</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lang w:bidi="en-GB"/>
              </w:rPr>
            </w:pP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lang w:bidi="en-GB"/>
              </w:rPr>
            </w:pPr>
            <w:r>
              <w:rPr>
                <w:rFonts w:eastAsia="Verdana" w:cs="Verdana"/>
                <w:lang w:bidi="en-GB"/>
              </w:rPr>
              <w:t>of which: market related expenditure and direct payments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40</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(21)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16</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44 293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(44 266)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27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43</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3.</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Security and citizenship</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3 092</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(306)</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(944)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1 841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1 507</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(767)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740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2 582</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4.</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Global Europe</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23 285</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(721)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(5 490)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17 075</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8 489</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(1 716)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6 772</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23 846</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5.</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Administration</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892</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(182)</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(709)</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8 884</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(8 110)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765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766</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lang w:bidi="en-GB"/>
              </w:rPr>
            </w:pP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lang w:bidi="en-GB"/>
              </w:rPr>
            </w:pPr>
            <w:r>
              <w:rPr>
                <w:rFonts w:eastAsia="Verdana" w:cs="Verdana"/>
                <w:lang w:bidi="en-GB"/>
              </w:rPr>
              <w:t>of which: Administrative expenditure of the institutions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557</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(156)</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(402)</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3 789</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(3 328)</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(8)</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453</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453</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6.</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Compensations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29</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(29)</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8.</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Negative reserve</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9.</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Special Instruments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401</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(401)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64</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r>
      <w:tr w:rsidR="00E7728E">
        <w:tc>
          <w:tcPr>
            <w:tcW w:w="392"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7pBoldLeft"/>
              <w:rPr>
                <w:rFonts w:eastAsia="Verdana" w:cs="Verdana"/>
                <w:lang w:bidi="en-GB"/>
              </w:rPr>
            </w:pPr>
          </w:p>
        </w:tc>
        <w:tc>
          <w:tcPr>
            <w:tcW w:w="267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7pBoldLeft"/>
              <w:rPr>
                <w:rFonts w:eastAsia="Verdana" w:cs="Verdana"/>
                <w:lang w:bidi="en-GB"/>
              </w:rPr>
            </w:pPr>
            <w:r>
              <w:rPr>
                <w:rFonts w:eastAsia="Verdana" w:cs="Verdana"/>
                <w:lang w:bidi="en-GB"/>
              </w:rPr>
              <w:t>Total</w:t>
            </w:r>
          </w:p>
        </w:tc>
        <w:tc>
          <w:tcPr>
            <w:tcW w:w="130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222 410</w:t>
            </w:r>
          </w:p>
        </w:tc>
        <w:tc>
          <w:tcPr>
            <w:tcW w:w="143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(3 522)</w:t>
            </w:r>
          </w:p>
        </w:tc>
        <w:tc>
          <w:tcPr>
            <w:tcW w:w="123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(80 136)</w:t>
            </w:r>
          </w:p>
        </w:tc>
        <w:tc>
          <w:tcPr>
            <w:tcW w:w="130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138 753</w:t>
            </w:r>
          </w:p>
        </w:tc>
        <w:tc>
          <w:tcPr>
            <w:tcW w:w="130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113 208</w:t>
            </w:r>
          </w:p>
        </w:tc>
        <w:tc>
          <w:tcPr>
            <w:tcW w:w="123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(62 361)</w:t>
            </w:r>
          </w:p>
        </w:tc>
        <w:tc>
          <w:tcPr>
            <w:tcW w:w="130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 xml:space="preserve"> (14)</w:t>
            </w:r>
          </w:p>
        </w:tc>
        <w:tc>
          <w:tcPr>
            <w:tcW w:w="130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50 832</w:t>
            </w:r>
          </w:p>
        </w:tc>
        <w:tc>
          <w:tcPr>
            <w:tcW w:w="130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189 585</w:t>
            </w:r>
          </w:p>
        </w:tc>
      </w:tr>
    </w:tbl>
    <w:p w:rsidR="00F50689" w:rsidRPr="00B72FC6" w:rsidRDefault="005A36C4" w:rsidP="00F50689">
      <w:pPr>
        <w:pStyle w:val="Textstand-alone"/>
        <w:sectPr w:rsidR="00F50689" w:rsidRPr="00B72FC6" w:rsidSect="00F50689">
          <w:headerReference w:type="even" r:id="rId521"/>
          <w:headerReference w:type="default" r:id="rId522"/>
          <w:footerReference w:type="even" r:id="rId523"/>
          <w:footerReference w:type="default" r:id="rId524"/>
          <w:headerReference w:type="first" r:id="rId525"/>
          <w:footerReference w:type="first" r:id="rId526"/>
          <w:pgSz w:w="16840" w:h="11907" w:orient="landscape"/>
          <w:pgMar w:top="1134" w:right="1134" w:bottom="1134" w:left="1134" w:header="708" w:footer="708" w:gutter="0"/>
          <w:cols w:space="708"/>
          <w:docGrid w:linePitch="360"/>
        </w:sectPr>
      </w:pPr>
      <w:r>
        <w:t xml:space="preserve"> </w:t>
      </w:r>
      <w:bookmarkEnd w:id="259"/>
    </w:p>
    <w:p w:rsidR="00F50689" w:rsidRDefault="005A36C4" w:rsidP="00F50689">
      <w:pPr>
        <w:pStyle w:val="HEADER2Part3"/>
      </w:pPr>
      <w:bookmarkStart w:id="261" w:name="_Toc424653747"/>
      <w:bookmarkStart w:id="262" w:name="_DMBM_3440"/>
      <w:r>
        <w:t xml:space="preserve">MFF: </w:t>
      </w:r>
      <w:r w:rsidRPr="00D60366">
        <w:t>BREAKDOWN OF COMMITMENT</w:t>
      </w:r>
      <w:r>
        <w:t>S OUTSTANDING BY YEAR OF ORIGIN</w:t>
      </w:r>
      <w:bookmarkEnd w:id="261"/>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673"/>
        <w:gridCol w:w="1306"/>
        <w:gridCol w:w="1431"/>
        <w:gridCol w:w="1230"/>
        <w:gridCol w:w="1307"/>
        <w:gridCol w:w="1307"/>
        <w:gridCol w:w="1230"/>
        <w:gridCol w:w="1301"/>
        <w:gridCol w:w="1308"/>
        <w:gridCol w:w="1301"/>
      </w:tblGrid>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lang w:bidi="en-GB"/>
              </w:rPr>
            </w:pPr>
            <w:bookmarkStart w:id="263" w:name="DOC_TBL00104_1_1"/>
            <w:bookmarkEnd w:id="263"/>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i w:val="0"/>
                <w:lang w:bidi="en-GB"/>
              </w:rPr>
            </w:pP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lang w:bidi="en-GB"/>
              </w:rPr>
            </w:pPr>
            <w:r>
              <w:rPr>
                <w:rFonts w:eastAsia="Verdana" w:cs="Verdana"/>
                <w:lang w:bidi="en-GB"/>
              </w:rPr>
              <w:t>EUR millions</w:t>
            </w:r>
          </w:p>
        </w:tc>
      </w:tr>
      <w:tr w:rsidR="00E7728E">
        <w:tc>
          <w:tcPr>
            <w:tcW w:w="392"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lang w:bidi="en-GB"/>
              </w:rPr>
            </w:pPr>
          </w:p>
        </w:tc>
        <w:tc>
          <w:tcPr>
            <w:tcW w:w="267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MFF Heading</w:t>
            </w:r>
          </w:p>
        </w:tc>
        <w:tc>
          <w:tcPr>
            <w:tcW w:w="1306"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&lt;2008</w:t>
            </w:r>
          </w:p>
        </w:tc>
        <w:tc>
          <w:tcPr>
            <w:tcW w:w="143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2008</w:t>
            </w:r>
          </w:p>
        </w:tc>
        <w:tc>
          <w:tcPr>
            <w:tcW w:w="123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2009</w:t>
            </w:r>
          </w:p>
        </w:tc>
        <w:tc>
          <w:tcPr>
            <w:tcW w:w="1307"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2010</w:t>
            </w:r>
          </w:p>
        </w:tc>
        <w:tc>
          <w:tcPr>
            <w:tcW w:w="1307"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2011</w:t>
            </w:r>
          </w:p>
        </w:tc>
        <w:tc>
          <w:tcPr>
            <w:tcW w:w="123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2012</w:t>
            </w:r>
          </w:p>
        </w:tc>
        <w:tc>
          <w:tcPr>
            <w:tcW w:w="130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2013</w:t>
            </w:r>
          </w:p>
        </w:tc>
        <w:tc>
          <w:tcPr>
            <w:tcW w:w="130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2014</w:t>
            </w:r>
          </w:p>
        </w:tc>
        <w:tc>
          <w:tcPr>
            <w:tcW w:w="130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Total</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1.</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Smart and inclusive growth</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2 915</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414</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1 578</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4 327</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11 007</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27 951</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55 870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38 947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143 009</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lang w:bidi="en-GB"/>
              </w:rPr>
            </w:pP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lang w:bidi="en-GB"/>
              </w:rPr>
            </w:pPr>
            <w:r>
              <w:rPr>
                <w:rFonts w:eastAsia="Verdana" w:cs="Verdana"/>
                <w:lang w:bidi="en-GB"/>
              </w:rPr>
              <w:t>1a: Competitiveness for growth and jobs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255</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211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1 260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2 274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3 001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5 451</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8 230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12 850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33 532</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lang w:bidi="en-GB"/>
              </w:rPr>
            </w:pP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lang w:bidi="en-GB"/>
              </w:rPr>
            </w:pPr>
            <w:r>
              <w:rPr>
                <w:rFonts w:eastAsia="Verdana" w:cs="Verdana"/>
                <w:lang w:bidi="en-GB"/>
              </w:rPr>
              <w:t>1b: Economic, social and territorial cohesion</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2 660</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203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318</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2 053</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8 007</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22 500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47 640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26 096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109 477</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 xml:space="preserve">2. </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Sustainable growth: natural resources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338</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93</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116</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193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3 524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11 459</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3 609</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19 382</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lang w:bidi="en-GB"/>
              </w:rPr>
            </w:pP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lang w:bidi="en-GB"/>
              </w:rPr>
            </w:pPr>
            <w:r>
              <w:rPr>
                <w:rFonts w:eastAsia="Verdana" w:cs="Verdana"/>
                <w:lang w:bidi="en-GB"/>
              </w:rPr>
              <w:t>of which: market related expenditure and direct payments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0</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9</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7</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27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43</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3.</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Security and citizenship</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14</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73</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158</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261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497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807</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740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2 582</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4.</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Global Europe</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944</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539</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842</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1 336</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2 800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4 686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5 928</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6 772</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23 846</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5.</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Administration</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765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766</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lang w:bidi="en-GB"/>
              </w:rPr>
            </w:pP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lang w:bidi="en-GB"/>
              </w:rPr>
            </w:pPr>
            <w:r>
              <w:rPr>
                <w:rFonts w:eastAsia="Verdana" w:cs="Verdana"/>
                <w:lang w:bidi="en-GB"/>
              </w:rPr>
              <w:t>of which: Administrative expenditure of the institutions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453</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lang w:bidi="en-GB"/>
              </w:rPr>
            </w:pPr>
            <w:r>
              <w:rPr>
                <w:rFonts w:eastAsia="Verdana" w:cs="Verdana"/>
                <w:lang w:bidi="en-GB"/>
              </w:rPr>
              <w:t xml:space="preserve"> 453</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6.</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Compensations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8.</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Negative reserve</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9.</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Special Instruments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r>
      <w:tr w:rsidR="00E7728E">
        <w:tc>
          <w:tcPr>
            <w:tcW w:w="392"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7pBoldLeft"/>
              <w:rPr>
                <w:rFonts w:eastAsia="Verdana" w:cs="Verdana"/>
                <w:lang w:bidi="en-GB"/>
              </w:rPr>
            </w:pPr>
          </w:p>
        </w:tc>
        <w:tc>
          <w:tcPr>
            <w:tcW w:w="267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7pBoldLeft"/>
              <w:rPr>
                <w:rFonts w:eastAsia="Verdana" w:cs="Verdana"/>
                <w:lang w:bidi="en-GB"/>
              </w:rPr>
            </w:pPr>
            <w:r>
              <w:rPr>
                <w:rFonts w:eastAsia="Verdana" w:cs="Verdana"/>
                <w:lang w:bidi="en-GB"/>
              </w:rPr>
              <w:t>Total</w:t>
            </w:r>
          </w:p>
        </w:tc>
        <w:tc>
          <w:tcPr>
            <w:tcW w:w="130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4 211</w:t>
            </w:r>
          </w:p>
        </w:tc>
        <w:tc>
          <w:tcPr>
            <w:tcW w:w="143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1 034</w:t>
            </w:r>
          </w:p>
        </w:tc>
        <w:tc>
          <w:tcPr>
            <w:tcW w:w="123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2 586</w:t>
            </w:r>
          </w:p>
        </w:tc>
        <w:tc>
          <w:tcPr>
            <w:tcW w:w="130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5 937</w:t>
            </w:r>
          </w:p>
        </w:tc>
        <w:tc>
          <w:tcPr>
            <w:tcW w:w="130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14 261</w:t>
            </w:r>
          </w:p>
        </w:tc>
        <w:tc>
          <w:tcPr>
            <w:tcW w:w="123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36 658</w:t>
            </w:r>
          </w:p>
        </w:tc>
        <w:tc>
          <w:tcPr>
            <w:tcW w:w="130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74 066</w:t>
            </w:r>
          </w:p>
        </w:tc>
        <w:tc>
          <w:tcPr>
            <w:tcW w:w="130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50 832</w:t>
            </w:r>
          </w:p>
        </w:tc>
        <w:tc>
          <w:tcPr>
            <w:tcW w:w="130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189 585</w:t>
            </w:r>
          </w:p>
        </w:tc>
      </w:tr>
    </w:tbl>
    <w:p w:rsidR="00F50689" w:rsidRDefault="005A36C4" w:rsidP="00F50689">
      <w:pPr>
        <w:pStyle w:val="Textstand-alone"/>
        <w:sectPr w:rsidR="00F50689" w:rsidSect="00F50689">
          <w:headerReference w:type="even" r:id="rId527"/>
          <w:headerReference w:type="default" r:id="rId528"/>
          <w:footerReference w:type="even" r:id="rId529"/>
          <w:footerReference w:type="default" r:id="rId530"/>
          <w:headerReference w:type="first" r:id="rId531"/>
          <w:footerReference w:type="first" r:id="rId532"/>
          <w:pgSz w:w="16840" w:h="11907" w:orient="landscape"/>
          <w:pgMar w:top="1134" w:right="1134" w:bottom="1134" w:left="1134" w:header="708" w:footer="708" w:gutter="0"/>
          <w:cols w:space="708"/>
          <w:docGrid w:linePitch="360"/>
        </w:sectPr>
      </w:pPr>
      <w:r>
        <w:t xml:space="preserve"> </w:t>
      </w:r>
      <w:bookmarkEnd w:id="262"/>
    </w:p>
    <w:p w:rsidR="00F50689" w:rsidRDefault="005A36C4" w:rsidP="00F50689">
      <w:pPr>
        <w:pStyle w:val="HEADER2Part3"/>
        <w:spacing w:before="0" w:after="120"/>
      </w:pPr>
      <w:bookmarkStart w:id="264" w:name="_Toc424653748"/>
      <w:bookmarkStart w:id="265" w:name="_DMBM_3441"/>
      <w:r>
        <w:t xml:space="preserve">POLICY AREA: </w:t>
      </w:r>
      <w:r w:rsidRPr="007932DF">
        <w:t>BREAKDOWN AND CHANGES IN COMMIT</w:t>
      </w:r>
      <w:r>
        <w:t>MENT AND PAYMENT APPROPRIATIONS</w:t>
      </w:r>
      <w:bookmarkEnd w:id="264"/>
    </w:p>
    <w:tbl>
      <w:tblPr>
        <w:tblW w:w="14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702"/>
        <w:gridCol w:w="1135"/>
        <w:gridCol w:w="1132"/>
        <w:gridCol w:w="995"/>
        <w:gridCol w:w="853"/>
        <w:gridCol w:w="995"/>
        <w:gridCol w:w="1138"/>
        <w:gridCol w:w="1274"/>
        <w:gridCol w:w="1132"/>
        <w:gridCol w:w="995"/>
        <w:gridCol w:w="992"/>
        <w:gridCol w:w="992"/>
        <w:gridCol w:w="1126"/>
      </w:tblGrid>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color w:val="FFFFFF"/>
                <w:lang w:bidi="en-GB"/>
              </w:rPr>
            </w:pPr>
            <w:bookmarkStart w:id="266" w:name="DOC_TBL00105_1_1"/>
            <w:bookmarkEnd w:id="266"/>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lang w:bidi="en-GB"/>
              </w:rPr>
            </w:pP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lang w:bidi="en-GB"/>
              </w:rPr>
            </w:pP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lang w:bidi="en-GB"/>
              </w:rPr>
            </w:pP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lang w:bidi="en-GB"/>
              </w:rPr>
            </w:pP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lang w:bidi="en-GB"/>
              </w:rPr>
            </w:pP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lang w:bidi="en-GB"/>
              </w:rPr>
            </w:pP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lang w:bidi="en-GB"/>
              </w:rPr>
            </w:pP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lang w:bidi="en-GB"/>
              </w:rPr>
            </w:pP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lang w:bidi="en-GB"/>
              </w:rPr>
            </w:pP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lang w:bidi="en-GB"/>
              </w:rPr>
            </w:pPr>
          </w:p>
        </w:tc>
        <w:tc>
          <w:tcPr>
            <w:tcW w:w="2118" w:type="dxa"/>
            <w:gridSpan w:val="2"/>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lang w:bidi="en-GB"/>
              </w:rPr>
            </w:pPr>
            <w:r>
              <w:rPr>
                <w:rFonts w:eastAsia="Verdana" w:cs="Verdana"/>
                <w:lang w:bidi="en-GB"/>
              </w:rPr>
              <w:t>EUR millions</w:t>
            </w:r>
          </w:p>
        </w:tc>
      </w:tr>
      <w:tr w:rsidR="00E7728E">
        <w:tc>
          <w:tcPr>
            <w:tcW w:w="2094" w:type="dxa"/>
            <w:gridSpan w:val="2"/>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lang w:bidi="en-GB"/>
              </w:rPr>
            </w:pPr>
          </w:p>
        </w:tc>
        <w:tc>
          <w:tcPr>
            <w:tcW w:w="6248" w:type="dxa"/>
            <w:gridSpan w:val="6"/>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lang w:bidi="en-GB"/>
              </w:rPr>
            </w:pPr>
            <w:r>
              <w:rPr>
                <w:rFonts w:eastAsia="Verdana" w:cs="Verdana"/>
                <w:lang w:bidi="en-GB"/>
              </w:rPr>
              <w:t>Commitment appropriations</w:t>
            </w:r>
          </w:p>
        </w:tc>
        <w:tc>
          <w:tcPr>
            <w:tcW w:w="6511" w:type="dxa"/>
            <w:gridSpan w:val="6"/>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lang w:bidi="en-GB"/>
              </w:rPr>
            </w:pPr>
            <w:r>
              <w:rPr>
                <w:rFonts w:eastAsia="Verdana" w:cs="Verdana"/>
                <w:lang w:bidi="en-GB"/>
              </w:rPr>
              <w:t>Payment appropriations</w:t>
            </w:r>
          </w:p>
        </w:tc>
      </w:tr>
      <w:tr w:rsidR="00E7728E">
        <w:tc>
          <w:tcPr>
            <w:tcW w:w="2094" w:type="dxa"/>
            <w:gridSpan w:val="2"/>
            <w:tcBorders>
              <w:top w:val="nil"/>
              <w:left w:val="nil"/>
              <w:bottom w:val="nil"/>
              <w:right w:val="nil"/>
            </w:tcBorders>
            <w:shd w:val="clear" w:color="auto" w:fill="016794"/>
            <w:tcMar>
              <w:top w:w="0" w:type="dxa"/>
              <w:left w:w="0" w:type="dxa"/>
              <w:bottom w:w="0" w:type="dxa"/>
              <w:right w:w="0" w:type="dxa"/>
            </w:tcMar>
            <w:vAlign w:val="bottom"/>
          </w:tcPr>
          <w:p w:rsidR="00F50689" w:rsidRDefault="00F50689" w:rsidP="00F50689">
            <w:pPr>
              <w:pStyle w:val="Heading7pNormalCentered"/>
              <w:rPr>
                <w:rFonts w:eastAsia="Verdana" w:cs="Verdana"/>
                <w:lang w:bidi="en-GB"/>
              </w:rPr>
            </w:pPr>
          </w:p>
        </w:tc>
        <w:tc>
          <w:tcPr>
            <w:tcW w:w="3262" w:type="dxa"/>
            <w:gridSpan w:val="3"/>
            <w:tcBorders>
              <w:top w:val="nil"/>
              <w:left w:val="nil"/>
              <w:bottom w:val="nil"/>
              <w:right w:val="nil"/>
            </w:tcBorders>
            <w:shd w:val="clear" w:color="auto" w:fill="016794"/>
            <w:tcMar>
              <w:top w:w="0" w:type="dxa"/>
              <w:left w:w="0" w:type="dxa"/>
              <w:bottom w:w="0" w:type="dxa"/>
              <w:right w:w="0" w:type="dxa"/>
            </w:tcMar>
            <w:vAlign w:val="bottom"/>
          </w:tcPr>
          <w:p w:rsidR="00F50689" w:rsidRDefault="005A36C4" w:rsidP="00F50689">
            <w:pPr>
              <w:pStyle w:val="Heading8pNormalCentered"/>
              <w:rPr>
                <w:rFonts w:eastAsia="Verdana" w:cs="Verdana"/>
                <w:lang w:bidi="en-GB"/>
              </w:rPr>
            </w:pPr>
            <w:r>
              <w:rPr>
                <w:rFonts w:eastAsia="Verdana" w:cs="Verdana"/>
                <w:lang w:bidi="en-GB"/>
              </w:rPr>
              <w:t>Budget appropriations</w:t>
            </w:r>
          </w:p>
        </w:tc>
        <w:tc>
          <w:tcPr>
            <w:tcW w:w="1848" w:type="dxa"/>
            <w:gridSpan w:val="2"/>
            <w:tcBorders>
              <w:top w:val="nil"/>
              <w:left w:val="nil"/>
              <w:bottom w:val="nil"/>
              <w:right w:val="nil"/>
            </w:tcBorders>
            <w:shd w:val="clear" w:color="auto" w:fill="016794"/>
            <w:tcMar>
              <w:top w:w="0" w:type="dxa"/>
              <w:left w:w="0" w:type="dxa"/>
              <w:bottom w:w="0" w:type="dxa"/>
              <w:right w:w="0" w:type="dxa"/>
            </w:tcMar>
            <w:vAlign w:val="bottom"/>
          </w:tcPr>
          <w:p w:rsidR="00F50689" w:rsidRDefault="005A36C4" w:rsidP="00F50689">
            <w:pPr>
              <w:pStyle w:val="Heading8pNormalCentered"/>
              <w:rPr>
                <w:rFonts w:eastAsia="Verdana" w:cs="Verdana"/>
                <w:lang w:bidi="en-GB"/>
              </w:rPr>
            </w:pPr>
            <w:r>
              <w:rPr>
                <w:rFonts w:eastAsia="Verdana" w:cs="Verdana"/>
                <w:lang w:bidi="en-GB"/>
              </w:rPr>
              <w:t>Additional appropriations</w:t>
            </w:r>
          </w:p>
        </w:tc>
        <w:tc>
          <w:tcPr>
            <w:tcW w:w="1138" w:type="dxa"/>
            <w:tcBorders>
              <w:top w:val="nil"/>
              <w:left w:val="nil"/>
              <w:bottom w:val="nil"/>
              <w:right w:val="nil"/>
            </w:tcBorders>
            <w:shd w:val="clear" w:color="auto" w:fill="016794"/>
            <w:tcMar>
              <w:top w:w="0" w:type="dxa"/>
              <w:left w:w="0" w:type="dxa"/>
              <w:bottom w:w="0" w:type="dxa"/>
              <w:right w:w="0" w:type="dxa"/>
            </w:tcMar>
            <w:vAlign w:val="bottom"/>
          </w:tcPr>
          <w:p w:rsidR="00F50689" w:rsidRDefault="005A36C4" w:rsidP="00F50689">
            <w:pPr>
              <w:pStyle w:val="Heading8pNormalCentered"/>
              <w:rPr>
                <w:rFonts w:eastAsia="Verdana" w:cs="Verdana"/>
                <w:lang w:bidi="en-GB"/>
              </w:rPr>
            </w:pPr>
            <w:r>
              <w:rPr>
                <w:rFonts w:eastAsia="Verdana" w:cs="Verdana"/>
                <w:lang w:bidi="en-GB"/>
              </w:rPr>
              <w:t>Total appropriations</w:t>
            </w:r>
          </w:p>
        </w:tc>
        <w:tc>
          <w:tcPr>
            <w:tcW w:w="3401" w:type="dxa"/>
            <w:gridSpan w:val="3"/>
            <w:tcBorders>
              <w:top w:val="nil"/>
              <w:left w:val="nil"/>
              <w:bottom w:val="nil"/>
              <w:right w:val="nil"/>
            </w:tcBorders>
            <w:shd w:val="clear" w:color="auto" w:fill="016794"/>
            <w:tcMar>
              <w:top w:w="0" w:type="dxa"/>
              <w:left w:w="0" w:type="dxa"/>
              <w:bottom w:w="0" w:type="dxa"/>
              <w:right w:w="0" w:type="dxa"/>
            </w:tcMar>
            <w:vAlign w:val="bottom"/>
          </w:tcPr>
          <w:p w:rsidR="00F50689" w:rsidRDefault="005A36C4" w:rsidP="00F50689">
            <w:pPr>
              <w:pStyle w:val="Heading8pNormalCentered"/>
              <w:rPr>
                <w:rFonts w:eastAsia="Verdana" w:cs="Verdana"/>
                <w:lang w:bidi="en-GB"/>
              </w:rPr>
            </w:pPr>
            <w:r>
              <w:rPr>
                <w:rFonts w:eastAsia="Verdana" w:cs="Verdana"/>
                <w:lang w:bidi="en-GB"/>
              </w:rPr>
              <w:t>Budget appropriations</w:t>
            </w:r>
          </w:p>
        </w:tc>
        <w:tc>
          <w:tcPr>
            <w:tcW w:w="1984" w:type="dxa"/>
            <w:gridSpan w:val="2"/>
            <w:tcBorders>
              <w:top w:val="nil"/>
              <w:left w:val="nil"/>
              <w:bottom w:val="nil"/>
              <w:right w:val="nil"/>
            </w:tcBorders>
            <w:shd w:val="clear" w:color="auto" w:fill="016794"/>
            <w:tcMar>
              <w:top w:w="0" w:type="dxa"/>
              <w:left w:w="0" w:type="dxa"/>
              <w:bottom w:w="0" w:type="dxa"/>
              <w:right w:w="0" w:type="dxa"/>
            </w:tcMar>
            <w:vAlign w:val="bottom"/>
          </w:tcPr>
          <w:p w:rsidR="00F50689" w:rsidRDefault="005A36C4" w:rsidP="00F50689">
            <w:pPr>
              <w:pStyle w:val="Heading8pNormalCentered"/>
              <w:rPr>
                <w:rFonts w:eastAsia="Verdana" w:cs="Verdana"/>
                <w:lang w:bidi="en-GB"/>
              </w:rPr>
            </w:pPr>
            <w:r>
              <w:rPr>
                <w:rFonts w:eastAsia="Verdana" w:cs="Verdana"/>
                <w:lang w:bidi="en-GB"/>
              </w:rPr>
              <w:t>Additional appropriations</w:t>
            </w:r>
          </w:p>
        </w:tc>
        <w:tc>
          <w:tcPr>
            <w:tcW w:w="1126" w:type="dxa"/>
            <w:tcBorders>
              <w:top w:val="nil"/>
              <w:left w:val="nil"/>
              <w:bottom w:val="nil"/>
              <w:right w:val="nil"/>
            </w:tcBorders>
            <w:shd w:val="clear" w:color="auto" w:fill="016794"/>
            <w:tcMar>
              <w:top w:w="0" w:type="dxa"/>
              <w:left w:w="0" w:type="dxa"/>
              <w:bottom w:w="0" w:type="dxa"/>
              <w:right w:w="0" w:type="dxa"/>
            </w:tcMar>
            <w:vAlign w:val="bottom"/>
          </w:tcPr>
          <w:p w:rsidR="00F50689" w:rsidRDefault="005A36C4" w:rsidP="00F50689">
            <w:pPr>
              <w:pStyle w:val="Heading8pNormalCentered"/>
              <w:rPr>
                <w:rFonts w:eastAsia="Verdana" w:cs="Verdana"/>
                <w:lang w:bidi="en-GB"/>
              </w:rPr>
            </w:pPr>
            <w:r>
              <w:rPr>
                <w:rFonts w:eastAsia="Verdana" w:cs="Verdana"/>
                <w:lang w:bidi="en-GB"/>
              </w:rPr>
              <w:t>Total appropriations</w:t>
            </w:r>
          </w:p>
        </w:tc>
      </w:tr>
      <w:tr w:rsidR="00E7728E">
        <w:tc>
          <w:tcPr>
            <w:tcW w:w="2094" w:type="dxa"/>
            <w:gridSpan w:val="2"/>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Policy Area</w:t>
            </w:r>
          </w:p>
        </w:tc>
        <w:tc>
          <w:tcPr>
            <w:tcW w:w="1135"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Initial adopted budget</w:t>
            </w:r>
          </w:p>
        </w:tc>
        <w:tc>
          <w:tcPr>
            <w:tcW w:w="113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Amending budgets &amp; Transfers</w:t>
            </w:r>
          </w:p>
        </w:tc>
        <w:tc>
          <w:tcPr>
            <w:tcW w:w="995"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Final adopted budget</w:t>
            </w:r>
          </w:p>
        </w:tc>
        <w:tc>
          <w:tcPr>
            <w:tcW w:w="853"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Carried over</w:t>
            </w:r>
          </w:p>
        </w:tc>
        <w:tc>
          <w:tcPr>
            <w:tcW w:w="995"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Assigned revenue</w:t>
            </w:r>
          </w:p>
        </w:tc>
        <w:tc>
          <w:tcPr>
            <w:tcW w:w="113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lang w:bidi="en-GB"/>
              </w:rPr>
            </w:pPr>
            <w:r>
              <w:rPr>
                <w:rFonts w:eastAsia="Verdana" w:cs="Verdana"/>
                <w:lang w:bidi="en-GB"/>
              </w:rPr>
              <w:t>available</w:t>
            </w:r>
          </w:p>
        </w:tc>
        <w:tc>
          <w:tcPr>
            <w:tcW w:w="1274"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Initial adopted budget</w:t>
            </w:r>
          </w:p>
        </w:tc>
        <w:tc>
          <w:tcPr>
            <w:tcW w:w="113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Amending budgets &amp; Transfers</w:t>
            </w:r>
          </w:p>
        </w:tc>
        <w:tc>
          <w:tcPr>
            <w:tcW w:w="995"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Final adopted budget</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Carried over</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Assigned revenue</w:t>
            </w:r>
          </w:p>
        </w:tc>
        <w:tc>
          <w:tcPr>
            <w:tcW w:w="1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lang w:bidi="en-GB"/>
              </w:rPr>
            </w:pPr>
            <w:r>
              <w:rPr>
                <w:rFonts w:eastAsia="Verdana" w:cs="Verdana"/>
                <w:lang w:bidi="en-GB"/>
              </w:rPr>
              <w:t>available</w:t>
            </w:r>
          </w:p>
        </w:tc>
      </w:tr>
      <w:tr w:rsidR="00E7728E">
        <w:tc>
          <w:tcPr>
            <w:tcW w:w="2094" w:type="dxa"/>
            <w:gridSpan w:val="2"/>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lang w:bidi="en-GB"/>
              </w:rPr>
            </w:pPr>
          </w:p>
        </w:tc>
        <w:tc>
          <w:tcPr>
            <w:tcW w:w="1135"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1</w:t>
            </w:r>
          </w:p>
        </w:tc>
        <w:tc>
          <w:tcPr>
            <w:tcW w:w="113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2</w:t>
            </w:r>
          </w:p>
        </w:tc>
        <w:tc>
          <w:tcPr>
            <w:tcW w:w="995"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3=1+2</w:t>
            </w:r>
          </w:p>
        </w:tc>
        <w:tc>
          <w:tcPr>
            <w:tcW w:w="853"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4</w:t>
            </w:r>
          </w:p>
        </w:tc>
        <w:tc>
          <w:tcPr>
            <w:tcW w:w="995"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5</w:t>
            </w:r>
          </w:p>
        </w:tc>
        <w:tc>
          <w:tcPr>
            <w:tcW w:w="1138"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jc w:val="right"/>
              <w:rPr>
                <w:rFonts w:eastAsia="Verdana" w:cs="Verdana"/>
                <w:lang w:bidi="en-GB"/>
              </w:rPr>
            </w:pPr>
            <w:r>
              <w:rPr>
                <w:rFonts w:eastAsia="Verdana" w:cs="Verdana"/>
                <w:lang w:bidi="en-GB"/>
              </w:rPr>
              <w:t>6=3+4+5</w:t>
            </w:r>
          </w:p>
        </w:tc>
        <w:tc>
          <w:tcPr>
            <w:tcW w:w="1274"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7</w:t>
            </w:r>
          </w:p>
        </w:tc>
        <w:tc>
          <w:tcPr>
            <w:tcW w:w="113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8</w:t>
            </w:r>
          </w:p>
        </w:tc>
        <w:tc>
          <w:tcPr>
            <w:tcW w:w="995"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9=7+8</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10</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11</w:t>
            </w:r>
          </w:p>
        </w:tc>
        <w:tc>
          <w:tcPr>
            <w:tcW w:w="1126"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jc w:val="right"/>
              <w:rPr>
                <w:rFonts w:eastAsia="Verdana" w:cs="Verdana"/>
                <w:lang w:bidi="en-GB"/>
              </w:rPr>
            </w:pPr>
            <w:r>
              <w:rPr>
                <w:rFonts w:eastAsia="Verdana" w:cs="Verdana"/>
                <w:lang w:bidi="en-GB"/>
              </w:rPr>
              <w:t>12=9+10+11</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lang w:bidi="en-GB"/>
              </w:rPr>
            </w:pPr>
            <w:r>
              <w:rPr>
                <w:rFonts w:eastAsia="Verdana" w:cs="Verdana"/>
                <w:lang w:bidi="en-GB"/>
              </w:rPr>
              <w:t>01</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7C0DF8">
            <w:pPr>
              <w:pStyle w:val="Text7pItalicLeft"/>
              <w:rPr>
                <w:rFonts w:eastAsia="Verdana" w:cs="Verdana"/>
                <w:i w:val="0"/>
                <w:lang w:bidi="en-GB"/>
              </w:rPr>
            </w:pPr>
            <w:r>
              <w:rPr>
                <w:rFonts w:eastAsia="Verdana" w:cs="Verdana"/>
                <w:i w:val="0"/>
                <w:lang w:bidi="en-GB"/>
              </w:rPr>
              <w:t>Econom</w:t>
            </w:r>
            <w:r w:rsidR="007C0DF8">
              <w:rPr>
                <w:rFonts w:eastAsia="Verdana" w:cs="Verdana"/>
                <w:i w:val="0"/>
                <w:lang w:bidi="en-GB"/>
              </w:rPr>
              <w:t>. &amp;</w:t>
            </w:r>
            <w:r>
              <w:rPr>
                <w:rFonts w:eastAsia="Verdana" w:cs="Verdana"/>
                <w:i w:val="0"/>
                <w:lang w:bidi="en-GB"/>
              </w:rPr>
              <w:t xml:space="preserve"> fin</w:t>
            </w:r>
            <w:r w:rsidR="007C0DF8">
              <w:rPr>
                <w:rFonts w:eastAsia="Verdana" w:cs="Verdana"/>
                <w:i w:val="0"/>
                <w:lang w:bidi="en-GB"/>
              </w:rPr>
              <w:t xml:space="preserve">. </w:t>
            </w:r>
            <w:r>
              <w:rPr>
                <w:rFonts w:eastAsia="Verdana" w:cs="Verdana"/>
                <w:i w:val="0"/>
                <w:lang w:bidi="en-GB"/>
              </w:rPr>
              <w:t>affairs</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213</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233</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118</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351</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297</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300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121</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429</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lang w:bidi="en-GB"/>
              </w:rPr>
            </w:pPr>
            <w:r>
              <w:rPr>
                <w:rFonts w:eastAsia="Verdana" w:cs="Verdana"/>
                <w:lang w:bidi="en-GB"/>
              </w:rPr>
              <w:t>02</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lang w:bidi="en-GB"/>
              </w:rPr>
            </w:pPr>
            <w:r>
              <w:rPr>
                <w:rFonts w:eastAsia="Verdana" w:cs="Verdana"/>
                <w:i w:val="0"/>
                <w:lang w:bidi="en-GB"/>
              </w:rPr>
              <w:t>Enterprise and Industry</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2 536</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2 526</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228</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2 754</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2 105</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2 165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308</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2 486</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lang w:bidi="en-GB"/>
              </w:rPr>
            </w:pPr>
            <w:r>
              <w:rPr>
                <w:rFonts w:eastAsia="Verdana" w:cs="Verdana"/>
                <w:lang w:bidi="en-GB"/>
              </w:rPr>
              <w:t>03</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lang w:bidi="en-GB"/>
              </w:rPr>
            </w:pPr>
            <w:r>
              <w:rPr>
                <w:rFonts w:eastAsia="Verdana" w:cs="Verdana"/>
                <w:i w:val="0"/>
                <w:lang w:bidi="en-GB"/>
              </w:rPr>
              <w:t>Competition</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94</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93</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100</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94</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107</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lang w:bidi="en-GB"/>
              </w:rPr>
            </w:pPr>
            <w:r>
              <w:rPr>
                <w:rFonts w:eastAsia="Verdana" w:cs="Verdana"/>
                <w:lang w:bidi="en-GB"/>
              </w:rPr>
              <w:t>04</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7C0DF8">
            <w:pPr>
              <w:pStyle w:val="Text7pItalicLeft"/>
              <w:rPr>
                <w:rFonts w:eastAsia="Verdana" w:cs="Verdana"/>
                <w:i w:val="0"/>
                <w:lang w:bidi="en-GB"/>
              </w:rPr>
            </w:pPr>
            <w:r>
              <w:rPr>
                <w:rFonts w:eastAsia="Verdana" w:cs="Verdana"/>
                <w:i w:val="0"/>
                <w:lang w:bidi="en-GB"/>
              </w:rPr>
              <w:t>Empl</w:t>
            </w:r>
            <w:r w:rsidR="007C0DF8">
              <w:rPr>
                <w:rFonts w:eastAsia="Verdana" w:cs="Verdana"/>
                <w:i w:val="0"/>
                <w:lang w:bidi="en-GB"/>
              </w:rPr>
              <w:t>.</w:t>
            </w:r>
            <w:r>
              <w:rPr>
                <w:rFonts w:eastAsia="Verdana" w:cs="Verdana"/>
                <w:i w:val="0"/>
                <w:lang w:bidi="en-GB"/>
              </w:rPr>
              <w:t>, social aff</w:t>
            </w:r>
            <w:r w:rsidR="007C0DF8">
              <w:rPr>
                <w:rFonts w:eastAsia="Verdana" w:cs="Verdana"/>
                <w:i w:val="0"/>
                <w:lang w:bidi="en-GB"/>
              </w:rPr>
              <w:t>. &amp;</w:t>
            </w:r>
            <w:r>
              <w:rPr>
                <w:rFonts w:eastAsia="Verdana" w:cs="Verdana"/>
                <w:i w:val="0"/>
                <w:lang w:bidi="en-GB"/>
              </w:rPr>
              <w:t xml:space="preserve"> incl</w:t>
            </w:r>
            <w:r w:rsidR="007C0DF8">
              <w:rPr>
                <w:rFonts w:eastAsia="Verdana" w:cs="Verdana"/>
                <w:i w:val="0"/>
                <w:lang w:bidi="en-GB"/>
              </w:rPr>
              <w:t>.</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13 839</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13 929</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168</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581</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14 678</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11 622</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(341)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11 280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191</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11 522</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lang w:bidi="en-GB"/>
              </w:rPr>
            </w:pPr>
            <w:r>
              <w:rPr>
                <w:rFonts w:eastAsia="Verdana" w:cs="Verdana"/>
                <w:lang w:bidi="en-GB"/>
              </w:rPr>
              <w:t>05</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7C0DF8">
            <w:pPr>
              <w:pStyle w:val="Text7pItalicLeft"/>
              <w:rPr>
                <w:rFonts w:eastAsia="Verdana" w:cs="Verdana"/>
                <w:i w:val="0"/>
                <w:lang w:bidi="en-GB"/>
              </w:rPr>
            </w:pPr>
            <w:r>
              <w:rPr>
                <w:rFonts w:eastAsia="Verdana" w:cs="Verdana"/>
                <w:i w:val="0"/>
                <w:lang w:bidi="en-GB"/>
              </w:rPr>
              <w:t xml:space="preserve">Agriculture </w:t>
            </w:r>
            <w:r w:rsidR="007C0DF8">
              <w:rPr>
                <w:rFonts w:eastAsia="Verdana" w:cs="Verdana"/>
                <w:i w:val="0"/>
                <w:lang w:bidi="en-GB"/>
              </w:rPr>
              <w:t>&amp;</w:t>
            </w:r>
            <w:r>
              <w:rPr>
                <w:rFonts w:eastAsia="Verdana" w:cs="Verdana"/>
                <w:i w:val="0"/>
                <w:lang w:bidi="en-GB"/>
              </w:rPr>
              <w:t xml:space="preserve"> rural dev</w:t>
            </w:r>
            <w:r w:rsidR="007C0DF8">
              <w:rPr>
                <w:rFonts w:eastAsia="Verdana" w:cs="Verdana"/>
                <w:i w:val="0"/>
                <w:lang w:bidi="en-GB"/>
              </w:rPr>
              <w:t>.</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58 047</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(22)</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58 025</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2 117</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60 141</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55 635</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(518)</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55 117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1 981</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57 120</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lang w:bidi="en-GB"/>
              </w:rPr>
            </w:pPr>
            <w:r>
              <w:rPr>
                <w:rFonts w:eastAsia="Verdana" w:cs="Verdana"/>
                <w:lang w:bidi="en-GB"/>
              </w:rPr>
              <w:t>06</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lang w:bidi="en-GB"/>
              </w:rPr>
            </w:pPr>
            <w:r>
              <w:rPr>
                <w:rFonts w:eastAsia="Verdana" w:cs="Verdana"/>
                <w:i w:val="0"/>
                <w:lang w:bidi="en-GB"/>
              </w:rPr>
              <w:t>Mobility and transport</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2 867</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2 860</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71</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2 931</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1 003</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1 004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80</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1 089</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lang w:bidi="en-GB"/>
              </w:rPr>
            </w:pPr>
            <w:r>
              <w:rPr>
                <w:rFonts w:eastAsia="Verdana" w:cs="Verdana"/>
                <w:lang w:bidi="en-GB"/>
              </w:rPr>
              <w:t>07</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lang w:bidi="en-GB"/>
              </w:rPr>
            </w:pPr>
            <w:r>
              <w:rPr>
                <w:rFonts w:eastAsia="Verdana" w:cs="Verdana"/>
                <w:i w:val="0"/>
                <w:lang w:bidi="en-GB"/>
              </w:rPr>
              <w:t>Environment</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407</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408</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22</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430</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346</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347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19</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384</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lang w:bidi="en-GB"/>
              </w:rPr>
            </w:pPr>
            <w:r>
              <w:rPr>
                <w:rFonts w:eastAsia="Verdana" w:cs="Verdana"/>
                <w:lang w:bidi="en-GB"/>
              </w:rPr>
              <w:t>08</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7C0DF8">
            <w:pPr>
              <w:pStyle w:val="Text7pItalicLeft"/>
              <w:rPr>
                <w:rFonts w:eastAsia="Verdana" w:cs="Verdana"/>
                <w:i w:val="0"/>
                <w:lang w:bidi="en-GB"/>
              </w:rPr>
            </w:pPr>
            <w:r>
              <w:rPr>
                <w:rFonts w:eastAsia="Verdana" w:cs="Verdana"/>
                <w:i w:val="0"/>
                <w:lang w:bidi="en-GB"/>
              </w:rPr>
              <w:t xml:space="preserve">Research </w:t>
            </w:r>
            <w:r w:rsidR="007C0DF8">
              <w:rPr>
                <w:rFonts w:eastAsia="Verdana" w:cs="Verdana"/>
                <w:i w:val="0"/>
                <w:lang w:bidi="en-GB"/>
              </w:rPr>
              <w:t>&amp;</w:t>
            </w:r>
            <w:r>
              <w:rPr>
                <w:rFonts w:eastAsia="Verdana" w:cs="Verdana"/>
                <w:i w:val="0"/>
                <w:lang w:bidi="en-GB"/>
              </w:rPr>
              <w:t xml:space="preserve"> Innovation</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6 215</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(53)</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6 162</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1 031</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7 193</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4 107</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4 096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1 490</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5 621</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lang w:bidi="en-GB"/>
              </w:rPr>
            </w:pPr>
            <w:r>
              <w:rPr>
                <w:rFonts w:eastAsia="Verdana" w:cs="Verdana"/>
                <w:lang w:bidi="en-GB"/>
              </w:rPr>
              <w:t>09</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7C0DF8">
            <w:pPr>
              <w:pStyle w:val="Text7pItalicLeft"/>
              <w:rPr>
                <w:rFonts w:eastAsia="Verdana" w:cs="Verdana"/>
                <w:i w:val="0"/>
                <w:lang w:bidi="en-GB"/>
              </w:rPr>
            </w:pPr>
            <w:r>
              <w:rPr>
                <w:rFonts w:eastAsia="Verdana" w:cs="Verdana"/>
                <w:i w:val="0"/>
                <w:lang w:bidi="en-GB"/>
              </w:rPr>
              <w:t>Commun</w:t>
            </w:r>
            <w:r w:rsidR="007C0DF8">
              <w:rPr>
                <w:rFonts w:eastAsia="Verdana" w:cs="Verdana"/>
                <w:i w:val="0"/>
                <w:lang w:bidi="en-GB"/>
              </w:rPr>
              <w:t>.</w:t>
            </w:r>
            <w:r>
              <w:rPr>
                <w:rFonts w:eastAsia="Verdana" w:cs="Verdana"/>
                <w:i w:val="0"/>
                <w:lang w:bidi="en-GB"/>
              </w:rPr>
              <w:t xml:space="preserve"> networks, content and technology</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1 637</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(26)</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1 612</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148</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1 759</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961</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107</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1 068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259</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1 343</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lang w:bidi="en-GB"/>
              </w:rPr>
            </w:pPr>
            <w:r>
              <w:rPr>
                <w:rFonts w:eastAsia="Verdana" w:cs="Verdana"/>
                <w:lang w:bidi="en-GB"/>
              </w:rPr>
              <w:t>10</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lang w:bidi="en-GB"/>
              </w:rPr>
            </w:pPr>
            <w:r>
              <w:rPr>
                <w:rFonts w:eastAsia="Verdana" w:cs="Verdana"/>
                <w:i w:val="0"/>
                <w:lang w:bidi="en-GB"/>
              </w:rPr>
              <w:t>Direct research</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425</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(23)</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401</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580</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982</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420</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(23)</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397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497</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949</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lang w:bidi="en-GB"/>
              </w:rPr>
            </w:pPr>
            <w:r>
              <w:rPr>
                <w:rFonts w:eastAsia="Verdana" w:cs="Verdana"/>
                <w:lang w:bidi="en-GB"/>
              </w:rPr>
              <w:t>11</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7C0DF8">
            <w:pPr>
              <w:pStyle w:val="Text7pItalicLeft"/>
              <w:rPr>
                <w:rFonts w:eastAsia="Verdana" w:cs="Verdana"/>
                <w:i w:val="0"/>
                <w:lang w:bidi="en-GB"/>
              </w:rPr>
            </w:pPr>
            <w:r>
              <w:rPr>
                <w:rFonts w:eastAsia="Verdana" w:cs="Verdana"/>
                <w:i w:val="0"/>
                <w:lang w:bidi="en-GB"/>
              </w:rPr>
              <w:t>Maritime aff</w:t>
            </w:r>
            <w:r w:rsidR="007C0DF8">
              <w:rPr>
                <w:rFonts w:eastAsia="Verdana" w:cs="Verdana"/>
                <w:i w:val="0"/>
                <w:lang w:bidi="en-GB"/>
              </w:rPr>
              <w:t xml:space="preserve"> &amp;</w:t>
            </w:r>
            <w:r>
              <w:rPr>
                <w:rFonts w:eastAsia="Verdana" w:cs="Verdana"/>
                <w:i w:val="0"/>
                <w:lang w:bidi="en-GB"/>
              </w:rPr>
              <w:t xml:space="preserve"> Fisheries</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1 066</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(76)</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991</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30</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1 021</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780</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788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30</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823</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lang w:bidi="en-GB"/>
              </w:rPr>
            </w:pPr>
            <w:r>
              <w:rPr>
                <w:rFonts w:eastAsia="Verdana" w:cs="Verdana"/>
                <w:lang w:bidi="en-GB"/>
              </w:rPr>
              <w:t>12</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7C0DF8">
            <w:pPr>
              <w:pStyle w:val="Text7pItalicLeft"/>
              <w:rPr>
                <w:rFonts w:eastAsia="Verdana" w:cs="Verdana"/>
                <w:i w:val="0"/>
                <w:lang w:bidi="en-GB"/>
              </w:rPr>
            </w:pPr>
            <w:r>
              <w:rPr>
                <w:rFonts w:eastAsia="Verdana" w:cs="Verdana"/>
                <w:i w:val="0"/>
                <w:lang w:bidi="en-GB"/>
              </w:rPr>
              <w:t>Intern</w:t>
            </w:r>
            <w:r w:rsidR="007C0DF8">
              <w:rPr>
                <w:rFonts w:eastAsia="Verdana" w:cs="Verdana"/>
                <w:i w:val="0"/>
                <w:lang w:bidi="en-GB"/>
              </w:rPr>
              <w:t>.</w:t>
            </w:r>
            <w:r>
              <w:rPr>
                <w:rFonts w:eastAsia="Verdana" w:cs="Verdana"/>
                <w:i w:val="0"/>
                <w:lang w:bidi="en-GB"/>
              </w:rPr>
              <w:t xml:space="preserve"> market </w:t>
            </w:r>
            <w:r w:rsidR="007C0DF8">
              <w:rPr>
                <w:rFonts w:eastAsia="Verdana" w:cs="Verdana"/>
                <w:i w:val="0"/>
                <w:lang w:bidi="en-GB"/>
              </w:rPr>
              <w:t>&amp;</w:t>
            </w:r>
            <w:r>
              <w:rPr>
                <w:rFonts w:eastAsia="Verdana" w:cs="Verdana"/>
                <w:i w:val="0"/>
                <w:lang w:bidi="en-GB"/>
              </w:rPr>
              <w:t xml:space="preserve"> serv</w:t>
            </w:r>
            <w:r w:rsidR="007C0DF8">
              <w:rPr>
                <w:rFonts w:eastAsia="Verdana" w:cs="Verdana"/>
                <w:i w:val="0"/>
                <w:lang w:bidi="en-GB"/>
              </w:rPr>
              <w:t>.</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117</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118</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15</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133</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117</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114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15</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134</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lang w:bidi="en-GB"/>
              </w:rPr>
            </w:pPr>
            <w:r>
              <w:rPr>
                <w:rFonts w:eastAsia="Verdana" w:cs="Verdana"/>
                <w:lang w:bidi="en-GB"/>
              </w:rPr>
              <w:t>13</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7C0DF8">
            <w:pPr>
              <w:pStyle w:val="Text7pItalicLeft"/>
              <w:rPr>
                <w:rFonts w:eastAsia="Verdana" w:cs="Verdana"/>
                <w:i w:val="0"/>
                <w:lang w:bidi="en-GB"/>
              </w:rPr>
            </w:pPr>
            <w:r>
              <w:rPr>
                <w:rFonts w:eastAsia="Verdana" w:cs="Verdana"/>
                <w:i w:val="0"/>
                <w:lang w:bidi="en-GB"/>
              </w:rPr>
              <w:t xml:space="preserve">Regional </w:t>
            </w:r>
            <w:r w:rsidR="007C0DF8">
              <w:rPr>
                <w:rFonts w:eastAsia="Verdana" w:cs="Verdana"/>
                <w:i w:val="0"/>
                <w:lang w:bidi="en-GB"/>
              </w:rPr>
              <w:t>&amp;</w:t>
            </w:r>
            <w:r>
              <w:rPr>
                <w:rFonts w:eastAsia="Verdana" w:cs="Verdana"/>
                <w:i w:val="0"/>
                <w:lang w:bidi="en-GB"/>
              </w:rPr>
              <w:t xml:space="preserve"> urban policy</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33 073</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33 154</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354</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33 508</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40 223</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3 244</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43 467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391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136</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43 995</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lang w:bidi="en-GB"/>
              </w:rPr>
            </w:pPr>
            <w:r>
              <w:rPr>
                <w:rFonts w:eastAsia="Verdana" w:cs="Verdana"/>
                <w:lang w:bidi="en-GB"/>
              </w:rPr>
              <w:t>14</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7C0DF8">
            <w:pPr>
              <w:pStyle w:val="Text7pItalicLeft"/>
              <w:rPr>
                <w:rFonts w:eastAsia="Verdana" w:cs="Verdana"/>
                <w:i w:val="0"/>
                <w:lang w:bidi="en-GB"/>
              </w:rPr>
            </w:pPr>
            <w:r>
              <w:rPr>
                <w:rFonts w:eastAsia="Verdana" w:cs="Verdana"/>
                <w:i w:val="0"/>
                <w:lang w:bidi="en-GB"/>
              </w:rPr>
              <w:t xml:space="preserve">Taxation </w:t>
            </w:r>
            <w:r w:rsidR="007C0DF8">
              <w:rPr>
                <w:rFonts w:eastAsia="Verdana" w:cs="Verdana"/>
                <w:i w:val="0"/>
                <w:lang w:bidi="en-GB"/>
              </w:rPr>
              <w:t>&amp;</w:t>
            </w:r>
            <w:r>
              <w:rPr>
                <w:rFonts w:eastAsia="Verdana" w:cs="Verdana"/>
                <w:i w:val="0"/>
                <w:lang w:bidi="en-GB"/>
              </w:rPr>
              <w:t xml:space="preserve"> cust</w:t>
            </w:r>
            <w:r w:rsidR="007C0DF8">
              <w:rPr>
                <w:rFonts w:eastAsia="Verdana" w:cs="Verdana"/>
                <w:i w:val="0"/>
                <w:lang w:bidi="en-GB"/>
              </w:rPr>
              <w:t>.</w:t>
            </w:r>
            <w:r>
              <w:rPr>
                <w:rFonts w:eastAsia="Verdana" w:cs="Verdana"/>
                <w:i w:val="0"/>
                <w:lang w:bidi="en-GB"/>
              </w:rPr>
              <w:t xml:space="preserve"> union</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157</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158</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164</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122</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133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146</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lang w:bidi="en-GB"/>
              </w:rPr>
            </w:pPr>
            <w:r>
              <w:rPr>
                <w:rFonts w:eastAsia="Verdana" w:cs="Verdana"/>
                <w:lang w:bidi="en-GB"/>
              </w:rPr>
              <w:t>15</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lang w:bidi="en-GB"/>
              </w:rPr>
            </w:pPr>
            <w:r>
              <w:rPr>
                <w:rFonts w:eastAsia="Verdana" w:cs="Verdana"/>
                <w:i w:val="0"/>
                <w:lang w:bidi="en-GB"/>
              </w:rPr>
              <w:t>Education and culture</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2 820</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57</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2 877</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453</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3 330</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2 242</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178</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2 420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537</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2 969</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lang w:bidi="en-GB"/>
              </w:rPr>
            </w:pPr>
            <w:r>
              <w:rPr>
                <w:rFonts w:eastAsia="Verdana" w:cs="Verdana"/>
                <w:lang w:bidi="en-GB"/>
              </w:rPr>
              <w:t>16</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lang w:bidi="en-GB"/>
              </w:rPr>
            </w:pPr>
            <w:r>
              <w:rPr>
                <w:rFonts w:eastAsia="Verdana" w:cs="Verdana"/>
                <w:i w:val="0"/>
                <w:lang w:bidi="en-GB"/>
              </w:rPr>
              <w:t>Communication</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246</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248</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11</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259</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245</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251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11</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276</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lang w:bidi="en-GB"/>
              </w:rPr>
            </w:pPr>
            <w:r>
              <w:rPr>
                <w:rFonts w:eastAsia="Verdana" w:cs="Verdana"/>
                <w:lang w:bidi="en-GB"/>
              </w:rPr>
              <w:t>17</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7C0DF8">
            <w:pPr>
              <w:pStyle w:val="Text7pItalicLeft"/>
              <w:rPr>
                <w:rFonts w:eastAsia="Verdana" w:cs="Verdana"/>
                <w:i w:val="0"/>
                <w:lang w:bidi="en-GB"/>
              </w:rPr>
            </w:pPr>
            <w:r>
              <w:rPr>
                <w:rFonts w:eastAsia="Verdana" w:cs="Verdana"/>
                <w:i w:val="0"/>
                <w:lang w:bidi="en-GB"/>
              </w:rPr>
              <w:t xml:space="preserve">Health </w:t>
            </w:r>
            <w:r w:rsidR="007C0DF8">
              <w:rPr>
                <w:rFonts w:eastAsia="Verdana" w:cs="Verdana"/>
                <w:i w:val="0"/>
                <w:lang w:bidi="en-GB"/>
              </w:rPr>
              <w:t>&amp;</w:t>
            </w:r>
            <w:r>
              <w:rPr>
                <w:rFonts w:eastAsia="Verdana" w:cs="Verdana"/>
                <w:i w:val="0"/>
                <w:lang w:bidi="en-GB"/>
              </w:rPr>
              <w:t xml:space="preserve"> consum</w:t>
            </w:r>
            <w:r w:rsidR="007C0DF8">
              <w:rPr>
                <w:rFonts w:eastAsia="Verdana" w:cs="Verdana"/>
                <w:i w:val="0"/>
                <w:lang w:bidi="en-GB"/>
              </w:rPr>
              <w:t>.</w:t>
            </w:r>
            <w:r>
              <w:rPr>
                <w:rFonts w:eastAsia="Verdana" w:cs="Verdana"/>
                <w:i w:val="0"/>
                <w:lang w:bidi="en-GB"/>
              </w:rPr>
              <w:t xml:space="preserve"> </w:t>
            </w:r>
            <w:r w:rsidR="007C0DF8">
              <w:rPr>
                <w:rFonts w:eastAsia="Verdana" w:cs="Verdana"/>
                <w:i w:val="0"/>
                <w:lang w:bidi="en-GB"/>
              </w:rPr>
              <w:t>p</w:t>
            </w:r>
            <w:r>
              <w:rPr>
                <w:rFonts w:eastAsia="Verdana" w:cs="Verdana"/>
                <w:i w:val="0"/>
                <w:lang w:bidi="en-GB"/>
              </w:rPr>
              <w:t>rot</w:t>
            </w:r>
            <w:r w:rsidR="007C0DF8">
              <w:rPr>
                <w:rFonts w:eastAsia="Verdana" w:cs="Verdana"/>
                <w:i w:val="0"/>
                <w:lang w:bidi="en-GB"/>
              </w:rPr>
              <w:t>.</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618</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616</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26</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643</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567</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(13)</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553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25</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590</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lang w:bidi="en-GB"/>
              </w:rPr>
            </w:pPr>
            <w:r>
              <w:rPr>
                <w:rFonts w:eastAsia="Verdana" w:cs="Verdana"/>
                <w:lang w:bidi="en-GB"/>
              </w:rPr>
              <w:t>18</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lang w:bidi="en-GB"/>
              </w:rPr>
            </w:pPr>
            <w:r>
              <w:rPr>
                <w:rFonts w:eastAsia="Verdana" w:cs="Verdana"/>
                <w:i w:val="0"/>
                <w:lang w:bidi="en-GB"/>
              </w:rPr>
              <w:t>Home affairs</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1 201</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1 202</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39</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1 243</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763</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768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31</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803</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lang w:bidi="en-GB"/>
              </w:rPr>
            </w:pPr>
            <w:r>
              <w:rPr>
                <w:rFonts w:eastAsia="Verdana" w:cs="Verdana"/>
                <w:lang w:bidi="en-GB"/>
              </w:rPr>
              <w:t>19</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7C0DF8">
            <w:pPr>
              <w:pStyle w:val="Text7pItalicLeft"/>
              <w:rPr>
                <w:rFonts w:eastAsia="Verdana" w:cs="Verdana"/>
                <w:i w:val="0"/>
                <w:lang w:bidi="en-GB"/>
              </w:rPr>
            </w:pPr>
            <w:r>
              <w:rPr>
                <w:rFonts w:eastAsia="Verdana" w:cs="Verdana"/>
                <w:i w:val="0"/>
                <w:lang w:bidi="en-GB"/>
              </w:rPr>
              <w:t>Foreign pol</w:t>
            </w:r>
            <w:r w:rsidR="007C0DF8">
              <w:rPr>
                <w:rFonts w:eastAsia="Verdana" w:cs="Verdana"/>
                <w:i w:val="0"/>
                <w:lang w:bidi="en-GB"/>
              </w:rPr>
              <w:t>.</w:t>
            </w:r>
            <w:r>
              <w:rPr>
                <w:rFonts w:eastAsia="Verdana" w:cs="Verdana"/>
                <w:i w:val="0"/>
                <w:lang w:bidi="en-GB"/>
              </w:rPr>
              <w:t xml:space="preserve"> </w:t>
            </w:r>
            <w:r w:rsidR="007C0DF8">
              <w:rPr>
                <w:rFonts w:eastAsia="Verdana" w:cs="Verdana"/>
                <w:i w:val="0"/>
                <w:lang w:bidi="en-GB"/>
              </w:rPr>
              <w:t>i</w:t>
            </w:r>
            <w:r>
              <w:rPr>
                <w:rFonts w:eastAsia="Verdana" w:cs="Verdana"/>
                <w:i w:val="0"/>
                <w:lang w:bidi="en-GB"/>
              </w:rPr>
              <w:t>nstr</w:t>
            </w:r>
            <w:r w:rsidR="007C0DF8">
              <w:rPr>
                <w:rFonts w:eastAsia="Verdana" w:cs="Verdana"/>
                <w:i w:val="0"/>
                <w:lang w:bidi="en-GB"/>
              </w:rPr>
              <w:t>.</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733</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(55)</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678</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55</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739</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463</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74</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537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52</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593</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lang w:bidi="en-GB"/>
              </w:rPr>
            </w:pPr>
            <w:r>
              <w:rPr>
                <w:rFonts w:eastAsia="Verdana" w:cs="Verdana"/>
                <w:lang w:bidi="en-GB"/>
              </w:rPr>
              <w:t>20</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lang w:bidi="en-GB"/>
              </w:rPr>
            </w:pPr>
            <w:r>
              <w:rPr>
                <w:rFonts w:eastAsia="Verdana" w:cs="Verdana"/>
                <w:i w:val="0"/>
                <w:lang w:bidi="en-GB"/>
              </w:rPr>
              <w:t>Trade</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121</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119</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122</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115</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116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123</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lang w:bidi="en-GB"/>
              </w:rPr>
            </w:pPr>
            <w:r>
              <w:rPr>
                <w:rFonts w:eastAsia="Verdana" w:cs="Verdana"/>
                <w:lang w:bidi="en-GB"/>
              </w:rPr>
              <w:t>21</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7C0DF8">
            <w:pPr>
              <w:pStyle w:val="Text7pItalicLeft"/>
              <w:rPr>
                <w:rFonts w:eastAsia="Verdana" w:cs="Verdana"/>
                <w:i w:val="0"/>
                <w:lang w:bidi="en-GB"/>
              </w:rPr>
            </w:pPr>
            <w:r>
              <w:rPr>
                <w:rFonts w:eastAsia="Verdana" w:cs="Verdana"/>
                <w:i w:val="0"/>
                <w:lang w:bidi="en-GB"/>
              </w:rPr>
              <w:t>Develop</w:t>
            </w:r>
            <w:r w:rsidR="007C0DF8">
              <w:rPr>
                <w:rFonts w:eastAsia="Verdana" w:cs="Verdana"/>
                <w:i w:val="0"/>
                <w:lang w:bidi="en-GB"/>
              </w:rPr>
              <w:t>.</w:t>
            </w:r>
            <w:r>
              <w:rPr>
                <w:rFonts w:eastAsia="Verdana" w:cs="Verdana"/>
                <w:i w:val="0"/>
                <w:lang w:bidi="en-GB"/>
              </w:rPr>
              <w:t xml:space="preserve"> </w:t>
            </w:r>
            <w:r w:rsidR="007C0DF8">
              <w:rPr>
                <w:rFonts w:eastAsia="Verdana" w:cs="Verdana"/>
                <w:i w:val="0"/>
                <w:lang w:bidi="en-GB"/>
              </w:rPr>
              <w:t>&amp;</w:t>
            </w:r>
            <w:r>
              <w:rPr>
                <w:rFonts w:eastAsia="Verdana" w:cs="Verdana"/>
                <w:i w:val="0"/>
                <w:lang w:bidi="en-GB"/>
              </w:rPr>
              <w:t xml:space="preserve"> Cooperation</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5 084</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121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5 204</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263</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5 469</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3 658</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286</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3 944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222</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4 192</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lang w:bidi="en-GB"/>
              </w:rPr>
            </w:pPr>
            <w:r>
              <w:rPr>
                <w:rFonts w:eastAsia="Verdana" w:cs="Verdana"/>
                <w:lang w:bidi="en-GB"/>
              </w:rPr>
              <w:t>22</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lang w:bidi="en-GB"/>
              </w:rPr>
            </w:pPr>
            <w:r>
              <w:rPr>
                <w:rFonts w:eastAsia="Verdana" w:cs="Verdana"/>
                <w:i w:val="0"/>
                <w:lang w:bidi="en-GB"/>
              </w:rPr>
              <w:t>Enlargement</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1 520</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(45)</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1 475</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13</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1 488</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904</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(12)</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892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12</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908</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lang w:bidi="en-GB"/>
              </w:rPr>
            </w:pPr>
            <w:r>
              <w:rPr>
                <w:rFonts w:eastAsia="Verdana" w:cs="Verdana"/>
                <w:lang w:bidi="en-GB"/>
              </w:rPr>
              <w:t>23</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7C0DF8">
            <w:pPr>
              <w:pStyle w:val="Text7pItalicLeft"/>
              <w:rPr>
                <w:rFonts w:eastAsia="Verdana" w:cs="Verdana"/>
                <w:i w:val="0"/>
                <w:lang w:bidi="en-GB"/>
              </w:rPr>
            </w:pPr>
            <w:r>
              <w:rPr>
                <w:rFonts w:eastAsia="Verdana" w:cs="Verdana"/>
                <w:i w:val="0"/>
                <w:lang w:bidi="en-GB"/>
              </w:rPr>
              <w:t>Human</w:t>
            </w:r>
            <w:r w:rsidR="007C0DF8">
              <w:rPr>
                <w:rFonts w:eastAsia="Verdana" w:cs="Verdana"/>
                <w:i w:val="0"/>
                <w:lang w:bidi="en-GB"/>
              </w:rPr>
              <w:t>.</w:t>
            </w:r>
            <w:r>
              <w:rPr>
                <w:rFonts w:eastAsia="Verdana" w:cs="Verdana"/>
                <w:i w:val="0"/>
                <w:lang w:bidi="en-GB"/>
              </w:rPr>
              <w:t xml:space="preserve"> aid </w:t>
            </w:r>
            <w:r w:rsidR="007C0DF8">
              <w:rPr>
                <w:rFonts w:eastAsia="Verdana" w:cs="Verdana"/>
                <w:i w:val="0"/>
                <w:lang w:bidi="en-GB"/>
              </w:rPr>
              <w:t>&amp;</w:t>
            </w:r>
            <w:r>
              <w:rPr>
                <w:rFonts w:eastAsia="Verdana" w:cs="Verdana"/>
                <w:i w:val="0"/>
                <w:lang w:bidi="en-GB"/>
              </w:rPr>
              <w:t xml:space="preserve"> Civil prot</w:t>
            </w:r>
            <w:r w:rsidR="007C0DF8">
              <w:rPr>
                <w:rFonts w:eastAsia="Verdana" w:cs="Verdana"/>
                <w:i w:val="0"/>
                <w:lang w:bidi="en-GB"/>
              </w:rPr>
              <w:t>.</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1 006</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158</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1 164</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75</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1 240</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851</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564</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1 415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75</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1 498</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lang w:bidi="en-GB"/>
              </w:rPr>
            </w:pPr>
            <w:r>
              <w:rPr>
                <w:rFonts w:eastAsia="Verdana" w:cs="Verdana"/>
                <w:lang w:bidi="en-GB"/>
              </w:rPr>
              <w:t>24</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lang w:bidi="en-GB"/>
              </w:rPr>
            </w:pPr>
            <w:r>
              <w:rPr>
                <w:rFonts w:eastAsia="Verdana" w:cs="Verdana"/>
                <w:i w:val="0"/>
                <w:lang w:bidi="en-GB"/>
              </w:rPr>
              <w:t>Fight against fraud</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78</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77</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77</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75</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84</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lang w:bidi="en-GB"/>
              </w:rPr>
            </w:pPr>
            <w:r>
              <w:rPr>
                <w:rFonts w:eastAsia="Verdana" w:cs="Verdana"/>
                <w:lang w:bidi="en-GB"/>
              </w:rPr>
              <w:t>25</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7C0DF8">
            <w:pPr>
              <w:pStyle w:val="Text7pItalicLeft"/>
              <w:rPr>
                <w:rFonts w:eastAsia="Verdana" w:cs="Verdana"/>
                <w:i w:val="0"/>
                <w:lang w:bidi="en-GB"/>
              </w:rPr>
            </w:pPr>
            <w:r>
              <w:rPr>
                <w:rFonts w:eastAsia="Verdana" w:cs="Verdana"/>
                <w:i w:val="0"/>
                <w:lang w:bidi="en-GB"/>
              </w:rPr>
              <w:t>Commission's policy coord</w:t>
            </w:r>
            <w:r w:rsidR="007C0DF8">
              <w:rPr>
                <w:rFonts w:eastAsia="Verdana" w:cs="Verdana"/>
                <w:i w:val="0"/>
                <w:lang w:bidi="en-GB"/>
              </w:rPr>
              <w:t>.</w:t>
            </w:r>
            <w:r>
              <w:rPr>
                <w:rFonts w:eastAsia="Verdana" w:cs="Verdana"/>
                <w:i w:val="0"/>
                <w:lang w:bidi="en-GB"/>
              </w:rPr>
              <w:t xml:space="preserve"> &amp; legal advice</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194</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194</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11</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205</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195</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195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11</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221</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lang w:bidi="en-GB"/>
              </w:rPr>
            </w:pPr>
            <w:r>
              <w:rPr>
                <w:rFonts w:eastAsia="Verdana" w:cs="Verdana"/>
                <w:lang w:bidi="en-GB"/>
              </w:rPr>
              <w:t>26</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7C0DF8">
            <w:pPr>
              <w:pStyle w:val="Text7pItalicLeft"/>
              <w:rPr>
                <w:rFonts w:eastAsia="Verdana" w:cs="Verdana"/>
                <w:i w:val="0"/>
                <w:lang w:bidi="en-GB"/>
              </w:rPr>
            </w:pPr>
            <w:r>
              <w:rPr>
                <w:rFonts w:eastAsia="Verdana" w:cs="Verdana"/>
                <w:i w:val="0"/>
                <w:lang w:bidi="en-GB"/>
              </w:rPr>
              <w:t>Commission’s admin</w:t>
            </w:r>
            <w:r w:rsidR="007C0DF8">
              <w:rPr>
                <w:rFonts w:eastAsia="Verdana" w:cs="Verdana"/>
                <w:i w:val="0"/>
                <w:lang w:bidi="en-GB"/>
              </w:rPr>
              <w:t>.</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1 001</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961</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162</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1 124</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991</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961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160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164</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1 285</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lang w:bidi="en-GB"/>
              </w:rPr>
            </w:pPr>
            <w:r>
              <w:rPr>
                <w:rFonts w:eastAsia="Verdana" w:cs="Verdana"/>
                <w:lang w:bidi="en-GB"/>
              </w:rPr>
              <w:t>27</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lang w:bidi="en-GB"/>
              </w:rPr>
            </w:pPr>
            <w:r>
              <w:rPr>
                <w:rFonts w:eastAsia="Verdana" w:cs="Verdana"/>
                <w:i w:val="0"/>
                <w:lang w:bidi="en-GB"/>
              </w:rPr>
              <w:t>Budget</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96</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84</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92</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96</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99</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lang w:bidi="en-GB"/>
              </w:rPr>
            </w:pPr>
            <w:r>
              <w:rPr>
                <w:rFonts w:eastAsia="Verdana" w:cs="Verdana"/>
                <w:lang w:bidi="en-GB"/>
              </w:rPr>
              <w:t>28</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lang w:bidi="en-GB"/>
              </w:rPr>
            </w:pPr>
            <w:r>
              <w:rPr>
                <w:rFonts w:eastAsia="Verdana" w:cs="Verdana"/>
                <w:i w:val="0"/>
                <w:lang w:bidi="en-GB"/>
              </w:rPr>
              <w:t>Audit</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12</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12</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12</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12</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13</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lang w:bidi="en-GB"/>
              </w:rPr>
            </w:pPr>
            <w:r>
              <w:rPr>
                <w:rFonts w:eastAsia="Verdana" w:cs="Verdana"/>
                <w:lang w:bidi="en-GB"/>
              </w:rPr>
              <w:t>29</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lang w:bidi="en-GB"/>
              </w:rPr>
            </w:pPr>
            <w:r>
              <w:rPr>
                <w:rFonts w:eastAsia="Verdana" w:cs="Verdana"/>
                <w:i w:val="0"/>
                <w:lang w:bidi="en-GB"/>
              </w:rPr>
              <w:t>Statistics</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132</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132</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14</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146</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152</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131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22</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160</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lang w:bidi="en-GB"/>
              </w:rPr>
            </w:pPr>
            <w:r>
              <w:rPr>
                <w:rFonts w:eastAsia="Verdana" w:cs="Verdana"/>
                <w:lang w:bidi="en-GB"/>
              </w:rPr>
              <w:t>30</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7C0DF8">
            <w:pPr>
              <w:pStyle w:val="Text7pItalicLeft"/>
              <w:rPr>
                <w:rFonts w:eastAsia="Verdana" w:cs="Verdana"/>
                <w:i w:val="0"/>
                <w:lang w:bidi="en-GB"/>
              </w:rPr>
            </w:pPr>
            <w:r>
              <w:rPr>
                <w:rFonts w:eastAsia="Verdana" w:cs="Verdana"/>
                <w:i w:val="0"/>
                <w:lang w:bidi="en-GB"/>
              </w:rPr>
              <w:t xml:space="preserve">Pensions </w:t>
            </w:r>
            <w:r w:rsidR="007C0DF8">
              <w:rPr>
                <w:rFonts w:eastAsia="Verdana" w:cs="Verdana"/>
                <w:i w:val="0"/>
                <w:lang w:bidi="en-GB"/>
              </w:rPr>
              <w:t>&amp;</w:t>
            </w:r>
            <w:r>
              <w:rPr>
                <w:rFonts w:eastAsia="Verdana" w:cs="Verdana"/>
                <w:i w:val="0"/>
                <w:lang w:bidi="en-GB"/>
              </w:rPr>
              <w:t xml:space="preserve"> related exp</w:t>
            </w:r>
            <w:r w:rsidR="007C0DF8">
              <w:rPr>
                <w:rFonts w:eastAsia="Verdana" w:cs="Verdana"/>
                <w:i w:val="0"/>
                <w:lang w:bidi="en-GB"/>
              </w:rPr>
              <w:t>.</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1 450</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44</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1 494</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1 495</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1 450</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44</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1 494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1 495</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lang w:bidi="en-GB"/>
              </w:rPr>
            </w:pPr>
            <w:r>
              <w:rPr>
                <w:rFonts w:eastAsia="Verdana" w:cs="Verdana"/>
                <w:lang w:bidi="en-GB"/>
              </w:rPr>
              <w:t>31</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lang w:bidi="en-GB"/>
              </w:rPr>
            </w:pPr>
            <w:r>
              <w:rPr>
                <w:rFonts w:eastAsia="Verdana" w:cs="Verdana"/>
                <w:i w:val="0"/>
                <w:lang w:bidi="en-GB"/>
              </w:rPr>
              <w:t>Language Services</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388</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391</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87</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478</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388</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391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87</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498</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lang w:bidi="en-GB"/>
              </w:rPr>
            </w:pPr>
            <w:r>
              <w:rPr>
                <w:rFonts w:eastAsia="Verdana" w:cs="Verdana"/>
                <w:lang w:bidi="en-GB"/>
              </w:rPr>
              <w:t>32</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lang w:bidi="en-GB"/>
              </w:rPr>
            </w:pPr>
            <w:r>
              <w:rPr>
                <w:rFonts w:eastAsia="Verdana" w:cs="Verdana"/>
                <w:i w:val="0"/>
                <w:lang w:bidi="en-GB"/>
              </w:rPr>
              <w:t>Energy</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933</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24</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958</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128</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1 086</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588</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68</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656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144</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805</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lang w:bidi="en-GB"/>
              </w:rPr>
            </w:pPr>
            <w:r>
              <w:rPr>
                <w:rFonts w:eastAsia="Verdana" w:cs="Verdana"/>
                <w:lang w:bidi="en-GB"/>
              </w:rPr>
              <w:t>33</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lang w:bidi="en-GB"/>
              </w:rPr>
            </w:pPr>
            <w:r>
              <w:rPr>
                <w:rFonts w:eastAsia="Verdana" w:cs="Verdana"/>
                <w:i w:val="0"/>
                <w:lang w:bidi="en-GB"/>
              </w:rPr>
              <w:t>Justice</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203</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205</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11</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216</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193</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187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12</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202</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lang w:bidi="en-GB"/>
              </w:rPr>
            </w:pPr>
            <w:r>
              <w:rPr>
                <w:rFonts w:eastAsia="Verdana" w:cs="Verdana"/>
                <w:lang w:bidi="en-GB"/>
              </w:rPr>
              <w:t>34</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lang w:bidi="en-GB"/>
              </w:rPr>
            </w:pPr>
            <w:r>
              <w:rPr>
                <w:rFonts w:eastAsia="Verdana" w:cs="Verdana"/>
                <w:i w:val="0"/>
                <w:lang w:bidi="en-GB"/>
              </w:rPr>
              <w:t>Climate action</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121</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122</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122</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43</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55</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lang w:bidi="en-GB"/>
              </w:rPr>
            </w:pPr>
            <w:r>
              <w:rPr>
                <w:rFonts w:eastAsia="Verdana" w:cs="Verdana"/>
                <w:lang w:bidi="en-GB"/>
              </w:rPr>
              <w:t>40</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lang w:bidi="en-GB"/>
              </w:rPr>
            </w:pPr>
            <w:r>
              <w:rPr>
                <w:rFonts w:eastAsia="Verdana" w:cs="Verdana"/>
                <w:i w:val="0"/>
                <w:lang w:bidi="en-GB"/>
              </w:rPr>
              <w:t>Reserves</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456</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(179)</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277</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277</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150</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(150)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lang w:bidi="en-GB"/>
              </w:rPr>
            </w:pPr>
            <w:r>
              <w:rPr>
                <w:rFonts w:eastAsia="Verdana" w:cs="Verdana"/>
                <w:lang w:bidi="en-GB"/>
              </w:rPr>
              <w:t>90</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lang w:bidi="en-GB"/>
              </w:rPr>
            </w:pPr>
            <w:r>
              <w:rPr>
                <w:rFonts w:eastAsia="Verdana" w:cs="Verdana"/>
                <w:i w:val="0"/>
                <w:lang w:bidi="en-GB"/>
              </w:rPr>
              <w:t>Other Institutions</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3 532</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3 531</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399</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3 931</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3 532</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3 531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452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492</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4 475</w:t>
            </w:r>
          </w:p>
        </w:tc>
      </w:tr>
      <w:tr w:rsidR="00E7728E">
        <w:tc>
          <w:tcPr>
            <w:tcW w:w="392"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8pBoldRight025"/>
              <w:rPr>
                <w:rFonts w:eastAsia="Verdana" w:cs="Verdana"/>
                <w:lang w:bidi="en-GB"/>
              </w:rPr>
            </w:pPr>
          </w:p>
        </w:tc>
        <w:tc>
          <w:tcPr>
            <w:tcW w:w="170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7pBoldLeft"/>
              <w:rPr>
                <w:rFonts w:eastAsia="Verdana" w:cs="Verdana"/>
                <w:lang w:bidi="en-GB"/>
              </w:rPr>
            </w:pPr>
            <w:r>
              <w:rPr>
                <w:rFonts w:eastAsia="Verdana" w:cs="Verdana"/>
                <w:lang w:bidi="en-GB"/>
              </w:rPr>
              <w:t>Total</w:t>
            </w:r>
          </w:p>
        </w:tc>
        <w:tc>
          <w:tcPr>
            <w:tcW w:w="113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142 640</w:t>
            </w:r>
          </w:p>
        </w:tc>
        <w:tc>
          <w:tcPr>
            <w:tcW w:w="113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 xml:space="preserve"> 50</w:t>
            </w:r>
          </w:p>
        </w:tc>
        <w:tc>
          <w:tcPr>
            <w:tcW w:w="99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142 690</w:t>
            </w:r>
          </w:p>
        </w:tc>
        <w:tc>
          <w:tcPr>
            <w:tcW w:w="85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 xml:space="preserve"> 179</w:t>
            </w:r>
          </w:p>
        </w:tc>
        <w:tc>
          <w:tcPr>
            <w:tcW w:w="99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7 070</w:t>
            </w:r>
          </w:p>
        </w:tc>
        <w:tc>
          <w:tcPr>
            <w:tcW w:w="113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149 939</w:t>
            </w:r>
          </w:p>
        </w:tc>
        <w:tc>
          <w:tcPr>
            <w:tcW w:w="127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135 505</w:t>
            </w:r>
          </w:p>
        </w:tc>
        <w:tc>
          <w:tcPr>
            <w:tcW w:w="113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3 530</w:t>
            </w:r>
          </w:p>
        </w:tc>
        <w:tc>
          <w:tcPr>
            <w:tcW w:w="99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139 034</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1 410</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7 050</w:t>
            </w:r>
          </w:p>
        </w:tc>
        <w:tc>
          <w:tcPr>
            <w:tcW w:w="1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147 495</w:t>
            </w:r>
          </w:p>
        </w:tc>
      </w:tr>
    </w:tbl>
    <w:p w:rsidR="00F50689" w:rsidRDefault="005A36C4" w:rsidP="00F50689">
      <w:pPr>
        <w:pStyle w:val="Textstand-alone"/>
        <w:sectPr w:rsidR="00F50689" w:rsidSect="00F50689">
          <w:headerReference w:type="even" r:id="rId533"/>
          <w:headerReference w:type="default" r:id="rId534"/>
          <w:footerReference w:type="even" r:id="rId535"/>
          <w:footerReference w:type="default" r:id="rId536"/>
          <w:headerReference w:type="first" r:id="rId537"/>
          <w:footerReference w:type="first" r:id="rId538"/>
          <w:pgSz w:w="16840" w:h="11907" w:orient="landscape" w:code="9"/>
          <w:pgMar w:top="1134" w:right="1134" w:bottom="1134" w:left="1134" w:header="708" w:footer="708" w:gutter="0"/>
          <w:cols w:space="708"/>
          <w:docGrid w:linePitch="360"/>
        </w:sectPr>
      </w:pPr>
      <w:r>
        <w:t xml:space="preserve"> </w:t>
      </w:r>
      <w:bookmarkEnd w:id="265"/>
    </w:p>
    <w:p w:rsidR="00F50689" w:rsidRDefault="005A36C4" w:rsidP="00F50689">
      <w:pPr>
        <w:pStyle w:val="HEADER3Part3"/>
      </w:pPr>
      <w:bookmarkStart w:id="267" w:name="_DMBM_3462"/>
      <w:r w:rsidRPr="00693D35">
        <w:t xml:space="preserve">POLICY AREA: COMPARISON OF BUDGET AND ACTUAL </w:t>
      </w:r>
      <w:r>
        <w:t>COMMITMENTS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552"/>
        <w:gridCol w:w="992"/>
        <w:gridCol w:w="1134"/>
        <w:gridCol w:w="1134"/>
        <w:gridCol w:w="992"/>
        <w:gridCol w:w="1276"/>
        <w:gridCol w:w="1417"/>
      </w:tblGrid>
      <w:tr w:rsidR="00E7728E">
        <w:trPr>
          <w:trHeight w:val="274"/>
        </w:trPr>
        <w:tc>
          <w:tcPr>
            <w:tcW w:w="2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lang w:bidi="en-GB"/>
              </w:rPr>
            </w:pPr>
            <w:bookmarkStart w:id="268" w:name="DOC_TBL00106_1_1"/>
            <w:bookmarkEnd w:id="268"/>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jc w:val="left"/>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lang w:bidi="en-GB"/>
              </w:rPr>
            </w:pPr>
            <w:r>
              <w:rPr>
                <w:rFonts w:eastAsia="Verdana" w:cs="Verdana"/>
                <w:lang w:bidi="en-GB"/>
              </w:rPr>
              <w:t>EUR millions</w:t>
            </w:r>
          </w:p>
        </w:tc>
      </w:tr>
      <w:tr w:rsidR="00E7728E">
        <w:tc>
          <w:tcPr>
            <w:tcW w:w="25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lang w:bidi="en-GB"/>
              </w:rPr>
            </w:pPr>
          </w:p>
        </w:tc>
        <w:tc>
          <w:tcPr>
            <w:tcW w:w="255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jc w:val="left"/>
              <w:rPr>
                <w:rFonts w:eastAsia="Verdana" w:cs="Verdana"/>
                <w:lang w:bidi="en-GB"/>
              </w:rPr>
            </w:pPr>
            <w:r>
              <w:rPr>
                <w:rFonts w:eastAsia="Verdana" w:cs="Verdana"/>
                <w:lang w:bidi="en-GB"/>
              </w:rPr>
              <w:t>Policy Area</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eastAsia="Verdana" w:cs="Verdana"/>
                <w:lang w:bidi="en-GB"/>
              </w:rPr>
            </w:pPr>
            <w:r>
              <w:rPr>
                <w:rFonts w:eastAsia="Verdana" w:cs="Verdana"/>
                <w:lang w:bidi="en-GB"/>
              </w:rPr>
              <w:t>Initial adopted budget</w:t>
            </w:r>
          </w:p>
        </w:tc>
        <w:tc>
          <w:tcPr>
            <w:tcW w:w="1134"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eastAsia="Verdana" w:cs="Verdana"/>
                <w:lang w:bidi="en-GB"/>
              </w:rPr>
            </w:pPr>
            <w:r>
              <w:rPr>
                <w:rFonts w:eastAsia="Verdana" w:cs="Verdana"/>
                <w:lang w:bidi="en-GB"/>
              </w:rPr>
              <w:t>Amending budgets  &amp; transfers</w:t>
            </w:r>
          </w:p>
        </w:tc>
        <w:tc>
          <w:tcPr>
            <w:tcW w:w="1134"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eastAsia="Verdana" w:cs="Verdana"/>
                <w:lang w:bidi="en-GB"/>
              </w:rPr>
            </w:pPr>
            <w:r>
              <w:rPr>
                <w:rFonts w:eastAsia="Verdana" w:cs="Verdana"/>
                <w:lang w:bidi="en-GB"/>
              </w:rPr>
              <w:t>Final adopted budget</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eastAsia="Verdana" w:cs="Verdana"/>
                <w:lang w:bidi="en-GB"/>
              </w:rPr>
            </w:pPr>
            <w:r>
              <w:rPr>
                <w:rFonts w:eastAsia="Verdana" w:cs="Verdana"/>
                <w:lang w:bidi="en-GB"/>
              </w:rPr>
              <w:t xml:space="preserve">Additional </w:t>
            </w:r>
            <w:proofErr w:type="spellStart"/>
            <w:r>
              <w:rPr>
                <w:rFonts w:eastAsia="Verdana" w:cs="Verdana"/>
                <w:lang w:bidi="en-GB"/>
              </w:rPr>
              <w:t>appropri</w:t>
            </w:r>
            <w:proofErr w:type="spellEnd"/>
            <w:r>
              <w:rPr>
                <w:rFonts w:eastAsia="Verdana" w:cs="Verdana"/>
                <w:lang w:bidi="en-GB"/>
              </w:rPr>
              <w:t>-</w:t>
            </w:r>
          </w:p>
          <w:p w:rsidR="00F50689" w:rsidRDefault="005A36C4" w:rsidP="00F50689">
            <w:pPr>
              <w:pStyle w:val="Heading9pNormalCentered"/>
              <w:rPr>
                <w:rFonts w:eastAsia="Verdana" w:cs="Verdana"/>
                <w:lang w:bidi="en-GB"/>
              </w:rPr>
            </w:pPr>
            <w:proofErr w:type="spellStart"/>
            <w:r>
              <w:rPr>
                <w:rFonts w:eastAsia="Verdana" w:cs="Verdana"/>
                <w:lang w:bidi="en-GB"/>
              </w:rPr>
              <w:t>ations</w:t>
            </w:r>
            <w:proofErr w:type="spellEnd"/>
            <w:r>
              <w:rPr>
                <w:rFonts w:eastAsia="Verdana" w:cs="Verdana"/>
                <w:lang w:bidi="en-GB"/>
              </w:rPr>
              <w:t>*</w:t>
            </w:r>
          </w:p>
        </w:tc>
        <w:tc>
          <w:tcPr>
            <w:tcW w:w="127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eastAsia="Verdana" w:cs="Verdana"/>
                <w:lang w:bidi="en-GB"/>
              </w:rPr>
            </w:pPr>
            <w:r>
              <w:rPr>
                <w:rFonts w:eastAsia="Verdana" w:cs="Verdana"/>
                <w:lang w:bidi="en-GB"/>
              </w:rPr>
              <w:t xml:space="preserve">Total </w:t>
            </w:r>
            <w:proofErr w:type="spellStart"/>
            <w:r>
              <w:rPr>
                <w:rFonts w:eastAsia="Verdana" w:cs="Verdana"/>
                <w:lang w:bidi="en-GB"/>
              </w:rPr>
              <w:t>appropria-tions</w:t>
            </w:r>
            <w:proofErr w:type="spellEnd"/>
            <w:r>
              <w:rPr>
                <w:rFonts w:eastAsia="Verdana" w:cs="Verdana"/>
                <w:lang w:bidi="en-GB"/>
              </w:rPr>
              <w:t xml:space="preserve"> available</w:t>
            </w:r>
          </w:p>
        </w:tc>
        <w:tc>
          <w:tcPr>
            <w:tcW w:w="141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eastAsia="Verdana" w:cs="Verdana"/>
                <w:lang w:bidi="en-GB"/>
              </w:rPr>
            </w:pPr>
            <w:r>
              <w:rPr>
                <w:rFonts w:eastAsia="Verdana" w:cs="Verdana"/>
                <w:lang w:bidi="en-GB"/>
              </w:rPr>
              <w:t>Commitments made</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01</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Economic and financial affairs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213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233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118</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351</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236</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02</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Enterprise and Industry</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2 536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2 526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228</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2 754</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2 608</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03</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Competition</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94</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93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6</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100</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97</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04</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Employment, social affairs and inclusion</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13 839</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90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13 929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750</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14 678</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10 312</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05</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Agriculture and rural development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58 047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58 025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2 117</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60 141</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47 789</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06</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Mobility and transport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2 867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2 860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71</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2 931</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2 879</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07</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Environment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407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408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22</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430</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423</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08</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Research and Innovation</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6 215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(53)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6 162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1 031</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7 193</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7 002</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09</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Communications networks, content and technology</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1 637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1 612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148</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1 759</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1 708</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10</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Direct research</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425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401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580</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982</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535</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11</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Maritime affairs and Fisheries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1 066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(76)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991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30</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1 021</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218</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12</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Internal market and services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117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118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16</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133</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123</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13</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Regional and urban policy</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33 073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81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33 154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354</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33 508</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17 078</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14</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Taxation and customs union</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157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158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7</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164</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160</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15</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Education and culture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2 820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57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2 877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453</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3 330</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3 223</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16</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Communication</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246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248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11</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259</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252</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17</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Health and consumer protection</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618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616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27</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643</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624</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18</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Home affairs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1 201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1 202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41</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1 243</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523</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19</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Foreign policy instruments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733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(55)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678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61</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739</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687</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20</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Trade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121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119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3</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122</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120</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21</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Development and Cooperation</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5 084</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121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5 204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264</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5 469</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5 353</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22</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Enlargement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1 520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(45)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1 475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13</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1 488</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1 440</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23</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Humanitarian aid and Civil protection</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1 006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158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1 164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75</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1 240</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1 187</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24</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Fight against fraud</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78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77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77</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77</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25</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Commission's policy coordination &amp; legal advice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194</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194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11</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205</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198</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26</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Commission’s administration</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1 001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(40)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961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162</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1 124</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1 070</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27</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Budget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96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84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8</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92</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89</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28</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Audit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12</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12</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29</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Statistics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132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132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14</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146</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140</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30</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Pensions and related expenditure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1 450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44</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1 494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1 495</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1 493</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31</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Language Services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388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391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87</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478</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444</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32</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Energy</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933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24</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958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128</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1 086</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990</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33</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Justice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203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205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11</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216</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209</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34</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Climate action</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121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122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122</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122</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40</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Reserves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456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(179)</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277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277</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90</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Other Institutions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3 532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3 531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400</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3 931</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3 789</w:t>
            </w:r>
          </w:p>
        </w:tc>
      </w:tr>
      <w:tr w:rsidR="00E7728E">
        <w:tc>
          <w:tcPr>
            <w:tcW w:w="2802" w:type="dxa"/>
            <w:gridSpan w:val="2"/>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jc w:val="left"/>
              <w:rPr>
                <w:rFonts w:eastAsia="Verdana" w:cs="Verdana"/>
                <w:lang w:bidi="en-GB"/>
              </w:rPr>
            </w:pPr>
            <w:r>
              <w:rPr>
                <w:rFonts w:eastAsia="Verdana" w:cs="Verdana"/>
                <w:lang w:bidi="en-GB"/>
              </w:rPr>
              <w:t>Total</w:t>
            </w:r>
          </w:p>
        </w:tc>
        <w:tc>
          <w:tcPr>
            <w:tcW w:w="992"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eastAsia="Verdana" w:cs="Verdana"/>
                <w:lang w:bidi="en-GB"/>
              </w:rPr>
            </w:pPr>
            <w:r>
              <w:rPr>
                <w:rFonts w:eastAsia="Verdana" w:cs="Verdana"/>
                <w:lang w:bidi="en-GB"/>
              </w:rPr>
              <w:t>142 640</w:t>
            </w:r>
          </w:p>
        </w:tc>
        <w:tc>
          <w:tcPr>
            <w:tcW w:w="1134"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eastAsia="Verdana" w:cs="Verdana"/>
                <w:lang w:bidi="en-GB"/>
              </w:rPr>
            </w:pPr>
            <w:r>
              <w:rPr>
                <w:rFonts w:eastAsia="Verdana" w:cs="Verdana"/>
                <w:lang w:bidi="en-GB"/>
              </w:rPr>
              <w:t xml:space="preserve"> 50</w:t>
            </w:r>
          </w:p>
        </w:tc>
        <w:tc>
          <w:tcPr>
            <w:tcW w:w="1134"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eastAsia="Verdana" w:cs="Verdana"/>
                <w:lang w:bidi="en-GB"/>
              </w:rPr>
            </w:pPr>
            <w:r>
              <w:rPr>
                <w:rFonts w:eastAsia="Verdana" w:cs="Verdana"/>
                <w:lang w:bidi="en-GB"/>
              </w:rPr>
              <w:t>142 690</w:t>
            </w:r>
          </w:p>
        </w:tc>
        <w:tc>
          <w:tcPr>
            <w:tcW w:w="992"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eastAsia="Verdana" w:cs="Verdana"/>
                <w:lang w:bidi="en-GB"/>
              </w:rPr>
            </w:pPr>
            <w:r>
              <w:rPr>
                <w:rFonts w:eastAsia="Verdana" w:cs="Verdana"/>
                <w:lang w:bidi="en-GB"/>
              </w:rPr>
              <w:t>7 249</w:t>
            </w:r>
          </w:p>
        </w:tc>
        <w:tc>
          <w:tcPr>
            <w:tcW w:w="1276"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eastAsia="Verdana" w:cs="Verdana"/>
                <w:lang w:bidi="en-GB"/>
              </w:rPr>
            </w:pPr>
            <w:r>
              <w:rPr>
                <w:rFonts w:eastAsia="Verdana" w:cs="Verdana"/>
                <w:lang w:bidi="en-GB"/>
              </w:rPr>
              <w:t>149 939</w:t>
            </w:r>
          </w:p>
        </w:tc>
        <w:tc>
          <w:tcPr>
            <w:tcW w:w="1417"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eastAsia="Verdana" w:cs="Verdana"/>
                <w:lang w:bidi="en-GB"/>
              </w:rPr>
            </w:pPr>
            <w:r>
              <w:rPr>
                <w:rFonts w:eastAsia="Verdana" w:cs="Verdana"/>
                <w:lang w:bidi="en-GB"/>
              </w:rPr>
              <w:t>113 208</w:t>
            </w:r>
          </w:p>
        </w:tc>
      </w:tr>
    </w:tbl>
    <w:p w:rsidR="00F50689" w:rsidRDefault="00F50689" w:rsidP="00F50689">
      <w:pPr>
        <w:pStyle w:val="Textstand-alone"/>
        <w:spacing w:before="0" w:after="0"/>
        <w:rPr>
          <w:i/>
          <w:lang w:bidi="en-GB"/>
        </w:rPr>
      </w:pPr>
    </w:p>
    <w:p w:rsidR="00F50689" w:rsidRPr="008A7D59" w:rsidRDefault="005A36C4" w:rsidP="008A7D59">
      <w:pPr>
        <w:pStyle w:val="Textstand-alone"/>
        <w:spacing w:before="60" w:after="0"/>
        <w:rPr>
          <w:i/>
          <w:sz w:val="14"/>
        </w:rPr>
      </w:pPr>
      <w:r w:rsidRPr="008A7D59">
        <w:rPr>
          <w:i/>
          <w:sz w:val="14"/>
        </w:rPr>
        <w:t>* Additonal appropriations include appropriations carried over from previous year,  assigned revenue and appropriations made available again following decommitments.</w:t>
      </w:r>
    </w:p>
    <w:p w:rsidR="00F50689" w:rsidRPr="00693D35" w:rsidRDefault="005A36C4" w:rsidP="00F50689">
      <w:pPr>
        <w:pStyle w:val="Textstand-alone"/>
        <w:spacing w:before="0" w:after="0"/>
        <w:rPr>
          <w:i/>
        </w:rPr>
        <w:sectPr w:rsidR="00F50689" w:rsidRPr="00693D35" w:rsidSect="00F50689">
          <w:headerReference w:type="even" r:id="rId539"/>
          <w:headerReference w:type="default" r:id="rId540"/>
          <w:footerReference w:type="even" r:id="rId541"/>
          <w:footerReference w:type="default" r:id="rId542"/>
          <w:headerReference w:type="first" r:id="rId543"/>
          <w:footerReference w:type="first" r:id="rId544"/>
          <w:pgSz w:w="11907" w:h="16840" w:code="9"/>
          <w:pgMar w:top="1134" w:right="1134" w:bottom="1134" w:left="1134" w:header="709" w:footer="709" w:gutter="0"/>
          <w:cols w:space="708"/>
          <w:docGrid w:linePitch="360"/>
        </w:sectPr>
      </w:pPr>
      <w:r>
        <w:rPr>
          <w:i/>
        </w:rPr>
        <w:t xml:space="preserve"> </w:t>
      </w:r>
      <w:bookmarkEnd w:id="267"/>
    </w:p>
    <w:p w:rsidR="00F50689" w:rsidRDefault="005A36C4" w:rsidP="00F50689">
      <w:pPr>
        <w:pStyle w:val="HEADER2Part3"/>
        <w:spacing w:before="0" w:after="40"/>
      </w:pPr>
      <w:bookmarkStart w:id="269" w:name="_Toc424653749"/>
      <w:bookmarkStart w:id="270" w:name="_DMBM_3442"/>
      <w:r>
        <w:t xml:space="preserve">POLICY AREA: </w:t>
      </w:r>
      <w:r w:rsidRPr="00991442">
        <w:t>IMPLEMENTATI</w:t>
      </w:r>
      <w:r>
        <w:t>ON OF COMMITMENT APPROPRIATIONS</w:t>
      </w:r>
      <w:bookmarkEnd w:id="269"/>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268"/>
        <w:gridCol w:w="992"/>
        <w:gridCol w:w="1134"/>
        <w:gridCol w:w="709"/>
        <w:gridCol w:w="851"/>
        <w:gridCol w:w="850"/>
        <w:gridCol w:w="851"/>
        <w:gridCol w:w="850"/>
        <w:gridCol w:w="851"/>
        <w:gridCol w:w="708"/>
        <w:gridCol w:w="851"/>
        <w:gridCol w:w="992"/>
        <w:gridCol w:w="709"/>
        <w:gridCol w:w="850"/>
        <w:gridCol w:w="709"/>
        <w:gridCol w:w="851"/>
      </w:tblGrid>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F50689" w:rsidP="00F50689">
            <w:pPr>
              <w:pStyle w:val="Text7pItalicLeft"/>
              <w:rPr>
                <w:rFonts w:eastAsia="Verdana" w:cs="Verdana"/>
                <w:color w:val="FFFFFF"/>
                <w:lang w:bidi="en-GB"/>
              </w:rPr>
            </w:pPr>
            <w:bookmarkStart w:id="271" w:name="DOC_TBL00107_1_1"/>
            <w:bookmarkEnd w:id="271"/>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F50689" w:rsidP="00F50689">
            <w:pPr>
              <w:pStyle w:val="Text7pItalicRight025"/>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F50689" w:rsidP="00F50689">
            <w:pPr>
              <w:pStyle w:val="Text7pItalicRight025"/>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F50689" w:rsidP="00F50689">
            <w:pPr>
              <w:pStyle w:val="Text7pItalicRight025"/>
              <w:rPr>
                <w:rFonts w:eastAsia="Verdana" w:cs="Verdana"/>
                <w:i w:val="0"/>
                <w:lang w:bidi="en-GB"/>
              </w:rPr>
            </w:pP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F50689" w:rsidP="00F50689">
            <w:pPr>
              <w:pStyle w:val="Text7pItalicRight025"/>
              <w:rPr>
                <w:rFonts w:eastAsia="Verdana" w:cs="Verdana"/>
                <w:i w:val="0"/>
                <w:lang w:bidi="en-GB"/>
              </w:rPr>
            </w:pP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F50689" w:rsidP="00F50689">
            <w:pPr>
              <w:pStyle w:val="Text7pItalicRight025"/>
              <w:rPr>
                <w:rFonts w:eastAsia="Verdana" w:cs="Verdana"/>
                <w:i w:val="0"/>
                <w:lang w:bidi="en-GB"/>
              </w:rPr>
            </w:pP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F50689" w:rsidP="00F50689">
            <w:pPr>
              <w:pStyle w:val="Text7pItalicRight025"/>
              <w:rPr>
                <w:rFonts w:eastAsia="Verdana" w:cs="Verdana"/>
                <w:i w:val="0"/>
                <w:lang w:bidi="en-GB"/>
              </w:rPr>
            </w:pP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F50689" w:rsidP="00F50689">
            <w:pPr>
              <w:pStyle w:val="Text7pItalicRight025"/>
              <w:rPr>
                <w:rFonts w:eastAsia="Verdana" w:cs="Verdana"/>
                <w:i w:val="0"/>
                <w:lang w:bidi="en-GB"/>
              </w:rPr>
            </w:pP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F50689" w:rsidP="00F50689">
            <w:pPr>
              <w:pStyle w:val="Text7pItalicRight025"/>
              <w:rPr>
                <w:rFonts w:eastAsia="Verdana" w:cs="Verdana"/>
                <w:i w:val="0"/>
                <w:lang w:bidi="en-GB"/>
              </w:rPr>
            </w:pP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F50689" w:rsidP="00F50689">
            <w:pPr>
              <w:pStyle w:val="Text7pItalicRight025"/>
              <w:rPr>
                <w:rFonts w:eastAsia="Verdana" w:cs="Verdana"/>
                <w:i w:val="0"/>
                <w:lang w:bidi="en-GB"/>
              </w:rPr>
            </w:pP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F50689" w:rsidP="00F50689">
            <w:pPr>
              <w:pStyle w:val="Text7pItalicRight025"/>
              <w:rPr>
                <w:rFonts w:eastAsia="Verdana" w:cs="Verdana"/>
                <w:i w:val="0"/>
                <w:lang w:bidi="en-GB"/>
              </w:rPr>
            </w:pP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F50689" w:rsidP="00F50689">
            <w:pPr>
              <w:pStyle w:val="Text7pItalicRight025"/>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F50689" w:rsidP="00F50689">
            <w:pPr>
              <w:pStyle w:val="Text7pItalicRight025"/>
              <w:rPr>
                <w:rFonts w:eastAsia="Verdana" w:cs="Verdana"/>
                <w:i w:val="0"/>
                <w:lang w:bidi="en-GB"/>
              </w:rPr>
            </w:pP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F50689" w:rsidP="00F50689">
            <w:pPr>
              <w:pStyle w:val="Text7pItalicRight025"/>
              <w:rPr>
                <w:rFonts w:eastAsia="Verdana" w:cs="Verdana"/>
                <w:i w:val="0"/>
                <w:lang w:bidi="en-GB"/>
              </w:rPr>
            </w:pPr>
          </w:p>
        </w:tc>
        <w:tc>
          <w:tcPr>
            <w:tcW w:w="2410" w:type="dxa"/>
            <w:gridSpan w:val="3"/>
            <w:tcBorders>
              <w:top w:val="nil"/>
              <w:left w:val="nil"/>
              <w:bottom w:val="nil"/>
              <w:right w:val="nil"/>
            </w:tcBorders>
            <w:shd w:val="clear" w:color="auto" w:fill="auto"/>
            <w:tcMar>
              <w:top w:w="0" w:type="dxa"/>
              <w:left w:w="0" w:type="dxa"/>
              <w:bottom w:w="0" w:type="dxa"/>
              <w:right w:w="0" w:type="dxa"/>
            </w:tcMar>
          </w:tcPr>
          <w:p w:rsidR="00F50689" w:rsidRPr="00991442" w:rsidRDefault="001C635F" w:rsidP="00F50689">
            <w:pPr>
              <w:pStyle w:val="Text7pItalicRight025"/>
              <w:rPr>
                <w:rFonts w:eastAsia="Verdana" w:cs="Verdana"/>
                <w:lang w:bidi="en-GB"/>
              </w:rPr>
            </w:pPr>
            <w:r>
              <w:rPr>
                <w:rFonts w:eastAsia="Verdana" w:cs="Verdana"/>
                <w:lang w:bidi="en-GB"/>
              </w:rPr>
              <w:t>EUR millions</w:t>
            </w:r>
          </w:p>
        </w:tc>
      </w:tr>
      <w:tr w:rsidR="00E7728E">
        <w:tc>
          <w:tcPr>
            <w:tcW w:w="250" w:type="dxa"/>
            <w:tcBorders>
              <w:top w:val="nil"/>
              <w:left w:val="nil"/>
              <w:bottom w:val="nil"/>
              <w:right w:val="nil"/>
            </w:tcBorders>
            <w:shd w:val="clear" w:color="auto" w:fill="016794"/>
            <w:tcMar>
              <w:top w:w="0" w:type="dxa"/>
              <w:left w:w="0" w:type="dxa"/>
              <w:bottom w:w="0" w:type="dxa"/>
              <w:right w:w="0" w:type="dxa"/>
            </w:tcMar>
          </w:tcPr>
          <w:p w:rsidR="00F50689" w:rsidRPr="00991442" w:rsidRDefault="00F50689" w:rsidP="00F50689">
            <w:pPr>
              <w:pStyle w:val="Heading7pNormalCentered"/>
              <w:rPr>
                <w:rFonts w:eastAsia="Verdana" w:cs="Verdana"/>
                <w:lang w:bidi="en-GB"/>
              </w:rPr>
            </w:pPr>
          </w:p>
        </w:tc>
        <w:tc>
          <w:tcPr>
            <w:tcW w:w="2268" w:type="dxa"/>
            <w:tcBorders>
              <w:top w:val="nil"/>
              <w:left w:val="nil"/>
              <w:bottom w:val="nil"/>
              <w:right w:val="nil"/>
            </w:tcBorders>
            <w:shd w:val="clear" w:color="auto" w:fill="016794"/>
            <w:tcMar>
              <w:top w:w="0" w:type="dxa"/>
              <w:left w:w="0" w:type="dxa"/>
              <w:bottom w:w="0" w:type="dxa"/>
              <w:right w:w="0" w:type="dxa"/>
            </w:tcMar>
          </w:tcPr>
          <w:p w:rsidR="00F50689" w:rsidRPr="00991442" w:rsidRDefault="005A36C4" w:rsidP="00F50689">
            <w:pPr>
              <w:pStyle w:val="Heading7pNormalCentered"/>
              <w:rPr>
                <w:rFonts w:eastAsia="Verdana" w:cs="Verdana"/>
                <w:lang w:bidi="en-GB"/>
              </w:rPr>
            </w:pPr>
            <w:r w:rsidRPr="00991442">
              <w:rPr>
                <w:rFonts w:eastAsia="Verdana" w:cs="Verdana"/>
                <w:lang w:bidi="en-GB"/>
              </w:rPr>
              <w:t>Policy Area</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Pr="00991442" w:rsidRDefault="00F50689" w:rsidP="00F50689">
            <w:pPr>
              <w:pStyle w:val="Heading7pNormalCentered"/>
              <w:rPr>
                <w:rFonts w:eastAsia="Verdana" w:cs="Verdana"/>
                <w:lang w:bidi="en-GB"/>
              </w:rPr>
            </w:pPr>
          </w:p>
        </w:tc>
        <w:tc>
          <w:tcPr>
            <w:tcW w:w="4395" w:type="dxa"/>
            <w:gridSpan w:val="5"/>
            <w:tcBorders>
              <w:top w:val="nil"/>
              <w:left w:val="nil"/>
              <w:bottom w:val="nil"/>
              <w:right w:val="nil"/>
            </w:tcBorders>
            <w:shd w:val="clear" w:color="auto" w:fill="016794"/>
            <w:tcMar>
              <w:top w:w="0" w:type="dxa"/>
              <w:left w:w="0" w:type="dxa"/>
              <w:bottom w:w="0" w:type="dxa"/>
              <w:right w:w="0" w:type="dxa"/>
            </w:tcMar>
          </w:tcPr>
          <w:p w:rsidR="00F50689" w:rsidRPr="00991442" w:rsidRDefault="005A36C4" w:rsidP="00F50689">
            <w:pPr>
              <w:pStyle w:val="Heading7pNormalCentered"/>
              <w:rPr>
                <w:rFonts w:eastAsia="Verdana" w:cs="Verdana"/>
                <w:lang w:bidi="en-GB"/>
              </w:rPr>
            </w:pPr>
            <w:r w:rsidRPr="00991442">
              <w:rPr>
                <w:rFonts w:eastAsia="Verdana" w:cs="Verdana"/>
                <w:lang w:bidi="en-GB"/>
              </w:rPr>
              <w:t>Commitments made</w:t>
            </w:r>
          </w:p>
        </w:tc>
        <w:tc>
          <w:tcPr>
            <w:tcW w:w="3260" w:type="dxa"/>
            <w:gridSpan w:val="4"/>
            <w:tcBorders>
              <w:top w:val="nil"/>
              <w:left w:val="nil"/>
              <w:bottom w:val="nil"/>
              <w:right w:val="nil"/>
            </w:tcBorders>
            <w:shd w:val="clear" w:color="auto" w:fill="016794"/>
            <w:tcMar>
              <w:top w:w="0" w:type="dxa"/>
              <w:left w:w="0" w:type="dxa"/>
              <w:bottom w:w="0" w:type="dxa"/>
              <w:right w:w="0" w:type="dxa"/>
            </w:tcMar>
          </w:tcPr>
          <w:p w:rsidR="00F50689" w:rsidRPr="00991442" w:rsidRDefault="005A36C4" w:rsidP="00F50689">
            <w:pPr>
              <w:pStyle w:val="Heading7pNormalCentered"/>
              <w:rPr>
                <w:rFonts w:eastAsia="Verdana" w:cs="Verdana"/>
                <w:lang w:bidi="en-GB"/>
              </w:rPr>
            </w:pPr>
            <w:r w:rsidRPr="00991442">
              <w:rPr>
                <w:rFonts w:eastAsia="Verdana" w:cs="Verdana"/>
                <w:lang w:bidi="en-GB"/>
              </w:rPr>
              <w:t>Appropriations carried over to 2015</w:t>
            </w:r>
          </w:p>
        </w:tc>
        <w:tc>
          <w:tcPr>
            <w:tcW w:w="4111" w:type="dxa"/>
            <w:gridSpan w:val="5"/>
            <w:tcBorders>
              <w:top w:val="nil"/>
              <w:left w:val="nil"/>
              <w:bottom w:val="nil"/>
              <w:right w:val="nil"/>
            </w:tcBorders>
            <w:shd w:val="clear" w:color="auto" w:fill="016794"/>
            <w:tcMar>
              <w:top w:w="0" w:type="dxa"/>
              <w:left w:w="0" w:type="dxa"/>
              <w:bottom w:w="0" w:type="dxa"/>
              <w:right w:w="0" w:type="dxa"/>
            </w:tcMar>
          </w:tcPr>
          <w:p w:rsidR="00F50689" w:rsidRPr="00991442" w:rsidRDefault="005A36C4" w:rsidP="00F50689">
            <w:pPr>
              <w:pStyle w:val="Heading7pNormalCentered"/>
              <w:rPr>
                <w:rFonts w:eastAsia="Verdana" w:cs="Verdana"/>
                <w:lang w:bidi="en-GB"/>
              </w:rPr>
            </w:pPr>
            <w:r w:rsidRPr="00991442">
              <w:rPr>
                <w:rFonts w:eastAsia="Verdana" w:cs="Verdana"/>
                <w:lang w:bidi="en-GB"/>
              </w:rPr>
              <w:t>Appropriations lapsing</w:t>
            </w:r>
          </w:p>
        </w:tc>
      </w:tr>
      <w:tr w:rsidR="00E7728E">
        <w:tc>
          <w:tcPr>
            <w:tcW w:w="250" w:type="dxa"/>
            <w:tcBorders>
              <w:top w:val="nil"/>
              <w:left w:val="nil"/>
              <w:bottom w:val="nil"/>
              <w:right w:val="nil"/>
            </w:tcBorders>
            <w:shd w:val="clear" w:color="auto" w:fill="016794"/>
            <w:tcMar>
              <w:top w:w="0" w:type="dxa"/>
              <w:left w:w="0" w:type="dxa"/>
              <w:bottom w:w="0" w:type="dxa"/>
              <w:right w:w="0" w:type="dxa"/>
            </w:tcMar>
          </w:tcPr>
          <w:p w:rsidR="00F50689" w:rsidRPr="00991442" w:rsidRDefault="00F50689" w:rsidP="00F50689">
            <w:pPr>
              <w:pStyle w:val="Heading7pNormalCentered"/>
              <w:rPr>
                <w:rFonts w:eastAsia="Verdana" w:cs="Verdana"/>
                <w:lang w:bidi="en-GB"/>
              </w:rPr>
            </w:pPr>
          </w:p>
        </w:tc>
        <w:tc>
          <w:tcPr>
            <w:tcW w:w="2268" w:type="dxa"/>
            <w:tcBorders>
              <w:top w:val="nil"/>
              <w:left w:val="nil"/>
              <w:bottom w:val="nil"/>
              <w:right w:val="nil"/>
            </w:tcBorders>
            <w:shd w:val="clear" w:color="auto" w:fill="016794"/>
            <w:tcMar>
              <w:top w:w="0" w:type="dxa"/>
              <w:left w:w="0" w:type="dxa"/>
              <w:bottom w:w="0" w:type="dxa"/>
              <w:right w:w="0" w:type="dxa"/>
            </w:tcMar>
          </w:tcPr>
          <w:p w:rsidR="00F50689" w:rsidRPr="00991442" w:rsidRDefault="00F50689" w:rsidP="00F50689">
            <w:pPr>
              <w:pStyle w:val="Heading7pNormalCentered"/>
              <w:rPr>
                <w:rFonts w:eastAsia="Verdana" w:cs="Verdana"/>
                <w:lang w:bidi="en-GB"/>
              </w:rPr>
            </w:pPr>
          </w:p>
        </w:tc>
        <w:tc>
          <w:tcPr>
            <w:tcW w:w="992" w:type="dxa"/>
            <w:tcBorders>
              <w:top w:val="nil"/>
              <w:left w:val="nil"/>
              <w:bottom w:val="nil"/>
              <w:right w:val="nil"/>
            </w:tcBorders>
            <w:shd w:val="clear" w:color="auto" w:fill="016794"/>
            <w:tcMar>
              <w:top w:w="0" w:type="dxa"/>
              <w:left w:w="0" w:type="dxa"/>
              <w:bottom w:w="0" w:type="dxa"/>
              <w:right w:w="0" w:type="dxa"/>
            </w:tcMar>
          </w:tcPr>
          <w:p w:rsidR="00F50689" w:rsidRPr="00991442" w:rsidRDefault="005A36C4" w:rsidP="00F50689">
            <w:pPr>
              <w:pStyle w:val="Heading7pNormalCentered"/>
              <w:rPr>
                <w:rFonts w:eastAsia="Verdana" w:cs="Verdana"/>
                <w:lang w:bidi="en-GB"/>
              </w:rPr>
            </w:pPr>
            <w:r w:rsidRPr="00991442">
              <w:rPr>
                <w:rFonts w:eastAsia="Verdana" w:cs="Verdana"/>
                <w:lang w:bidi="en-GB"/>
              </w:rPr>
              <w:t>Total appropriations available</w:t>
            </w:r>
          </w:p>
        </w:tc>
        <w:tc>
          <w:tcPr>
            <w:tcW w:w="1134" w:type="dxa"/>
            <w:tcBorders>
              <w:top w:val="nil"/>
              <w:left w:val="nil"/>
              <w:bottom w:val="nil"/>
              <w:right w:val="nil"/>
            </w:tcBorders>
            <w:shd w:val="clear" w:color="auto" w:fill="3486A9"/>
            <w:tcMar>
              <w:top w:w="0" w:type="dxa"/>
              <w:left w:w="0" w:type="dxa"/>
              <w:bottom w:w="0" w:type="dxa"/>
              <w:right w:w="0" w:type="dxa"/>
            </w:tcMar>
          </w:tcPr>
          <w:p w:rsidR="00F50689" w:rsidRPr="00991442" w:rsidRDefault="005A36C4" w:rsidP="00F50689">
            <w:pPr>
              <w:pStyle w:val="Heading7pNormalCentered"/>
              <w:rPr>
                <w:rFonts w:eastAsia="Verdana" w:cs="Verdana"/>
                <w:lang w:bidi="en-GB"/>
              </w:rPr>
            </w:pPr>
            <w:r w:rsidRPr="00991442">
              <w:rPr>
                <w:rFonts w:eastAsia="Verdana" w:cs="Verdana"/>
                <w:lang w:bidi="en-GB"/>
              </w:rPr>
              <w:t>From final adopted budget</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Pr="00991442" w:rsidRDefault="005A36C4" w:rsidP="00F50689">
            <w:pPr>
              <w:pStyle w:val="Heading7pNormalCentered"/>
              <w:rPr>
                <w:rFonts w:eastAsia="Verdana" w:cs="Verdana"/>
                <w:lang w:bidi="en-GB"/>
              </w:rPr>
            </w:pPr>
            <w:r w:rsidRPr="00991442">
              <w:rPr>
                <w:rFonts w:eastAsia="Verdana" w:cs="Verdana"/>
                <w:lang w:bidi="en-GB"/>
              </w:rPr>
              <w:t>From carry-overs</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Pr="00991442" w:rsidRDefault="005A36C4" w:rsidP="00F50689">
            <w:pPr>
              <w:pStyle w:val="Heading7pNormalCentered"/>
              <w:rPr>
                <w:rFonts w:eastAsia="Verdana" w:cs="Verdana"/>
                <w:lang w:bidi="en-GB"/>
              </w:rPr>
            </w:pPr>
            <w:r w:rsidRPr="00991442">
              <w:rPr>
                <w:rFonts w:eastAsia="Verdana" w:cs="Verdana"/>
                <w:lang w:bidi="en-GB"/>
              </w:rPr>
              <w:t>From assigned revenue</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Pr="00991442" w:rsidRDefault="005A36C4" w:rsidP="00F50689">
            <w:pPr>
              <w:pStyle w:val="Heading7pNormalCentered"/>
              <w:rPr>
                <w:rFonts w:eastAsia="Verdana" w:cs="Verdana"/>
                <w:lang w:bidi="en-GB"/>
              </w:rPr>
            </w:pPr>
            <w:r w:rsidRPr="00991442">
              <w:rPr>
                <w:rFonts w:eastAsia="Verdana" w:cs="Verdana"/>
                <w:lang w:bidi="en-GB"/>
              </w:rPr>
              <w:t>Total</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Pr="00991442" w:rsidRDefault="005A36C4" w:rsidP="00F50689">
            <w:pPr>
              <w:pStyle w:val="Heading7pNormalCentered"/>
              <w:rPr>
                <w:rFonts w:eastAsia="Verdana" w:cs="Verdana"/>
                <w:lang w:bidi="en-GB"/>
              </w:rPr>
            </w:pPr>
            <w:r w:rsidRPr="00991442">
              <w:rPr>
                <w:rFonts w:eastAsia="Verdana" w:cs="Verdana"/>
                <w:lang w:bidi="en-GB"/>
              </w:rPr>
              <w:t>%</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Pr="00991442" w:rsidRDefault="005A36C4" w:rsidP="00F50689">
            <w:pPr>
              <w:pStyle w:val="Heading7pNormalCentered"/>
              <w:rPr>
                <w:rFonts w:eastAsia="Verdana" w:cs="Verdana"/>
                <w:lang w:bidi="en-GB"/>
              </w:rPr>
            </w:pPr>
            <w:r w:rsidRPr="00991442">
              <w:rPr>
                <w:rFonts w:eastAsia="Verdana" w:cs="Verdana"/>
                <w:lang w:bidi="en-GB"/>
              </w:rPr>
              <w:t>Assigned revenue</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Pr="00991442" w:rsidRDefault="005A36C4" w:rsidP="00F50689">
            <w:pPr>
              <w:pStyle w:val="Heading7pNormalCentered"/>
              <w:rPr>
                <w:rFonts w:eastAsia="Verdana" w:cs="Verdana"/>
                <w:lang w:bidi="en-GB"/>
              </w:rPr>
            </w:pPr>
            <w:r w:rsidRPr="00991442">
              <w:rPr>
                <w:rFonts w:eastAsia="Verdana" w:cs="Verdana"/>
                <w:lang w:bidi="en-GB"/>
              </w:rPr>
              <w:t>Carry-overs by decision</w:t>
            </w:r>
          </w:p>
        </w:tc>
        <w:tc>
          <w:tcPr>
            <w:tcW w:w="708" w:type="dxa"/>
            <w:tcBorders>
              <w:top w:val="nil"/>
              <w:left w:val="nil"/>
              <w:bottom w:val="nil"/>
              <w:right w:val="nil"/>
            </w:tcBorders>
            <w:shd w:val="clear" w:color="auto" w:fill="3486A9"/>
            <w:tcMar>
              <w:top w:w="0" w:type="dxa"/>
              <w:left w:w="0" w:type="dxa"/>
              <w:bottom w:w="0" w:type="dxa"/>
              <w:right w:w="0" w:type="dxa"/>
            </w:tcMar>
          </w:tcPr>
          <w:p w:rsidR="00F50689" w:rsidRPr="00991442" w:rsidRDefault="005A36C4" w:rsidP="00F50689">
            <w:pPr>
              <w:pStyle w:val="Heading7pNormalCentered"/>
              <w:rPr>
                <w:rFonts w:eastAsia="Verdana" w:cs="Verdana"/>
                <w:lang w:bidi="en-GB"/>
              </w:rPr>
            </w:pPr>
            <w:r w:rsidRPr="00991442">
              <w:rPr>
                <w:rFonts w:eastAsia="Verdana" w:cs="Verdana"/>
                <w:lang w:bidi="en-GB"/>
              </w:rPr>
              <w:t>Total</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Pr="00991442" w:rsidRDefault="005A36C4" w:rsidP="00F50689">
            <w:pPr>
              <w:pStyle w:val="Heading7pNormalCentered"/>
              <w:rPr>
                <w:rFonts w:eastAsia="Verdana" w:cs="Verdana"/>
                <w:lang w:bidi="en-GB"/>
              </w:rPr>
            </w:pPr>
            <w:r w:rsidRPr="00991442">
              <w:rPr>
                <w:rFonts w:eastAsia="Verdana" w:cs="Verdana"/>
                <w:lang w:bidi="en-GB"/>
              </w:rPr>
              <w:t>%</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Pr="00991442" w:rsidRDefault="005A36C4" w:rsidP="00F50689">
            <w:pPr>
              <w:pStyle w:val="Heading7pNormalCentered"/>
              <w:rPr>
                <w:rFonts w:eastAsia="Verdana" w:cs="Verdana"/>
                <w:lang w:bidi="en-GB"/>
              </w:rPr>
            </w:pPr>
            <w:r w:rsidRPr="00991442">
              <w:rPr>
                <w:rFonts w:eastAsia="Verdana" w:cs="Verdana"/>
                <w:lang w:bidi="en-GB"/>
              </w:rPr>
              <w:t>From final adopted budget</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Pr="00991442" w:rsidRDefault="005A36C4" w:rsidP="00F50689">
            <w:pPr>
              <w:pStyle w:val="Heading7pNormalCentered"/>
              <w:rPr>
                <w:rFonts w:eastAsia="Verdana" w:cs="Verdana"/>
                <w:lang w:bidi="en-GB"/>
              </w:rPr>
            </w:pPr>
            <w:r w:rsidRPr="00991442">
              <w:rPr>
                <w:rFonts w:eastAsia="Verdana" w:cs="Verdana"/>
                <w:lang w:bidi="en-GB"/>
              </w:rPr>
              <w:t>From carry-overs</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Pr="00991442" w:rsidRDefault="005A36C4" w:rsidP="00F50689">
            <w:pPr>
              <w:pStyle w:val="Heading7pNormalCentered"/>
              <w:rPr>
                <w:rFonts w:eastAsia="Verdana" w:cs="Verdana"/>
                <w:lang w:bidi="en-GB"/>
              </w:rPr>
            </w:pPr>
            <w:r w:rsidRPr="00991442">
              <w:rPr>
                <w:rFonts w:eastAsia="Verdana" w:cs="Verdana"/>
                <w:lang w:bidi="en-GB"/>
              </w:rPr>
              <w:t>Assigned revenue (EFTA)</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Pr="00991442" w:rsidRDefault="005A36C4" w:rsidP="00F50689">
            <w:pPr>
              <w:pStyle w:val="Heading7pNormalCentered"/>
              <w:rPr>
                <w:rFonts w:eastAsia="Verdana" w:cs="Verdana"/>
                <w:lang w:bidi="en-GB"/>
              </w:rPr>
            </w:pPr>
            <w:r w:rsidRPr="00991442">
              <w:rPr>
                <w:rFonts w:eastAsia="Verdana" w:cs="Verdana"/>
                <w:lang w:bidi="en-GB"/>
              </w:rPr>
              <w:t>Total</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Pr="00991442" w:rsidRDefault="005A36C4" w:rsidP="00F50689">
            <w:pPr>
              <w:pStyle w:val="Heading7pNormalCentered"/>
              <w:rPr>
                <w:rFonts w:eastAsia="Verdana" w:cs="Verdana"/>
                <w:lang w:bidi="en-GB"/>
              </w:rPr>
            </w:pPr>
            <w:r w:rsidRPr="00991442">
              <w:rPr>
                <w:rFonts w:eastAsia="Verdana" w:cs="Verdana"/>
                <w:lang w:bidi="en-GB"/>
              </w:rPr>
              <w:t>%</w:t>
            </w:r>
          </w:p>
        </w:tc>
      </w:tr>
      <w:tr w:rsidR="00E7728E">
        <w:tc>
          <w:tcPr>
            <w:tcW w:w="250" w:type="dxa"/>
            <w:tcBorders>
              <w:top w:val="nil"/>
              <w:left w:val="nil"/>
              <w:bottom w:val="nil"/>
              <w:right w:val="nil"/>
            </w:tcBorders>
            <w:shd w:val="clear" w:color="auto" w:fill="016794"/>
            <w:tcMar>
              <w:top w:w="0" w:type="dxa"/>
              <w:left w:w="0" w:type="dxa"/>
              <w:bottom w:w="0" w:type="dxa"/>
              <w:right w:w="0" w:type="dxa"/>
            </w:tcMar>
            <w:vAlign w:val="center"/>
          </w:tcPr>
          <w:p w:rsidR="00F50689" w:rsidRPr="00991442" w:rsidRDefault="00F50689" w:rsidP="00F50689">
            <w:pPr>
              <w:pStyle w:val="Heading7pNormalCentered"/>
              <w:rPr>
                <w:rFonts w:eastAsia="Verdana" w:cs="Verdana"/>
                <w:lang w:bidi="en-GB"/>
              </w:rPr>
            </w:pPr>
          </w:p>
        </w:tc>
        <w:tc>
          <w:tcPr>
            <w:tcW w:w="2268" w:type="dxa"/>
            <w:tcBorders>
              <w:top w:val="nil"/>
              <w:left w:val="nil"/>
              <w:bottom w:val="nil"/>
              <w:right w:val="nil"/>
            </w:tcBorders>
            <w:shd w:val="clear" w:color="auto" w:fill="016794"/>
            <w:tcMar>
              <w:top w:w="0" w:type="dxa"/>
              <w:left w:w="0" w:type="dxa"/>
              <w:bottom w:w="0" w:type="dxa"/>
              <w:right w:w="0" w:type="dxa"/>
            </w:tcMar>
            <w:vAlign w:val="center"/>
          </w:tcPr>
          <w:p w:rsidR="00F50689" w:rsidRPr="00991442" w:rsidRDefault="00F50689" w:rsidP="00F50689">
            <w:pPr>
              <w:pStyle w:val="Text7pItalicLeft"/>
              <w:jc w:val="center"/>
              <w:rPr>
                <w:rFonts w:eastAsia="Verdana" w:cs="Verdana"/>
                <w:i w:val="0"/>
                <w:lang w:bidi="en-GB"/>
              </w:rPr>
            </w:pPr>
          </w:p>
        </w:tc>
        <w:tc>
          <w:tcPr>
            <w:tcW w:w="992" w:type="dxa"/>
            <w:tcBorders>
              <w:top w:val="nil"/>
              <w:left w:val="nil"/>
              <w:bottom w:val="nil"/>
              <w:right w:val="nil"/>
            </w:tcBorders>
            <w:shd w:val="clear" w:color="auto" w:fill="016794"/>
            <w:tcMar>
              <w:top w:w="0" w:type="dxa"/>
              <w:left w:w="0" w:type="dxa"/>
              <w:bottom w:w="0" w:type="dxa"/>
              <w:right w:w="0" w:type="dxa"/>
            </w:tcMar>
            <w:vAlign w:val="center"/>
          </w:tcPr>
          <w:p w:rsidR="00F50689" w:rsidRPr="00991442" w:rsidRDefault="005A36C4" w:rsidP="00F50689">
            <w:pPr>
              <w:pStyle w:val="Heading7pNormalCentered"/>
              <w:rPr>
                <w:rFonts w:eastAsia="Verdana" w:cs="Verdana"/>
                <w:lang w:bidi="en-GB"/>
              </w:rPr>
            </w:pPr>
            <w:r w:rsidRPr="00991442">
              <w:rPr>
                <w:rFonts w:eastAsia="Verdana" w:cs="Verdana"/>
                <w:lang w:bidi="en-GB"/>
              </w:rPr>
              <w:t>1</w:t>
            </w:r>
          </w:p>
        </w:tc>
        <w:tc>
          <w:tcPr>
            <w:tcW w:w="1134" w:type="dxa"/>
            <w:tcBorders>
              <w:top w:val="nil"/>
              <w:left w:val="nil"/>
              <w:bottom w:val="nil"/>
              <w:right w:val="nil"/>
            </w:tcBorders>
            <w:shd w:val="clear" w:color="auto" w:fill="3486A9"/>
            <w:tcMar>
              <w:top w:w="0" w:type="dxa"/>
              <w:left w:w="0" w:type="dxa"/>
              <w:bottom w:w="0" w:type="dxa"/>
              <w:right w:w="0" w:type="dxa"/>
            </w:tcMar>
            <w:vAlign w:val="center"/>
          </w:tcPr>
          <w:p w:rsidR="00F50689" w:rsidRPr="00991442" w:rsidRDefault="005A36C4" w:rsidP="00F50689">
            <w:pPr>
              <w:pStyle w:val="Heading7pNormalCentered"/>
              <w:rPr>
                <w:rFonts w:eastAsia="Verdana" w:cs="Verdana"/>
                <w:lang w:bidi="en-GB"/>
              </w:rPr>
            </w:pPr>
            <w:r w:rsidRPr="00991442">
              <w:rPr>
                <w:rFonts w:eastAsia="Verdana" w:cs="Verdana"/>
                <w:lang w:bidi="en-GB"/>
              </w:rPr>
              <w:t>2</w:t>
            </w:r>
          </w:p>
        </w:tc>
        <w:tc>
          <w:tcPr>
            <w:tcW w:w="709" w:type="dxa"/>
            <w:tcBorders>
              <w:top w:val="nil"/>
              <w:left w:val="nil"/>
              <w:bottom w:val="nil"/>
              <w:right w:val="nil"/>
            </w:tcBorders>
            <w:shd w:val="clear" w:color="auto" w:fill="3486A9"/>
            <w:tcMar>
              <w:top w:w="0" w:type="dxa"/>
              <w:left w:w="0" w:type="dxa"/>
              <w:bottom w:w="0" w:type="dxa"/>
              <w:right w:w="0" w:type="dxa"/>
            </w:tcMar>
            <w:vAlign w:val="center"/>
          </w:tcPr>
          <w:p w:rsidR="00F50689" w:rsidRPr="00991442" w:rsidRDefault="005A36C4" w:rsidP="00F50689">
            <w:pPr>
              <w:pStyle w:val="Heading7pNormalCentered"/>
              <w:rPr>
                <w:rFonts w:eastAsia="Verdana" w:cs="Verdana"/>
                <w:lang w:bidi="en-GB"/>
              </w:rPr>
            </w:pPr>
            <w:r w:rsidRPr="00991442">
              <w:rPr>
                <w:rFonts w:eastAsia="Verdana" w:cs="Verdana"/>
                <w:lang w:bidi="en-GB"/>
              </w:rPr>
              <w:t>3</w:t>
            </w:r>
          </w:p>
        </w:tc>
        <w:tc>
          <w:tcPr>
            <w:tcW w:w="851" w:type="dxa"/>
            <w:tcBorders>
              <w:top w:val="nil"/>
              <w:left w:val="nil"/>
              <w:bottom w:val="nil"/>
              <w:right w:val="nil"/>
            </w:tcBorders>
            <w:shd w:val="clear" w:color="auto" w:fill="3486A9"/>
            <w:tcMar>
              <w:top w:w="0" w:type="dxa"/>
              <w:left w:w="0" w:type="dxa"/>
              <w:bottom w:w="0" w:type="dxa"/>
              <w:right w:w="0" w:type="dxa"/>
            </w:tcMar>
            <w:vAlign w:val="center"/>
          </w:tcPr>
          <w:p w:rsidR="00F50689" w:rsidRPr="00991442" w:rsidRDefault="005A36C4" w:rsidP="00F50689">
            <w:pPr>
              <w:pStyle w:val="Heading7pNormalCentered"/>
              <w:rPr>
                <w:rFonts w:eastAsia="Verdana" w:cs="Verdana"/>
                <w:lang w:bidi="en-GB"/>
              </w:rPr>
            </w:pPr>
            <w:r w:rsidRPr="00991442">
              <w:rPr>
                <w:rFonts w:eastAsia="Verdana" w:cs="Verdana"/>
                <w:lang w:bidi="en-GB"/>
              </w:rPr>
              <w:t>4</w:t>
            </w:r>
          </w:p>
        </w:tc>
        <w:tc>
          <w:tcPr>
            <w:tcW w:w="850" w:type="dxa"/>
            <w:tcBorders>
              <w:top w:val="nil"/>
              <w:left w:val="nil"/>
              <w:bottom w:val="nil"/>
              <w:right w:val="nil"/>
            </w:tcBorders>
            <w:shd w:val="clear" w:color="auto" w:fill="3486A9"/>
            <w:tcMar>
              <w:top w:w="0" w:type="dxa"/>
              <w:left w:w="0" w:type="dxa"/>
              <w:bottom w:w="0" w:type="dxa"/>
              <w:right w:w="0" w:type="dxa"/>
            </w:tcMar>
            <w:vAlign w:val="center"/>
          </w:tcPr>
          <w:p w:rsidR="00F50689" w:rsidRPr="00991442" w:rsidRDefault="005A36C4" w:rsidP="00F50689">
            <w:pPr>
              <w:pStyle w:val="Heading7pNormalCentered"/>
              <w:rPr>
                <w:rFonts w:eastAsia="Verdana" w:cs="Verdana"/>
                <w:lang w:bidi="en-GB"/>
              </w:rPr>
            </w:pPr>
            <w:r w:rsidRPr="00991442">
              <w:rPr>
                <w:rFonts w:eastAsia="Verdana" w:cs="Verdana"/>
                <w:lang w:bidi="en-GB"/>
              </w:rPr>
              <w:t>5=2+3+4</w:t>
            </w:r>
          </w:p>
        </w:tc>
        <w:tc>
          <w:tcPr>
            <w:tcW w:w="851" w:type="dxa"/>
            <w:tcBorders>
              <w:top w:val="nil"/>
              <w:left w:val="nil"/>
              <w:bottom w:val="nil"/>
              <w:right w:val="nil"/>
            </w:tcBorders>
            <w:shd w:val="clear" w:color="auto" w:fill="3486A9"/>
            <w:tcMar>
              <w:top w:w="0" w:type="dxa"/>
              <w:left w:w="0" w:type="dxa"/>
              <w:bottom w:w="0" w:type="dxa"/>
              <w:right w:w="0" w:type="dxa"/>
            </w:tcMar>
            <w:vAlign w:val="center"/>
          </w:tcPr>
          <w:p w:rsidR="00F50689" w:rsidRPr="00991442" w:rsidRDefault="005A36C4" w:rsidP="00F50689">
            <w:pPr>
              <w:pStyle w:val="Heading7pNormalCentered"/>
              <w:rPr>
                <w:rFonts w:eastAsia="Verdana" w:cs="Verdana"/>
                <w:lang w:bidi="en-GB"/>
              </w:rPr>
            </w:pPr>
            <w:r w:rsidRPr="00991442">
              <w:rPr>
                <w:rFonts w:eastAsia="Verdana" w:cs="Verdana"/>
                <w:lang w:bidi="en-GB"/>
              </w:rPr>
              <w:t>6=5/1</w:t>
            </w:r>
          </w:p>
        </w:tc>
        <w:tc>
          <w:tcPr>
            <w:tcW w:w="850" w:type="dxa"/>
            <w:tcBorders>
              <w:top w:val="nil"/>
              <w:left w:val="nil"/>
              <w:bottom w:val="nil"/>
              <w:right w:val="nil"/>
            </w:tcBorders>
            <w:shd w:val="clear" w:color="auto" w:fill="3486A9"/>
            <w:tcMar>
              <w:top w:w="0" w:type="dxa"/>
              <w:left w:w="0" w:type="dxa"/>
              <w:bottom w:w="0" w:type="dxa"/>
              <w:right w:w="0" w:type="dxa"/>
            </w:tcMar>
            <w:vAlign w:val="center"/>
          </w:tcPr>
          <w:p w:rsidR="00F50689" w:rsidRPr="00991442" w:rsidRDefault="005A36C4" w:rsidP="00F50689">
            <w:pPr>
              <w:pStyle w:val="Heading7pNormalCentered"/>
              <w:rPr>
                <w:rFonts w:eastAsia="Verdana" w:cs="Verdana"/>
                <w:lang w:bidi="en-GB"/>
              </w:rPr>
            </w:pPr>
            <w:r w:rsidRPr="00991442">
              <w:rPr>
                <w:rFonts w:eastAsia="Verdana" w:cs="Verdana"/>
                <w:lang w:bidi="en-GB"/>
              </w:rPr>
              <w:t>7</w:t>
            </w:r>
          </w:p>
        </w:tc>
        <w:tc>
          <w:tcPr>
            <w:tcW w:w="851" w:type="dxa"/>
            <w:tcBorders>
              <w:top w:val="nil"/>
              <w:left w:val="nil"/>
              <w:bottom w:val="nil"/>
              <w:right w:val="nil"/>
            </w:tcBorders>
            <w:shd w:val="clear" w:color="auto" w:fill="3486A9"/>
            <w:tcMar>
              <w:top w:w="0" w:type="dxa"/>
              <w:left w:w="0" w:type="dxa"/>
              <w:bottom w:w="0" w:type="dxa"/>
              <w:right w:w="0" w:type="dxa"/>
            </w:tcMar>
            <w:vAlign w:val="center"/>
          </w:tcPr>
          <w:p w:rsidR="00F50689" w:rsidRPr="00991442" w:rsidRDefault="005A36C4" w:rsidP="00F50689">
            <w:pPr>
              <w:pStyle w:val="Heading7pNormalCentered"/>
              <w:rPr>
                <w:rFonts w:eastAsia="Verdana" w:cs="Verdana"/>
                <w:lang w:bidi="en-GB"/>
              </w:rPr>
            </w:pPr>
            <w:r w:rsidRPr="00991442">
              <w:rPr>
                <w:rFonts w:eastAsia="Verdana" w:cs="Verdana"/>
                <w:lang w:bidi="en-GB"/>
              </w:rPr>
              <w:t>8</w:t>
            </w:r>
          </w:p>
        </w:tc>
        <w:tc>
          <w:tcPr>
            <w:tcW w:w="708" w:type="dxa"/>
            <w:tcBorders>
              <w:top w:val="nil"/>
              <w:left w:val="nil"/>
              <w:bottom w:val="nil"/>
              <w:right w:val="nil"/>
            </w:tcBorders>
            <w:shd w:val="clear" w:color="auto" w:fill="3486A9"/>
            <w:tcMar>
              <w:top w:w="0" w:type="dxa"/>
              <w:left w:w="0" w:type="dxa"/>
              <w:bottom w:w="0" w:type="dxa"/>
              <w:right w:w="0" w:type="dxa"/>
            </w:tcMar>
            <w:vAlign w:val="center"/>
          </w:tcPr>
          <w:p w:rsidR="00F50689" w:rsidRPr="00991442" w:rsidRDefault="005A36C4" w:rsidP="00F50689">
            <w:pPr>
              <w:pStyle w:val="Heading7pNormalCentered"/>
              <w:rPr>
                <w:rFonts w:eastAsia="Verdana" w:cs="Verdana"/>
                <w:lang w:bidi="en-GB"/>
              </w:rPr>
            </w:pPr>
            <w:r w:rsidRPr="00991442">
              <w:rPr>
                <w:rFonts w:eastAsia="Verdana" w:cs="Verdana"/>
                <w:lang w:bidi="en-GB"/>
              </w:rPr>
              <w:t>9=7+8</w:t>
            </w:r>
          </w:p>
        </w:tc>
        <w:tc>
          <w:tcPr>
            <w:tcW w:w="851" w:type="dxa"/>
            <w:tcBorders>
              <w:top w:val="nil"/>
              <w:left w:val="nil"/>
              <w:bottom w:val="nil"/>
              <w:right w:val="nil"/>
            </w:tcBorders>
            <w:shd w:val="clear" w:color="auto" w:fill="3486A9"/>
            <w:tcMar>
              <w:top w:w="0" w:type="dxa"/>
              <w:left w:w="0" w:type="dxa"/>
              <w:bottom w:w="0" w:type="dxa"/>
              <w:right w:w="0" w:type="dxa"/>
            </w:tcMar>
            <w:vAlign w:val="center"/>
          </w:tcPr>
          <w:p w:rsidR="00F50689" w:rsidRPr="00991442" w:rsidRDefault="005A36C4" w:rsidP="00F50689">
            <w:pPr>
              <w:pStyle w:val="Heading7pNormalCentered"/>
              <w:rPr>
                <w:rFonts w:eastAsia="Verdana" w:cs="Verdana"/>
                <w:lang w:bidi="en-GB"/>
              </w:rPr>
            </w:pPr>
            <w:r w:rsidRPr="00991442">
              <w:rPr>
                <w:rFonts w:eastAsia="Verdana" w:cs="Verdana"/>
                <w:lang w:bidi="en-GB"/>
              </w:rPr>
              <w:t>10=9/1</w:t>
            </w:r>
          </w:p>
        </w:tc>
        <w:tc>
          <w:tcPr>
            <w:tcW w:w="992" w:type="dxa"/>
            <w:tcBorders>
              <w:top w:val="nil"/>
              <w:left w:val="nil"/>
              <w:bottom w:val="nil"/>
              <w:right w:val="nil"/>
            </w:tcBorders>
            <w:shd w:val="clear" w:color="auto" w:fill="3486A9"/>
            <w:tcMar>
              <w:top w:w="0" w:type="dxa"/>
              <w:left w:w="0" w:type="dxa"/>
              <w:bottom w:w="0" w:type="dxa"/>
              <w:right w:w="0" w:type="dxa"/>
            </w:tcMar>
            <w:vAlign w:val="center"/>
          </w:tcPr>
          <w:p w:rsidR="00F50689" w:rsidRPr="00991442" w:rsidRDefault="005A36C4" w:rsidP="00F50689">
            <w:pPr>
              <w:pStyle w:val="Heading7pNormalCentered"/>
              <w:rPr>
                <w:rFonts w:eastAsia="Verdana" w:cs="Verdana"/>
                <w:lang w:bidi="en-GB"/>
              </w:rPr>
            </w:pPr>
            <w:r w:rsidRPr="00991442">
              <w:rPr>
                <w:rFonts w:eastAsia="Verdana" w:cs="Verdana"/>
                <w:lang w:bidi="en-GB"/>
              </w:rPr>
              <w:t>11</w:t>
            </w:r>
          </w:p>
        </w:tc>
        <w:tc>
          <w:tcPr>
            <w:tcW w:w="709" w:type="dxa"/>
            <w:tcBorders>
              <w:top w:val="nil"/>
              <w:left w:val="nil"/>
              <w:bottom w:val="nil"/>
              <w:right w:val="nil"/>
            </w:tcBorders>
            <w:shd w:val="clear" w:color="auto" w:fill="3486A9"/>
            <w:tcMar>
              <w:top w:w="0" w:type="dxa"/>
              <w:left w:w="0" w:type="dxa"/>
              <w:bottom w:w="0" w:type="dxa"/>
              <w:right w:w="0" w:type="dxa"/>
            </w:tcMar>
            <w:vAlign w:val="center"/>
          </w:tcPr>
          <w:p w:rsidR="00F50689" w:rsidRPr="00991442" w:rsidRDefault="005A36C4" w:rsidP="00F50689">
            <w:pPr>
              <w:pStyle w:val="Heading7pNormalCentered"/>
              <w:rPr>
                <w:rFonts w:eastAsia="Verdana" w:cs="Verdana"/>
                <w:lang w:bidi="en-GB"/>
              </w:rPr>
            </w:pPr>
            <w:r w:rsidRPr="00991442">
              <w:rPr>
                <w:rFonts w:eastAsia="Verdana" w:cs="Verdana"/>
                <w:lang w:bidi="en-GB"/>
              </w:rPr>
              <w:t>12</w:t>
            </w:r>
          </w:p>
        </w:tc>
        <w:tc>
          <w:tcPr>
            <w:tcW w:w="850" w:type="dxa"/>
            <w:tcBorders>
              <w:top w:val="nil"/>
              <w:left w:val="nil"/>
              <w:bottom w:val="nil"/>
              <w:right w:val="nil"/>
            </w:tcBorders>
            <w:shd w:val="clear" w:color="auto" w:fill="3486A9"/>
            <w:tcMar>
              <w:top w:w="0" w:type="dxa"/>
              <w:left w:w="0" w:type="dxa"/>
              <w:bottom w:w="0" w:type="dxa"/>
              <w:right w:w="0" w:type="dxa"/>
            </w:tcMar>
            <w:vAlign w:val="center"/>
          </w:tcPr>
          <w:p w:rsidR="00F50689" w:rsidRPr="00991442" w:rsidRDefault="005A36C4" w:rsidP="00F50689">
            <w:pPr>
              <w:pStyle w:val="Heading7pNormalCentered"/>
              <w:rPr>
                <w:rFonts w:eastAsia="Verdana" w:cs="Verdana"/>
                <w:lang w:bidi="en-GB"/>
              </w:rPr>
            </w:pPr>
            <w:r w:rsidRPr="00991442">
              <w:rPr>
                <w:rFonts w:eastAsia="Verdana" w:cs="Verdana"/>
                <w:lang w:bidi="en-GB"/>
              </w:rPr>
              <w:t>13</w:t>
            </w:r>
          </w:p>
        </w:tc>
        <w:tc>
          <w:tcPr>
            <w:tcW w:w="709" w:type="dxa"/>
            <w:tcBorders>
              <w:top w:val="nil"/>
              <w:left w:val="nil"/>
              <w:bottom w:val="nil"/>
              <w:right w:val="nil"/>
            </w:tcBorders>
            <w:shd w:val="clear" w:color="auto" w:fill="3486A9"/>
            <w:tcMar>
              <w:top w:w="0" w:type="dxa"/>
              <w:left w:w="0" w:type="dxa"/>
              <w:bottom w:w="0" w:type="dxa"/>
              <w:right w:w="0" w:type="dxa"/>
            </w:tcMar>
            <w:vAlign w:val="center"/>
          </w:tcPr>
          <w:p w:rsidR="00F50689" w:rsidRPr="00991442" w:rsidRDefault="005A36C4" w:rsidP="00F50689">
            <w:pPr>
              <w:pStyle w:val="Heading7pNormalCentered"/>
              <w:rPr>
                <w:rFonts w:eastAsia="Verdana" w:cs="Verdana"/>
                <w:lang w:bidi="en-GB"/>
              </w:rPr>
            </w:pPr>
            <w:r w:rsidRPr="00991442">
              <w:rPr>
                <w:rFonts w:eastAsia="Verdana" w:cs="Verdana"/>
                <w:lang w:bidi="en-GB"/>
              </w:rPr>
              <w:t>14=11+12+13</w:t>
            </w:r>
          </w:p>
        </w:tc>
        <w:tc>
          <w:tcPr>
            <w:tcW w:w="851" w:type="dxa"/>
            <w:tcBorders>
              <w:top w:val="nil"/>
              <w:left w:val="nil"/>
              <w:bottom w:val="nil"/>
              <w:right w:val="nil"/>
            </w:tcBorders>
            <w:shd w:val="clear" w:color="auto" w:fill="3486A9"/>
            <w:tcMar>
              <w:top w:w="0" w:type="dxa"/>
              <w:left w:w="0" w:type="dxa"/>
              <w:bottom w:w="0" w:type="dxa"/>
              <w:right w:w="0" w:type="dxa"/>
            </w:tcMar>
            <w:vAlign w:val="center"/>
          </w:tcPr>
          <w:p w:rsidR="00F50689" w:rsidRPr="00991442" w:rsidRDefault="005A36C4" w:rsidP="00F50689">
            <w:pPr>
              <w:pStyle w:val="Heading7pNormalCentered"/>
              <w:rPr>
                <w:rFonts w:eastAsia="Verdana" w:cs="Verdana"/>
                <w:lang w:bidi="en-GB"/>
              </w:rPr>
            </w:pPr>
            <w:r w:rsidRPr="00991442">
              <w:rPr>
                <w:rFonts w:eastAsia="Verdana" w:cs="Verdana"/>
                <w:lang w:bidi="en-GB"/>
              </w:rPr>
              <w:t>15=14/1</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01</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Economic and financial affairs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351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233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236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67.1%</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115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115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32.9%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0.1%</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02</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Enterprise and Industry</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2 754</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2 526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82</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2 608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94.7%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146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146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5.3%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0.0%</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03</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Competition</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100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93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97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97.2%</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2.8%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0.1%</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04</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Employment, social affairs and inclusion</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14 678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10 139</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168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5</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10 312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70.3%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576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2 161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2 737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18.6%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1 629</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1 629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11.1%</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05</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Agriculture and rural development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60 141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46 400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1 389</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47 789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79.5%</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728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2 912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3 640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6.1%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8 712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8 712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14.5%</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06</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Mobility and transport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2 931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2 854</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25</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2 879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98.2%</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46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46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1.6%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0.2%</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07</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Environment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430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407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16</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423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98.3%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1.4%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0.3%</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08</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Research and Innovation</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7 193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6 162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840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7 002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97.3%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191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191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2.7%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0.0%</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09</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Communications networks, content and technology</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1 759</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1 612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97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1 708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97.1%</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51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51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2.9%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0.0%</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10</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Direct research</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982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401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134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535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54.5%</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447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447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45.5%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0.0%</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11</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Maritime affairs and Fisheries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1 021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216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2</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218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21.4%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28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28</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56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5.5%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746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746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73.1%</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12</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Internal market and services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133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118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5</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123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92.3%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7.5%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0.1%</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13</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Regional and urban policy</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33 508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17 066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11</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17 078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51.0%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343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6 481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6 824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20.4%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9 607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9 607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28.7%</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14</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Taxation and customs union</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164</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157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2</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160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97.2%</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2.8%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0.0%</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15</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Education and culture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3 330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2 877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347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3 223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96.8%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106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106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3.2%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0.0%</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16</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Communication</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259</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246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6</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252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97.3%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1.8%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1.0%</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17</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Health and consumer protection</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643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604</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19</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624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97.0%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7</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2.1%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0.9%</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18</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Home affairs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1 243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508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523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42.1%</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26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247</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273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22.0%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447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447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36.0%</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19</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Foreign policy instruments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739</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661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21</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687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93.1%</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34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15</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49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6.6%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0.3%</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20</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Trade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122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118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2</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120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97.9%</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1.4%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0.7%</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21</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Development and Cooperation</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5 469</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5 195</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157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5 353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97.9%</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107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7</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114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2.1%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0.0%</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22</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Enlargement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1 488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1 434</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6</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1 440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96.8%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40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46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3.1%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0.1%</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23</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Humanitarian aid and Civil protection</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1 240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1 163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24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1 187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95.8%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52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52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4.2%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0.1%</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24</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Fight against fraud</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77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77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77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98.9%</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1.0%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0.1%</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25</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Commission's policy coordination &amp; legal advice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205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192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6</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198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96.6%</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2.5%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0.8%</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26</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Commission’s administration</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1 124</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960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110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1 070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95.3%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52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52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4.6%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0.1%</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27</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Budget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92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84</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89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96.6%</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3.4%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0.1%</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28</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Audit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96.6%</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3.2%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0.2%</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29</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Statistics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146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131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140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95.7%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3.7%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0.6%</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30</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Pensions and related expenditure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1 495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1 493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1 493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99.8%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0.1%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0.0%</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31</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Language Services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478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391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53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444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92.9%</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34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34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7.1%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0.0%</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32</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Energy</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1 086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955</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34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990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91.1%</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94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94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8.6%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0.3%</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33</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Justice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216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205</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209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96.5%</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3.2%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0.4%</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34</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Climate action</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122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121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122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99.4%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0.4%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0.2%</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40</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Reserves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277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0.0%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199</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199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71.8%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78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78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28.2%</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90</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lang w:bidi="en-GB"/>
              </w:rPr>
            </w:pPr>
            <w:r w:rsidRPr="00991442">
              <w:rPr>
                <w:rFonts w:eastAsia="Verdana" w:cs="Verdana"/>
                <w:lang w:bidi="en-GB"/>
              </w:rPr>
              <w:t>Other Institutions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3 931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3 445</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343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3 789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96.4%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56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4</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60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1.5%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82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 xml:space="preserve"> 82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lang w:bidi="en-GB"/>
              </w:rPr>
            </w:pPr>
            <w:r w:rsidRPr="00991442">
              <w:rPr>
                <w:rFonts w:eastAsia="Verdana" w:cs="Verdana"/>
                <w:lang w:bidi="en-GB"/>
              </w:rPr>
              <w:t>2.1%</w:t>
            </w:r>
          </w:p>
        </w:tc>
      </w:tr>
      <w:tr w:rsidR="00E7728E">
        <w:tc>
          <w:tcPr>
            <w:tcW w:w="250" w:type="dxa"/>
            <w:tcBorders>
              <w:top w:val="nil"/>
              <w:left w:val="nil"/>
              <w:bottom w:val="nil"/>
              <w:right w:val="nil"/>
            </w:tcBorders>
            <w:shd w:val="clear" w:color="auto" w:fill="CCE1EA"/>
            <w:tcMar>
              <w:top w:w="0" w:type="dxa"/>
              <w:left w:w="0" w:type="dxa"/>
              <w:bottom w:w="0" w:type="dxa"/>
              <w:right w:w="0" w:type="dxa"/>
            </w:tcMar>
          </w:tcPr>
          <w:p w:rsidR="00F50689" w:rsidRPr="00991442" w:rsidRDefault="00F50689" w:rsidP="00F50689">
            <w:pPr>
              <w:pStyle w:val="Figures7pBoldRight025"/>
              <w:rPr>
                <w:rFonts w:eastAsia="Verdana" w:cs="Verdana"/>
                <w:lang w:bidi="en-GB"/>
              </w:rPr>
            </w:pPr>
          </w:p>
        </w:tc>
        <w:tc>
          <w:tcPr>
            <w:tcW w:w="2268" w:type="dxa"/>
            <w:tcBorders>
              <w:top w:val="nil"/>
              <w:left w:val="nil"/>
              <w:bottom w:val="nil"/>
              <w:right w:val="nil"/>
            </w:tcBorders>
            <w:shd w:val="clear" w:color="auto" w:fill="CCE1EA"/>
            <w:tcMar>
              <w:top w:w="0" w:type="dxa"/>
              <w:left w:w="0" w:type="dxa"/>
              <w:bottom w:w="0" w:type="dxa"/>
              <w:right w:w="0" w:type="dxa"/>
            </w:tcMar>
          </w:tcPr>
          <w:p w:rsidR="00F50689" w:rsidRPr="00991442" w:rsidRDefault="005A36C4" w:rsidP="00F50689">
            <w:pPr>
              <w:pStyle w:val="Text7pBoldLeft"/>
              <w:rPr>
                <w:rFonts w:eastAsia="Verdana" w:cs="Verdana"/>
                <w:lang w:bidi="en-GB"/>
              </w:rPr>
            </w:pPr>
            <w:r w:rsidRPr="00991442">
              <w:rPr>
                <w:rFonts w:eastAsia="Verdana" w:cs="Verdana"/>
                <w:lang w:bidi="en-GB"/>
              </w:rPr>
              <w:t>Total</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Pr="00991442" w:rsidRDefault="005A36C4" w:rsidP="00F50689">
            <w:pPr>
              <w:pStyle w:val="Figures7pBoldRight025"/>
              <w:rPr>
                <w:rFonts w:eastAsia="Verdana" w:cs="Verdana"/>
                <w:lang w:bidi="en-GB"/>
              </w:rPr>
            </w:pPr>
            <w:r w:rsidRPr="00991442">
              <w:rPr>
                <w:rFonts w:eastAsia="Verdana" w:cs="Verdana"/>
                <w:lang w:bidi="en-GB"/>
              </w:rPr>
              <w:t>149 939</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Pr="00991442" w:rsidRDefault="005A36C4" w:rsidP="00F50689">
            <w:pPr>
              <w:pStyle w:val="Figures7pBoldRight025"/>
              <w:rPr>
                <w:rFonts w:eastAsia="Verdana" w:cs="Verdana"/>
                <w:lang w:bidi="en-GB"/>
              </w:rPr>
            </w:pPr>
            <w:r w:rsidRPr="00991442">
              <w:rPr>
                <w:rFonts w:eastAsia="Verdana" w:cs="Verdana"/>
                <w:lang w:bidi="en-GB"/>
              </w:rPr>
              <w:t>109 256</w:t>
            </w:r>
          </w:p>
        </w:tc>
        <w:tc>
          <w:tcPr>
            <w:tcW w:w="709" w:type="dxa"/>
            <w:tcBorders>
              <w:top w:val="nil"/>
              <w:left w:val="nil"/>
              <w:bottom w:val="nil"/>
              <w:right w:val="nil"/>
            </w:tcBorders>
            <w:shd w:val="clear" w:color="auto" w:fill="CCE1EA"/>
            <w:tcMar>
              <w:top w:w="0" w:type="dxa"/>
              <w:left w:w="0" w:type="dxa"/>
              <w:bottom w:w="0" w:type="dxa"/>
              <w:right w:w="0" w:type="dxa"/>
            </w:tcMar>
          </w:tcPr>
          <w:p w:rsidR="00F50689" w:rsidRPr="00991442" w:rsidRDefault="005A36C4" w:rsidP="00F50689">
            <w:pPr>
              <w:pStyle w:val="Figures7pBoldRight025"/>
              <w:rPr>
                <w:rFonts w:eastAsia="Verdana" w:cs="Verdana"/>
                <w:lang w:bidi="en-GB"/>
              </w:rPr>
            </w:pPr>
            <w:r w:rsidRPr="00991442">
              <w:rPr>
                <w:rFonts w:eastAsia="Verdana" w:cs="Verdana"/>
                <w:lang w:bidi="en-GB"/>
              </w:rPr>
              <w:t xml:space="preserve"> 179</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Pr="00991442" w:rsidRDefault="005A36C4" w:rsidP="00F50689">
            <w:pPr>
              <w:pStyle w:val="Figures7pBoldRight025"/>
              <w:rPr>
                <w:rFonts w:eastAsia="Verdana" w:cs="Verdana"/>
                <w:lang w:bidi="en-GB"/>
              </w:rPr>
            </w:pPr>
            <w:r w:rsidRPr="00991442">
              <w:rPr>
                <w:rFonts w:eastAsia="Verdana" w:cs="Verdana"/>
                <w:lang w:bidi="en-GB"/>
              </w:rPr>
              <w:t>3 772</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Pr="00991442" w:rsidRDefault="005A36C4" w:rsidP="00F50689">
            <w:pPr>
              <w:pStyle w:val="Figures7pBoldRight025"/>
              <w:rPr>
                <w:rFonts w:eastAsia="Verdana" w:cs="Verdana"/>
                <w:lang w:bidi="en-GB"/>
              </w:rPr>
            </w:pPr>
            <w:r w:rsidRPr="00991442">
              <w:rPr>
                <w:rFonts w:eastAsia="Verdana" w:cs="Verdana"/>
                <w:lang w:bidi="en-GB"/>
              </w:rPr>
              <w:t>113 208</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Pr="00991442" w:rsidRDefault="005A36C4" w:rsidP="00F50689">
            <w:pPr>
              <w:pStyle w:val="Figures7pBoldRight025"/>
              <w:rPr>
                <w:rFonts w:eastAsia="Verdana" w:cs="Verdana"/>
                <w:lang w:bidi="en-GB"/>
              </w:rPr>
            </w:pPr>
            <w:r w:rsidRPr="00991442">
              <w:rPr>
                <w:rFonts w:eastAsia="Verdana" w:cs="Verdana"/>
                <w:lang w:bidi="en-GB"/>
              </w:rPr>
              <w:t>75.5%</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Pr="00991442" w:rsidRDefault="005A36C4" w:rsidP="00F50689">
            <w:pPr>
              <w:pStyle w:val="Figures7pBoldRight025"/>
              <w:rPr>
                <w:rFonts w:eastAsia="Verdana" w:cs="Verdana"/>
                <w:lang w:bidi="en-GB"/>
              </w:rPr>
            </w:pPr>
            <w:r w:rsidRPr="00991442">
              <w:rPr>
                <w:rFonts w:eastAsia="Verdana" w:cs="Verdana"/>
                <w:lang w:bidi="en-GB"/>
              </w:rPr>
              <w:t>3 297</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Pr="00991442" w:rsidRDefault="005A36C4" w:rsidP="00F50689">
            <w:pPr>
              <w:pStyle w:val="Figures7pBoldRight025"/>
              <w:rPr>
                <w:rFonts w:eastAsia="Verdana" w:cs="Verdana"/>
                <w:lang w:bidi="en-GB"/>
              </w:rPr>
            </w:pPr>
            <w:r w:rsidRPr="00991442">
              <w:rPr>
                <w:rFonts w:eastAsia="Verdana" w:cs="Verdana"/>
                <w:lang w:bidi="en-GB"/>
              </w:rPr>
              <w:t>12 101</w:t>
            </w:r>
          </w:p>
        </w:tc>
        <w:tc>
          <w:tcPr>
            <w:tcW w:w="708" w:type="dxa"/>
            <w:tcBorders>
              <w:top w:val="nil"/>
              <w:left w:val="nil"/>
              <w:bottom w:val="nil"/>
              <w:right w:val="nil"/>
            </w:tcBorders>
            <w:shd w:val="clear" w:color="auto" w:fill="CCE1EA"/>
            <w:tcMar>
              <w:top w:w="0" w:type="dxa"/>
              <w:left w:w="0" w:type="dxa"/>
              <w:bottom w:w="0" w:type="dxa"/>
              <w:right w:w="0" w:type="dxa"/>
            </w:tcMar>
          </w:tcPr>
          <w:p w:rsidR="00F50689" w:rsidRPr="00991442" w:rsidRDefault="005A36C4" w:rsidP="00F50689">
            <w:pPr>
              <w:pStyle w:val="Figures7pBoldRight025"/>
              <w:rPr>
                <w:rFonts w:eastAsia="Verdana" w:cs="Verdana"/>
                <w:lang w:bidi="en-GB"/>
              </w:rPr>
            </w:pPr>
            <w:r w:rsidRPr="00991442">
              <w:rPr>
                <w:rFonts w:eastAsia="Verdana" w:cs="Verdana"/>
                <w:lang w:bidi="en-GB"/>
              </w:rPr>
              <w:t>15 399</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Pr="00991442" w:rsidRDefault="005A36C4" w:rsidP="00F50689">
            <w:pPr>
              <w:pStyle w:val="Figures7pBoldRight025"/>
              <w:rPr>
                <w:rFonts w:eastAsia="Verdana" w:cs="Verdana"/>
                <w:lang w:bidi="en-GB"/>
              </w:rPr>
            </w:pPr>
            <w:r w:rsidRPr="00991442">
              <w:rPr>
                <w:rFonts w:eastAsia="Verdana" w:cs="Verdana"/>
                <w:lang w:bidi="en-GB"/>
              </w:rPr>
              <w:t>10.3%</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Pr="00991442" w:rsidRDefault="005A36C4" w:rsidP="00F50689">
            <w:pPr>
              <w:pStyle w:val="Figures7pBoldRight025"/>
              <w:rPr>
                <w:rFonts w:eastAsia="Verdana" w:cs="Verdana"/>
                <w:lang w:bidi="en-GB"/>
              </w:rPr>
            </w:pPr>
            <w:r w:rsidRPr="00991442">
              <w:rPr>
                <w:rFonts w:eastAsia="Verdana" w:cs="Verdana"/>
                <w:lang w:bidi="en-GB"/>
              </w:rPr>
              <w:t>21 333</w:t>
            </w:r>
          </w:p>
        </w:tc>
        <w:tc>
          <w:tcPr>
            <w:tcW w:w="709" w:type="dxa"/>
            <w:tcBorders>
              <w:top w:val="nil"/>
              <w:left w:val="nil"/>
              <w:bottom w:val="nil"/>
              <w:right w:val="nil"/>
            </w:tcBorders>
            <w:shd w:val="clear" w:color="auto" w:fill="CCE1EA"/>
            <w:tcMar>
              <w:top w:w="0" w:type="dxa"/>
              <w:left w:w="0" w:type="dxa"/>
              <w:bottom w:w="0" w:type="dxa"/>
              <w:right w:w="0" w:type="dxa"/>
            </w:tcMar>
          </w:tcPr>
          <w:p w:rsidR="00F50689" w:rsidRPr="00991442" w:rsidRDefault="005A36C4" w:rsidP="00F50689">
            <w:pPr>
              <w:pStyle w:val="Figures7pBoldRight025"/>
              <w:rPr>
                <w:rFonts w:eastAsia="Verdana" w:cs="Verdana"/>
                <w:lang w:bidi="en-GB"/>
              </w:rPr>
            </w:pPr>
            <w:r w:rsidRPr="00991442">
              <w:rPr>
                <w:rFonts w:eastAsia="Verdana" w:cs="Verdana"/>
                <w:lang w:bidi="en-GB"/>
              </w:rPr>
              <w:t>–</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Pr="00991442" w:rsidRDefault="005A36C4" w:rsidP="00F50689">
            <w:pPr>
              <w:pStyle w:val="Figures7pBoldRight025"/>
              <w:rPr>
                <w:rFonts w:eastAsia="Verdana" w:cs="Verdana"/>
                <w:lang w:bidi="en-GB"/>
              </w:rPr>
            </w:pPr>
            <w:r w:rsidRPr="00991442">
              <w:rPr>
                <w:rFonts w:eastAsia="Verdana" w:cs="Verdana"/>
                <w:lang w:bidi="en-GB"/>
              </w:rPr>
              <w:t xml:space="preserve"> 0</w:t>
            </w:r>
          </w:p>
        </w:tc>
        <w:tc>
          <w:tcPr>
            <w:tcW w:w="709" w:type="dxa"/>
            <w:tcBorders>
              <w:top w:val="nil"/>
              <w:left w:val="nil"/>
              <w:bottom w:val="nil"/>
              <w:right w:val="nil"/>
            </w:tcBorders>
            <w:shd w:val="clear" w:color="auto" w:fill="CCE1EA"/>
            <w:tcMar>
              <w:top w:w="0" w:type="dxa"/>
              <w:left w:w="0" w:type="dxa"/>
              <w:bottom w:w="0" w:type="dxa"/>
              <w:right w:w="0" w:type="dxa"/>
            </w:tcMar>
          </w:tcPr>
          <w:p w:rsidR="00F50689" w:rsidRPr="00991442" w:rsidRDefault="005A36C4" w:rsidP="00F50689">
            <w:pPr>
              <w:pStyle w:val="Figures7pBoldRight025"/>
              <w:rPr>
                <w:rFonts w:eastAsia="Verdana" w:cs="Verdana"/>
                <w:lang w:bidi="en-GB"/>
              </w:rPr>
            </w:pPr>
            <w:r w:rsidRPr="00991442">
              <w:rPr>
                <w:rFonts w:eastAsia="Verdana" w:cs="Verdana"/>
                <w:lang w:bidi="en-GB"/>
              </w:rPr>
              <w:t>21 333</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Pr="00991442" w:rsidRDefault="005A36C4" w:rsidP="00F50689">
            <w:pPr>
              <w:pStyle w:val="Figures7pBoldRight025"/>
              <w:rPr>
                <w:rFonts w:eastAsia="Verdana" w:cs="Verdana"/>
                <w:lang w:bidi="en-GB"/>
              </w:rPr>
            </w:pPr>
            <w:r w:rsidRPr="00991442">
              <w:rPr>
                <w:rFonts w:eastAsia="Verdana" w:cs="Verdana"/>
                <w:lang w:bidi="en-GB"/>
              </w:rPr>
              <w:t>14.2%</w:t>
            </w:r>
          </w:p>
        </w:tc>
      </w:tr>
      <w:bookmarkEnd w:id="270"/>
    </w:tbl>
    <w:p w:rsidR="00F50689" w:rsidRPr="00991442" w:rsidRDefault="00F50689" w:rsidP="00F50689">
      <w:pPr>
        <w:pStyle w:val="Textstand-alone"/>
        <w:sectPr w:rsidR="00F50689" w:rsidRPr="00991442" w:rsidSect="00F50689">
          <w:headerReference w:type="even" r:id="rId545"/>
          <w:headerReference w:type="default" r:id="rId546"/>
          <w:footerReference w:type="even" r:id="rId547"/>
          <w:footerReference w:type="default" r:id="rId548"/>
          <w:headerReference w:type="first" r:id="rId549"/>
          <w:footerReference w:type="first" r:id="rId550"/>
          <w:pgSz w:w="16840" w:h="11907" w:orient="landscape" w:code="9"/>
          <w:pgMar w:top="1134" w:right="1134" w:bottom="1134" w:left="1134" w:header="708" w:footer="708" w:gutter="0"/>
          <w:cols w:space="708"/>
          <w:docGrid w:linePitch="360"/>
        </w:sectPr>
      </w:pPr>
    </w:p>
    <w:p w:rsidR="00F50689" w:rsidRDefault="005A36C4" w:rsidP="00F50689">
      <w:pPr>
        <w:pStyle w:val="HEADER3Part3"/>
      </w:pPr>
      <w:bookmarkStart w:id="272" w:name="_DMBM_3463"/>
      <w:r w:rsidRPr="00693D35">
        <w:t xml:space="preserve">POLICY AREA: COMPARISON OF BUDGET AND ACTUAL </w:t>
      </w:r>
      <w:r>
        <w:t>PAYMENTS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552"/>
        <w:gridCol w:w="992"/>
        <w:gridCol w:w="1134"/>
        <w:gridCol w:w="1134"/>
        <w:gridCol w:w="992"/>
        <w:gridCol w:w="1276"/>
        <w:gridCol w:w="1417"/>
      </w:tblGrid>
      <w:tr w:rsidR="00E7728E">
        <w:trPr>
          <w:trHeight w:val="274"/>
        </w:trPr>
        <w:tc>
          <w:tcPr>
            <w:tcW w:w="2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lang w:bidi="en-GB"/>
              </w:rPr>
            </w:pPr>
            <w:bookmarkStart w:id="273" w:name="DOC_TBL00108_1_1"/>
            <w:bookmarkEnd w:id="273"/>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jc w:val="left"/>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lang w:bidi="en-GB"/>
              </w:rPr>
            </w:pPr>
            <w:r>
              <w:rPr>
                <w:rFonts w:eastAsia="Verdana" w:cs="Verdana"/>
                <w:lang w:bidi="en-GB"/>
              </w:rPr>
              <w:t>EUR millions</w:t>
            </w:r>
          </w:p>
        </w:tc>
      </w:tr>
      <w:tr w:rsidR="00E7728E">
        <w:tc>
          <w:tcPr>
            <w:tcW w:w="25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lang w:bidi="en-GB"/>
              </w:rPr>
            </w:pPr>
          </w:p>
        </w:tc>
        <w:tc>
          <w:tcPr>
            <w:tcW w:w="255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jc w:val="left"/>
              <w:rPr>
                <w:rFonts w:eastAsia="Verdana" w:cs="Verdana"/>
                <w:lang w:bidi="en-GB"/>
              </w:rPr>
            </w:pPr>
            <w:r>
              <w:rPr>
                <w:rFonts w:eastAsia="Verdana" w:cs="Verdana"/>
                <w:lang w:bidi="en-GB"/>
              </w:rPr>
              <w:t>Policy Area</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eastAsia="Verdana" w:cs="Verdana"/>
                <w:lang w:bidi="en-GB"/>
              </w:rPr>
            </w:pPr>
            <w:r>
              <w:rPr>
                <w:rFonts w:eastAsia="Verdana" w:cs="Verdana"/>
                <w:lang w:bidi="en-GB"/>
              </w:rPr>
              <w:t>Initial adopted budget</w:t>
            </w:r>
          </w:p>
        </w:tc>
        <w:tc>
          <w:tcPr>
            <w:tcW w:w="1134"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eastAsia="Verdana" w:cs="Verdana"/>
                <w:lang w:bidi="en-GB"/>
              </w:rPr>
            </w:pPr>
            <w:r>
              <w:rPr>
                <w:rFonts w:eastAsia="Verdana" w:cs="Verdana"/>
                <w:lang w:bidi="en-GB"/>
              </w:rPr>
              <w:t>Amending budgets  &amp; transfers</w:t>
            </w:r>
          </w:p>
        </w:tc>
        <w:tc>
          <w:tcPr>
            <w:tcW w:w="1134"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eastAsia="Verdana" w:cs="Verdana"/>
                <w:lang w:bidi="en-GB"/>
              </w:rPr>
            </w:pPr>
            <w:r>
              <w:rPr>
                <w:rFonts w:eastAsia="Verdana" w:cs="Verdana"/>
                <w:lang w:bidi="en-GB"/>
              </w:rPr>
              <w:t>Final adopted budget</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eastAsia="Verdana" w:cs="Verdana"/>
                <w:lang w:bidi="en-GB"/>
              </w:rPr>
            </w:pPr>
            <w:r>
              <w:rPr>
                <w:rFonts w:eastAsia="Verdana" w:cs="Verdana"/>
                <w:lang w:bidi="en-GB"/>
              </w:rPr>
              <w:t xml:space="preserve">Additional </w:t>
            </w:r>
            <w:proofErr w:type="spellStart"/>
            <w:r>
              <w:rPr>
                <w:rFonts w:eastAsia="Verdana" w:cs="Verdana"/>
                <w:lang w:bidi="en-GB"/>
              </w:rPr>
              <w:t>appropri</w:t>
            </w:r>
            <w:proofErr w:type="spellEnd"/>
            <w:r>
              <w:rPr>
                <w:rFonts w:eastAsia="Verdana" w:cs="Verdana"/>
                <w:lang w:bidi="en-GB"/>
              </w:rPr>
              <w:t>-</w:t>
            </w:r>
          </w:p>
          <w:p w:rsidR="00F50689" w:rsidRDefault="005A36C4" w:rsidP="00F50689">
            <w:pPr>
              <w:pStyle w:val="Heading9pNormalCentered"/>
              <w:rPr>
                <w:rFonts w:eastAsia="Verdana" w:cs="Verdana"/>
                <w:lang w:bidi="en-GB"/>
              </w:rPr>
            </w:pPr>
            <w:proofErr w:type="spellStart"/>
            <w:r>
              <w:rPr>
                <w:rFonts w:eastAsia="Verdana" w:cs="Verdana"/>
                <w:lang w:bidi="en-GB"/>
              </w:rPr>
              <w:t>ations</w:t>
            </w:r>
            <w:proofErr w:type="spellEnd"/>
            <w:r>
              <w:rPr>
                <w:rFonts w:eastAsia="Verdana" w:cs="Verdana"/>
                <w:lang w:bidi="en-GB"/>
              </w:rPr>
              <w:t>*</w:t>
            </w:r>
          </w:p>
        </w:tc>
        <w:tc>
          <w:tcPr>
            <w:tcW w:w="127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eastAsia="Verdana" w:cs="Verdana"/>
                <w:lang w:bidi="en-GB"/>
              </w:rPr>
            </w:pPr>
            <w:r>
              <w:rPr>
                <w:rFonts w:eastAsia="Verdana" w:cs="Verdana"/>
                <w:lang w:bidi="en-GB"/>
              </w:rPr>
              <w:t xml:space="preserve">Total </w:t>
            </w:r>
            <w:proofErr w:type="spellStart"/>
            <w:r>
              <w:rPr>
                <w:rFonts w:eastAsia="Verdana" w:cs="Verdana"/>
                <w:lang w:bidi="en-GB"/>
              </w:rPr>
              <w:t>appropria-tions</w:t>
            </w:r>
            <w:proofErr w:type="spellEnd"/>
            <w:r>
              <w:rPr>
                <w:rFonts w:eastAsia="Verdana" w:cs="Verdana"/>
                <w:lang w:bidi="en-GB"/>
              </w:rPr>
              <w:t xml:space="preserve"> available</w:t>
            </w:r>
          </w:p>
        </w:tc>
        <w:tc>
          <w:tcPr>
            <w:tcW w:w="141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eastAsia="Verdana" w:cs="Verdana"/>
                <w:lang w:bidi="en-GB"/>
              </w:rPr>
            </w:pPr>
            <w:r>
              <w:rPr>
                <w:rFonts w:eastAsia="Verdana" w:cs="Verdana"/>
                <w:lang w:bidi="en-GB"/>
              </w:rPr>
              <w:t>Payments made</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01</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Economic and financial affairs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297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300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129</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429</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306</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02</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Enterprise and Industry</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2 105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60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2 165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322</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2 486</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2 237</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03</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Competition</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94</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93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14</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107</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96</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04</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Employment, social affairs and inclusion</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11 622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(341)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11 280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242</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11 522</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11 403</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05</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Agriculture and rural development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55 635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(518)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55 117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2 003</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57 120</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55 766</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06</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Mobility and transport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1 003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1 004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85</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1 089</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1 037</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07</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Environment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346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347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37</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384</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362</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08</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Research and Innovation</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4 107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4 096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1 525</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5 621</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4 918</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09</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Communications networks, content and technology</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961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107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1 068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275</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1 343</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1 184</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10</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Direct research</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420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397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552</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949</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508</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11</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Maritime affairs and Fisheries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780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788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35</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823</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805</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12</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Internal market and services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117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114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21</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134</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119</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13</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Regional and urban policy</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40 223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3 244</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43 467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528</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43 995</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43 979</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14</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Taxation and customs union</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122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133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13</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146</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138</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15</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Education and culture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2 242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178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2 420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549</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2 969</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2 673</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16</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Communication</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245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251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25</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276</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257</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17</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Health and consumer protection</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567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553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37</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590</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571</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18</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Home affairs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763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768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35</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803</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789</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19</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Foreign policy instruments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463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74</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537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55</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593</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552</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20</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Trade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115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116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7</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123</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118</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21</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Development and Cooperation</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3 658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286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3 944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248</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4 192</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4 133</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22</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Enlargement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904</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892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17</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908</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898</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23</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Humanitarian aid and Civil protection</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851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564</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1 415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83</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1 498</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1 430</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24</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Fight against fraud</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75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75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9</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84</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75</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25</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Commission's policy coordination &amp; legal advice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195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195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26</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221</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199</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26</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Commission’s administration</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991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(30)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961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324</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1 285</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1 060</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27</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Budget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96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84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14</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99</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88</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28</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Audit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13</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12</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29</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Statistics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152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131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28</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160</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139</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30</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Pensions and related expenditure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1 450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44</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1 494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1 495</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1 493</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31</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Language Services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388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391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107</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498</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445</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32</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Energy</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588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68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656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149</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805</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733</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33</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Justice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193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187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16</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202</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193</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34</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Climate action</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43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9</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52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4</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55</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50</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40</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Reserves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150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(150)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lang w:bidi="en-GB"/>
              </w:rPr>
            </w:pPr>
            <w:r>
              <w:rPr>
                <w:rFonts w:eastAsia="Verdana" w:cs="Verdana"/>
                <w:b w:val="0"/>
                <w:lang w:bidi="en-GB"/>
              </w:rPr>
              <w:t>90</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Other Institutions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3 532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3 531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944</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4 475</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3 729</w:t>
            </w:r>
          </w:p>
        </w:tc>
      </w:tr>
      <w:tr w:rsidR="00E7728E">
        <w:tc>
          <w:tcPr>
            <w:tcW w:w="2802" w:type="dxa"/>
            <w:gridSpan w:val="2"/>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jc w:val="left"/>
              <w:rPr>
                <w:rFonts w:eastAsia="Verdana" w:cs="Verdana"/>
                <w:lang w:bidi="en-GB"/>
              </w:rPr>
            </w:pPr>
            <w:r>
              <w:rPr>
                <w:rFonts w:eastAsia="Verdana" w:cs="Verdana"/>
                <w:lang w:bidi="en-GB"/>
              </w:rPr>
              <w:t>Total</w:t>
            </w:r>
          </w:p>
        </w:tc>
        <w:tc>
          <w:tcPr>
            <w:tcW w:w="992"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eastAsia="Verdana" w:cs="Verdana"/>
                <w:lang w:bidi="en-GB"/>
              </w:rPr>
            </w:pPr>
            <w:r>
              <w:rPr>
                <w:rFonts w:eastAsia="Verdana" w:cs="Verdana"/>
                <w:lang w:bidi="en-GB"/>
              </w:rPr>
              <w:t>135 505</w:t>
            </w:r>
          </w:p>
        </w:tc>
        <w:tc>
          <w:tcPr>
            <w:tcW w:w="1134"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eastAsia="Verdana" w:cs="Verdana"/>
                <w:lang w:bidi="en-GB"/>
              </w:rPr>
            </w:pPr>
            <w:r>
              <w:rPr>
                <w:rFonts w:eastAsia="Verdana" w:cs="Verdana"/>
                <w:lang w:bidi="en-GB"/>
              </w:rPr>
              <w:t>3 530</w:t>
            </w:r>
          </w:p>
        </w:tc>
        <w:tc>
          <w:tcPr>
            <w:tcW w:w="1134"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eastAsia="Verdana" w:cs="Verdana"/>
                <w:lang w:bidi="en-GB"/>
              </w:rPr>
            </w:pPr>
            <w:r>
              <w:rPr>
                <w:rFonts w:eastAsia="Verdana" w:cs="Verdana"/>
                <w:lang w:bidi="en-GB"/>
              </w:rPr>
              <w:t>139 034</w:t>
            </w:r>
          </w:p>
        </w:tc>
        <w:tc>
          <w:tcPr>
            <w:tcW w:w="992"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eastAsia="Verdana" w:cs="Verdana"/>
                <w:lang w:bidi="en-GB"/>
              </w:rPr>
            </w:pPr>
            <w:r>
              <w:rPr>
                <w:rFonts w:eastAsia="Verdana" w:cs="Verdana"/>
                <w:lang w:bidi="en-GB"/>
              </w:rPr>
              <w:t>8 460</w:t>
            </w:r>
          </w:p>
        </w:tc>
        <w:tc>
          <w:tcPr>
            <w:tcW w:w="1276"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eastAsia="Verdana" w:cs="Verdana"/>
                <w:lang w:bidi="en-GB"/>
              </w:rPr>
            </w:pPr>
            <w:r>
              <w:rPr>
                <w:rFonts w:eastAsia="Verdana" w:cs="Verdana"/>
                <w:lang w:bidi="en-GB"/>
              </w:rPr>
              <w:t>147 495</w:t>
            </w:r>
          </w:p>
        </w:tc>
        <w:tc>
          <w:tcPr>
            <w:tcW w:w="1417"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eastAsia="Verdana" w:cs="Verdana"/>
                <w:lang w:bidi="en-GB"/>
              </w:rPr>
            </w:pPr>
            <w:r>
              <w:rPr>
                <w:rFonts w:eastAsia="Verdana" w:cs="Verdana"/>
                <w:lang w:bidi="en-GB"/>
              </w:rPr>
              <w:t>142 497</w:t>
            </w:r>
          </w:p>
        </w:tc>
      </w:tr>
    </w:tbl>
    <w:p w:rsidR="00F50689" w:rsidRPr="008A7D59" w:rsidRDefault="005A36C4" w:rsidP="008A7D59">
      <w:pPr>
        <w:pStyle w:val="Textstand-alone"/>
        <w:spacing w:before="60" w:after="0"/>
        <w:rPr>
          <w:i/>
          <w:sz w:val="14"/>
        </w:rPr>
      </w:pPr>
      <w:r w:rsidRPr="008A7D59">
        <w:rPr>
          <w:i/>
          <w:sz w:val="14"/>
        </w:rPr>
        <w:t>* Additonal appropriations include appropriations carried over from previous year,  assigned revenue and appropriations made available again following decommitments.</w:t>
      </w:r>
    </w:p>
    <w:p w:rsidR="00F50689" w:rsidRPr="00693D35" w:rsidRDefault="005A36C4" w:rsidP="00F50689">
      <w:pPr>
        <w:pStyle w:val="Textstand-alone"/>
        <w:spacing w:before="0" w:after="0"/>
        <w:rPr>
          <w:i/>
        </w:rPr>
      </w:pPr>
      <w:r>
        <w:rPr>
          <w:i/>
        </w:rPr>
        <w:t xml:space="preserve"> </w:t>
      </w:r>
    </w:p>
    <w:p w:rsidR="00F50689" w:rsidRPr="00693D35" w:rsidRDefault="005A36C4" w:rsidP="00F50689">
      <w:pPr>
        <w:pStyle w:val="Textstand-alone"/>
        <w:spacing w:before="0" w:after="0"/>
        <w:rPr>
          <w:i/>
        </w:rPr>
        <w:sectPr w:rsidR="00F50689" w:rsidRPr="00693D35" w:rsidSect="00F50689">
          <w:headerReference w:type="even" r:id="rId551"/>
          <w:headerReference w:type="default" r:id="rId552"/>
          <w:footerReference w:type="even" r:id="rId553"/>
          <w:footerReference w:type="default" r:id="rId554"/>
          <w:headerReference w:type="first" r:id="rId555"/>
          <w:footerReference w:type="first" r:id="rId556"/>
          <w:pgSz w:w="11907" w:h="16840" w:code="9"/>
          <w:pgMar w:top="1134" w:right="1134" w:bottom="1134" w:left="1134" w:header="709" w:footer="709" w:gutter="0"/>
          <w:cols w:space="708"/>
          <w:docGrid w:linePitch="360"/>
        </w:sectPr>
      </w:pPr>
      <w:r>
        <w:rPr>
          <w:i/>
        </w:rPr>
        <w:t xml:space="preserve"> </w:t>
      </w:r>
      <w:bookmarkEnd w:id="272"/>
    </w:p>
    <w:p w:rsidR="00F50689" w:rsidRDefault="005A36C4" w:rsidP="00F50689">
      <w:pPr>
        <w:pStyle w:val="HEADER2Part3"/>
        <w:spacing w:before="0" w:after="80"/>
      </w:pPr>
      <w:bookmarkStart w:id="274" w:name="_Toc424653750"/>
      <w:bookmarkStart w:id="275" w:name="_DMBM_3443"/>
      <w:r>
        <w:t xml:space="preserve">POLICY AREA: </w:t>
      </w:r>
      <w:r w:rsidRPr="0017709B">
        <w:t>IMPLEMENT</w:t>
      </w:r>
      <w:r>
        <w:t>ATION OF PAYMENT APPROPRIATIONS</w:t>
      </w:r>
      <w:bookmarkEnd w:id="274"/>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
        <w:gridCol w:w="2411"/>
        <w:gridCol w:w="850"/>
        <w:gridCol w:w="851"/>
        <w:gridCol w:w="709"/>
        <w:gridCol w:w="850"/>
        <w:gridCol w:w="851"/>
        <w:gridCol w:w="850"/>
        <w:gridCol w:w="851"/>
        <w:gridCol w:w="850"/>
        <w:gridCol w:w="709"/>
        <w:gridCol w:w="709"/>
        <w:gridCol w:w="708"/>
        <w:gridCol w:w="993"/>
        <w:gridCol w:w="708"/>
        <w:gridCol w:w="851"/>
        <w:gridCol w:w="709"/>
        <w:gridCol w:w="708"/>
      </w:tblGrid>
      <w:tr w:rsidR="00BD5073" w:rsidTr="00A675FE">
        <w:tc>
          <w:tcPr>
            <w:tcW w:w="283" w:type="dxa"/>
            <w:tcBorders>
              <w:top w:val="nil"/>
              <w:left w:val="nil"/>
              <w:bottom w:val="nil"/>
              <w:right w:val="nil"/>
            </w:tcBorders>
            <w:shd w:val="clear" w:color="auto" w:fill="auto"/>
            <w:tcMar>
              <w:top w:w="0" w:type="dxa"/>
              <w:left w:w="0" w:type="dxa"/>
              <w:bottom w:w="0" w:type="dxa"/>
              <w:right w:w="0" w:type="dxa"/>
            </w:tcMar>
          </w:tcPr>
          <w:p w:rsidR="00BD5073" w:rsidRDefault="00BD5073" w:rsidP="00F50689">
            <w:pPr>
              <w:pStyle w:val="Text7pItalicLeft"/>
              <w:rPr>
                <w:rFonts w:eastAsia="Verdana" w:cs="Verdana"/>
                <w:lang w:bidi="en-GB"/>
              </w:rPr>
            </w:pPr>
            <w:bookmarkStart w:id="276" w:name="DOC_TBL00109_1_1"/>
            <w:bookmarkEnd w:id="276"/>
          </w:p>
        </w:tc>
        <w:tc>
          <w:tcPr>
            <w:tcW w:w="2411" w:type="dxa"/>
            <w:tcBorders>
              <w:top w:val="nil"/>
              <w:left w:val="nil"/>
              <w:bottom w:val="nil"/>
              <w:right w:val="nil"/>
            </w:tcBorders>
            <w:shd w:val="clear" w:color="auto" w:fill="auto"/>
            <w:tcMar>
              <w:top w:w="0" w:type="dxa"/>
              <w:left w:w="0" w:type="dxa"/>
              <w:bottom w:w="0" w:type="dxa"/>
              <w:right w:w="0" w:type="dxa"/>
            </w:tcMar>
          </w:tcPr>
          <w:p w:rsidR="00BD5073" w:rsidRDefault="00BD5073" w:rsidP="00F50689">
            <w:pPr>
              <w:pStyle w:val="Text7pItalicRight025"/>
              <w:rPr>
                <w:rFonts w:eastAsia="Verdana" w:cs="Verdana"/>
                <w:i w:val="0"/>
                <w:lang w:bidi="en-GB"/>
              </w:rPr>
            </w:pPr>
          </w:p>
        </w:tc>
        <w:tc>
          <w:tcPr>
            <w:tcW w:w="850" w:type="dxa"/>
            <w:tcBorders>
              <w:top w:val="nil"/>
              <w:left w:val="nil"/>
              <w:bottom w:val="nil"/>
              <w:right w:val="nil"/>
            </w:tcBorders>
            <w:shd w:val="clear" w:color="auto" w:fill="auto"/>
            <w:tcMar>
              <w:top w:w="0" w:type="dxa"/>
              <w:left w:w="0" w:type="dxa"/>
              <w:bottom w:w="0" w:type="dxa"/>
              <w:right w:w="0" w:type="dxa"/>
            </w:tcMar>
          </w:tcPr>
          <w:p w:rsidR="00BD5073" w:rsidRDefault="00BD5073" w:rsidP="00F50689">
            <w:pPr>
              <w:pStyle w:val="Text7pItalicRight025"/>
              <w:rPr>
                <w:rFonts w:eastAsia="Verdana" w:cs="Verdana"/>
                <w:i w:val="0"/>
                <w:lang w:bidi="en-GB"/>
              </w:rPr>
            </w:pPr>
          </w:p>
        </w:tc>
        <w:tc>
          <w:tcPr>
            <w:tcW w:w="851" w:type="dxa"/>
            <w:tcBorders>
              <w:top w:val="nil"/>
              <w:left w:val="nil"/>
              <w:bottom w:val="nil"/>
              <w:right w:val="nil"/>
            </w:tcBorders>
            <w:shd w:val="clear" w:color="auto" w:fill="auto"/>
            <w:tcMar>
              <w:top w:w="0" w:type="dxa"/>
              <w:left w:w="0" w:type="dxa"/>
              <w:bottom w:w="0" w:type="dxa"/>
              <w:right w:w="0" w:type="dxa"/>
            </w:tcMar>
          </w:tcPr>
          <w:p w:rsidR="00BD5073" w:rsidRDefault="00BD5073" w:rsidP="00F50689">
            <w:pPr>
              <w:pStyle w:val="Text7pItalicRight025"/>
              <w:rPr>
                <w:rFonts w:eastAsia="Verdana" w:cs="Verdana"/>
                <w:i w:val="0"/>
                <w:lang w:bidi="en-GB"/>
              </w:rPr>
            </w:pPr>
          </w:p>
        </w:tc>
        <w:tc>
          <w:tcPr>
            <w:tcW w:w="709" w:type="dxa"/>
            <w:tcBorders>
              <w:top w:val="nil"/>
              <w:left w:val="nil"/>
              <w:bottom w:val="nil"/>
              <w:right w:val="nil"/>
            </w:tcBorders>
            <w:shd w:val="clear" w:color="auto" w:fill="auto"/>
            <w:tcMar>
              <w:top w:w="0" w:type="dxa"/>
              <w:left w:w="0" w:type="dxa"/>
              <w:bottom w:w="0" w:type="dxa"/>
              <w:right w:w="0" w:type="dxa"/>
            </w:tcMar>
          </w:tcPr>
          <w:p w:rsidR="00BD5073" w:rsidRDefault="00BD5073" w:rsidP="00F50689">
            <w:pPr>
              <w:pStyle w:val="Text7pItalicRight025"/>
              <w:rPr>
                <w:rFonts w:eastAsia="Verdana" w:cs="Verdana"/>
                <w:i w:val="0"/>
                <w:lang w:bidi="en-GB"/>
              </w:rPr>
            </w:pPr>
          </w:p>
        </w:tc>
        <w:tc>
          <w:tcPr>
            <w:tcW w:w="850" w:type="dxa"/>
            <w:tcBorders>
              <w:top w:val="nil"/>
              <w:left w:val="nil"/>
              <w:bottom w:val="nil"/>
              <w:right w:val="nil"/>
            </w:tcBorders>
            <w:shd w:val="clear" w:color="auto" w:fill="auto"/>
            <w:tcMar>
              <w:top w:w="0" w:type="dxa"/>
              <w:left w:w="0" w:type="dxa"/>
              <w:bottom w:w="0" w:type="dxa"/>
              <w:right w:w="0" w:type="dxa"/>
            </w:tcMar>
          </w:tcPr>
          <w:p w:rsidR="00BD5073" w:rsidRDefault="00BD5073" w:rsidP="00F50689">
            <w:pPr>
              <w:pStyle w:val="Text7pItalicRight025"/>
              <w:rPr>
                <w:rFonts w:eastAsia="Verdana" w:cs="Verdana"/>
                <w:i w:val="0"/>
                <w:lang w:bidi="en-GB"/>
              </w:rPr>
            </w:pPr>
          </w:p>
        </w:tc>
        <w:tc>
          <w:tcPr>
            <w:tcW w:w="851" w:type="dxa"/>
            <w:tcBorders>
              <w:top w:val="nil"/>
              <w:left w:val="nil"/>
              <w:bottom w:val="nil"/>
              <w:right w:val="nil"/>
            </w:tcBorders>
            <w:shd w:val="clear" w:color="auto" w:fill="auto"/>
            <w:tcMar>
              <w:top w:w="0" w:type="dxa"/>
              <w:left w:w="0" w:type="dxa"/>
              <w:bottom w:w="0" w:type="dxa"/>
              <w:right w:w="0" w:type="dxa"/>
            </w:tcMar>
          </w:tcPr>
          <w:p w:rsidR="00BD5073" w:rsidRDefault="00BD5073" w:rsidP="00F50689">
            <w:pPr>
              <w:pStyle w:val="Text7pItalicRight025"/>
              <w:rPr>
                <w:rFonts w:eastAsia="Verdana" w:cs="Verdana"/>
                <w:i w:val="0"/>
                <w:lang w:bidi="en-GB"/>
              </w:rPr>
            </w:pPr>
          </w:p>
        </w:tc>
        <w:tc>
          <w:tcPr>
            <w:tcW w:w="850" w:type="dxa"/>
            <w:tcBorders>
              <w:top w:val="nil"/>
              <w:left w:val="nil"/>
              <w:bottom w:val="nil"/>
              <w:right w:val="nil"/>
            </w:tcBorders>
            <w:shd w:val="clear" w:color="auto" w:fill="auto"/>
            <w:tcMar>
              <w:top w:w="0" w:type="dxa"/>
              <w:left w:w="0" w:type="dxa"/>
              <w:bottom w:w="0" w:type="dxa"/>
              <w:right w:w="0" w:type="dxa"/>
            </w:tcMar>
          </w:tcPr>
          <w:p w:rsidR="00BD5073" w:rsidRDefault="00BD5073" w:rsidP="00F50689">
            <w:pPr>
              <w:pStyle w:val="Text7pItalicRight025"/>
              <w:rPr>
                <w:rFonts w:eastAsia="Verdana" w:cs="Verdana"/>
                <w:i w:val="0"/>
                <w:lang w:bidi="en-GB"/>
              </w:rPr>
            </w:pPr>
          </w:p>
        </w:tc>
        <w:tc>
          <w:tcPr>
            <w:tcW w:w="851" w:type="dxa"/>
            <w:tcBorders>
              <w:top w:val="nil"/>
              <w:left w:val="nil"/>
              <w:bottom w:val="nil"/>
              <w:right w:val="nil"/>
            </w:tcBorders>
            <w:shd w:val="clear" w:color="auto" w:fill="auto"/>
            <w:tcMar>
              <w:top w:w="0" w:type="dxa"/>
              <w:left w:w="0" w:type="dxa"/>
              <w:bottom w:w="0" w:type="dxa"/>
              <w:right w:w="0" w:type="dxa"/>
            </w:tcMar>
          </w:tcPr>
          <w:p w:rsidR="00BD5073" w:rsidRDefault="00BD5073" w:rsidP="00F50689">
            <w:pPr>
              <w:pStyle w:val="Text7pItalicRight025"/>
              <w:rPr>
                <w:rFonts w:eastAsia="Verdana" w:cs="Verdana"/>
                <w:i w:val="0"/>
                <w:lang w:bidi="en-GB"/>
              </w:rPr>
            </w:pPr>
          </w:p>
        </w:tc>
        <w:tc>
          <w:tcPr>
            <w:tcW w:w="850" w:type="dxa"/>
            <w:tcBorders>
              <w:top w:val="nil"/>
              <w:left w:val="nil"/>
              <w:bottom w:val="nil"/>
              <w:right w:val="nil"/>
            </w:tcBorders>
            <w:shd w:val="clear" w:color="auto" w:fill="auto"/>
            <w:tcMar>
              <w:top w:w="0" w:type="dxa"/>
              <w:left w:w="0" w:type="dxa"/>
              <w:bottom w:w="0" w:type="dxa"/>
              <w:right w:w="0" w:type="dxa"/>
            </w:tcMar>
          </w:tcPr>
          <w:p w:rsidR="00BD5073" w:rsidRDefault="00BD5073" w:rsidP="00F50689">
            <w:pPr>
              <w:pStyle w:val="Text7pItalicRight025"/>
              <w:rPr>
                <w:rFonts w:eastAsia="Verdana" w:cs="Verdana"/>
                <w:i w:val="0"/>
                <w:lang w:bidi="en-GB"/>
              </w:rPr>
            </w:pPr>
          </w:p>
        </w:tc>
        <w:tc>
          <w:tcPr>
            <w:tcW w:w="709" w:type="dxa"/>
            <w:tcBorders>
              <w:top w:val="nil"/>
              <w:left w:val="nil"/>
              <w:bottom w:val="nil"/>
              <w:right w:val="nil"/>
            </w:tcBorders>
            <w:shd w:val="clear" w:color="auto" w:fill="auto"/>
            <w:tcMar>
              <w:top w:w="0" w:type="dxa"/>
              <w:left w:w="0" w:type="dxa"/>
              <w:bottom w:w="0" w:type="dxa"/>
              <w:right w:w="0" w:type="dxa"/>
            </w:tcMar>
          </w:tcPr>
          <w:p w:rsidR="00BD5073" w:rsidRDefault="00BD5073" w:rsidP="00F50689">
            <w:pPr>
              <w:pStyle w:val="Text7pItalicRight025"/>
              <w:rPr>
                <w:rFonts w:eastAsia="Verdana" w:cs="Verdana"/>
                <w:i w:val="0"/>
                <w:lang w:bidi="en-GB"/>
              </w:rPr>
            </w:pPr>
          </w:p>
        </w:tc>
        <w:tc>
          <w:tcPr>
            <w:tcW w:w="709" w:type="dxa"/>
            <w:tcBorders>
              <w:top w:val="nil"/>
              <w:left w:val="nil"/>
              <w:bottom w:val="nil"/>
              <w:right w:val="nil"/>
            </w:tcBorders>
            <w:shd w:val="clear" w:color="auto" w:fill="auto"/>
            <w:tcMar>
              <w:top w:w="0" w:type="dxa"/>
              <w:left w:w="0" w:type="dxa"/>
              <w:bottom w:w="0" w:type="dxa"/>
              <w:right w:w="0" w:type="dxa"/>
            </w:tcMar>
          </w:tcPr>
          <w:p w:rsidR="00BD5073" w:rsidRDefault="00BD5073" w:rsidP="00F50689">
            <w:pPr>
              <w:pStyle w:val="Text7pItalicRight025"/>
              <w:rPr>
                <w:rFonts w:eastAsia="Verdana" w:cs="Verdana"/>
                <w:i w:val="0"/>
                <w:lang w:bidi="en-GB"/>
              </w:rPr>
            </w:pPr>
          </w:p>
        </w:tc>
        <w:tc>
          <w:tcPr>
            <w:tcW w:w="708" w:type="dxa"/>
            <w:tcBorders>
              <w:top w:val="nil"/>
              <w:left w:val="nil"/>
              <w:bottom w:val="nil"/>
              <w:right w:val="nil"/>
            </w:tcBorders>
            <w:shd w:val="clear" w:color="auto" w:fill="auto"/>
            <w:tcMar>
              <w:top w:w="0" w:type="dxa"/>
              <w:left w:w="0" w:type="dxa"/>
              <w:bottom w:w="0" w:type="dxa"/>
              <w:right w:w="0" w:type="dxa"/>
            </w:tcMar>
          </w:tcPr>
          <w:p w:rsidR="00BD5073" w:rsidRDefault="00BD5073" w:rsidP="00F50689">
            <w:pPr>
              <w:pStyle w:val="Text7pItalicRight025"/>
              <w:rPr>
                <w:rFonts w:eastAsia="Verdana" w:cs="Verdana"/>
                <w:i w:val="0"/>
                <w:lang w:bidi="en-GB"/>
              </w:rPr>
            </w:pPr>
          </w:p>
        </w:tc>
        <w:tc>
          <w:tcPr>
            <w:tcW w:w="993" w:type="dxa"/>
            <w:tcBorders>
              <w:top w:val="nil"/>
              <w:left w:val="nil"/>
              <w:bottom w:val="nil"/>
              <w:right w:val="nil"/>
            </w:tcBorders>
            <w:shd w:val="clear" w:color="auto" w:fill="auto"/>
            <w:tcMar>
              <w:top w:w="0" w:type="dxa"/>
              <w:left w:w="0" w:type="dxa"/>
              <w:bottom w:w="0" w:type="dxa"/>
              <w:right w:w="0" w:type="dxa"/>
            </w:tcMar>
          </w:tcPr>
          <w:p w:rsidR="00BD5073" w:rsidRPr="001C635F" w:rsidRDefault="00BD5073" w:rsidP="00F50689">
            <w:pPr>
              <w:pStyle w:val="Text7pItalicRight025"/>
              <w:rPr>
                <w:rFonts w:eastAsia="Verdana" w:cs="Verdana"/>
                <w:lang w:bidi="en-GB"/>
              </w:rPr>
            </w:pPr>
          </w:p>
        </w:tc>
        <w:tc>
          <w:tcPr>
            <w:tcW w:w="708" w:type="dxa"/>
            <w:tcBorders>
              <w:top w:val="nil"/>
              <w:left w:val="nil"/>
              <w:bottom w:val="nil"/>
              <w:right w:val="nil"/>
            </w:tcBorders>
            <w:shd w:val="clear" w:color="auto" w:fill="auto"/>
            <w:tcMar>
              <w:top w:w="0" w:type="dxa"/>
              <w:left w:w="0" w:type="dxa"/>
              <w:bottom w:w="0" w:type="dxa"/>
              <w:right w:w="0" w:type="dxa"/>
            </w:tcMar>
          </w:tcPr>
          <w:p w:rsidR="00BD5073" w:rsidRPr="001C635F" w:rsidRDefault="00BD5073" w:rsidP="00F50689">
            <w:pPr>
              <w:pStyle w:val="Text7pItalicRight025"/>
              <w:rPr>
                <w:rFonts w:eastAsia="Verdana" w:cs="Verdana"/>
                <w:lang w:bidi="en-GB"/>
              </w:rPr>
            </w:pPr>
          </w:p>
        </w:tc>
        <w:tc>
          <w:tcPr>
            <w:tcW w:w="2268" w:type="dxa"/>
            <w:gridSpan w:val="3"/>
            <w:tcBorders>
              <w:top w:val="nil"/>
              <w:left w:val="nil"/>
              <w:bottom w:val="nil"/>
              <w:right w:val="nil"/>
            </w:tcBorders>
            <w:shd w:val="clear" w:color="auto" w:fill="auto"/>
            <w:tcMar>
              <w:top w:w="0" w:type="dxa"/>
              <w:left w:w="0" w:type="dxa"/>
              <w:bottom w:w="0" w:type="dxa"/>
              <w:right w:w="0" w:type="dxa"/>
            </w:tcMar>
          </w:tcPr>
          <w:p w:rsidR="00BD5073" w:rsidRPr="001C635F" w:rsidRDefault="00BD5073" w:rsidP="00F50689">
            <w:pPr>
              <w:pStyle w:val="Text7pItalicRight025"/>
              <w:rPr>
                <w:rFonts w:eastAsia="Verdana" w:cs="Verdana"/>
                <w:lang w:bidi="en-GB"/>
              </w:rPr>
            </w:pPr>
            <w:r w:rsidRPr="001C635F">
              <w:rPr>
                <w:rFonts w:eastAsia="Verdana" w:cs="Verdana"/>
                <w:lang w:bidi="en-GB"/>
              </w:rPr>
              <w:t>EUR millions</w:t>
            </w:r>
          </w:p>
        </w:tc>
      </w:tr>
      <w:tr w:rsidR="00E7728E">
        <w:tc>
          <w:tcPr>
            <w:tcW w:w="283"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lang w:bidi="en-GB"/>
              </w:rPr>
            </w:pPr>
          </w:p>
        </w:tc>
        <w:tc>
          <w:tcPr>
            <w:tcW w:w="241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Policy Area</w:t>
            </w:r>
          </w:p>
        </w:tc>
        <w:tc>
          <w:tcPr>
            <w:tcW w:w="85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lang w:bidi="en-GB"/>
              </w:rPr>
            </w:pPr>
          </w:p>
        </w:tc>
        <w:tc>
          <w:tcPr>
            <w:tcW w:w="4111" w:type="dxa"/>
            <w:gridSpan w:val="5"/>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Payments made</w:t>
            </w:r>
          </w:p>
        </w:tc>
        <w:tc>
          <w:tcPr>
            <w:tcW w:w="3827" w:type="dxa"/>
            <w:gridSpan w:val="5"/>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Appropriations carried over</w:t>
            </w:r>
          </w:p>
        </w:tc>
        <w:tc>
          <w:tcPr>
            <w:tcW w:w="3969" w:type="dxa"/>
            <w:gridSpan w:val="5"/>
            <w:tcBorders>
              <w:top w:val="nil"/>
              <w:left w:val="nil"/>
              <w:bottom w:val="nil"/>
              <w:right w:val="nil"/>
            </w:tcBorders>
            <w:shd w:val="clear" w:color="auto" w:fill="016794"/>
            <w:tcMar>
              <w:top w:w="0" w:type="dxa"/>
              <w:left w:w="0" w:type="dxa"/>
              <w:bottom w:w="0" w:type="dxa"/>
              <w:right w:w="0" w:type="dxa"/>
            </w:tcMar>
          </w:tcPr>
          <w:p w:rsidR="00F50689" w:rsidRPr="001C635F" w:rsidRDefault="005A36C4" w:rsidP="00F50689">
            <w:pPr>
              <w:pStyle w:val="Heading7pNormalCentered"/>
              <w:rPr>
                <w:rFonts w:eastAsia="Verdana" w:cs="Verdana"/>
                <w:i/>
                <w:lang w:bidi="en-GB"/>
              </w:rPr>
            </w:pPr>
            <w:r w:rsidRPr="001C635F">
              <w:rPr>
                <w:rFonts w:eastAsia="Verdana" w:cs="Verdana"/>
                <w:i/>
                <w:lang w:bidi="en-GB"/>
              </w:rPr>
              <w:t>Appropriations lapsing</w:t>
            </w:r>
          </w:p>
        </w:tc>
      </w:tr>
      <w:tr w:rsidR="00E7728E">
        <w:tc>
          <w:tcPr>
            <w:tcW w:w="283"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lang w:bidi="en-GB"/>
              </w:rPr>
            </w:pPr>
          </w:p>
        </w:tc>
        <w:tc>
          <w:tcPr>
            <w:tcW w:w="241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spacing w:after="200" w:line="276" w:lineRule="auto"/>
              <w:rPr>
                <w:rFonts w:ascii="Calibri" w:eastAsia="Calibri" w:hAnsi="Calibri" w:cs="Calibri"/>
                <w:sz w:val="22"/>
                <w:lang w:bidi="en-GB"/>
              </w:rPr>
            </w:pPr>
          </w:p>
        </w:tc>
        <w:tc>
          <w:tcPr>
            <w:tcW w:w="85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Total appropriations available</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From final adopted budget</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From carry-overs</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From assigned revenue</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Total</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Automatic carry-overs</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Carry-overs by decision</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Assigned revenue</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Total</w:t>
            </w:r>
          </w:p>
        </w:tc>
        <w:tc>
          <w:tcPr>
            <w:tcW w:w="70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From final adopted budget</w:t>
            </w:r>
          </w:p>
        </w:tc>
        <w:tc>
          <w:tcPr>
            <w:tcW w:w="70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From carry-overs</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Assigned revenue (EFTA)</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Total</w:t>
            </w:r>
          </w:p>
        </w:tc>
        <w:tc>
          <w:tcPr>
            <w:tcW w:w="70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w:t>
            </w:r>
          </w:p>
        </w:tc>
      </w:tr>
      <w:tr w:rsidR="00E7728E">
        <w:tc>
          <w:tcPr>
            <w:tcW w:w="283"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lang w:bidi="en-GB"/>
              </w:rPr>
            </w:pPr>
          </w:p>
        </w:tc>
        <w:tc>
          <w:tcPr>
            <w:tcW w:w="241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spacing w:after="200" w:line="276" w:lineRule="auto"/>
              <w:rPr>
                <w:rFonts w:ascii="Calibri" w:eastAsia="Calibri" w:hAnsi="Calibri" w:cs="Calibri"/>
                <w:sz w:val="22"/>
                <w:lang w:bidi="en-GB"/>
              </w:rPr>
            </w:pPr>
          </w:p>
        </w:tc>
        <w:tc>
          <w:tcPr>
            <w:tcW w:w="85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1</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2</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3</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4</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5=2+3+4</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6=5/1</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 xml:space="preserve"> 7</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 xml:space="preserve"> 8</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 xml:space="preserve"> 9</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10=7+8+9</w:t>
            </w:r>
          </w:p>
        </w:tc>
        <w:tc>
          <w:tcPr>
            <w:tcW w:w="70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11=10/1</w:t>
            </w:r>
          </w:p>
        </w:tc>
        <w:tc>
          <w:tcPr>
            <w:tcW w:w="993"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12</w:t>
            </w:r>
          </w:p>
        </w:tc>
        <w:tc>
          <w:tcPr>
            <w:tcW w:w="70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13</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14</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15=</w:t>
            </w:r>
          </w:p>
          <w:p w:rsidR="00F50689" w:rsidRDefault="005A36C4" w:rsidP="00F50689">
            <w:pPr>
              <w:pStyle w:val="Heading7pNormalCentered"/>
              <w:rPr>
                <w:rFonts w:eastAsia="Verdana" w:cs="Verdana"/>
                <w:lang w:bidi="en-GB"/>
              </w:rPr>
            </w:pPr>
            <w:r>
              <w:rPr>
                <w:rFonts w:eastAsia="Verdana" w:cs="Verdana"/>
                <w:lang w:bidi="en-GB"/>
              </w:rPr>
              <w:t>12+13</w:t>
            </w:r>
          </w:p>
          <w:p w:rsidR="00F50689" w:rsidRDefault="005A36C4" w:rsidP="00F50689">
            <w:pPr>
              <w:pStyle w:val="Heading7pNormalCentered"/>
              <w:rPr>
                <w:rFonts w:eastAsia="Verdana" w:cs="Verdana"/>
                <w:lang w:bidi="en-GB"/>
              </w:rPr>
            </w:pPr>
            <w:r>
              <w:rPr>
                <w:rFonts w:eastAsia="Verdana" w:cs="Verdana"/>
                <w:lang w:bidi="en-GB"/>
              </w:rPr>
              <w:t>+14</w:t>
            </w:r>
          </w:p>
        </w:tc>
        <w:tc>
          <w:tcPr>
            <w:tcW w:w="70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16=15/1</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01</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Economic and financial affairs</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429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293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306</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71.2%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116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122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28.5%</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0.3%</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02</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Enterprise and Industry</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2 486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2 144</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12</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2 237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90.0%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227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245</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9.9%</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0.2%</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03</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Competition</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107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96</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90.0%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9.5%</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0.5%</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04</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Employment, social affairs and inclusion</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11 522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11 226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129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11 403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99.0%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15</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112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1.0%</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0.1%</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05</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Agriculture and rural development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57 120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54 224</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1 522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55 766</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97.6%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868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459</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1 350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2.4%</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0.0%</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06</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Mobility and transport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1 089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997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1 037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95.2%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44</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49</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4.5%</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0.2%</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07</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Environment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384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330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362</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94.5%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16</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5.2%</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0.3%</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08</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Research and Innovation</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5 621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4 080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810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4 918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87.5%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16</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680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696</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12.4%</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0.1%</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09</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Communications networks, content and technology</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1 343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1 052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15</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117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1 184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88.2%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16</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142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158</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11.7%</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0.1%</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10</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Direct research</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949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353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108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508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53.6%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389</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433</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45.6%</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0.8%</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11</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Maritime affairs and Fisheries</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823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782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805</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97.8%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14</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1.7%</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0.5%</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12</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Internal market and services</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134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109</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119</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88.6%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14</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10.1%</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1.3%</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13</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Regional and urban policy</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43 995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43 456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390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133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43 979</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100.0%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11</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14</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0.0%</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0.0%</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14</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Taxation and customs union</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146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128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138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94.7%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5.1%</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0.2%</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15</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Education and culture</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2 969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2 405</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11</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257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2 673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90.1%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280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293</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9.9%</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0.1%</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16</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Communication</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276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241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257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93.3%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17</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6.2%</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0.5%</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17</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Health and consumer protection</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590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543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11</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571</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96.7%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18</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3.0%</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0.3%</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18</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Home affairs</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803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762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789</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98.2%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1.5%</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0.4%</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19</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Foreign policy instruments</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593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527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552</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93.2%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29</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39</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6.6%</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0.2%</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20</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Trade</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123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113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118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95.9%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3.9%</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0.3%</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21</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Development and Cooperation</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4 192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3 917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193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4 133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98.6%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25</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29</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54</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1.3%</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0.1%</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22</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Enlargement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908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885</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898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98.8%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1.0%</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0.2%</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23</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Humanitarian aid and Civil protection</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1 498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1 405</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1 430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95.4%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68</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4.5%</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0.1%</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24</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Fight against fraud</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75</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88.6%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8.8%</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2.7%</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25</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Commission's policy coordination &amp; legal advice</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221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180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199</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90.1%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19</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8.5%</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1.4%</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26</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Commission’s administration</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1 285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833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150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1 060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82.5%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128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215</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16.7%</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0.8%</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27</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Budget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79</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89.2%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10.3%</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0.5%</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28</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Audit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12</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92.6%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6.7%</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0.8%</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29</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Statistics</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160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126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139</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86.9%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15</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12.2%</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0.8%</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30</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Pensions and related expenditure</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1 495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1 493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1 493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99.8%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0.1%</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0.0%</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31</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Language Services</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498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377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19</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445</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89.5%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10.4%</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0.2%</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32</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Energy</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805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650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733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91.0%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69</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8.5%</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0.4%</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33</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Justice</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202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183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193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95.1%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4.1%</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0.8%</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34</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Climate action</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91.1%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6.4%</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2.4%</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40</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Reserves</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0.0%</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0.0%</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90</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Other Institutions</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4 475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3 027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402</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300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3 729</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83.3%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418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192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614</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13.7%</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132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2.9%</w:t>
            </w:r>
          </w:p>
        </w:tc>
      </w:tr>
      <w:tr w:rsidR="00E7728E">
        <w:tc>
          <w:tcPr>
            <w:tcW w:w="283"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7pBoldRight025"/>
              <w:rPr>
                <w:rFonts w:eastAsia="Verdana" w:cs="Verdana"/>
                <w:lang w:bidi="en-GB"/>
              </w:rPr>
            </w:pPr>
          </w:p>
        </w:tc>
        <w:tc>
          <w:tcPr>
            <w:tcW w:w="241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7pBoldLeft"/>
              <w:rPr>
                <w:rFonts w:eastAsia="Verdana" w:cs="Verdana"/>
                <w:lang w:bidi="en-GB"/>
              </w:rPr>
            </w:pPr>
            <w:r>
              <w:rPr>
                <w:rFonts w:eastAsia="Verdana" w:cs="Verdana"/>
                <w:lang w:bidi="en-GB"/>
              </w:rPr>
              <w:t>Total</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147 495</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137 136</w:t>
            </w:r>
          </w:p>
        </w:tc>
        <w:tc>
          <w:tcPr>
            <w:tcW w:w="70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1 304</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4 057</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142 497</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96.6%</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 xml:space="preserve"> 870</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 xml:space="preserve"> 917</w:t>
            </w:r>
          </w:p>
        </w:tc>
        <w:tc>
          <w:tcPr>
            <w:tcW w:w="70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2 991</w:t>
            </w:r>
          </w:p>
        </w:tc>
        <w:tc>
          <w:tcPr>
            <w:tcW w:w="70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4 778</w:t>
            </w:r>
          </w:p>
        </w:tc>
        <w:tc>
          <w:tcPr>
            <w:tcW w:w="70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3.2%</w:t>
            </w:r>
          </w:p>
        </w:tc>
        <w:tc>
          <w:tcPr>
            <w:tcW w:w="99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 xml:space="preserve"> 112</w:t>
            </w:r>
          </w:p>
        </w:tc>
        <w:tc>
          <w:tcPr>
            <w:tcW w:w="70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 xml:space="preserve"> 106</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 xml:space="preserve"> 2</w:t>
            </w:r>
          </w:p>
        </w:tc>
        <w:tc>
          <w:tcPr>
            <w:tcW w:w="70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 xml:space="preserve"> 220</w:t>
            </w:r>
          </w:p>
        </w:tc>
        <w:tc>
          <w:tcPr>
            <w:tcW w:w="70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0.1%</w:t>
            </w:r>
          </w:p>
        </w:tc>
      </w:tr>
    </w:tbl>
    <w:p w:rsidR="00F50689" w:rsidRDefault="005A36C4" w:rsidP="00F50689">
      <w:pPr>
        <w:pStyle w:val="Textstand-alone"/>
        <w:spacing w:before="0" w:after="0"/>
        <w:sectPr w:rsidR="00F50689" w:rsidSect="00F50689">
          <w:headerReference w:type="even" r:id="rId557"/>
          <w:headerReference w:type="default" r:id="rId558"/>
          <w:footerReference w:type="even" r:id="rId559"/>
          <w:footerReference w:type="default" r:id="rId560"/>
          <w:headerReference w:type="first" r:id="rId561"/>
          <w:footerReference w:type="first" r:id="rId562"/>
          <w:pgSz w:w="16840" w:h="11907" w:orient="landscape" w:code="9"/>
          <w:pgMar w:top="1134" w:right="1134" w:bottom="1134" w:left="1134" w:header="708" w:footer="708" w:gutter="0"/>
          <w:cols w:space="708"/>
          <w:docGrid w:linePitch="360"/>
        </w:sectPr>
      </w:pPr>
      <w:r>
        <w:t xml:space="preserve"> </w:t>
      </w:r>
      <w:bookmarkEnd w:id="275"/>
    </w:p>
    <w:p w:rsidR="00F50689" w:rsidRDefault="005A36C4" w:rsidP="00F50689">
      <w:pPr>
        <w:pStyle w:val="HEADER2Part3"/>
      </w:pPr>
      <w:bookmarkStart w:id="277" w:name="_Toc424653751"/>
      <w:bookmarkStart w:id="278" w:name="_DMBM_3444"/>
      <w:r>
        <w:t xml:space="preserve">POLICY AREA: </w:t>
      </w:r>
      <w:r w:rsidRPr="006B08B7">
        <w:t>MOVEM</w:t>
      </w:r>
      <w:r>
        <w:t>ENTS IN COMMITMENTS OUTSTANDING</w:t>
      </w:r>
      <w:bookmarkEnd w:id="277"/>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673"/>
        <w:gridCol w:w="1306"/>
        <w:gridCol w:w="1431"/>
        <w:gridCol w:w="1230"/>
        <w:gridCol w:w="1307"/>
        <w:gridCol w:w="1307"/>
        <w:gridCol w:w="1230"/>
        <w:gridCol w:w="1301"/>
        <w:gridCol w:w="1308"/>
        <w:gridCol w:w="1301"/>
      </w:tblGrid>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lang w:bidi="en-GB"/>
              </w:rPr>
            </w:pPr>
            <w:bookmarkStart w:id="279" w:name="DOC_TBL00110_1_1"/>
            <w:bookmarkEnd w:id="279"/>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i w:val="0"/>
                <w:lang w:bidi="en-GB"/>
              </w:rPr>
            </w:pP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lang w:bidi="en-GB"/>
              </w:rPr>
            </w:pPr>
            <w:r>
              <w:rPr>
                <w:rFonts w:eastAsia="Verdana" w:cs="Verdana"/>
                <w:lang w:bidi="en-GB"/>
              </w:rPr>
              <w:t>EUR millions</w:t>
            </w:r>
          </w:p>
        </w:tc>
      </w:tr>
      <w:tr w:rsidR="00E7728E">
        <w:tc>
          <w:tcPr>
            <w:tcW w:w="392"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lang w:bidi="en-GB"/>
              </w:rPr>
            </w:pPr>
          </w:p>
        </w:tc>
        <w:tc>
          <w:tcPr>
            <w:tcW w:w="2673"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lang w:bidi="en-GB"/>
              </w:rPr>
            </w:pPr>
          </w:p>
        </w:tc>
        <w:tc>
          <w:tcPr>
            <w:tcW w:w="5274" w:type="dxa"/>
            <w:gridSpan w:val="4"/>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Commitments outstanding at end of the previous year</w:t>
            </w:r>
          </w:p>
        </w:tc>
        <w:tc>
          <w:tcPr>
            <w:tcW w:w="5146" w:type="dxa"/>
            <w:gridSpan w:val="4"/>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Commitments of the year</w:t>
            </w:r>
          </w:p>
        </w:tc>
        <w:tc>
          <w:tcPr>
            <w:tcW w:w="130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color w:val="auto"/>
                <w:lang w:bidi="en-GB"/>
              </w:rPr>
            </w:pPr>
          </w:p>
        </w:tc>
      </w:tr>
      <w:tr w:rsidR="00E7728E">
        <w:tc>
          <w:tcPr>
            <w:tcW w:w="392"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lang w:bidi="en-GB"/>
              </w:rPr>
            </w:pPr>
          </w:p>
        </w:tc>
        <w:tc>
          <w:tcPr>
            <w:tcW w:w="267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Policy Area</w:t>
            </w:r>
          </w:p>
        </w:tc>
        <w:tc>
          <w:tcPr>
            <w:tcW w:w="1306"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Commitments carried forward from previous year</w:t>
            </w:r>
          </w:p>
        </w:tc>
        <w:tc>
          <w:tcPr>
            <w:tcW w:w="143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Decommitments /Revaluations/Cancellations</w:t>
            </w:r>
          </w:p>
        </w:tc>
        <w:tc>
          <w:tcPr>
            <w:tcW w:w="123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 xml:space="preserve">Payments </w:t>
            </w:r>
          </w:p>
        </w:tc>
        <w:tc>
          <w:tcPr>
            <w:tcW w:w="1307"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Commitments outstanding at year-end</w:t>
            </w:r>
          </w:p>
        </w:tc>
        <w:tc>
          <w:tcPr>
            <w:tcW w:w="1307"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Commitments made during the year</w:t>
            </w:r>
          </w:p>
        </w:tc>
        <w:tc>
          <w:tcPr>
            <w:tcW w:w="123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Payments</w:t>
            </w:r>
          </w:p>
        </w:tc>
        <w:tc>
          <w:tcPr>
            <w:tcW w:w="130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Cancellation  commitments which cannot be carried over</w:t>
            </w:r>
          </w:p>
        </w:tc>
        <w:tc>
          <w:tcPr>
            <w:tcW w:w="130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Commitments outstanding at year-end</w:t>
            </w:r>
          </w:p>
        </w:tc>
        <w:tc>
          <w:tcPr>
            <w:tcW w:w="130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Total commitments outstanding at year-end</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01</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Economic and financial affairs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739</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(122)</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615</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236</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(184)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52</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667</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02</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Enterprise and Industry</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1 855</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(724)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1 109</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2 608</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(1 513)</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1 095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2 204</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03</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Competition</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97</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(89)</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04</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Employment, social affairs and inclusion</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27 559</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(344)</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(10 165)</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17 049</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10 312</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(1 238)</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9 074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26 124</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05</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Agriculture and rural development</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25 354</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(11 148)</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14 136</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47 789</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(44 618)</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3 171</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17 308</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06</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Mobility and transport</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3 994</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(188)</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(867)</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2 939</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2 879</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(170)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2 708</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5 647</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07</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Environment</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1 055</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(22)</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(245)</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788</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423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(117)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306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1 093</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08</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Research and Innovation</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12 907</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(161)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(3 551)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9 194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7 002</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(1 367)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5 631</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14 826</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09</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Communications networks, content and technology</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2 823</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(42)</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(1 000)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1 781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1 708</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(184)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1 524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3 305</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10</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Direct research</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202</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(122)</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59</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535</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(386)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149</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208</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11</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Maritime affairs and Fisheries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2 360</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(202)</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(683)</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1 475</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218</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(122)</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1 571</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12</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Internal market and services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21</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123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(105)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19</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22</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13</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Regional and urban policy</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112 172</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(1 033)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(43 087)</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68 052</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17 078</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(892)</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16 185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84 237</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14</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Taxation and customs union</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106</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(65)</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36</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160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(73)</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122</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15</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Education and culture</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2 387</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(58)</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(989)</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1 341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3 223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(1 684)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1 539</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2 879</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16</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Communication</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125</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(92)</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252</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(165)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110</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17</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Health and consumer protection</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616</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(134)</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(271)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211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624</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(300)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324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535</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18</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Home affairs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1 992</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(141)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(431)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1 421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523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(358)</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165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1 586</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19</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Foreign policy instruments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770</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(42)</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(367)</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360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687</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(185)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501</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862</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20</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Trade</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21</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(13)</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120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(105)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22</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21</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Development and Cooperation</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15 617</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(457)</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(3 266)</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11 894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5 353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(867)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4 486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16 379</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22</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Enlargement</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3 206</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(79)</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(804)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2 323</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1 440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1 346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3 669</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23</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Humanitarian aid and Civil protection</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918</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(654)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259</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1 187</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(775)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412</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671</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24</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Fight against fraud</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38</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77</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23</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31</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25</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Commission's policy coordination &amp; legal advice</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15</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198</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(185)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14</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26</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Commission’s administration</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201</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(177)</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13</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1 070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(883)</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187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201</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27</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Budget</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89</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(82)</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28</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Audit</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12</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(12)</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29</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Statistics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113</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(58)</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46</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140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(81)</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59</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105</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30</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Pensions and related expenditure</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1 493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(1 493)</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31</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Language Services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20</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(19)</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444</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(426)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18</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18</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32</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Energy</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4 434</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(274)</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(648)</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3 512</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990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904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4 416</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33</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Justice</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183</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(18)</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209</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(112)</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181</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34</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Climate action</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36</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122</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91</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105</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40</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Reserves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90</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Other Institutions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557</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(156)</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(402)</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3 789</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(3 328)</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453</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453</w:t>
            </w:r>
          </w:p>
        </w:tc>
      </w:tr>
      <w:tr w:rsidR="00E7728E">
        <w:tc>
          <w:tcPr>
            <w:tcW w:w="392"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7pBoldLeft"/>
              <w:rPr>
                <w:rFonts w:eastAsia="Verdana" w:cs="Verdana"/>
                <w:lang w:bidi="en-GB"/>
              </w:rPr>
            </w:pPr>
          </w:p>
        </w:tc>
        <w:tc>
          <w:tcPr>
            <w:tcW w:w="267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7pBoldLeft"/>
              <w:rPr>
                <w:rFonts w:eastAsia="Verdana" w:cs="Verdana"/>
                <w:lang w:bidi="en-GB"/>
              </w:rPr>
            </w:pPr>
            <w:r>
              <w:rPr>
                <w:rFonts w:eastAsia="Verdana" w:cs="Verdana"/>
                <w:lang w:bidi="en-GB"/>
              </w:rPr>
              <w:t>Total</w:t>
            </w:r>
          </w:p>
        </w:tc>
        <w:tc>
          <w:tcPr>
            <w:tcW w:w="130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222 410</w:t>
            </w:r>
          </w:p>
        </w:tc>
        <w:tc>
          <w:tcPr>
            <w:tcW w:w="143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(3 522)</w:t>
            </w:r>
          </w:p>
        </w:tc>
        <w:tc>
          <w:tcPr>
            <w:tcW w:w="123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(80 136)</w:t>
            </w:r>
          </w:p>
        </w:tc>
        <w:tc>
          <w:tcPr>
            <w:tcW w:w="130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138 753</w:t>
            </w:r>
          </w:p>
        </w:tc>
        <w:tc>
          <w:tcPr>
            <w:tcW w:w="130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113 208</w:t>
            </w:r>
          </w:p>
        </w:tc>
        <w:tc>
          <w:tcPr>
            <w:tcW w:w="123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(62 361)</w:t>
            </w:r>
          </w:p>
        </w:tc>
        <w:tc>
          <w:tcPr>
            <w:tcW w:w="130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 xml:space="preserve"> (14)</w:t>
            </w:r>
          </w:p>
        </w:tc>
        <w:tc>
          <w:tcPr>
            <w:tcW w:w="130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50 832</w:t>
            </w:r>
          </w:p>
        </w:tc>
        <w:tc>
          <w:tcPr>
            <w:tcW w:w="130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189 585</w:t>
            </w:r>
          </w:p>
        </w:tc>
      </w:tr>
    </w:tbl>
    <w:p w:rsidR="00F50689" w:rsidRPr="00054CD1" w:rsidRDefault="005A36C4" w:rsidP="00F50689">
      <w:pPr>
        <w:pStyle w:val="Textstand-alone"/>
        <w:spacing w:before="0"/>
        <w:sectPr w:rsidR="00F50689" w:rsidRPr="00054CD1" w:rsidSect="00F50689">
          <w:headerReference w:type="even" r:id="rId563"/>
          <w:headerReference w:type="default" r:id="rId564"/>
          <w:footerReference w:type="even" r:id="rId565"/>
          <w:footerReference w:type="default" r:id="rId566"/>
          <w:headerReference w:type="first" r:id="rId567"/>
          <w:footerReference w:type="first" r:id="rId568"/>
          <w:pgSz w:w="16840" w:h="11907" w:orient="landscape"/>
          <w:pgMar w:top="1134" w:right="1134" w:bottom="1134" w:left="1134" w:header="708" w:footer="708" w:gutter="0"/>
          <w:cols w:space="708"/>
          <w:docGrid w:linePitch="360"/>
        </w:sectPr>
      </w:pPr>
      <w:r>
        <w:t xml:space="preserve"> </w:t>
      </w:r>
      <w:bookmarkEnd w:id="278"/>
    </w:p>
    <w:p w:rsidR="00F50689" w:rsidRDefault="005A36C4" w:rsidP="00F50689">
      <w:pPr>
        <w:pStyle w:val="HEADER2Part3"/>
      </w:pPr>
      <w:bookmarkStart w:id="280" w:name="_Toc424653752"/>
      <w:bookmarkStart w:id="281" w:name="_DMBM_3445"/>
      <w:r>
        <w:t xml:space="preserve">POLICY AREA: </w:t>
      </w:r>
      <w:r w:rsidRPr="00E51C40">
        <w:t>BREAKDOWN OF COMMITMENTS OUTSTANDING BY YEAR OF ORIGIN</w:t>
      </w:r>
      <w:bookmarkEnd w:id="280"/>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673"/>
        <w:gridCol w:w="1306"/>
        <w:gridCol w:w="1431"/>
        <w:gridCol w:w="1230"/>
        <w:gridCol w:w="1307"/>
        <w:gridCol w:w="1307"/>
        <w:gridCol w:w="1230"/>
        <w:gridCol w:w="1301"/>
        <w:gridCol w:w="1308"/>
        <w:gridCol w:w="1301"/>
      </w:tblGrid>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lang w:bidi="en-GB"/>
              </w:rPr>
            </w:pPr>
            <w:bookmarkStart w:id="282" w:name="DOC_TBL00111_1_1"/>
            <w:bookmarkEnd w:id="282"/>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i w:val="0"/>
                <w:lang w:bidi="en-GB"/>
              </w:rPr>
            </w:pP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lang w:bidi="en-GB"/>
              </w:rPr>
            </w:pPr>
            <w:r>
              <w:rPr>
                <w:rFonts w:eastAsia="Verdana" w:cs="Verdana"/>
                <w:lang w:bidi="en-GB"/>
              </w:rPr>
              <w:t>EUR millions</w:t>
            </w:r>
          </w:p>
        </w:tc>
      </w:tr>
      <w:tr w:rsidR="00E7728E">
        <w:tc>
          <w:tcPr>
            <w:tcW w:w="392"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lang w:bidi="en-GB"/>
              </w:rPr>
            </w:pPr>
          </w:p>
        </w:tc>
        <w:tc>
          <w:tcPr>
            <w:tcW w:w="267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Policy Area</w:t>
            </w:r>
          </w:p>
        </w:tc>
        <w:tc>
          <w:tcPr>
            <w:tcW w:w="1306"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&lt;2008</w:t>
            </w:r>
          </w:p>
        </w:tc>
        <w:tc>
          <w:tcPr>
            <w:tcW w:w="143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2008</w:t>
            </w:r>
          </w:p>
        </w:tc>
        <w:tc>
          <w:tcPr>
            <w:tcW w:w="123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2009</w:t>
            </w:r>
          </w:p>
        </w:tc>
        <w:tc>
          <w:tcPr>
            <w:tcW w:w="1307"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2010</w:t>
            </w:r>
          </w:p>
        </w:tc>
        <w:tc>
          <w:tcPr>
            <w:tcW w:w="1307"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2011</w:t>
            </w:r>
          </w:p>
        </w:tc>
        <w:tc>
          <w:tcPr>
            <w:tcW w:w="123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2012</w:t>
            </w:r>
          </w:p>
        </w:tc>
        <w:tc>
          <w:tcPr>
            <w:tcW w:w="130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2013</w:t>
            </w:r>
          </w:p>
        </w:tc>
        <w:tc>
          <w:tcPr>
            <w:tcW w:w="130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2014</w:t>
            </w:r>
          </w:p>
        </w:tc>
        <w:tc>
          <w:tcPr>
            <w:tcW w:w="130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Total</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01</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Economic and financial affairs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30</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160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178</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246</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52</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667</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02</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Enterprise and Industry</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14</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192</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349</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452</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1 095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2 204</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03</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Competition</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04</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Employment, social affairs and inclusion</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538</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189</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1 603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4 687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9 956</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9 074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26 124</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05</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Agriculture and rural development</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150</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183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3 061</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10 742</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3 171</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17 308</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06</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Mobility and transport</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84</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128</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238</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588</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746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1 132</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2 708</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5 647</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07</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Environment</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28</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49</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105</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146</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174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201</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306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1 093</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08</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Research and Innovation</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62</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86</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226</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477</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1 288</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2 840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4 216</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5 631</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14 826</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09</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Communications networks, content and technology</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16</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82</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183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516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917</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1 524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3 305</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10</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Direct research</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11</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29</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149</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208</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11</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Maritime affairs and Fisheries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160</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514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739</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1 571</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12</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Internal market and services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19</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22</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13</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Regional and urban policy</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2 439</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197</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249</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1 871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6 732</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18 311</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38 253</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16 185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84 237</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14</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Taxation and customs union</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25</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122</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15</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Education and culture</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27</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34</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66</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164</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391</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615</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1 539</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2 879</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16</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Communication</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110</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17</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Health and consumer protection</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18</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103</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324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535</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18</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Home affairs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12</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53</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120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217</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425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571</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165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1 586</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19</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Foreign policy instruments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13</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23</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44</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108</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162</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501</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862</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20</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Trade</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22</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21</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Development and Cooperation</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500</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450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708</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1 061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1 825</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3 245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4 106</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4 486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16 379</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22</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Enlargement</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111</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76</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109</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227</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410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606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784</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1 346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3 669</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23</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Humanitarian aid and Civil protection</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13</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25</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26</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33</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151</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412</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671</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24</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Fight against fraud</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23</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31</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25</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Commission's policy coordination &amp; legal advice</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14</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26</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Commission’s administration</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12</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187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201</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27</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Budget</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28</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Audit</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29</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Statistics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12</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28</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59</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105</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30</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Pensions and related expenditure</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31</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Language Services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18</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18</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32</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Energy</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25</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36</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770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1 349</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411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386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534</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904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4 416</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33</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Justice</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18</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52</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181</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34</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Climate action</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11</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91</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105</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40</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Reserves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90</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lang w:bidi="en-GB"/>
              </w:rPr>
            </w:pPr>
            <w:r>
              <w:rPr>
                <w:rFonts w:eastAsia="Verdana" w:cs="Verdana"/>
                <w:lang w:bidi="en-GB"/>
              </w:rPr>
              <w:t>Other Institutions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453</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453</w:t>
            </w:r>
          </w:p>
        </w:tc>
      </w:tr>
      <w:tr w:rsidR="00E7728E">
        <w:tc>
          <w:tcPr>
            <w:tcW w:w="392"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7pBoldLeft"/>
              <w:rPr>
                <w:rFonts w:eastAsia="Verdana" w:cs="Verdana"/>
                <w:lang w:bidi="en-GB"/>
              </w:rPr>
            </w:pPr>
          </w:p>
        </w:tc>
        <w:tc>
          <w:tcPr>
            <w:tcW w:w="267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7pBoldLeft"/>
              <w:rPr>
                <w:rFonts w:eastAsia="Verdana" w:cs="Verdana"/>
                <w:lang w:bidi="en-GB"/>
              </w:rPr>
            </w:pPr>
            <w:r>
              <w:rPr>
                <w:rFonts w:eastAsia="Verdana" w:cs="Verdana"/>
                <w:lang w:bidi="en-GB"/>
              </w:rPr>
              <w:t>Total</w:t>
            </w:r>
          </w:p>
        </w:tc>
        <w:tc>
          <w:tcPr>
            <w:tcW w:w="130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4 211</w:t>
            </w:r>
          </w:p>
        </w:tc>
        <w:tc>
          <w:tcPr>
            <w:tcW w:w="143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1 034</w:t>
            </w:r>
          </w:p>
        </w:tc>
        <w:tc>
          <w:tcPr>
            <w:tcW w:w="123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2 586</w:t>
            </w:r>
          </w:p>
        </w:tc>
        <w:tc>
          <w:tcPr>
            <w:tcW w:w="130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5 937</w:t>
            </w:r>
          </w:p>
        </w:tc>
        <w:tc>
          <w:tcPr>
            <w:tcW w:w="130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14 261</w:t>
            </w:r>
          </w:p>
        </w:tc>
        <w:tc>
          <w:tcPr>
            <w:tcW w:w="123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36 658</w:t>
            </w:r>
          </w:p>
        </w:tc>
        <w:tc>
          <w:tcPr>
            <w:tcW w:w="130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74 066</w:t>
            </w:r>
          </w:p>
        </w:tc>
        <w:tc>
          <w:tcPr>
            <w:tcW w:w="130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50 832</w:t>
            </w:r>
          </w:p>
        </w:tc>
        <w:tc>
          <w:tcPr>
            <w:tcW w:w="130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189 585</w:t>
            </w:r>
          </w:p>
        </w:tc>
      </w:tr>
    </w:tbl>
    <w:p w:rsidR="00F50689" w:rsidRPr="006B08B7" w:rsidRDefault="005A36C4" w:rsidP="00F50689">
      <w:pPr>
        <w:pStyle w:val="Textstand-alone"/>
        <w:spacing w:before="0"/>
        <w:sectPr w:rsidR="00F50689" w:rsidRPr="006B08B7" w:rsidSect="00F50689">
          <w:headerReference w:type="even" r:id="rId569"/>
          <w:headerReference w:type="default" r:id="rId570"/>
          <w:footerReference w:type="even" r:id="rId571"/>
          <w:footerReference w:type="default" r:id="rId572"/>
          <w:headerReference w:type="first" r:id="rId573"/>
          <w:footerReference w:type="first" r:id="rId574"/>
          <w:pgSz w:w="16840" w:h="11907" w:orient="landscape" w:code="9"/>
          <w:pgMar w:top="1134" w:right="1134" w:bottom="1134" w:left="1134" w:header="708" w:footer="708" w:gutter="0"/>
          <w:cols w:space="708"/>
          <w:docGrid w:linePitch="360"/>
        </w:sectPr>
      </w:pPr>
      <w:r>
        <w:t xml:space="preserve"> </w:t>
      </w:r>
      <w:bookmarkEnd w:id="281"/>
    </w:p>
    <w:p w:rsidR="00F50689" w:rsidRDefault="005A36C4" w:rsidP="00F50689">
      <w:pPr>
        <w:pStyle w:val="HEADER2Part3"/>
      </w:pPr>
      <w:bookmarkStart w:id="283" w:name="_Toc424653753"/>
      <w:bookmarkStart w:id="284" w:name="_DMBM_3464"/>
      <w:r>
        <w:t>IMPLEMENTATION OF 2014 EXPENDITURE</w:t>
      </w:r>
      <w:bookmarkEnd w:id="283"/>
    </w:p>
    <w:p w:rsidR="00F50689" w:rsidRDefault="005A36C4" w:rsidP="00F50689">
      <w:pPr>
        <w:pStyle w:val="Textstand-alone"/>
      </w:pPr>
      <w:r w:rsidRPr="00653E07">
        <w:t>The year 2014 was the first year of the new programming period 2014-2020.</w:t>
      </w:r>
    </w:p>
    <w:p w:rsidR="00F50689" w:rsidRDefault="005A36C4" w:rsidP="00F50689">
      <w:pPr>
        <w:pStyle w:val="Textstand-alone"/>
        <w:rPr>
          <w:b/>
        </w:rPr>
      </w:pPr>
      <w:r w:rsidRPr="009D676C">
        <w:rPr>
          <w:b/>
        </w:rPr>
        <w:t>Commitments:</w:t>
      </w:r>
    </w:p>
    <w:p w:rsidR="00F50689" w:rsidRDefault="005A36C4" w:rsidP="00F50689">
      <w:pPr>
        <w:pStyle w:val="Textstand-alone"/>
      </w:pPr>
      <w:r w:rsidRPr="00653E07">
        <w:t xml:space="preserve">The initial </w:t>
      </w:r>
      <w:r>
        <w:t xml:space="preserve">adopted </w:t>
      </w:r>
      <w:r w:rsidRPr="00653E07">
        <w:t>budget for all institutions</w:t>
      </w:r>
      <w:r>
        <w:t>,</w:t>
      </w:r>
      <w:r w:rsidRPr="00653E07">
        <w:t xml:space="preserve"> excluding Special </w:t>
      </w:r>
      <w:r>
        <w:t>I</w:t>
      </w:r>
      <w:r w:rsidRPr="00653E07">
        <w:t>nstruments</w:t>
      </w:r>
      <w:r>
        <w:t>,</w:t>
      </w:r>
      <w:r w:rsidRPr="00653E07">
        <w:t xml:space="preserve"> set commitment appropriations at EUR 142</w:t>
      </w:r>
      <w:r>
        <w:t> </w:t>
      </w:r>
      <w:r w:rsidRPr="00653E07">
        <w:t>184</w:t>
      </w:r>
      <w:r>
        <w:t> </w:t>
      </w:r>
      <w:r w:rsidRPr="00653E07">
        <w:t>million. This represented a decrease of 6 % compared to the final 2013 budget and left a margin of EUR 445</w:t>
      </w:r>
      <w:r>
        <w:t> </w:t>
      </w:r>
      <w:r w:rsidRPr="00653E07">
        <w:t xml:space="preserve">million below the ceiling of the </w:t>
      </w:r>
      <w:r>
        <w:t>MFF</w:t>
      </w:r>
      <w:r w:rsidRPr="00653E07">
        <w:t>.</w:t>
      </w:r>
    </w:p>
    <w:p w:rsidR="00F50689" w:rsidRDefault="005A36C4" w:rsidP="00F50689">
      <w:pPr>
        <w:pStyle w:val="Textstand-alone"/>
      </w:pPr>
      <w:r w:rsidRPr="00653E07">
        <w:t xml:space="preserve">The final </w:t>
      </w:r>
      <w:r>
        <w:t xml:space="preserve">adopted </w:t>
      </w:r>
      <w:r w:rsidRPr="00653E07">
        <w:t>budget for commitments was implemented at a 76</w:t>
      </w:r>
      <w:r>
        <w:t> </w:t>
      </w:r>
      <w:r w:rsidRPr="00653E07">
        <w:t>% level in the first year of the new programming period</w:t>
      </w:r>
      <w:r w:rsidRPr="00AC45BD">
        <w:t xml:space="preserve"> mostly because of the delay in the adoption of the </w:t>
      </w:r>
      <w:r>
        <w:t>operational programmes for the f</w:t>
      </w:r>
      <w:r w:rsidRPr="00AC45BD">
        <w:t>unds under shared management</w:t>
      </w:r>
      <w:r w:rsidRPr="00653E07">
        <w:t>. Modifications via amending budgets were negligible apart from the mobilisation of the Europea</w:t>
      </w:r>
      <w:r>
        <w:t>n Union Solidarity Fund for EUR </w:t>
      </w:r>
      <w:r w:rsidRPr="00653E07">
        <w:t xml:space="preserve">127 million. The total implementation of </w:t>
      </w:r>
      <w:r w:rsidRPr="002A526D">
        <w:t>EUR 109 256 million</w:t>
      </w:r>
      <w:r w:rsidRPr="00653E07">
        <w:t xml:space="preserve"> left EUR</w:t>
      </w:r>
      <w:r>
        <w:t> </w:t>
      </w:r>
      <w:r w:rsidRPr="00653E07">
        <w:t>3</w:t>
      </w:r>
      <w:r>
        <w:t>3 434 </w:t>
      </w:r>
      <w:r w:rsidRPr="00653E07">
        <w:t>million unused. This will be fully compensated by the reprogramming of commitments in various Funds under shared management and by the carry over to 2015.</w:t>
      </w:r>
    </w:p>
    <w:p w:rsidR="00F50689" w:rsidRDefault="005A36C4" w:rsidP="00F50689">
      <w:pPr>
        <w:pStyle w:val="Textstand-alone"/>
      </w:pPr>
      <w:r w:rsidRPr="00EB749F">
        <w:t>The reprogramming of unused 2014 commitment appropriations to 2015 and 2016 (according to MFF Art.</w:t>
      </w:r>
      <w:r w:rsidR="002A6B91">
        <w:t> </w:t>
      </w:r>
      <w:r w:rsidRPr="00EB749F">
        <w:t>19) was agreed in April 2015 with a revision of the MFF ceilings and a related amending budget for 2015. The main impacts in 2015 were under Heading 1(b) (EUR</w:t>
      </w:r>
      <w:r w:rsidR="002A6B91">
        <w:t> </w:t>
      </w:r>
      <w:r w:rsidRPr="00EB749F">
        <w:t>11.2</w:t>
      </w:r>
      <w:r w:rsidR="002A6B91">
        <w:t> </w:t>
      </w:r>
      <w:r w:rsidRPr="00EB749F">
        <w:t>billion) and Heading 2 (EUR</w:t>
      </w:r>
      <w:r w:rsidR="00BD5073">
        <w:t> </w:t>
      </w:r>
      <w:r w:rsidRPr="00EB749F">
        <w:t>5</w:t>
      </w:r>
      <w:r w:rsidR="00BD5073">
        <w:t> </w:t>
      </w:r>
      <w:r w:rsidRPr="00EB749F">
        <w:t>billion), while for 2016 the main change is to Heading 2 (EUR</w:t>
      </w:r>
      <w:r w:rsidR="002A6B91">
        <w:t> </w:t>
      </w:r>
      <w:r w:rsidRPr="00EB749F">
        <w:t>4.4</w:t>
      </w:r>
      <w:r w:rsidR="002A6B91">
        <w:t> </w:t>
      </w:r>
      <w:r w:rsidRPr="00EB749F">
        <w:t>billion).</w:t>
      </w:r>
    </w:p>
    <w:p w:rsidR="00F50689" w:rsidRPr="00653E07" w:rsidRDefault="005A36C4" w:rsidP="00F50689">
      <w:pPr>
        <w:pStyle w:val="Textstand-alone"/>
      </w:pPr>
      <w:r w:rsidRPr="00653E07">
        <w:t>In 2014, the low implementation of commitments at the start of new programmes led to a decrease of RAL of EUR</w:t>
      </w:r>
      <w:r>
        <w:t> </w:t>
      </w:r>
      <w:r w:rsidRPr="00653E07">
        <w:t>32.8</w:t>
      </w:r>
      <w:r>
        <w:t> </w:t>
      </w:r>
      <w:r w:rsidRPr="00653E07">
        <w:t>billion or 15</w:t>
      </w:r>
      <w:r>
        <w:t> </w:t>
      </w:r>
      <w:r w:rsidRPr="00653E07">
        <w:t xml:space="preserve">%, which is only </w:t>
      </w:r>
      <w:r>
        <w:t>temporary</w:t>
      </w:r>
      <w:r w:rsidRPr="00653E07">
        <w:t xml:space="preserve"> due to the magnitude of amounts re-programmed or carried forward.</w:t>
      </w:r>
      <w:r>
        <w:t xml:space="preserve"> </w:t>
      </w:r>
    </w:p>
    <w:p w:rsidR="00F50689" w:rsidRPr="00653E07" w:rsidRDefault="005A36C4" w:rsidP="00F50689">
      <w:pPr>
        <w:pStyle w:val="Textstand-alone"/>
      </w:pPr>
      <w:r w:rsidRPr="009D676C">
        <w:rPr>
          <w:b/>
        </w:rPr>
        <w:t>Payments:</w:t>
      </w:r>
    </w:p>
    <w:p w:rsidR="00F50689" w:rsidRPr="00653E07" w:rsidRDefault="005A36C4" w:rsidP="00F50689">
      <w:pPr>
        <w:pStyle w:val="Textstand-alone"/>
      </w:pPr>
      <w:r>
        <w:t>P</w:t>
      </w:r>
      <w:r w:rsidRPr="00653E07">
        <w:t xml:space="preserve">ayment appropriations were, after a cut of EUR 556 million to the Draft Budget 2014 (including Amending Letters 1 and 2), </w:t>
      </w:r>
      <w:r>
        <w:t xml:space="preserve">initially </w:t>
      </w:r>
      <w:r w:rsidRPr="00653E07">
        <w:t xml:space="preserve">set at EUR 135 505 million (including Special </w:t>
      </w:r>
      <w:r>
        <w:t>I</w:t>
      </w:r>
      <w:r w:rsidRPr="00653E07">
        <w:t>nstruments), corresponding to 1</w:t>
      </w:r>
      <w:r>
        <w:t> </w:t>
      </w:r>
      <w:r w:rsidRPr="00653E07">
        <w:t xml:space="preserve">% of the </w:t>
      </w:r>
      <w:r>
        <w:t>EU</w:t>
      </w:r>
      <w:r w:rsidRPr="00653E07">
        <w:t>'s GNI. This meant a decrease of 6 % (EUR</w:t>
      </w:r>
      <w:r>
        <w:t> </w:t>
      </w:r>
      <w:r w:rsidRPr="00653E07">
        <w:t>9</w:t>
      </w:r>
      <w:r>
        <w:t> </w:t>
      </w:r>
      <w:r w:rsidRPr="00653E07">
        <w:t xml:space="preserve">billion) compared to the final </w:t>
      </w:r>
      <w:r>
        <w:t>adopted budget for 2013. This</w:t>
      </w:r>
      <w:r w:rsidRPr="00653E07">
        <w:t xml:space="preserve"> initial level of appropriations left a margin of only EUR 711</w:t>
      </w:r>
      <w:r>
        <w:t> </w:t>
      </w:r>
      <w:r w:rsidRPr="00653E07">
        <w:t xml:space="preserve">million below the </w:t>
      </w:r>
      <w:r>
        <w:t>MFF</w:t>
      </w:r>
      <w:r w:rsidRPr="00653E07">
        <w:t xml:space="preserve"> ceiling. The ceiling of payments for this first year of the new programming period was set exceptionally low, i.e. more than EUR 8 billion below 2013 and EUR</w:t>
      </w:r>
      <w:r>
        <w:t> </w:t>
      </w:r>
      <w:r w:rsidRPr="00653E07">
        <w:t>6</w:t>
      </w:r>
      <w:r>
        <w:t> </w:t>
      </w:r>
      <w:r w:rsidRPr="00653E07">
        <w:t xml:space="preserve">billion below 2015 level. It was clear from the outset that in view of the amount of outstanding commitments, the heavy pressure on payments would continue throughout 2014 with </w:t>
      </w:r>
      <w:r>
        <w:t>a need</w:t>
      </w:r>
      <w:r w:rsidRPr="00653E07">
        <w:t xml:space="preserve"> to revise the amount of appropriations </w:t>
      </w:r>
      <w:r>
        <w:t>required</w:t>
      </w:r>
      <w:r w:rsidRPr="00653E07">
        <w:t xml:space="preserve"> and </w:t>
      </w:r>
      <w:r>
        <w:t>very active</w:t>
      </w:r>
      <w:r w:rsidRPr="00653E07">
        <w:t xml:space="preserve"> management </w:t>
      </w:r>
      <w:r>
        <w:t>of the budget</w:t>
      </w:r>
      <w:r w:rsidRPr="00653E07">
        <w:t>.</w:t>
      </w:r>
    </w:p>
    <w:p w:rsidR="00F50689" w:rsidRPr="00653E07" w:rsidRDefault="005A36C4" w:rsidP="00F50689">
      <w:pPr>
        <w:pStyle w:val="Textstand-alone"/>
      </w:pPr>
      <w:r w:rsidRPr="00653E07">
        <w:t>The net reinforcement of payment appropriations of operational budget lines via amending budgets amounted to EUR 3</w:t>
      </w:r>
      <w:r>
        <w:t> </w:t>
      </w:r>
      <w:r w:rsidRPr="00653E07">
        <w:t xml:space="preserve">599 million. This brought at year-end the </w:t>
      </w:r>
      <w:r>
        <w:t xml:space="preserve">level of payment appropriations </w:t>
      </w:r>
      <w:r w:rsidRPr="00653E07">
        <w:t xml:space="preserve">above the ceiling of the </w:t>
      </w:r>
      <w:r>
        <w:t>MFF</w:t>
      </w:r>
      <w:r w:rsidRPr="00653E07">
        <w:t xml:space="preserve"> through recourse to the Contingency </w:t>
      </w:r>
      <w:r>
        <w:t>M</w:t>
      </w:r>
      <w:r w:rsidRPr="00653E07">
        <w:t xml:space="preserve">argin, </w:t>
      </w:r>
      <w:r>
        <w:t xml:space="preserve">and </w:t>
      </w:r>
      <w:r w:rsidRPr="00653E07">
        <w:t xml:space="preserve">the new and last-resort Special </w:t>
      </w:r>
      <w:r>
        <w:t>I</w:t>
      </w:r>
      <w:r w:rsidRPr="00653E07">
        <w:t xml:space="preserve">nstrument to react to unforeseen circumstances. The Council and the Parliament rejected Commission’s Global transfer proposal and used the proposed reinforcements for redeployments in </w:t>
      </w:r>
      <w:r>
        <w:t>the a</w:t>
      </w:r>
      <w:r w:rsidRPr="00653E07">
        <w:t xml:space="preserve">mending </w:t>
      </w:r>
      <w:r>
        <w:t>b</w:t>
      </w:r>
      <w:r w:rsidRPr="00653E07">
        <w:t>udgets.</w:t>
      </w:r>
    </w:p>
    <w:p w:rsidR="00F50689" w:rsidRPr="00653E07" w:rsidRDefault="005A36C4" w:rsidP="00F50689">
      <w:pPr>
        <w:pStyle w:val="Textstand-alone"/>
      </w:pPr>
      <w:r w:rsidRPr="00653E07">
        <w:t xml:space="preserve">The total implementation of payment appropriations </w:t>
      </w:r>
      <w:r w:rsidRPr="002A526D">
        <w:t>was EUR 137 136 million</w:t>
      </w:r>
      <w:r w:rsidRPr="00653E07">
        <w:t xml:space="preserve"> (EUR 142</w:t>
      </w:r>
      <w:r>
        <w:t> </w:t>
      </w:r>
      <w:r w:rsidRPr="00653E07">
        <w:t>883</w:t>
      </w:r>
      <w:r>
        <w:t> </w:t>
      </w:r>
      <w:r w:rsidRPr="00653E07">
        <w:t>million in 2013) with a rate of 99</w:t>
      </w:r>
      <w:r>
        <w:t> </w:t>
      </w:r>
      <w:r w:rsidRPr="00653E07">
        <w:t>%. Once account is taken of the carryover of payment appropriations to 2015, a total of EUR</w:t>
      </w:r>
      <w:r>
        <w:t> 112 </w:t>
      </w:r>
      <w:r w:rsidRPr="00653E07">
        <w:t>million lapses.</w:t>
      </w:r>
      <w:r>
        <w:t xml:space="preserve"> </w:t>
      </w:r>
      <w:r w:rsidRPr="00653E07">
        <w:t>From payment appropriations carried forward from 2013 an amount of EUR</w:t>
      </w:r>
      <w:r>
        <w:t> 10</w:t>
      </w:r>
      <w:r w:rsidRPr="00653E07">
        <w:t>6 million was cancelled.</w:t>
      </w:r>
    </w:p>
    <w:p w:rsidR="00F50689" w:rsidRDefault="00F50689" w:rsidP="00F50689">
      <w:pPr>
        <w:pStyle w:val="Textstand-alone"/>
      </w:pPr>
    </w:p>
    <w:p w:rsidR="00F50689" w:rsidRDefault="005A36C4" w:rsidP="00F50689">
      <w:pPr>
        <w:pStyle w:val="Textstand-alone"/>
        <w:sectPr w:rsidR="00F50689" w:rsidSect="00F50689">
          <w:headerReference w:type="even" r:id="rId575"/>
          <w:headerReference w:type="default" r:id="rId576"/>
          <w:footerReference w:type="even" r:id="rId577"/>
          <w:footerReference w:type="default" r:id="rId578"/>
          <w:headerReference w:type="first" r:id="rId579"/>
          <w:footerReference w:type="first" r:id="rId580"/>
          <w:pgSz w:w="11907" w:h="16840" w:code="9"/>
          <w:pgMar w:top="1134" w:right="1134" w:bottom="1134" w:left="1134" w:header="709" w:footer="709" w:gutter="0"/>
          <w:cols w:space="708"/>
          <w:docGrid w:linePitch="360"/>
        </w:sectPr>
      </w:pPr>
      <w:r w:rsidRPr="00653E07">
        <w:t>A more detailed analysis of budgetary adjustments, their relevant context, their justification and their impact is presented in Commission's Report on Budgetary and Financial Management 2014, Part A "Overview at budget level" and Part B dealing with each heading of the multi-annual financial framework.</w:t>
      </w:r>
      <w:bookmarkEnd w:id="284"/>
    </w:p>
    <w:p w:rsidR="00F50689" w:rsidRDefault="005A36C4" w:rsidP="00F50689">
      <w:pPr>
        <w:pStyle w:val="HEADER1Part3"/>
        <w:spacing w:after="0"/>
      </w:pPr>
      <w:bookmarkStart w:id="285" w:name="_Toc424653754"/>
      <w:bookmarkStart w:id="286" w:name="_DMBM_3448"/>
      <w:r w:rsidRPr="00BC4553">
        <w:t>IMPLEMENTATION OF THE INSTITUTIONS AND AGENCIES BUDGET</w:t>
      </w:r>
      <w:bookmarkEnd w:id="285"/>
    </w:p>
    <w:p w:rsidR="00F50689" w:rsidRPr="00BC4553" w:rsidRDefault="005A36C4" w:rsidP="00F50689">
      <w:pPr>
        <w:pStyle w:val="HEADER5"/>
        <w:sectPr w:rsidR="00F50689" w:rsidRPr="00BC4553" w:rsidSect="00F50689">
          <w:headerReference w:type="even" r:id="rId581"/>
          <w:headerReference w:type="default" r:id="rId582"/>
          <w:footerReference w:type="even" r:id="rId583"/>
          <w:footerReference w:type="default" r:id="rId584"/>
          <w:headerReference w:type="first" r:id="rId585"/>
          <w:footerReference w:type="first" r:id="rId586"/>
          <w:type w:val="continuous"/>
          <w:pgSz w:w="16838" w:h="11906" w:orient="landscape"/>
          <w:pgMar w:top="1134" w:right="1134" w:bottom="1134" w:left="1134" w:header="708" w:footer="708" w:gutter="0"/>
          <w:cols w:space="708"/>
          <w:docGrid w:linePitch="360"/>
        </w:sectPr>
      </w:pPr>
      <w:r>
        <w:t xml:space="preserve"> </w:t>
      </w:r>
      <w:bookmarkEnd w:id="286"/>
    </w:p>
    <w:p w:rsidR="00F50689" w:rsidRDefault="005A36C4" w:rsidP="00F50689">
      <w:pPr>
        <w:pStyle w:val="HEADER2Part3"/>
      </w:pPr>
      <w:bookmarkStart w:id="287" w:name="_Toc424653755"/>
      <w:bookmarkStart w:id="288" w:name="_DMBM_3449"/>
      <w:r>
        <w:t xml:space="preserve">INSTITUTIONS: </w:t>
      </w:r>
      <w:r w:rsidRPr="0007762A">
        <w:t>SUMMARY OF THE I</w:t>
      </w:r>
      <w:r>
        <w:t>MPLEMENTATION OF BUDGET REVENUE</w:t>
      </w:r>
      <w:bookmarkEnd w:id="287"/>
    </w:p>
    <w:tbl>
      <w:tblPr>
        <w:tblW w:w="1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1"/>
        <w:gridCol w:w="1251"/>
        <w:gridCol w:w="1067"/>
        <w:gridCol w:w="980"/>
        <w:gridCol w:w="1056"/>
        <w:gridCol w:w="1157"/>
        <w:gridCol w:w="1221"/>
        <w:gridCol w:w="1221"/>
        <w:gridCol w:w="1135"/>
        <w:gridCol w:w="1114"/>
        <w:gridCol w:w="1455"/>
      </w:tblGrid>
      <w:tr w:rsidR="00E7728E">
        <w:tc>
          <w:tcPr>
            <w:tcW w:w="313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lang w:bidi="en-GB"/>
              </w:rPr>
            </w:pPr>
            <w:bookmarkStart w:id="289" w:name="DOC_TBL00112_1_1"/>
            <w:bookmarkEnd w:id="289"/>
          </w:p>
        </w:tc>
        <w:tc>
          <w:tcPr>
            <w:tcW w:w="12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06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98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05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15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11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45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lang w:bidi="en-GB"/>
              </w:rPr>
            </w:pPr>
            <w:r>
              <w:rPr>
                <w:rFonts w:eastAsia="Verdana" w:cs="Verdana"/>
                <w:lang w:bidi="en-GB"/>
              </w:rPr>
              <w:t>EUR millions</w:t>
            </w:r>
          </w:p>
        </w:tc>
      </w:tr>
      <w:tr w:rsidR="00E7728E">
        <w:trPr>
          <w:trHeight w:val="437"/>
        </w:trPr>
        <w:tc>
          <w:tcPr>
            <w:tcW w:w="313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lang w:bidi="en-GB"/>
              </w:rPr>
            </w:pPr>
            <w:r>
              <w:rPr>
                <w:rFonts w:eastAsia="Verdana" w:cs="Verdana"/>
                <w:lang w:bidi="en-GB"/>
              </w:rPr>
              <w:t>Institution</w:t>
            </w:r>
          </w:p>
        </w:tc>
        <w:tc>
          <w:tcPr>
            <w:tcW w:w="2318" w:type="dxa"/>
            <w:gridSpan w:val="2"/>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lang w:bidi="en-GB"/>
              </w:rPr>
            </w:pPr>
            <w:r>
              <w:rPr>
                <w:rFonts w:eastAsia="Verdana" w:cs="Verdana"/>
                <w:lang w:bidi="en-GB"/>
              </w:rPr>
              <w:t>Income appropriations</w:t>
            </w:r>
          </w:p>
        </w:tc>
        <w:tc>
          <w:tcPr>
            <w:tcW w:w="3193" w:type="dxa"/>
            <w:gridSpan w:val="3"/>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lang w:bidi="en-GB"/>
              </w:rPr>
            </w:pPr>
            <w:r>
              <w:rPr>
                <w:rFonts w:eastAsia="Verdana" w:cs="Verdana"/>
                <w:lang w:bidi="en-GB"/>
              </w:rPr>
              <w:t>Entitlements established</w:t>
            </w:r>
          </w:p>
        </w:tc>
        <w:tc>
          <w:tcPr>
            <w:tcW w:w="3577" w:type="dxa"/>
            <w:gridSpan w:val="3"/>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lang w:bidi="en-GB"/>
              </w:rPr>
            </w:pPr>
            <w:r>
              <w:rPr>
                <w:rFonts w:eastAsia="Verdana" w:cs="Verdana"/>
                <w:lang w:bidi="en-GB"/>
              </w:rPr>
              <w:t>Revenue</w:t>
            </w:r>
          </w:p>
        </w:tc>
        <w:tc>
          <w:tcPr>
            <w:tcW w:w="1114"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lang w:bidi="en-GB"/>
              </w:rPr>
            </w:pPr>
            <w:r>
              <w:rPr>
                <w:rFonts w:eastAsia="Verdana" w:cs="Verdana"/>
                <w:lang w:bidi="en-GB"/>
              </w:rPr>
              <w:t xml:space="preserve">Receipts as </w:t>
            </w:r>
          </w:p>
        </w:tc>
        <w:tc>
          <w:tcPr>
            <w:tcW w:w="145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lang w:bidi="en-GB"/>
              </w:rPr>
            </w:pPr>
            <w:r>
              <w:rPr>
                <w:rFonts w:eastAsia="Verdana" w:cs="Verdana"/>
                <w:lang w:bidi="en-GB"/>
              </w:rPr>
              <w:t>Outstanding</w:t>
            </w:r>
          </w:p>
        </w:tc>
      </w:tr>
      <w:tr w:rsidR="00E7728E">
        <w:trPr>
          <w:trHeight w:val="437"/>
        </w:trPr>
        <w:tc>
          <w:tcPr>
            <w:tcW w:w="313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8pNormalCentered"/>
              <w:rPr>
                <w:rFonts w:eastAsia="Verdana" w:cs="Verdana"/>
                <w:lang w:bidi="en-GB"/>
              </w:rPr>
            </w:pPr>
          </w:p>
        </w:tc>
        <w:tc>
          <w:tcPr>
            <w:tcW w:w="12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8pNormalCentered"/>
              <w:rPr>
                <w:rFonts w:eastAsia="Verdana" w:cs="Verdana"/>
                <w:lang w:bidi="en-GB"/>
              </w:rPr>
            </w:pPr>
            <w:r>
              <w:rPr>
                <w:rFonts w:eastAsia="Verdana" w:cs="Verdana"/>
                <w:lang w:bidi="en-GB"/>
              </w:rPr>
              <w:t>Initial adopted budget</w:t>
            </w:r>
          </w:p>
        </w:tc>
        <w:tc>
          <w:tcPr>
            <w:tcW w:w="1067"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8pNormalCentered"/>
              <w:rPr>
                <w:rFonts w:eastAsia="Verdana" w:cs="Verdana"/>
                <w:lang w:bidi="en-GB"/>
              </w:rPr>
            </w:pPr>
            <w:r>
              <w:rPr>
                <w:rFonts w:eastAsia="Verdana" w:cs="Verdana"/>
                <w:lang w:bidi="en-GB"/>
              </w:rPr>
              <w:t>Final adopted budget</w:t>
            </w:r>
          </w:p>
        </w:tc>
        <w:tc>
          <w:tcPr>
            <w:tcW w:w="98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8pNormalCentered"/>
              <w:rPr>
                <w:rFonts w:eastAsia="Verdana" w:cs="Verdana"/>
                <w:lang w:bidi="en-GB"/>
              </w:rPr>
            </w:pPr>
            <w:r>
              <w:rPr>
                <w:rFonts w:eastAsia="Verdana" w:cs="Verdana"/>
                <w:lang w:bidi="en-GB"/>
              </w:rPr>
              <w:t>Current year</w:t>
            </w:r>
          </w:p>
        </w:tc>
        <w:tc>
          <w:tcPr>
            <w:tcW w:w="1056"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8pNormalCentered"/>
              <w:rPr>
                <w:rFonts w:eastAsia="Verdana" w:cs="Verdana"/>
                <w:lang w:bidi="en-GB"/>
              </w:rPr>
            </w:pPr>
            <w:r>
              <w:rPr>
                <w:rFonts w:eastAsia="Verdana" w:cs="Verdana"/>
                <w:lang w:bidi="en-GB"/>
              </w:rPr>
              <w:t>Carried over</w:t>
            </w:r>
          </w:p>
        </w:tc>
        <w:tc>
          <w:tcPr>
            <w:tcW w:w="1157"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8pNormalCentered"/>
              <w:rPr>
                <w:rFonts w:eastAsia="Verdana" w:cs="Verdana"/>
                <w:lang w:bidi="en-GB"/>
              </w:rPr>
            </w:pPr>
            <w:r>
              <w:rPr>
                <w:rFonts w:eastAsia="Verdana" w:cs="Verdana"/>
                <w:lang w:bidi="en-GB"/>
              </w:rPr>
              <w:t>Total</w:t>
            </w:r>
          </w:p>
        </w:tc>
        <w:tc>
          <w:tcPr>
            <w:tcW w:w="12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8pNormalCentered"/>
              <w:rPr>
                <w:rFonts w:eastAsia="Verdana" w:cs="Verdana"/>
                <w:lang w:bidi="en-GB"/>
              </w:rPr>
            </w:pPr>
            <w:r>
              <w:rPr>
                <w:rFonts w:eastAsia="Verdana" w:cs="Verdana"/>
                <w:lang w:bidi="en-GB"/>
              </w:rPr>
              <w:t>On entitlements of current year</w:t>
            </w:r>
          </w:p>
        </w:tc>
        <w:tc>
          <w:tcPr>
            <w:tcW w:w="12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8pNormalCentered"/>
              <w:rPr>
                <w:rFonts w:eastAsia="Verdana" w:cs="Verdana"/>
                <w:lang w:bidi="en-GB"/>
              </w:rPr>
            </w:pPr>
            <w:r>
              <w:rPr>
                <w:rFonts w:eastAsia="Verdana" w:cs="Verdana"/>
                <w:lang w:bidi="en-GB"/>
              </w:rPr>
              <w:t>On entitlements Carried over</w:t>
            </w:r>
          </w:p>
        </w:tc>
        <w:tc>
          <w:tcPr>
            <w:tcW w:w="1135"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8pNormalCentered"/>
              <w:rPr>
                <w:rFonts w:eastAsia="Verdana" w:cs="Verdana"/>
                <w:lang w:bidi="en-GB"/>
              </w:rPr>
            </w:pPr>
            <w:r>
              <w:rPr>
                <w:rFonts w:eastAsia="Verdana" w:cs="Verdana"/>
                <w:lang w:bidi="en-GB"/>
              </w:rPr>
              <w:t>Total</w:t>
            </w:r>
          </w:p>
        </w:tc>
        <w:tc>
          <w:tcPr>
            <w:tcW w:w="1114"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lang w:bidi="en-GB"/>
              </w:rPr>
            </w:pPr>
            <w:r>
              <w:rPr>
                <w:rFonts w:eastAsia="Verdana" w:cs="Verdana"/>
                <w:lang w:bidi="en-GB"/>
              </w:rPr>
              <w:t>% of budget</w:t>
            </w:r>
          </w:p>
        </w:tc>
        <w:tc>
          <w:tcPr>
            <w:tcW w:w="1455"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8pNormalCentered"/>
              <w:rPr>
                <w:rFonts w:eastAsia="Verdana" w:cs="Verdana"/>
                <w:color w:val="auto"/>
                <w:lang w:bidi="en-GB"/>
              </w:rPr>
            </w:pPr>
          </w:p>
        </w:tc>
      </w:tr>
      <w:tr w:rsidR="00E7728E">
        <w:tc>
          <w:tcPr>
            <w:tcW w:w="31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European Parliament</w:t>
            </w:r>
          </w:p>
        </w:tc>
        <w:tc>
          <w:tcPr>
            <w:tcW w:w="12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156</w:t>
            </w:r>
          </w:p>
        </w:tc>
        <w:tc>
          <w:tcPr>
            <w:tcW w:w="10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156</w:t>
            </w:r>
          </w:p>
        </w:tc>
        <w:tc>
          <w:tcPr>
            <w:tcW w:w="98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173</w:t>
            </w:r>
          </w:p>
        </w:tc>
        <w:tc>
          <w:tcPr>
            <w:tcW w:w="105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24</w:t>
            </w:r>
          </w:p>
        </w:tc>
        <w:tc>
          <w:tcPr>
            <w:tcW w:w="115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197</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170</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4</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174</w:t>
            </w:r>
          </w:p>
        </w:tc>
        <w:tc>
          <w:tcPr>
            <w:tcW w:w="111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111.97%</w:t>
            </w:r>
          </w:p>
        </w:tc>
        <w:tc>
          <w:tcPr>
            <w:tcW w:w="145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22</w:t>
            </w:r>
          </w:p>
        </w:tc>
      </w:tr>
      <w:tr w:rsidR="00E7728E">
        <w:tc>
          <w:tcPr>
            <w:tcW w:w="31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European Council and Council</w:t>
            </w:r>
          </w:p>
        </w:tc>
        <w:tc>
          <w:tcPr>
            <w:tcW w:w="12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56</w:t>
            </w:r>
          </w:p>
        </w:tc>
        <w:tc>
          <w:tcPr>
            <w:tcW w:w="10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56</w:t>
            </w:r>
          </w:p>
        </w:tc>
        <w:tc>
          <w:tcPr>
            <w:tcW w:w="98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74</w:t>
            </w:r>
          </w:p>
        </w:tc>
        <w:tc>
          <w:tcPr>
            <w:tcW w:w="105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7</w:t>
            </w:r>
          </w:p>
        </w:tc>
        <w:tc>
          <w:tcPr>
            <w:tcW w:w="115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80</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70</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6</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76</w:t>
            </w:r>
          </w:p>
        </w:tc>
        <w:tc>
          <w:tcPr>
            <w:tcW w:w="111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136.61%</w:t>
            </w:r>
          </w:p>
        </w:tc>
        <w:tc>
          <w:tcPr>
            <w:tcW w:w="145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4</w:t>
            </w:r>
          </w:p>
        </w:tc>
      </w:tr>
      <w:tr w:rsidR="00E7728E">
        <w:tc>
          <w:tcPr>
            <w:tcW w:w="31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Commission</w:t>
            </w:r>
          </w:p>
        </w:tc>
        <w:tc>
          <w:tcPr>
            <w:tcW w:w="12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135 167</w:t>
            </w:r>
          </w:p>
        </w:tc>
        <w:tc>
          <w:tcPr>
            <w:tcW w:w="10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138 697</w:t>
            </w:r>
          </w:p>
        </w:tc>
        <w:tc>
          <w:tcPr>
            <w:tcW w:w="98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146 066</w:t>
            </w:r>
          </w:p>
        </w:tc>
        <w:tc>
          <w:tcPr>
            <w:tcW w:w="105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10 957</w:t>
            </w:r>
          </w:p>
        </w:tc>
        <w:tc>
          <w:tcPr>
            <w:tcW w:w="115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157 023</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139 403</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3 878</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143 280</w:t>
            </w:r>
          </w:p>
        </w:tc>
        <w:tc>
          <w:tcPr>
            <w:tcW w:w="111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103.30%</w:t>
            </w:r>
          </w:p>
        </w:tc>
        <w:tc>
          <w:tcPr>
            <w:tcW w:w="145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13 743</w:t>
            </w:r>
          </w:p>
        </w:tc>
      </w:tr>
      <w:tr w:rsidR="00E7728E">
        <w:tc>
          <w:tcPr>
            <w:tcW w:w="31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Court of Justice</w:t>
            </w:r>
          </w:p>
        </w:tc>
        <w:tc>
          <w:tcPr>
            <w:tcW w:w="12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47</w:t>
            </w:r>
          </w:p>
        </w:tc>
        <w:tc>
          <w:tcPr>
            <w:tcW w:w="10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47</w:t>
            </w:r>
          </w:p>
        </w:tc>
        <w:tc>
          <w:tcPr>
            <w:tcW w:w="98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50</w:t>
            </w:r>
          </w:p>
        </w:tc>
        <w:tc>
          <w:tcPr>
            <w:tcW w:w="105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w:t>
            </w:r>
          </w:p>
        </w:tc>
        <w:tc>
          <w:tcPr>
            <w:tcW w:w="115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50</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50</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50</w:t>
            </w:r>
          </w:p>
        </w:tc>
        <w:tc>
          <w:tcPr>
            <w:tcW w:w="111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105.10%</w:t>
            </w:r>
          </w:p>
        </w:tc>
        <w:tc>
          <w:tcPr>
            <w:tcW w:w="145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0</w:t>
            </w:r>
          </w:p>
        </w:tc>
      </w:tr>
      <w:tr w:rsidR="00E7728E">
        <w:tc>
          <w:tcPr>
            <w:tcW w:w="31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Court of Auditors</w:t>
            </w:r>
          </w:p>
        </w:tc>
        <w:tc>
          <w:tcPr>
            <w:tcW w:w="12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20</w:t>
            </w:r>
          </w:p>
        </w:tc>
        <w:tc>
          <w:tcPr>
            <w:tcW w:w="10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20</w:t>
            </w:r>
          </w:p>
        </w:tc>
        <w:tc>
          <w:tcPr>
            <w:tcW w:w="98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20</w:t>
            </w:r>
          </w:p>
        </w:tc>
        <w:tc>
          <w:tcPr>
            <w:tcW w:w="105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w:t>
            </w:r>
          </w:p>
        </w:tc>
        <w:tc>
          <w:tcPr>
            <w:tcW w:w="115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20</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19</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19</w:t>
            </w:r>
          </w:p>
        </w:tc>
        <w:tc>
          <w:tcPr>
            <w:tcW w:w="111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98.42%</w:t>
            </w:r>
          </w:p>
        </w:tc>
        <w:tc>
          <w:tcPr>
            <w:tcW w:w="145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w:t>
            </w:r>
          </w:p>
        </w:tc>
      </w:tr>
      <w:tr w:rsidR="00E7728E">
        <w:tc>
          <w:tcPr>
            <w:tcW w:w="31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Economic and Social Committee</w:t>
            </w:r>
          </w:p>
        </w:tc>
        <w:tc>
          <w:tcPr>
            <w:tcW w:w="12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11</w:t>
            </w:r>
          </w:p>
        </w:tc>
        <w:tc>
          <w:tcPr>
            <w:tcW w:w="10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11</w:t>
            </w:r>
          </w:p>
        </w:tc>
        <w:tc>
          <w:tcPr>
            <w:tcW w:w="98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15</w:t>
            </w:r>
          </w:p>
        </w:tc>
        <w:tc>
          <w:tcPr>
            <w:tcW w:w="105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w:t>
            </w:r>
          </w:p>
        </w:tc>
        <w:tc>
          <w:tcPr>
            <w:tcW w:w="115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15</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15</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15</w:t>
            </w:r>
          </w:p>
        </w:tc>
        <w:tc>
          <w:tcPr>
            <w:tcW w:w="111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137.08%</w:t>
            </w:r>
          </w:p>
        </w:tc>
        <w:tc>
          <w:tcPr>
            <w:tcW w:w="145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w:t>
            </w:r>
          </w:p>
        </w:tc>
      </w:tr>
      <w:tr w:rsidR="00E7728E">
        <w:tc>
          <w:tcPr>
            <w:tcW w:w="31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Committee of the Regions</w:t>
            </w:r>
          </w:p>
        </w:tc>
        <w:tc>
          <w:tcPr>
            <w:tcW w:w="12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8</w:t>
            </w:r>
          </w:p>
        </w:tc>
        <w:tc>
          <w:tcPr>
            <w:tcW w:w="10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8</w:t>
            </w:r>
          </w:p>
        </w:tc>
        <w:tc>
          <w:tcPr>
            <w:tcW w:w="98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10</w:t>
            </w:r>
          </w:p>
        </w:tc>
        <w:tc>
          <w:tcPr>
            <w:tcW w:w="105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w:t>
            </w:r>
          </w:p>
        </w:tc>
        <w:tc>
          <w:tcPr>
            <w:tcW w:w="115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10</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10</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10</w:t>
            </w:r>
          </w:p>
        </w:tc>
        <w:tc>
          <w:tcPr>
            <w:tcW w:w="111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121.66%</w:t>
            </w:r>
          </w:p>
        </w:tc>
        <w:tc>
          <w:tcPr>
            <w:tcW w:w="145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w:t>
            </w:r>
          </w:p>
        </w:tc>
      </w:tr>
      <w:tr w:rsidR="00E7728E">
        <w:tc>
          <w:tcPr>
            <w:tcW w:w="31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Ombudsman</w:t>
            </w:r>
          </w:p>
        </w:tc>
        <w:tc>
          <w:tcPr>
            <w:tcW w:w="12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w:t>
            </w:r>
          </w:p>
        </w:tc>
        <w:tc>
          <w:tcPr>
            <w:tcW w:w="10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w:t>
            </w:r>
          </w:p>
        </w:tc>
        <w:tc>
          <w:tcPr>
            <w:tcW w:w="98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w:t>
            </w:r>
          </w:p>
        </w:tc>
        <w:tc>
          <w:tcPr>
            <w:tcW w:w="105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w:t>
            </w:r>
          </w:p>
        </w:tc>
        <w:tc>
          <w:tcPr>
            <w:tcW w:w="115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w:t>
            </w:r>
          </w:p>
        </w:tc>
        <w:tc>
          <w:tcPr>
            <w:tcW w:w="111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104.28%</w:t>
            </w:r>
          </w:p>
        </w:tc>
        <w:tc>
          <w:tcPr>
            <w:tcW w:w="145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w:t>
            </w:r>
          </w:p>
        </w:tc>
      </w:tr>
      <w:tr w:rsidR="00E7728E">
        <w:tc>
          <w:tcPr>
            <w:tcW w:w="31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European Data Protection Supervisor</w:t>
            </w:r>
          </w:p>
        </w:tc>
        <w:tc>
          <w:tcPr>
            <w:tcW w:w="12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w:t>
            </w:r>
          </w:p>
        </w:tc>
        <w:tc>
          <w:tcPr>
            <w:tcW w:w="10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w:t>
            </w:r>
          </w:p>
        </w:tc>
        <w:tc>
          <w:tcPr>
            <w:tcW w:w="98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w:t>
            </w:r>
          </w:p>
        </w:tc>
        <w:tc>
          <w:tcPr>
            <w:tcW w:w="105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w:t>
            </w:r>
          </w:p>
        </w:tc>
        <w:tc>
          <w:tcPr>
            <w:tcW w:w="115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w:t>
            </w:r>
          </w:p>
        </w:tc>
        <w:tc>
          <w:tcPr>
            <w:tcW w:w="111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78.02%</w:t>
            </w:r>
          </w:p>
        </w:tc>
        <w:tc>
          <w:tcPr>
            <w:tcW w:w="145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w:t>
            </w:r>
          </w:p>
        </w:tc>
      </w:tr>
      <w:tr w:rsidR="00E7728E">
        <w:tc>
          <w:tcPr>
            <w:tcW w:w="31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European External Action Service</w:t>
            </w:r>
          </w:p>
        </w:tc>
        <w:tc>
          <w:tcPr>
            <w:tcW w:w="12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37</w:t>
            </w:r>
          </w:p>
        </w:tc>
        <w:tc>
          <w:tcPr>
            <w:tcW w:w="10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37</w:t>
            </w:r>
          </w:p>
        </w:tc>
        <w:tc>
          <w:tcPr>
            <w:tcW w:w="98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313</w:t>
            </w:r>
          </w:p>
        </w:tc>
        <w:tc>
          <w:tcPr>
            <w:tcW w:w="105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w:t>
            </w:r>
          </w:p>
        </w:tc>
        <w:tc>
          <w:tcPr>
            <w:tcW w:w="115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313</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313</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313</w:t>
            </w:r>
          </w:p>
        </w:tc>
        <w:tc>
          <w:tcPr>
            <w:tcW w:w="111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835.12%</w:t>
            </w:r>
          </w:p>
        </w:tc>
        <w:tc>
          <w:tcPr>
            <w:tcW w:w="145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w:t>
            </w:r>
          </w:p>
        </w:tc>
      </w:tr>
      <w:tr w:rsidR="00E7728E">
        <w:tc>
          <w:tcPr>
            <w:tcW w:w="3131"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BoldLeft"/>
              <w:rPr>
                <w:rFonts w:eastAsia="Verdana" w:cs="Verdana"/>
                <w:lang w:bidi="en-GB"/>
              </w:rPr>
            </w:pPr>
          </w:p>
        </w:tc>
        <w:tc>
          <w:tcPr>
            <w:tcW w:w="12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lang w:bidi="en-GB"/>
              </w:rPr>
            </w:pPr>
            <w:r>
              <w:rPr>
                <w:rFonts w:eastAsia="Verdana" w:cs="Verdana"/>
                <w:lang w:bidi="en-GB"/>
              </w:rPr>
              <w:t>135 505</w:t>
            </w:r>
          </w:p>
        </w:tc>
        <w:tc>
          <w:tcPr>
            <w:tcW w:w="106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lang w:bidi="en-GB"/>
              </w:rPr>
            </w:pPr>
            <w:r>
              <w:rPr>
                <w:rFonts w:eastAsia="Verdana" w:cs="Verdana"/>
                <w:lang w:bidi="en-GB"/>
              </w:rPr>
              <w:t>139 034</w:t>
            </w:r>
          </w:p>
        </w:tc>
        <w:tc>
          <w:tcPr>
            <w:tcW w:w="98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lang w:bidi="en-GB"/>
              </w:rPr>
            </w:pPr>
            <w:r>
              <w:rPr>
                <w:rFonts w:eastAsia="Verdana" w:cs="Verdana"/>
                <w:lang w:bidi="en-GB"/>
              </w:rPr>
              <w:t>146 721</w:t>
            </w:r>
          </w:p>
        </w:tc>
        <w:tc>
          <w:tcPr>
            <w:tcW w:w="105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lang w:bidi="en-GB"/>
              </w:rPr>
            </w:pPr>
            <w:r>
              <w:rPr>
                <w:rFonts w:eastAsia="Verdana" w:cs="Verdana"/>
                <w:lang w:bidi="en-GB"/>
              </w:rPr>
              <w:t>10 988</w:t>
            </w:r>
          </w:p>
        </w:tc>
        <w:tc>
          <w:tcPr>
            <w:tcW w:w="115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lang w:bidi="en-GB"/>
              </w:rPr>
            </w:pPr>
            <w:r>
              <w:rPr>
                <w:rFonts w:eastAsia="Verdana" w:cs="Verdana"/>
                <w:lang w:bidi="en-GB"/>
              </w:rPr>
              <w:t>157 709</w:t>
            </w:r>
          </w:p>
        </w:tc>
        <w:tc>
          <w:tcPr>
            <w:tcW w:w="122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lang w:bidi="en-GB"/>
              </w:rPr>
            </w:pPr>
            <w:r>
              <w:rPr>
                <w:rFonts w:eastAsia="Verdana" w:cs="Verdana"/>
                <w:lang w:bidi="en-GB"/>
              </w:rPr>
              <w:t>140 052</w:t>
            </w:r>
          </w:p>
        </w:tc>
        <w:tc>
          <w:tcPr>
            <w:tcW w:w="122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lang w:bidi="en-GB"/>
              </w:rPr>
            </w:pPr>
            <w:r>
              <w:rPr>
                <w:rFonts w:eastAsia="Verdana" w:cs="Verdana"/>
                <w:lang w:bidi="en-GB"/>
              </w:rPr>
              <w:t>3 888</w:t>
            </w:r>
          </w:p>
        </w:tc>
        <w:tc>
          <w:tcPr>
            <w:tcW w:w="113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lang w:bidi="en-GB"/>
              </w:rPr>
            </w:pPr>
            <w:r>
              <w:rPr>
                <w:rFonts w:eastAsia="Verdana" w:cs="Verdana"/>
                <w:lang w:bidi="en-GB"/>
              </w:rPr>
              <w:t>143 940</w:t>
            </w:r>
          </w:p>
        </w:tc>
        <w:tc>
          <w:tcPr>
            <w:tcW w:w="111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lang w:bidi="en-GB"/>
              </w:rPr>
            </w:pPr>
            <w:r>
              <w:rPr>
                <w:rFonts w:eastAsia="Verdana" w:cs="Verdana"/>
                <w:lang w:bidi="en-GB"/>
              </w:rPr>
              <w:t>103.53%</w:t>
            </w:r>
          </w:p>
        </w:tc>
        <w:tc>
          <w:tcPr>
            <w:tcW w:w="145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lang w:bidi="en-GB"/>
              </w:rPr>
            </w:pPr>
            <w:r>
              <w:rPr>
                <w:rFonts w:eastAsia="Verdana" w:cs="Verdana"/>
                <w:lang w:bidi="en-GB"/>
              </w:rPr>
              <w:t>13 769</w:t>
            </w:r>
          </w:p>
        </w:tc>
      </w:tr>
    </w:tbl>
    <w:p w:rsidR="00F50689" w:rsidRDefault="005A36C4" w:rsidP="00F50689">
      <w:pPr>
        <w:pStyle w:val="Textstand-alone"/>
      </w:pPr>
      <w:r>
        <w:t xml:space="preserve">The consolidated reports on the implementation of the general budget of the EU include, as in previous years, the budget implementation of all Institutions since within the EU budget a separate budget for each Institution is established. Agencies do not have a separate budget inside the EU budget and they are partially financed by a Commission budget subsidy. </w:t>
      </w:r>
    </w:p>
    <w:p w:rsidR="00F50689" w:rsidRDefault="005A36C4" w:rsidP="00F50689">
      <w:pPr>
        <w:pStyle w:val="Textstand-alone"/>
      </w:pPr>
      <w:r>
        <w:t xml:space="preserve">Concerning the EEAS, it should be noted that, in addition to its own budget, it also receives contributions from the Commission </w:t>
      </w:r>
      <w:r w:rsidRPr="004C593E">
        <w:t>of EUR 208 million (2013</w:t>
      </w:r>
      <w:r>
        <w:t xml:space="preserve">: EUR 210 million) and the </w:t>
      </w:r>
      <w:r w:rsidRPr="004C593E">
        <w:t>EDF of EUR</w:t>
      </w:r>
      <w:r w:rsidR="00F12CBE">
        <w:t> </w:t>
      </w:r>
      <w:r w:rsidRPr="004C593E">
        <w:t>56</w:t>
      </w:r>
      <w:r w:rsidR="00F12CBE">
        <w:t> </w:t>
      </w:r>
      <w:r w:rsidRPr="004C593E">
        <w:t>million (2013: EUR</w:t>
      </w:r>
      <w:r w:rsidR="002A6B91">
        <w:t> </w:t>
      </w:r>
      <w:r>
        <w:t>59</w:t>
      </w:r>
      <w:r w:rsidR="002A6B91">
        <w:t> </w:t>
      </w:r>
      <w:r>
        <w:t>million). These budget credits are put at the disposal of the EEAS (as assigned revenue) so as to cover primarily the costs of Commission staff working in the EU delegations, these delegations being administratively managed by the EEAS.</w:t>
      </w:r>
    </w:p>
    <w:p w:rsidR="00F50689" w:rsidRDefault="005A36C4" w:rsidP="00F50689">
      <w:pPr>
        <w:pStyle w:val="Textstand-alone"/>
        <w:sectPr w:rsidR="00F50689" w:rsidSect="00F50689">
          <w:headerReference w:type="even" r:id="rId587"/>
          <w:headerReference w:type="default" r:id="rId588"/>
          <w:footerReference w:type="even" r:id="rId589"/>
          <w:footerReference w:type="default" r:id="rId590"/>
          <w:headerReference w:type="first" r:id="rId591"/>
          <w:footerReference w:type="first" r:id="rId592"/>
          <w:type w:val="continuous"/>
          <w:pgSz w:w="16838" w:h="11906" w:orient="landscape"/>
          <w:pgMar w:top="1134" w:right="1134" w:bottom="1134" w:left="1134" w:header="708" w:footer="708" w:gutter="0"/>
          <w:cols w:space="708"/>
          <w:docGrid w:linePitch="360"/>
        </w:sectPr>
      </w:pPr>
      <w:r>
        <w:t xml:space="preserve"> </w:t>
      </w:r>
      <w:bookmarkEnd w:id="288"/>
    </w:p>
    <w:p w:rsidR="00F50689" w:rsidRDefault="005A36C4" w:rsidP="00F50689">
      <w:pPr>
        <w:pStyle w:val="HEADER2Part3"/>
      </w:pPr>
      <w:bookmarkStart w:id="290" w:name="_Toc424653756"/>
      <w:bookmarkStart w:id="291" w:name="_DMBM_3450"/>
      <w:r>
        <w:t xml:space="preserve">INSTITUTIONS: </w:t>
      </w:r>
      <w:r w:rsidRPr="000628AE">
        <w:t>IMPLEMENTATION</w:t>
      </w:r>
      <w:r w:rsidRPr="00483E5E">
        <w:t xml:space="preserve"> OF COMMIT</w:t>
      </w:r>
      <w:r>
        <w:t>MENT AND PAYMENT APPROPRIATIONS</w:t>
      </w:r>
      <w:bookmarkEnd w:id="290"/>
    </w:p>
    <w:p w:rsidR="00F50689" w:rsidRDefault="005A36C4" w:rsidP="00F50689">
      <w:pPr>
        <w:pStyle w:val="HEADER5"/>
      </w:pPr>
      <w:r w:rsidRPr="00483E5E">
        <w:t>Commitment appropriations</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992"/>
        <w:gridCol w:w="709"/>
        <w:gridCol w:w="992"/>
        <w:gridCol w:w="851"/>
        <w:gridCol w:w="709"/>
        <w:gridCol w:w="850"/>
        <w:gridCol w:w="709"/>
        <w:gridCol w:w="850"/>
        <w:gridCol w:w="851"/>
        <w:gridCol w:w="992"/>
        <w:gridCol w:w="709"/>
        <w:gridCol w:w="850"/>
        <w:gridCol w:w="1560"/>
        <w:gridCol w:w="708"/>
      </w:tblGrid>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lang w:bidi="en-GB"/>
              </w:rPr>
            </w:pPr>
            <w:bookmarkStart w:id="292" w:name="DOC_TBL00113_1_1"/>
            <w:bookmarkEnd w:id="292"/>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i w:val="0"/>
                <w:lang w:bidi="en-GB"/>
              </w:rPr>
            </w:pP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i w:val="0"/>
                <w:lang w:bidi="en-GB"/>
              </w:rPr>
            </w:pP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i w:val="0"/>
                <w:lang w:bidi="en-GB"/>
              </w:rPr>
            </w:pP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i w:val="0"/>
                <w:lang w:bidi="en-GB"/>
              </w:rPr>
            </w:pP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i w:val="0"/>
                <w:lang w:bidi="en-GB"/>
              </w:rPr>
            </w:pP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i w:val="0"/>
                <w:lang w:bidi="en-GB"/>
              </w:rPr>
            </w:pP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i w:val="0"/>
                <w:lang w:bidi="en-GB"/>
              </w:rPr>
            </w:pP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i w:val="0"/>
                <w:lang w:bidi="en-GB"/>
              </w:rPr>
            </w:pP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i w:val="0"/>
                <w:lang w:bidi="en-GB"/>
              </w:rPr>
            </w:pP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i w:val="0"/>
                <w:lang w:bidi="en-GB"/>
              </w:rPr>
            </w:pPr>
          </w:p>
        </w:tc>
        <w:tc>
          <w:tcPr>
            <w:tcW w:w="2268" w:type="dxa"/>
            <w:gridSpan w:val="2"/>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lang w:bidi="en-GB"/>
              </w:rPr>
            </w:pPr>
            <w:r>
              <w:rPr>
                <w:rFonts w:eastAsia="Verdana" w:cs="Verdana"/>
                <w:lang w:bidi="en-GB"/>
              </w:rPr>
              <w:t>EUR millions</w:t>
            </w:r>
          </w:p>
        </w:tc>
      </w:tr>
      <w:tr w:rsidR="00E7728E">
        <w:tc>
          <w:tcPr>
            <w:tcW w:w="1809"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8pNormalCentered"/>
              <w:rPr>
                <w:rFonts w:eastAsia="Verdana" w:cs="Verdana"/>
                <w:lang w:bidi="en-GB"/>
              </w:rPr>
            </w:pPr>
          </w:p>
        </w:tc>
        <w:tc>
          <w:tcPr>
            <w:tcW w:w="1276"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lang w:bidi="en-GB"/>
              </w:rPr>
            </w:pPr>
          </w:p>
        </w:tc>
        <w:tc>
          <w:tcPr>
            <w:tcW w:w="4253" w:type="dxa"/>
            <w:gridSpan w:val="5"/>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Commitments made</w:t>
            </w:r>
          </w:p>
        </w:tc>
        <w:tc>
          <w:tcPr>
            <w:tcW w:w="3260" w:type="dxa"/>
            <w:gridSpan w:val="4"/>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Appropriations carried over</w:t>
            </w:r>
          </w:p>
        </w:tc>
        <w:tc>
          <w:tcPr>
            <w:tcW w:w="4819" w:type="dxa"/>
            <w:gridSpan w:val="5"/>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Appropriations lapsing</w:t>
            </w:r>
          </w:p>
        </w:tc>
      </w:tr>
      <w:tr w:rsidR="00E7728E">
        <w:tc>
          <w:tcPr>
            <w:tcW w:w="180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lang w:bidi="en-GB"/>
              </w:rPr>
            </w:pPr>
            <w:r>
              <w:rPr>
                <w:rFonts w:eastAsia="Verdana" w:cs="Verdana"/>
                <w:lang w:bidi="en-GB"/>
              </w:rPr>
              <w:t>Institution</w:t>
            </w:r>
          </w:p>
        </w:tc>
        <w:tc>
          <w:tcPr>
            <w:tcW w:w="1276"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Total appropriations available</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From final adopted budget</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From carry-overs</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From assigned revenue</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Total</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From assigned revenue</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Carry-overs by decision</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Total</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From final adopted budget</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From carry-overs</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Assigned revenue (EFTA)</w:t>
            </w:r>
          </w:p>
        </w:tc>
        <w:tc>
          <w:tcPr>
            <w:tcW w:w="156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Total</w:t>
            </w:r>
          </w:p>
        </w:tc>
        <w:tc>
          <w:tcPr>
            <w:tcW w:w="70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w:t>
            </w:r>
          </w:p>
        </w:tc>
      </w:tr>
      <w:tr w:rsidR="00E7728E">
        <w:tc>
          <w:tcPr>
            <w:tcW w:w="1809"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8pNormalCentered"/>
              <w:rPr>
                <w:rFonts w:eastAsia="Verdana" w:cs="Verdana"/>
                <w:lang w:bidi="en-GB"/>
              </w:rPr>
            </w:pPr>
          </w:p>
        </w:tc>
        <w:tc>
          <w:tcPr>
            <w:tcW w:w="1276"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1</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2</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3</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4</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5=2+3+4</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6=5/1</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7</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8</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9=7+8</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10=9/1</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11</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12</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13</w:t>
            </w:r>
          </w:p>
        </w:tc>
        <w:tc>
          <w:tcPr>
            <w:tcW w:w="156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14=11</w:t>
            </w:r>
          </w:p>
          <w:p w:rsidR="00F50689" w:rsidRDefault="005A36C4" w:rsidP="00F50689">
            <w:pPr>
              <w:pStyle w:val="Heading7pNormalRight01"/>
              <w:rPr>
                <w:rFonts w:eastAsia="Verdana" w:cs="Verdana"/>
                <w:lang w:bidi="en-GB"/>
              </w:rPr>
            </w:pPr>
            <w:r>
              <w:rPr>
                <w:rFonts w:eastAsia="Verdana" w:cs="Verdana"/>
                <w:lang w:bidi="en-GB"/>
              </w:rPr>
              <w:t>+12+13</w:t>
            </w:r>
          </w:p>
        </w:tc>
        <w:tc>
          <w:tcPr>
            <w:tcW w:w="70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15=14/1</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European Parliament</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1 804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1 738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1 775</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98.4%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56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18</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0.0%</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European Council and Council</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587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485</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513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87.4%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24</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4.1%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56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0.0%</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Commission</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146 008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105 811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178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3 429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109 418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74.9%</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3 242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12 097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15 339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10.5%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21 251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56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21 251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0.0%</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Court of Justice</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358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352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352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98.6%</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56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0.0%</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Court of Auditors</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134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132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132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98.7%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56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0.0%</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Economic &amp; Social Committee</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133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123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127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95.4%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56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0.0%</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Committee of the Regions</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98.5%</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56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0.0%</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Ombudsman</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97.9%</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56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0.0%</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European Data Protection Supervisor</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96.9%</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56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0.0%</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European External Action Service</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808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513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272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784</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97.1%</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156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0.0%</w:t>
            </w:r>
          </w:p>
        </w:tc>
      </w:tr>
      <w:tr w:rsidR="00E7728E">
        <w:tc>
          <w:tcPr>
            <w:tcW w:w="1809"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9pItalicCentered"/>
              <w:jc w:val="left"/>
              <w:rPr>
                <w:rFonts w:eastAsia="Verdana" w:cs="Verdana"/>
                <w:b/>
                <w:i w:val="0"/>
                <w:lang w:bidi="en-GB"/>
              </w:rPr>
            </w:pPr>
          </w:p>
        </w:tc>
        <w:tc>
          <w:tcPr>
            <w:tcW w:w="127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149 939</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109 256</w:t>
            </w:r>
          </w:p>
        </w:tc>
        <w:tc>
          <w:tcPr>
            <w:tcW w:w="70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 xml:space="preserve"> 179</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3 772</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113 208</w:t>
            </w:r>
          </w:p>
        </w:tc>
        <w:tc>
          <w:tcPr>
            <w:tcW w:w="70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75.5%</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3 297</w:t>
            </w:r>
          </w:p>
        </w:tc>
        <w:tc>
          <w:tcPr>
            <w:tcW w:w="70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12 101</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15 399</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10.3%</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21 333</w:t>
            </w:r>
          </w:p>
        </w:tc>
        <w:tc>
          <w:tcPr>
            <w:tcW w:w="70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w:t>
            </w:r>
          </w:p>
        </w:tc>
        <w:tc>
          <w:tcPr>
            <w:tcW w:w="156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21 333</w:t>
            </w:r>
          </w:p>
        </w:tc>
        <w:tc>
          <w:tcPr>
            <w:tcW w:w="70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0.0%</w:t>
            </w:r>
          </w:p>
        </w:tc>
      </w:tr>
    </w:tbl>
    <w:p w:rsidR="00F50689" w:rsidRDefault="00F50689" w:rsidP="00F50689">
      <w:pPr>
        <w:pStyle w:val="Textstand-alone"/>
        <w:rPr>
          <w:lang w:bidi="en-GB"/>
        </w:rPr>
      </w:pPr>
    </w:p>
    <w:p w:rsidR="00F50689" w:rsidRDefault="005A36C4">
      <w:pPr>
        <w:rPr>
          <w:rFonts w:ascii="Verdana" w:hAnsi="Verdana"/>
          <w:b/>
          <w:noProof/>
          <w:color w:val="016794"/>
          <w:sz w:val="18"/>
          <w:szCs w:val="18"/>
        </w:rPr>
      </w:pPr>
      <w:r>
        <w:br w:type="page"/>
      </w:r>
    </w:p>
    <w:p w:rsidR="00F50689" w:rsidRDefault="005A36C4" w:rsidP="00F50689">
      <w:pPr>
        <w:pStyle w:val="HEADER5"/>
      </w:pPr>
      <w:r w:rsidRPr="00483E5E">
        <w:t>Payment appropriations</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992"/>
        <w:gridCol w:w="709"/>
        <w:gridCol w:w="992"/>
        <w:gridCol w:w="993"/>
        <w:gridCol w:w="708"/>
        <w:gridCol w:w="993"/>
        <w:gridCol w:w="850"/>
        <w:gridCol w:w="851"/>
        <w:gridCol w:w="850"/>
        <w:gridCol w:w="851"/>
        <w:gridCol w:w="850"/>
        <w:gridCol w:w="709"/>
        <w:gridCol w:w="709"/>
        <w:gridCol w:w="567"/>
        <w:gridCol w:w="708"/>
      </w:tblGrid>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lang w:bidi="en-GB"/>
              </w:rPr>
            </w:pPr>
            <w:bookmarkStart w:id="293" w:name="DOC_TBL00114_1_1"/>
            <w:bookmarkEnd w:id="293"/>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275" w:type="dxa"/>
            <w:gridSpan w:val="2"/>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lang w:bidi="en-GB"/>
              </w:rPr>
            </w:pPr>
            <w:r>
              <w:rPr>
                <w:rFonts w:eastAsia="Verdana" w:cs="Verdana"/>
                <w:lang w:bidi="en-GB"/>
              </w:rPr>
              <w:t>EUR millions</w:t>
            </w:r>
          </w:p>
        </w:tc>
      </w:tr>
      <w:tr w:rsidR="00E7728E">
        <w:tc>
          <w:tcPr>
            <w:tcW w:w="1809"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8pNormalLeft"/>
              <w:rPr>
                <w:rFonts w:eastAsia="Verdana" w:cs="Verdana"/>
                <w:lang w:bidi="en-GB"/>
              </w:rPr>
            </w:pPr>
          </w:p>
        </w:tc>
        <w:tc>
          <w:tcPr>
            <w:tcW w:w="1276"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lang w:bidi="en-GB"/>
              </w:rPr>
            </w:pPr>
          </w:p>
        </w:tc>
        <w:tc>
          <w:tcPr>
            <w:tcW w:w="4394" w:type="dxa"/>
            <w:gridSpan w:val="5"/>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Payments made</w:t>
            </w:r>
          </w:p>
        </w:tc>
        <w:tc>
          <w:tcPr>
            <w:tcW w:w="3544" w:type="dxa"/>
            <w:gridSpan w:val="4"/>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Appropriations carried over</w:t>
            </w: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color w:val="auto"/>
                <w:lang w:bidi="en-GB"/>
              </w:rPr>
            </w:pPr>
          </w:p>
        </w:tc>
        <w:tc>
          <w:tcPr>
            <w:tcW w:w="3543" w:type="dxa"/>
            <w:gridSpan w:val="5"/>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lang w:bidi="en-GB"/>
              </w:rPr>
            </w:pPr>
            <w:r>
              <w:rPr>
                <w:rFonts w:eastAsia="Verdana" w:cs="Verdana"/>
                <w:lang w:bidi="en-GB"/>
              </w:rPr>
              <w:t>Appropriations lapsing</w:t>
            </w:r>
          </w:p>
        </w:tc>
      </w:tr>
      <w:tr w:rsidR="00E7728E">
        <w:tc>
          <w:tcPr>
            <w:tcW w:w="180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Left"/>
              <w:rPr>
                <w:rFonts w:eastAsia="Verdana" w:cs="Verdana"/>
                <w:lang w:bidi="en-GB"/>
              </w:rPr>
            </w:pPr>
            <w:r>
              <w:rPr>
                <w:rFonts w:eastAsia="Verdana" w:cs="Verdana"/>
                <w:lang w:bidi="en-GB"/>
              </w:rPr>
              <w:t>Institution</w:t>
            </w:r>
          </w:p>
        </w:tc>
        <w:tc>
          <w:tcPr>
            <w:tcW w:w="1276"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Total appropriations available</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From final adopted budget</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From carry-overs</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From assigned revenue</w:t>
            </w:r>
          </w:p>
        </w:tc>
        <w:tc>
          <w:tcPr>
            <w:tcW w:w="993"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Total</w:t>
            </w:r>
          </w:p>
        </w:tc>
        <w:tc>
          <w:tcPr>
            <w:tcW w:w="70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Automatic carry-overs</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Carry-overs by decision</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From assigned revenue</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Total</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From final adopted budget</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From carry-overs</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Assigned revenue (EFTA)</w:t>
            </w:r>
          </w:p>
        </w:tc>
        <w:tc>
          <w:tcPr>
            <w:tcW w:w="567"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Total</w:t>
            </w:r>
          </w:p>
        </w:tc>
        <w:tc>
          <w:tcPr>
            <w:tcW w:w="70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w:t>
            </w:r>
          </w:p>
        </w:tc>
      </w:tr>
      <w:tr w:rsidR="00E7728E">
        <w:tc>
          <w:tcPr>
            <w:tcW w:w="1809"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8pNormalLeft"/>
              <w:rPr>
                <w:rFonts w:eastAsia="Verdana" w:cs="Verdana"/>
                <w:lang w:bidi="en-GB"/>
              </w:rPr>
            </w:pPr>
          </w:p>
        </w:tc>
        <w:tc>
          <w:tcPr>
            <w:tcW w:w="1276"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1</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2</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3</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4</w:t>
            </w:r>
          </w:p>
        </w:tc>
        <w:tc>
          <w:tcPr>
            <w:tcW w:w="993"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5=2+3+4</w:t>
            </w:r>
          </w:p>
        </w:tc>
        <w:tc>
          <w:tcPr>
            <w:tcW w:w="70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6=5/1</w:t>
            </w:r>
          </w:p>
        </w:tc>
        <w:tc>
          <w:tcPr>
            <w:tcW w:w="993"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7</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8</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9</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10=7+8+9</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11=10/1</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12</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13</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14</w:t>
            </w:r>
          </w:p>
        </w:tc>
        <w:tc>
          <w:tcPr>
            <w:tcW w:w="567"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15=12</w:t>
            </w:r>
          </w:p>
          <w:p w:rsidR="00F50689" w:rsidRDefault="005A36C4" w:rsidP="00F50689">
            <w:pPr>
              <w:pStyle w:val="Heading7pNormalRight01"/>
              <w:rPr>
                <w:rFonts w:eastAsia="Verdana" w:cs="Verdana"/>
                <w:lang w:bidi="en-GB"/>
              </w:rPr>
            </w:pPr>
            <w:r>
              <w:rPr>
                <w:rFonts w:eastAsia="Verdana" w:cs="Verdana"/>
                <w:lang w:bidi="en-GB"/>
              </w:rPr>
              <w:t>+13+14</w:t>
            </w:r>
          </w:p>
        </w:tc>
        <w:tc>
          <w:tcPr>
            <w:tcW w:w="70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lang w:bidi="en-GB"/>
              </w:rPr>
            </w:pPr>
            <w:r>
              <w:rPr>
                <w:rFonts w:eastAsia="Verdana" w:cs="Verdana"/>
                <w:lang w:bidi="en-GB"/>
              </w:rPr>
              <w:t>16=15/1</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European Parliament</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2 168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1 460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256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26</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1 742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80.4%</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278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108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386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17.8%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5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1.8%</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European Council and Council</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635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435</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29</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503</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79.2%</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11.7%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5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58</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9.2%</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Commission</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143 020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134 108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902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3 758</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138 768</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97.0%</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452</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913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2 799</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4 164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2.9%</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29</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5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88</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0.1%</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Court of Justice</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374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335</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349</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93.5%</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4.9%</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5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1.6%</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Court of Auditors</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145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124</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134</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92.4%</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5.4%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5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2.2%</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Economic &amp; Social Committee</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141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115</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3</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125</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88.2%</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6.3%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5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5.5%</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Committee of the Regions</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79</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86</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89.4%</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8.2%</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5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2.5%</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Ombudsman</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93.7%</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3.7%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5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2.6%</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European Data protection Supervisor</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82.2%</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10.1%</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5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7.7%</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European External Action Service</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897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464</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239</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773</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86.2%</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49</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57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110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12.3%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w:t>
            </w:r>
          </w:p>
        </w:tc>
        <w:tc>
          <w:tcPr>
            <w:tcW w:w="5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 xml:space="preserve"> 13</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lang w:bidi="en-GB"/>
              </w:rPr>
            </w:pPr>
            <w:r>
              <w:rPr>
                <w:rFonts w:eastAsia="Verdana" w:cs="Verdana"/>
                <w:lang w:bidi="en-GB"/>
              </w:rPr>
              <w:t>1.5%</w:t>
            </w:r>
          </w:p>
        </w:tc>
      </w:tr>
      <w:tr w:rsidR="00E7728E">
        <w:tc>
          <w:tcPr>
            <w:tcW w:w="1809"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7pBoldLeft"/>
              <w:rPr>
                <w:rFonts w:eastAsia="Verdana" w:cs="Verdana"/>
                <w:lang w:bidi="en-GB"/>
              </w:rPr>
            </w:pPr>
          </w:p>
        </w:tc>
        <w:tc>
          <w:tcPr>
            <w:tcW w:w="127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147 495</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137 136</w:t>
            </w:r>
          </w:p>
        </w:tc>
        <w:tc>
          <w:tcPr>
            <w:tcW w:w="70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1 304</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4 057</w:t>
            </w:r>
          </w:p>
        </w:tc>
        <w:tc>
          <w:tcPr>
            <w:tcW w:w="99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142 497</w:t>
            </w:r>
          </w:p>
        </w:tc>
        <w:tc>
          <w:tcPr>
            <w:tcW w:w="70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96.6%</w:t>
            </w:r>
          </w:p>
        </w:tc>
        <w:tc>
          <w:tcPr>
            <w:tcW w:w="99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 xml:space="preserve"> 870</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 xml:space="preserve"> 917</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2 991</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4 778</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3.2%</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 xml:space="preserve"> 112</w:t>
            </w:r>
          </w:p>
        </w:tc>
        <w:tc>
          <w:tcPr>
            <w:tcW w:w="70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 xml:space="preserve"> 106</w:t>
            </w:r>
          </w:p>
        </w:tc>
        <w:tc>
          <w:tcPr>
            <w:tcW w:w="70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 xml:space="preserve"> 2</w:t>
            </w:r>
          </w:p>
        </w:tc>
        <w:tc>
          <w:tcPr>
            <w:tcW w:w="56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 xml:space="preserve"> 220</w:t>
            </w:r>
          </w:p>
        </w:tc>
        <w:tc>
          <w:tcPr>
            <w:tcW w:w="70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lang w:bidi="en-GB"/>
              </w:rPr>
            </w:pPr>
            <w:r>
              <w:rPr>
                <w:rFonts w:eastAsia="Verdana" w:cs="Verdana"/>
                <w:lang w:bidi="en-GB"/>
              </w:rPr>
              <w:t>0.1%</w:t>
            </w:r>
          </w:p>
        </w:tc>
      </w:tr>
    </w:tbl>
    <w:p w:rsidR="00F50689" w:rsidRDefault="005A36C4" w:rsidP="00F50689">
      <w:pPr>
        <w:pStyle w:val="Textstand-alone"/>
        <w:sectPr w:rsidR="00F50689" w:rsidSect="00F50689">
          <w:headerReference w:type="even" r:id="rId593"/>
          <w:headerReference w:type="default" r:id="rId594"/>
          <w:footerReference w:type="even" r:id="rId595"/>
          <w:footerReference w:type="default" r:id="rId596"/>
          <w:headerReference w:type="first" r:id="rId597"/>
          <w:footerReference w:type="first" r:id="rId598"/>
          <w:pgSz w:w="16838" w:h="11906" w:orient="landscape"/>
          <w:pgMar w:top="1134" w:right="1134" w:bottom="1134" w:left="1134" w:header="708" w:footer="708" w:gutter="0"/>
          <w:cols w:space="708"/>
          <w:docGrid w:linePitch="360"/>
        </w:sectPr>
      </w:pPr>
      <w:r>
        <w:t xml:space="preserve"> </w:t>
      </w:r>
      <w:bookmarkEnd w:id="291"/>
    </w:p>
    <w:p w:rsidR="00F50689" w:rsidRDefault="005A36C4" w:rsidP="00F50689">
      <w:pPr>
        <w:pStyle w:val="HEADER2Part3"/>
      </w:pPr>
      <w:bookmarkStart w:id="294" w:name="_Toc424653757"/>
      <w:bookmarkStart w:id="295" w:name="_DMBM_3452"/>
      <w:r w:rsidRPr="0035249A">
        <w:t>AGENCIES INCOME: BUDGET FORECASTS, ENTITLEMENTS AND AMOUNTS RECEIVED</w:t>
      </w:r>
      <w:bookmarkEnd w:id="294"/>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247"/>
        <w:gridCol w:w="1247"/>
        <w:gridCol w:w="1248"/>
        <w:gridCol w:w="1247"/>
        <w:gridCol w:w="1248"/>
      </w:tblGrid>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lang w:bidi="en-GB"/>
              </w:rPr>
            </w:pPr>
            <w:bookmarkStart w:id="296" w:name="DOC_TBL00115_1_1"/>
            <w:bookmarkEnd w:id="296"/>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Heading10pNormalCentered"/>
              <w:rPr>
                <w:rFonts w:eastAsia="Verdana" w:cs="Verdana"/>
                <w:color w:val="auto"/>
                <w:lang w:bidi="en-GB"/>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Heading10pNormalCentered"/>
              <w:rPr>
                <w:rFonts w:eastAsia="Verdana" w:cs="Verdana"/>
                <w:color w:val="auto"/>
                <w:lang w:bidi="en-GB"/>
              </w:rPr>
            </w:pP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Heading10pNormalCentered"/>
              <w:rPr>
                <w:rFonts w:eastAsia="Verdana" w:cs="Verdana"/>
                <w:color w:val="auto"/>
                <w:lang w:bidi="en-GB"/>
              </w:rPr>
            </w:pPr>
          </w:p>
        </w:tc>
        <w:tc>
          <w:tcPr>
            <w:tcW w:w="2495" w:type="dxa"/>
            <w:gridSpan w:val="2"/>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lang w:bidi="en-GB"/>
              </w:rPr>
            </w:pPr>
            <w:r>
              <w:rPr>
                <w:rFonts w:eastAsia="Verdana" w:cs="Verdana"/>
                <w:lang w:bidi="en-GB"/>
              </w:rPr>
              <w:t>EUR millions</w:t>
            </w:r>
          </w:p>
        </w:tc>
      </w:tr>
      <w:tr w:rsidR="00E7728E">
        <w:tc>
          <w:tcPr>
            <w:tcW w:w="351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Left"/>
              <w:rPr>
                <w:rFonts w:eastAsia="Verdana" w:cs="Verdana"/>
                <w:lang w:bidi="en-GB"/>
              </w:rPr>
            </w:pPr>
            <w:r>
              <w:rPr>
                <w:rFonts w:eastAsia="Verdana" w:cs="Verdana"/>
                <w:lang w:bidi="en-GB"/>
              </w:rPr>
              <w:t>Agency</w:t>
            </w:r>
          </w:p>
        </w:tc>
        <w:tc>
          <w:tcPr>
            <w:tcW w:w="124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Right01"/>
              <w:rPr>
                <w:rFonts w:eastAsia="Verdana" w:cs="Verdana"/>
                <w:lang w:bidi="en-GB"/>
              </w:rPr>
            </w:pPr>
            <w:r>
              <w:rPr>
                <w:rFonts w:eastAsia="Verdana" w:cs="Verdana"/>
                <w:lang w:bidi="en-GB"/>
              </w:rPr>
              <w:t>Final adopted budget</w:t>
            </w:r>
          </w:p>
        </w:tc>
        <w:tc>
          <w:tcPr>
            <w:tcW w:w="124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Right01"/>
              <w:rPr>
                <w:rFonts w:eastAsia="Verdana" w:cs="Verdana"/>
                <w:lang w:bidi="en-GB"/>
              </w:rPr>
            </w:pPr>
            <w:r>
              <w:rPr>
                <w:rFonts w:eastAsia="Verdana" w:cs="Verdana"/>
                <w:lang w:bidi="en-GB"/>
              </w:rPr>
              <w:t>Entitlements established</w:t>
            </w:r>
          </w:p>
        </w:tc>
        <w:tc>
          <w:tcPr>
            <w:tcW w:w="124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Right01"/>
              <w:rPr>
                <w:rFonts w:eastAsia="Verdana" w:cs="Verdana"/>
                <w:lang w:bidi="en-GB"/>
              </w:rPr>
            </w:pPr>
            <w:r>
              <w:rPr>
                <w:rFonts w:eastAsia="Verdana" w:cs="Verdana"/>
                <w:lang w:bidi="en-GB"/>
              </w:rPr>
              <w:t>Amounts received</w:t>
            </w:r>
          </w:p>
        </w:tc>
        <w:tc>
          <w:tcPr>
            <w:tcW w:w="124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Right01"/>
              <w:rPr>
                <w:rFonts w:eastAsia="Verdana" w:cs="Verdana"/>
                <w:lang w:bidi="en-GB"/>
              </w:rPr>
            </w:pPr>
            <w:r>
              <w:rPr>
                <w:rFonts w:eastAsia="Verdana" w:cs="Verdana"/>
                <w:lang w:bidi="en-GB"/>
              </w:rPr>
              <w:t>Outstanding</w:t>
            </w:r>
          </w:p>
        </w:tc>
        <w:tc>
          <w:tcPr>
            <w:tcW w:w="124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Right01"/>
              <w:rPr>
                <w:rFonts w:eastAsia="Verdana" w:cs="Verdana"/>
                <w:lang w:bidi="en-GB"/>
              </w:rPr>
            </w:pPr>
            <w:r>
              <w:rPr>
                <w:rFonts w:eastAsia="Verdana" w:cs="Verdana"/>
                <w:lang w:bidi="en-GB"/>
              </w:rPr>
              <w:t>Funding Commission Policy Area</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European Agency for the Cooperation of Energy Regulators</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11</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11</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11</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06</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European Asylum Support Office</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16</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13</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13</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18</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European Aviation Safety Agency</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162</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145</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137</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8</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06</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proofErr w:type="spellStart"/>
            <w:r>
              <w:rPr>
                <w:rFonts w:eastAsia="Verdana" w:cs="Verdana"/>
                <w:lang w:bidi="en-GB"/>
              </w:rPr>
              <w:t>Frontex</w:t>
            </w:r>
            <w:proofErr w:type="spellEnd"/>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98</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87</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87</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18</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 xml:space="preserve">European Centre for the Development of Vocational Training </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18</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17</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17</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15</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European Police College</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9</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9</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9</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18</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European Chemicals Agency</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33</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37</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37</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02</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European Centre for Disease Prevention and Control</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60</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59</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59</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17</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 xml:space="preserve">European Monitoring Centre for Drugs and Drug Addiction </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15</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16</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16</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18</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European Banking Authority</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34</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34</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34</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12</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European Insurance and Occupational Pensions Authority</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22</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22</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22</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12</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European Environment Agency</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43</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53</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52</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07</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European Police office</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84</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85</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85</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18</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European Securities and Markets Authority</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33</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32</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32</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12</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Community Fisheries Control Agency</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9</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9</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9</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11</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European Food Safety Authority</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80</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80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80</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17</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European Institute for gender equality</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7</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7</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7</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04</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Galileo Supervisory Authority</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25</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358</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358</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06</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Fusion for energy ITER</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551</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551</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551</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08</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The European Union's Judicial Cooperation Unit (</w:t>
            </w:r>
            <w:proofErr w:type="spellStart"/>
            <w:r>
              <w:rPr>
                <w:rFonts w:eastAsia="Verdana" w:cs="Verdana"/>
                <w:lang w:bidi="en-GB"/>
              </w:rPr>
              <w:t>Eurojust</w:t>
            </w:r>
            <w:proofErr w:type="spellEnd"/>
            <w:r>
              <w:rPr>
                <w:rFonts w:eastAsia="Verdana" w:cs="Verdana"/>
                <w:lang w:bidi="en-GB"/>
              </w:rPr>
              <w:t xml:space="preserve">) </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34</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34</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34</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33</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proofErr w:type="spellStart"/>
            <w:r>
              <w:rPr>
                <w:rFonts w:eastAsia="Verdana" w:cs="Verdana"/>
                <w:lang w:bidi="en-GB"/>
              </w:rPr>
              <w:t>eu.LISA</w:t>
            </w:r>
            <w:proofErr w:type="spellEnd"/>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65</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57</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57</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18</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European Maritime Safety Agency</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58</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58</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58</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06</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Office for Harmonisation in the Internal Market</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194</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196</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196</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12</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European Medicines Agency</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282</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311</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272</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39</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02</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European Network and Information Security Agency</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10</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10</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09</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Office for the body of European Regulators for Electronic Communications BEREC</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4</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4</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4</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09</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 xml:space="preserve">European Union Agency for Fundamental Rights </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21</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21</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21</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18</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European Railway Safety Agency</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26</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26</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26</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06</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European Agency for Safety and Health at Work</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15</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15</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15</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04</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 xml:space="preserve">European Institute of Innovation and Technology </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175</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167</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167</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15</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Translations Centre for the bodies of the EU</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56</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48</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47</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15</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European Training Foundation</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20</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21</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21</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15</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 xml:space="preserve">Community Plant Variety Office </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15</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13</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13</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17</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European foundation for improvement of living &amp; working conditions</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21</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21</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21</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04</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 xml:space="preserve">Education, </w:t>
            </w:r>
            <w:proofErr w:type="spellStart"/>
            <w:r>
              <w:rPr>
                <w:rFonts w:eastAsia="Verdana" w:cs="Verdana"/>
                <w:lang w:bidi="en-GB"/>
              </w:rPr>
              <w:t>Audiovisual</w:t>
            </w:r>
            <w:proofErr w:type="spellEnd"/>
            <w:r>
              <w:rPr>
                <w:rFonts w:eastAsia="Verdana" w:cs="Verdana"/>
                <w:lang w:bidi="en-GB"/>
              </w:rPr>
              <w:t xml:space="preserve"> and Culture Executive Agency</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47</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47</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47</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15</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Executive Agency for Competitiveness and Innovation</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24</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25</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25</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06</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European Research Council Executive Agency</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36</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36</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36</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08</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Research Executive Agency</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52</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52</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52</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08</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Executive Agency for Health and Consumers</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7</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7</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7</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17</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lang w:bidi="en-GB"/>
              </w:rPr>
            </w:pPr>
            <w:r>
              <w:rPr>
                <w:rFonts w:eastAsia="Verdana" w:cs="Verdana"/>
                <w:lang w:bidi="en-GB"/>
              </w:rPr>
              <w:t>European Transport Network Executive Agency</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13</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14</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14</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lang w:bidi="en-GB"/>
              </w:rPr>
            </w:pPr>
            <w:r>
              <w:rPr>
                <w:rFonts w:eastAsia="Verdana" w:cs="Verdana"/>
                <w:lang w:bidi="en-GB"/>
              </w:rPr>
              <w:t>06</w:t>
            </w:r>
          </w:p>
        </w:tc>
      </w:tr>
      <w:tr w:rsidR="00E7728E">
        <w:tc>
          <w:tcPr>
            <w:tcW w:w="3510"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8pBoldLeft"/>
              <w:rPr>
                <w:rFonts w:eastAsia="Verdana" w:cs="Verdana"/>
                <w:lang w:bidi="en-GB"/>
              </w:rPr>
            </w:pP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lang w:bidi="en-GB"/>
              </w:rPr>
            </w:pPr>
            <w:r>
              <w:rPr>
                <w:rFonts w:eastAsia="Verdana" w:cs="Verdana"/>
                <w:lang w:bidi="en-GB"/>
              </w:rPr>
              <w:t>2 486</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lang w:bidi="en-GB"/>
              </w:rPr>
            </w:pPr>
            <w:r>
              <w:rPr>
                <w:rFonts w:eastAsia="Verdana" w:cs="Verdana"/>
                <w:lang w:bidi="en-GB"/>
              </w:rPr>
              <w:t>2 809</w:t>
            </w: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lang w:bidi="en-GB"/>
              </w:rPr>
            </w:pPr>
            <w:r>
              <w:rPr>
                <w:rFonts w:eastAsia="Verdana" w:cs="Verdana"/>
                <w:lang w:bidi="en-GB"/>
              </w:rPr>
              <w:t>2 759</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lang w:bidi="en-GB"/>
              </w:rPr>
            </w:pPr>
            <w:r>
              <w:rPr>
                <w:rFonts w:eastAsia="Verdana" w:cs="Verdana"/>
                <w:lang w:bidi="en-GB"/>
              </w:rPr>
              <w:t xml:space="preserve"> 50</w:t>
            </w: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8pBoldRight025"/>
              <w:rPr>
                <w:rFonts w:eastAsia="Verdana" w:cs="Verdana"/>
                <w:lang w:bidi="en-GB"/>
              </w:rPr>
            </w:pPr>
          </w:p>
        </w:tc>
      </w:tr>
    </w:tbl>
    <w:p w:rsidR="00F50689" w:rsidRDefault="00F50689" w:rsidP="00F50689">
      <w:pPr>
        <w:pStyle w:val="Textstand-alone"/>
        <w:rPr>
          <w:lang w:bidi="en-GB"/>
        </w:rPr>
      </w:pPr>
    </w:p>
    <w:p w:rsidR="00F50689" w:rsidRDefault="00F50689" w:rsidP="00F50689">
      <w:pPr>
        <w:pStyle w:val="Textstand-alone"/>
      </w:pPr>
    </w:p>
    <w:p w:rsidR="00F50689" w:rsidRDefault="00F50689" w:rsidP="00F50689">
      <w:pPr>
        <w:pStyle w:val="Textstand-alone"/>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rsidR="00E7728E">
        <w:tc>
          <w:tcPr>
            <w:tcW w:w="379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lang w:bidi="en-GB"/>
              </w:rPr>
            </w:pPr>
            <w:bookmarkStart w:id="297" w:name="DOC_TBL00116_1_1"/>
            <w:bookmarkEnd w:id="297"/>
          </w:p>
        </w:tc>
        <w:tc>
          <w:tcPr>
            <w:tcW w:w="148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48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41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lang w:bidi="en-GB"/>
              </w:rPr>
            </w:pPr>
            <w:r>
              <w:rPr>
                <w:rFonts w:eastAsia="Verdana" w:cs="Verdana"/>
                <w:lang w:bidi="en-GB"/>
              </w:rPr>
              <w:t>EUR millions</w:t>
            </w:r>
          </w:p>
        </w:tc>
      </w:tr>
      <w:tr w:rsidR="00E7728E">
        <w:tc>
          <w:tcPr>
            <w:tcW w:w="3794"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Left"/>
              <w:rPr>
                <w:rFonts w:eastAsia="Verdana" w:cs="Verdana"/>
                <w:lang w:bidi="en-GB"/>
              </w:rPr>
            </w:pPr>
            <w:r>
              <w:rPr>
                <w:rFonts w:eastAsia="Verdana" w:cs="Verdana"/>
                <w:lang w:bidi="en-GB"/>
              </w:rPr>
              <w:t>Type of revenue</w:t>
            </w:r>
          </w:p>
        </w:tc>
        <w:tc>
          <w:tcPr>
            <w:tcW w:w="148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lang w:bidi="en-GB"/>
              </w:rPr>
            </w:pPr>
            <w:r>
              <w:rPr>
                <w:rFonts w:eastAsia="Verdana" w:cs="Verdana"/>
                <w:lang w:bidi="en-GB"/>
              </w:rPr>
              <w:t>Final adopted budget</w:t>
            </w:r>
          </w:p>
        </w:tc>
        <w:tc>
          <w:tcPr>
            <w:tcW w:w="148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lang w:bidi="en-GB"/>
              </w:rPr>
            </w:pPr>
            <w:r>
              <w:rPr>
                <w:rFonts w:eastAsia="Verdana" w:cs="Verdana"/>
                <w:lang w:bidi="en-GB"/>
              </w:rPr>
              <w:t>Entitlements established</w:t>
            </w:r>
          </w:p>
        </w:tc>
        <w:tc>
          <w:tcPr>
            <w:tcW w:w="141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lang w:bidi="en-GB"/>
              </w:rPr>
            </w:pPr>
            <w:r>
              <w:rPr>
                <w:rFonts w:eastAsia="Verdana" w:cs="Verdana"/>
                <w:lang w:bidi="en-GB"/>
              </w:rPr>
              <w:t>Amounts received</w:t>
            </w:r>
          </w:p>
        </w:tc>
        <w:tc>
          <w:tcPr>
            <w:tcW w:w="155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lang w:bidi="en-GB"/>
              </w:rPr>
            </w:pPr>
            <w:r>
              <w:rPr>
                <w:rFonts w:eastAsia="Verdana" w:cs="Verdana"/>
                <w:lang w:bidi="en-GB"/>
              </w:rPr>
              <w:t>Outstanding</w:t>
            </w:r>
          </w:p>
        </w:tc>
      </w:tr>
      <w:tr w:rsidR="00E7728E">
        <w:tc>
          <w:tcPr>
            <w:tcW w:w="379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Commission Subsidy</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1 593</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1 566</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1 565</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0</w:t>
            </w:r>
          </w:p>
        </w:tc>
      </w:tr>
      <w:tr w:rsidR="00E7728E">
        <w:tc>
          <w:tcPr>
            <w:tcW w:w="379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Fee income</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557</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603</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558</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45</w:t>
            </w:r>
          </w:p>
        </w:tc>
      </w:tr>
      <w:tr w:rsidR="00E7728E">
        <w:tc>
          <w:tcPr>
            <w:tcW w:w="379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Other income</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335</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640</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635</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5</w:t>
            </w:r>
          </w:p>
        </w:tc>
      </w:tr>
      <w:tr w:rsidR="00E7728E">
        <w:tc>
          <w:tcPr>
            <w:tcW w:w="3794"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BoldLeft"/>
              <w:rPr>
                <w:rFonts w:eastAsia="Verdana" w:cs="Verdana"/>
                <w:lang w:bidi="en-GB"/>
              </w:rPr>
            </w:pP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lang w:bidi="en-GB"/>
              </w:rPr>
            </w:pPr>
            <w:r>
              <w:rPr>
                <w:rFonts w:eastAsia="Verdana" w:cs="Verdana"/>
                <w:lang w:bidi="en-GB"/>
              </w:rPr>
              <w:t>2 486</w:t>
            </w: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lang w:bidi="en-GB"/>
              </w:rPr>
            </w:pPr>
            <w:r>
              <w:rPr>
                <w:rFonts w:eastAsia="Verdana" w:cs="Verdana"/>
                <w:lang w:bidi="en-GB"/>
              </w:rPr>
              <w:t>2 809</w:t>
            </w:r>
          </w:p>
        </w:tc>
        <w:tc>
          <w:tcPr>
            <w:tcW w:w="141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lang w:bidi="en-GB"/>
              </w:rPr>
            </w:pPr>
            <w:r>
              <w:rPr>
                <w:rFonts w:eastAsia="Verdana" w:cs="Verdana"/>
                <w:lang w:bidi="en-GB"/>
              </w:rPr>
              <w:t>2 759</w:t>
            </w:r>
          </w:p>
        </w:tc>
        <w:tc>
          <w:tcPr>
            <w:tcW w:w="155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lang w:bidi="en-GB"/>
              </w:rPr>
            </w:pPr>
            <w:r>
              <w:rPr>
                <w:rFonts w:eastAsia="Verdana" w:cs="Verdana"/>
                <w:lang w:bidi="en-GB"/>
              </w:rPr>
              <w:t xml:space="preserve"> 50</w:t>
            </w:r>
          </w:p>
        </w:tc>
      </w:tr>
    </w:tbl>
    <w:p w:rsidR="00F50689" w:rsidRDefault="005A36C4" w:rsidP="00F50689">
      <w:pPr>
        <w:pStyle w:val="Textstand-alone"/>
        <w:sectPr w:rsidR="00F50689" w:rsidSect="00F50689">
          <w:headerReference w:type="even" r:id="rId599"/>
          <w:headerReference w:type="default" r:id="rId600"/>
          <w:footerReference w:type="even" r:id="rId601"/>
          <w:footerReference w:type="default" r:id="rId602"/>
          <w:headerReference w:type="first" r:id="rId603"/>
          <w:footerReference w:type="first" r:id="rId604"/>
          <w:pgSz w:w="11906" w:h="16838"/>
          <w:pgMar w:top="1134" w:right="1134" w:bottom="1134" w:left="1134" w:header="709" w:footer="709" w:gutter="0"/>
          <w:cols w:space="708"/>
          <w:docGrid w:linePitch="360"/>
        </w:sectPr>
      </w:pPr>
      <w:r>
        <w:t xml:space="preserve"> </w:t>
      </w:r>
      <w:bookmarkEnd w:id="295"/>
    </w:p>
    <w:p w:rsidR="00BD5073" w:rsidRDefault="00BD5073">
      <w:pPr>
        <w:rPr>
          <w:rFonts w:ascii="Verdana" w:hAnsi="Verdana"/>
          <w:b/>
          <w:noProof/>
          <w:snapToGrid w:val="0"/>
          <w:color w:val="016794"/>
          <w:sz w:val="28"/>
          <w:szCs w:val="30"/>
        </w:rPr>
      </w:pPr>
      <w:bookmarkStart w:id="298" w:name="_Toc424653758"/>
      <w:bookmarkStart w:id="299" w:name="_DMBM_3451"/>
      <w:r>
        <w:rPr>
          <w:snapToGrid w:val="0"/>
        </w:rPr>
        <w:br w:type="page"/>
      </w:r>
    </w:p>
    <w:p w:rsidR="00F50689" w:rsidRPr="002C1CBD" w:rsidRDefault="005A36C4" w:rsidP="00F50689">
      <w:pPr>
        <w:pStyle w:val="HEADER2Part3"/>
        <w:spacing w:before="0" w:after="0"/>
      </w:pPr>
      <w:r>
        <w:rPr>
          <w:snapToGrid w:val="0"/>
        </w:rPr>
        <w:t>COMMITMENT &amp; PAYMENT APPROPRIATIONS BY AGENCY</w:t>
      </w:r>
      <w:bookmarkEnd w:id="298"/>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134"/>
        <w:gridCol w:w="992"/>
        <w:gridCol w:w="992"/>
        <w:gridCol w:w="1134"/>
        <w:gridCol w:w="992"/>
        <w:gridCol w:w="993"/>
      </w:tblGrid>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F50689" w:rsidP="00F50689">
            <w:pPr>
              <w:pStyle w:val="Text8pItalicLeft"/>
              <w:rPr>
                <w:rFonts w:eastAsia="Verdana" w:cs="Verdana"/>
                <w:color w:val="FFFFFF"/>
                <w:lang w:bidi="en-GB"/>
              </w:rPr>
            </w:pPr>
            <w:bookmarkStart w:id="300" w:name="DOC_TBL00117_1_1"/>
            <w:bookmarkEnd w:id="300"/>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F50689" w:rsidP="00F50689">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F50689" w:rsidP="00F50689">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F50689" w:rsidP="00F50689">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F50689" w:rsidP="00F50689">
            <w:pPr>
              <w:pStyle w:val="Text8pItalicRight025EUR"/>
              <w:rPr>
                <w:rFonts w:eastAsia="Verdana" w:cs="Verdana"/>
                <w:i w:val="0"/>
                <w:lang w:bidi="en-GB"/>
              </w:rPr>
            </w:pPr>
          </w:p>
        </w:tc>
        <w:tc>
          <w:tcPr>
            <w:tcW w:w="1985" w:type="dxa"/>
            <w:gridSpan w:val="2"/>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ItalicRight025EUR"/>
              <w:rPr>
                <w:rFonts w:eastAsia="Verdana" w:cs="Verdana"/>
                <w:lang w:bidi="en-GB"/>
              </w:rPr>
            </w:pPr>
            <w:r w:rsidRPr="00461783">
              <w:rPr>
                <w:rFonts w:eastAsia="Verdana" w:cs="Verdana"/>
                <w:lang w:bidi="en-GB"/>
              </w:rPr>
              <w:t>EUR millions</w:t>
            </w:r>
          </w:p>
        </w:tc>
      </w:tr>
      <w:tr w:rsidR="00E7728E">
        <w:tc>
          <w:tcPr>
            <w:tcW w:w="3369" w:type="dxa"/>
            <w:tcBorders>
              <w:top w:val="nil"/>
              <w:left w:val="nil"/>
              <w:bottom w:val="nil"/>
              <w:right w:val="nil"/>
            </w:tcBorders>
            <w:shd w:val="clear" w:color="auto" w:fill="016794"/>
            <w:tcMar>
              <w:top w:w="0" w:type="dxa"/>
              <w:left w:w="0" w:type="dxa"/>
              <w:bottom w:w="0" w:type="dxa"/>
              <w:right w:w="0" w:type="dxa"/>
            </w:tcMar>
          </w:tcPr>
          <w:p w:rsidR="00F50689" w:rsidRPr="00461783" w:rsidRDefault="005A36C4" w:rsidP="00F50689">
            <w:pPr>
              <w:pStyle w:val="Heading10pNormalCentered"/>
              <w:rPr>
                <w:rFonts w:eastAsia="Verdana" w:cs="Verdana"/>
                <w:lang w:bidi="en-GB"/>
              </w:rPr>
            </w:pPr>
            <w:r w:rsidRPr="00461783">
              <w:rPr>
                <w:rFonts w:eastAsia="Verdana" w:cs="Verdana"/>
                <w:lang w:bidi="en-GB"/>
              </w:rPr>
              <w:t>Agency</w:t>
            </w:r>
          </w:p>
        </w:tc>
        <w:tc>
          <w:tcPr>
            <w:tcW w:w="3118" w:type="dxa"/>
            <w:gridSpan w:val="3"/>
            <w:tcBorders>
              <w:top w:val="nil"/>
              <w:left w:val="nil"/>
              <w:bottom w:val="nil"/>
              <w:right w:val="nil"/>
            </w:tcBorders>
            <w:shd w:val="clear" w:color="auto" w:fill="016794"/>
            <w:tcMar>
              <w:top w:w="0" w:type="dxa"/>
              <w:left w:w="0" w:type="dxa"/>
              <w:bottom w:w="0" w:type="dxa"/>
              <w:right w:w="0" w:type="dxa"/>
            </w:tcMar>
          </w:tcPr>
          <w:p w:rsidR="00F50689" w:rsidRPr="00461783" w:rsidRDefault="005A36C4" w:rsidP="00F50689">
            <w:pPr>
              <w:pStyle w:val="Heading10pNormalCentered"/>
              <w:rPr>
                <w:rFonts w:eastAsia="Verdana" w:cs="Verdana"/>
                <w:lang w:bidi="en-GB"/>
              </w:rPr>
            </w:pPr>
            <w:r w:rsidRPr="00461783">
              <w:rPr>
                <w:rFonts w:eastAsia="Verdana" w:cs="Verdana"/>
                <w:lang w:bidi="en-GB"/>
              </w:rPr>
              <w:t>Commitment appropriations</w:t>
            </w:r>
          </w:p>
        </w:tc>
        <w:tc>
          <w:tcPr>
            <w:tcW w:w="3119" w:type="dxa"/>
            <w:gridSpan w:val="3"/>
            <w:tcBorders>
              <w:top w:val="nil"/>
              <w:left w:val="nil"/>
              <w:bottom w:val="nil"/>
              <w:right w:val="nil"/>
            </w:tcBorders>
            <w:shd w:val="clear" w:color="auto" w:fill="016794"/>
            <w:tcMar>
              <w:top w:w="0" w:type="dxa"/>
              <w:left w:w="0" w:type="dxa"/>
              <w:bottom w:w="0" w:type="dxa"/>
              <w:right w:w="0" w:type="dxa"/>
            </w:tcMar>
          </w:tcPr>
          <w:p w:rsidR="00F50689" w:rsidRPr="00461783" w:rsidRDefault="005A36C4" w:rsidP="00F50689">
            <w:pPr>
              <w:pStyle w:val="Heading10pNormalCentered"/>
              <w:rPr>
                <w:rFonts w:eastAsia="Verdana" w:cs="Verdana"/>
                <w:lang w:bidi="en-GB"/>
              </w:rPr>
            </w:pPr>
            <w:r w:rsidRPr="00461783">
              <w:rPr>
                <w:rFonts w:eastAsia="Verdana" w:cs="Verdana"/>
                <w:lang w:bidi="en-GB"/>
              </w:rPr>
              <w:t>Payment appropriations</w:t>
            </w:r>
          </w:p>
        </w:tc>
      </w:tr>
      <w:tr w:rsidR="00E7728E">
        <w:tc>
          <w:tcPr>
            <w:tcW w:w="3369" w:type="dxa"/>
            <w:tcBorders>
              <w:top w:val="nil"/>
              <w:left w:val="nil"/>
              <w:bottom w:val="nil"/>
              <w:right w:val="nil"/>
            </w:tcBorders>
            <w:shd w:val="clear" w:color="auto" w:fill="016794"/>
            <w:tcMar>
              <w:top w:w="0" w:type="dxa"/>
              <w:left w:w="0" w:type="dxa"/>
              <w:bottom w:w="0" w:type="dxa"/>
              <w:right w:w="0" w:type="dxa"/>
            </w:tcMar>
          </w:tcPr>
          <w:p w:rsidR="00F50689" w:rsidRPr="00461783" w:rsidRDefault="00F50689" w:rsidP="00F50689">
            <w:pPr>
              <w:pStyle w:val="Heading10pNormalCentered"/>
              <w:rPr>
                <w:rFonts w:eastAsia="Verdana" w:cs="Verdana"/>
                <w:lang w:bidi="en-GB"/>
              </w:rPr>
            </w:pPr>
          </w:p>
        </w:tc>
        <w:tc>
          <w:tcPr>
            <w:tcW w:w="1134" w:type="dxa"/>
            <w:tcBorders>
              <w:top w:val="nil"/>
              <w:left w:val="nil"/>
              <w:bottom w:val="nil"/>
              <w:right w:val="nil"/>
            </w:tcBorders>
            <w:shd w:val="clear" w:color="auto" w:fill="3486A9"/>
            <w:tcMar>
              <w:top w:w="0" w:type="dxa"/>
              <w:left w:w="0" w:type="dxa"/>
              <w:bottom w:w="0" w:type="dxa"/>
              <w:right w:w="0" w:type="dxa"/>
            </w:tcMar>
          </w:tcPr>
          <w:p w:rsidR="00F50689" w:rsidRPr="00461783" w:rsidRDefault="005A36C4" w:rsidP="00F50689">
            <w:pPr>
              <w:pStyle w:val="Heading9pNormalRight01"/>
              <w:rPr>
                <w:rFonts w:eastAsia="Verdana" w:cs="Verdana"/>
                <w:lang w:bidi="en-GB"/>
              </w:rPr>
            </w:pPr>
            <w:r w:rsidRPr="00461783">
              <w:rPr>
                <w:rFonts w:eastAsia="Verdana" w:cs="Verdana"/>
                <w:lang w:bidi="en-GB"/>
              </w:rPr>
              <w:t>Total appropriations available</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Pr="00461783" w:rsidRDefault="005A36C4" w:rsidP="00F50689">
            <w:pPr>
              <w:pStyle w:val="Heading9pNormalRight01"/>
              <w:rPr>
                <w:rFonts w:eastAsia="Verdana" w:cs="Verdana"/>
                <w:lang w:bidi="en-GB"/>
              </w:rPr>
            </w:pPr>
            <w:r w:rsidRPr="00461783">
              <w:rPr>
                <w:rFonts w:eastAsia="Verdana" w:cs="Verdana"/>
                <w:lang w:bidi="en-GB"/>
              </w:rPr>
              <w:t>Commit-</w:t>
            </w:r>
            <w:proofErr w:type="spellStart"/>
            <w:r w:rsidRPr="00461783">
              <w:rPr>
                <w:rFonts w:eastAsia="Verdana" w:cs="Verdana"/>
                <w:lang w:bidi="en-GB"/>
              </w:rPr>
              <w:t>ments</w:t>
            </w:r>
            <w:proofErr w:type="spellEnd"/>
            <w:r w:rsidRPr="00461783">
              <w:rPr>
                <w:rFonts w:eastAsia="Verdana" w:cs="Verdana"/>
                <w:lang w:bidi="en-GB"/>
              </w:rPr>
              <w:t xml:space="preserve"> made</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Pr="00461783" w:rsidRDefault="005A36C4" w:rsidP="00F50689">
            <w:pPr>
              <w:pStyle w:val="Heading9pNormalRight01"/>
              <w:rPr>
                <w:rFonts w:eastAsia="Verdana" w:cs="Verdana"/>
                <w:lang w:bidi="en-GB"/>
              </w:rPr>
            </w:pPr>
            <w:r w:rsidRPr="00461783">
              <w:rPr>
                <w:rFonts w:eastAsia="Verdana" w:cs="Verdana"/>
                <w:lang w:bidi="en-GB"/>
              </w:rPr>
              <w:t>Carried to 2015</w:t>
            </w:r>
          </w:p>
        </w:tc>
        <w:tc>
          <w:tcPr>
            <w:tcW w:w="1134" w:type="dxa"/>
            <w:tcBorders>
              <w:top w:val="nil"/>
              <w:left w:val="nil"/>
              <w:bottom w:val="nil"/>
              <w:right w:val="nil"/>
            </w:tcBorders>
            <w:shd w:val="clear" w:color="auto" w:fill="3486A9"/>
            <w:tcMar>
              <w:top w:w="0" w:type="dxa"/>
              <w:left w:w="0" w:type="dxa"/>
              <w:bottom w:w="0" w:type="dxa"/>
              <w:right w:w="0" w:type="dxa"/>
            </w:tcMar>
          </w:tcPr>
          <w:p w:rsidR="00F50689" w:rsidRPr="00461783" w:rsidRDefault="005A36C4" w:rsidP="00F50689">
            <w:pPr>
              <w:pStyle w:val="Heading9pNormalRight01"/>
              <w:rPr>
                <w:rFonts w:eastAsia="Verdana" w:cs="Verdana"/>
                <w:lang w:bidi="en-GB"/>
              </w:rPr>
            </w:pPr>
            <w:r w:rsidRPr="00461783">
              <w:rPr>
                <w:rFonts w:eastAsia="Verdana" w:cs="Verdana"/>
                <w:lang w:bidi="en-GB"/>
              </w:rPr>
              <w:t>Total appropriations available</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Pr="00461783" w:rsidRDefault="005A36C4" w:rsidP="00F50689">
            <w:pPr>
              <w:pStyle w:val="Heading9pNormalRight01"/>
              <w:rPr>
                <w:rFonts w:eastAsia="Verdana" w:cs="Verdana"/>
                <w:lang w:bidi="en-GB"/>
              </w:rPr>
            </w:pPr>
            <w:r w:rsidRPr="00461783">
              <w:rPr>
                <w:rFonts w:eastAsia="Verdana" w:cs="Verdana"/>
                <w:lang w:bidi="en-GB"/>
              </w:rPr>
              <w:t>Payments made</w:t>
            </w:r>
          </w:p>
        </w:tc>
        <w:tc>
          <w:tcPr>
            <w:tcW w:w="993" w:type="dxa"/>
            <w:tcBorders>
              <w:top w:val="nil"/>
              <w:left w:val="nil"/>
              <w:bottom w:val="nil"/>
              <w:right w:val="nil"/>
            </w:tcBorders>
            <w:shd w:val="clear" w:color="auto" w:fill="3486A9"/>
            <w:tcMar>
              <w:top w:w="0" w:type="dxa"/>
              <w:left w:w="0" w:type="dxa"/>
              <w:bottom w:w="0" w:type="dxa"/>
              <w:right w:w="0" w:type="dxa"/>
            </w:tcMar>
          </w:tcPr>
          <w:p w:rsidR="00F50689" w:rsidRPr="00461783" w:rsidRDefault="005A36C4" w:rsidP="00F50689">
            <w:pPr>
              <w:pStyle w:val="Heading9pNormalRight01"/>
              <w:rPr>
                <w:rFonts w:eastAsia="Verdana" w:cs="Verdana"/>
                <w:lang w:bidi="en-GB"/>
              </w:rPr>
            </w:pPr>
            <w:r w:rsidRPr="00461783">
              <w:rPr>
                <w:rFonts w:eastAsia="Verdana" w:cs="Verdana"/>
                <w:lang w:bidi="en-GB"/>
              </w:rPr>
              <w:t>Carried to 2015</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lang w:bidi="en-GB"/>
              </w:rPr>
            </w:pPr>
            <w:r w:rsidRPr="00461783">
              <w:rPr>
                <w:rFonts w:eastAsia="Verdana" w:cs="Verdana"/>
                <w:lang w:bidi="en-GB"/>
              </w:rPr>
              <w:t>European Agency for the Cooperation of Energy Regulators</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13</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3</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lang w:bidi="en-GB"/>
              </w:rPr>
            </w:pPr>
            <w:r w:rsidRPr="00461783">
              <w:rPr>
                <w:rFonts w:eastAsia="Verdana" w:cs="Verdana"/>
                <w:lang w:bidi="en-GB"/>
              </w:rPr>
              <w:t>European Asylum Support Office</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11</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2</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lang w:bidi="en-GB"/>
              </w:rPr>
            </w:pPr>
            <w:r w:rsidRPr="00461783">
              <w:rPr>
                <w:rFonts w:eastAsia="Verdana" w:cs="Verdana"/>
                <w:lang w:bidi="en-GB"/>
              </w:rPr>
              <w:t>European Aviation Safety Agency</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184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136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45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191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125</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63</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lang w:bidi="en-GB"/>
              </w:rPr>
            </w:pPr>
            <w:proofErr w:type="spellStart"/>
            <w:r w:rsidRPr="00461783">
              <w:rPr>
                <w:rFonts w:eastAsia="Verdana" w:cs="Verdana"/>
                <w:lang w:bidi="en-GB"/>
              </w:rPr>
              <w:t>Frontex</w:t>
            </w:r>
            <w:proofErr w:type="spellEnd"/>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99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97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130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94</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33</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lang w:bidi="en-GB"/>
              </w:rPr>
            </w:pPr>
            <w:r w:rsidRPr="00461783">
              <w:rPr>
                <w:rFonts w:eastAsia="Verdana" w:cs="Verdana"/>
                <w:lang w:bidi="en-GB"/>
              </w:rPr>
              <w:t xml:space="preserve">European Centre for the Development of Vocational Training </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20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17</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2</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lang w:bidi="en-GB"/>
              </w:rPr>
            </w:pPr>
            <w:r w:rsidRPr="00461783">
              <w:rPr>
                <w:rFonts w:eastAsia="Verdana" w:cs="Verdana"/>
                <w:lang w:bidi="en-GB"/>
              </w:rPr>
              <w:t>European Police College</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8</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2</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lang w:bidi="en-GB"/>
              </w:rPr>
            </w:pPr>
            <w:r w:rsidRPr="00461783">
              <w:rPr>
                <w:rFonts w:eastAsia="Verdana" w:cs="Verdana"/>
                <w:lang w:bidi="en-GB"/>
              </w:rPr>
              <w:t>European Chemicals Agency</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115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111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127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112</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11</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lang w:bidi="en-GB"/>
              </w:rPr>
            </w:pPr>
            <w:r w:rsidRPr="00461783">
              <w:rPr>
                <w:rFonts w:eastAsia="Verdana" w:cs="Verdana"/>
                <w:lang w:bidi="en-GB"/>
              </w:rPr>
              <w:t>European Centre for Disease Prevention and Control</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61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61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72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59</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12</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lang w:bidi="en-GB"/>
              </w:rPr>
            </w:pPr>
            <w:r w:rsidRPr="00461783">
              <w:rPr>
                <w:rFonts w:eastAsia="Verdana" w:cs="Verdana"/>
                <w:lang w:bidi="en-GB"/>
              </w:rPr>
              <w:t xml:space="preserve">European Monitoring Centre for Drugs and Drug Addiction </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15</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lang w:bidi="en-GB"/>
              </w:rPr>
            </w:pPr>
            <w:r w:rsidRPr="00461783">
              <w:rPr>
                <w:rFonts w:eastAsia="Verdana" w:cs="Verdana"/>
                <w:lang w:bidi="en-GB"/>
              </w:rPr>
              <w:t>European Banking Authority</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34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34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38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32</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5</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lang w:bidi="en-GB"/>
              </w:rPr>
            </w:pPr>
            <w:r w:rsidRPr="00461783">
              <w:rPr>
                <w:rFonts w:eastAsia="Verdana" w:cs="Verdana"/>
                <w:lang w:bidi="en-GB"/>
              </w:rPr>
              <w:t>European Insurance and Occupational Pensions Authority</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22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22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27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21</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6</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lang w:bidi="en-GB"/>
              </w:rPr>
            </w:pPr>
            <w:r w:rsidRPr="00461783">
              <w:rPr>
                <w:rFonts w:eastAsia="Verdana" w:cs="Verdana"/>
                <w:lang w:bidi="en-GB"/>
              </w:rPr>
              <w:t>European Environment Agency</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66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59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70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48</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22</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lang w:bidi="en-GB"/>
              </w:rPr>
            </w:pPr>
            <w:r w:rsidRPr="00461783">
              <w:rPr>
                <w:rFonts w:eastAsia="Verdana" w:cs="Verdana"/>
                <w:lang w:bidi="en-GB"/>
              </w:rPr>
              <w:t>European Police office</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86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85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95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86</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6</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lang w:bidi="en-GB"/>
              </w:rPr>
            </w:pPr>
            <w:r w:rsidRPr="00461783">
              <w:rPr>
                <w:rFonts w:eastAsia="Verdana" w:cs="Verdana"/>
                <w:lang w:bidi="en-GB"/>
              </w:rPr>
              <w:t>European Securities and Markets Authority</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33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33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39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32</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6</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lang w:bidi="en-GB"/>
              </w:rPr>
            </w:pPr>
            <w:r w:rsidRPr="00461783">
              <w:rPr>
                <w:rFonts w:eastAsia="Verdana" w:cs="Verdana"/>
                <w:lang w:bidi="en-GB"/>
              </w:rPr>
              <w:t>Community Fisheries Control Agency</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9</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lang w:bidi="en-GB"/>
              </w:rPr>
            </w:pPr>
            <w:r w:rsidRPr="00461783">
              <w:rPr>
                <w:rFonts w:eastAsia="Verdana" w:cs="Verdana"/>
                <w:lang w:bidi="en-GB"/>
              </w:rPr>
              <w:t>European Food Safety Authority</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80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80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87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78</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8</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lang w:bidi="en-GB"/>
              </w:rPr>
            </w:pPr>
            <w:r w:rsidRPr="00461783">
              <w:rPr>
                <w:rFonts w:eastAsia="Verdana" w:cs="Verdana"/>
                <w:lang w:bidi="en-GB"/>
              </w:rPr>
              <w:t>European Institute for gender equality</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8</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2</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lang w:bidi="en-GB"/>
              </w:rPr>
            </w:pPr>
            <w:r w:rsidRPr="00461783">
              <w:rPr>
                <w:rFonts w:eastAsia="Verdana" w:cs="Verdana"/>
                <w:lang w:bidi="en-GB"/>
              </w:rPr>
              <w:t>Galileo Supervisory Authority</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2 095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693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1 402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407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150</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257</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lang w:bidi="en-GB"/>
              </w:rPr>
            </w:pPr>
            <w:r w:rsidRPr="00461783">
              <w:rPr>
                <w:rFonts w:eastAsia="Verdana" w:cs="Verdana"/>
                <w:lang w:bidi="en-GB"/>
              </w:rPr>
              <w:t>Fusion for energy ITER</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1 169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1 169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573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507</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38</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lang w:bidi="en-GB"/>
              </w:rPr>
            </w:pPr>
            <w:r w:rsidRPr="00461783">
              <w:rPr>
                <w:rFonts w:eastAsia="Verdana" w:cs="Verdana"/>
                <w:lang w:bidi="en-GB"/>
              </w:rPr>
              <w:t>The European Union's Judicial Cooperation Unit (</w:t>
            </w:r>
            <w:proofErr w:type="spellStart"/>
            <w:r w:rsidRPr="00461783">
              <w:rPr>
                <w:rFonts w:eastAsia="Verdana" w:cs="Verdana"/>
                <w:lang w:bidi="en-GB"/>
              </w:rPr>
              <w:t>Eurojust</w:t>
            </w:r>
            <w:proofErr w:type="spellEnd"/>
            <w:r w:rsidRPr="00461783">
              <w:rPr>
                <w:rFonts w:eastAsia="Verdana" w:cs="Verdana"/>
                <w:lang w:bidi="en-GB"/>
              </w:rPr>
              <w:t xml:space="preserve">) </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34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34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39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34</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4</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lang w:bidi="en-GB"/>
              </w:rPr>
            </w:pPr>
            <w:proofErr w:type="spellStart"/>
            <w:r w:rsidRPr="00461783">
              <w:rPr>
                <w:rFonts w:eastAsia="Verdana" w:cs="Verdana"/>
                <w:lang w:bidi="en-GB"/>
              </w:rPr>
              <w:t>eu.LISA</w:t>
            </w:r>
            <w:proofErr w:type="spellEnd"/>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59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49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72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54</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15</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lang w:bidi="en-GB"/>
              </w:rPr>
            </w:pPr>
            <w:r w:rsidRPr="00461783">
              <w:rPr>
                <w:rFonts w:eastAsia="Verdana" w:cs="Verdana"/>
                <w:lang w:bidi="en-GB"/>
              </w:rPr>
              <w:t>European Maritime Safety Agency</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60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56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61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53</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5</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lang w:bidi="en-GB"/>
              </w:rPr>
            </w:pPr>
            <w:r w:rsidRPr="00461783">
              <w:rPr>
                <w:rFonts w:eastAsia="Verdana" w:cs="Verdana"/>
                <w:lang w:bidi="en-GB"/>
              </w:rPr>
              <w:t>Office for Harmonisation in the Internal Market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420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246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458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239</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40</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lang w:bidi="en-GB"/>
              </w:rPr>
            </w:pPr>
            <w:r w:rsidRPr="00461783">
              <w:rPr>
                <w:rFonts w:eastAsia="Verdana" w:cs="Verdana"/>
                <w:lang w:bidi="en-GB"/>
              </w:rPr>
              <w:t>European Medicines Agency</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282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266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316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251</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47</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lang w:bidi="en-GB"/>
              </w:rPr>
            </w:pPr>
            <w:r w:rsidRPr="00461783">
              <w:rPr>
                <w:rFonts w:eastAsia="Verdana" w:cs="Verdana"/>
                <w:lang w:bidi="en-GB"/>
              </w:rPr>
              <w:t>European Network and Information Security Agency</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10</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lang w:bidi="en-GB"/>
              </w:rPr>
            </w:pPr>
            <w:r w:rsidRPr="00461783">
              <w:rPr>
                <w:rFonts w:eastAsia="Verdana" w:cs="Verdana"/>
                <w:lang w:bidi="en-GB"/>
              </w:rPr>
              <w:t>Office for the body of European Regulators for Electronic Communications BEREC</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4</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lang w:bidi="en-GB"/>
              </w:rPr>
            </w:pPr>
            <w:r w:rsidRPr="00461783">
              <w:rPr>
                <w:rFonts w:eastAsia="Verdana" w:cs="Verdana"/>
                <w:lang w:bidi="en-GB"/>
              </w:rPr>
              <w:t xml:space="preserve">European Union Agency for Fundamental Rights </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22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22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28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21</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7</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lang w:bidi="en-GB"/>
              </w:rPr>
            </w:pPr>
            <w:r w:rsidRPr="00461783">
              <w:rPr>
                <w:rFonts w:eastAsia="Verdana" w:cs="Verdana"/>
                <w:lang w:bidi="en-GB"/>
              </w:rPr>
              <w:t>European Railway Safety Agency</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26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25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28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24</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3</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lang w:bidi="en-GB"/>
              </w:rPr>
            </w:pPr>
            <w:r w:rsidRPr="00461783">
              <w:rPr>
                <w:rFonts w:eastAsia="Verdana" w:cs="Verdana"/>
                <w:lang w:bidi="en-GB"/>
              </w:rPr>
              <w:t>European Agency for Safety and Health at Work</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22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16</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5</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lang w:bidi="en-GB"/>
              </w:rPr>
            </w:pPr>
            <w:r w:rsidRPr="00461783">
              <w:rPr>
                <w:rFonts w:eastAsia="Verdana" w:cs="Verdana"/>
                <w:lang w:bidi="en-GB"/>
              </w:rPr>
              <w:t xml:space="preserve">European Institute of Innovation and Technology </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236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223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179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165</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2</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lang w:bidi="en-GB"/>
              </w:rPr>
            </w:pPr>
            <w:r w:rsidRPr="00461783">
              <w:rPr>
                <w:rFonts w:eastAsia="Verdana" w:cs="Verdana"/>
                <w:lang w:bidi="en-GB"/>
              </w:rPr>
              <w:t>Translations Centre for the bodies of the EU</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56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45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59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43</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4</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lang w:bidi="en-GB"/>
              </w:rPr>
            </w:pPr>
            <w:r w:rsidRPr="00461783">
              <w:rPr>
                <w:rFonts w:eastAsia="Verdana" w:cs="Verdana"/>
                <w:lang w:bidi="en-GB"/>
              </w:rPr>
              <w:t>European Training Foundation</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23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22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23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21</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2</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lang w:bidi="en-GB"/>
              </w:rPr>
            </w:pPr>
            <w:r w:rsidRPr="00461783">
              <w:rPr>
                <w:rFonts w:eastAsia="Verdana" w:cs="Verdana"/>
                <w:lang w:bidi="en-GB"/>
              </w:rPr>
              <w:t xml:space="preserve">Community Plant Variety Office </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13</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0</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lang w:bidi="en-GB"/>
              </w:rPr>
            </w:pPr>
            <w:r w:rsidRPr="00461783">
              <w:rPr>
                <w:rFonts w:eastAsia="Verdana" w:cs="Verdana"/>
                <w:lang w:bidi="en-GB"/>
              </w:rPr>
              <w:t>European foundation for improvement of living &amp; working conditions</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22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21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26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21</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5</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lang w:bidi="en-GB"/>
              </w:rPr>
            </w:pPr>
            <w:r w:rsidRPr="00461783">
              <w:rPr>
                <w:rFonts w:eastAsia="Verdana" w:cs="Verdana"/>
                <w:lang w:bidi="en-GB"/>
              </w:rPr>
              <w:t xml:space="preserve">Education, </w:t>
            </w:r>
            <w:proofErr w:type="spellStart"/>
            <w:r w:rsidRPr="00461783">
              <w:rPr>
                <w:rFonts w:eastAsia="Verdana" w:cs="Verdana"/>
                <w:lang w:bidi="en-GB"/>
              </w:rPr>
              <w:t>Audiovisual</w:t>
            </w:r>
            <w:proofErr w:type="spellEnd"/>
            <w:r w:rsidRPr="00461783">
              <w:rPr>
                <w:rFonts w:eastAsia="Verdana" w:cs="Verdana"/>
                <w:lang w:bidi="en-GB"/>
              </w:rPr>
              <w:t xml:space="preserve"> and Culture Executive Agency</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47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46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52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46</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6</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lang w:bidi="en-GB"/>
              </w:rPr>
            </w:pPr>
            <w:r w:rsidRPr="00461783">
              <w:rPr>
                <w:rFonts w:eastAsia="Verdana" w:cs="Verdana"/>
                <w:lang w:bidi="en-GB"/>
              </w:rPr>
              <w:t>Executive Agency for Competitiveness and Innovation</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24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22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26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20</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4</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lang w:bidi="en-GB"/>
              </w:rPr>
            </w:pPr>
            <w:r w:rsidRPr="00461783">
              <w:rPr>
                <w:rFonts w:eastAsia="Verdana" w:cs="Verdana"/>
                <w:lang w:bidi="en-GB"/>
              </w:rPr>
              <w:t>European Research Council Executive Agency</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36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36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38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36</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2</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lang w:bidi="en-GB"/>
              </w:rPr>
            </w:pPr>
            <w:r w:rsidRPr="00461783">
              <w:rPr>
                <w:rFonts w:eastAsia="Verdana" w:cs="Verdana"/>
                <w:lang w:bidi="en-GB"/>
              </w:rPr>
              <w:t>Research Executive Agency</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52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51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54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50</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4</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lang w:bidi="en-GB"/>
              </w:rPr>
            </w:pPr>
            <w:r w:rsidRPr="00461783">
              <w:rPr>
                <w:rFonts w:eastAsia="Verdana" w:cs="Verdana"/>
                <w:lang w:bidi="en-GB"/>
              </w:rPr>
              <w:t>Executive Agency for Health and Consumers</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7</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w:t>
            </w:r>
          </w:p>
        </w:tc>
      </w:tr>
      <w:tr w:rsidR="00E7728E" w:rsidTr="00BD5073">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lang w:bidi="en-GB"/>
              </w:rPr>
            </w:pPr>
            <w:r w:rsidRPr="00461783">
              <w:rPr>
                <w:rFonts w:eastAsia="Verdana" w:cs="Verdana"/>
                <w:lang w:bidi="en-GB"/>
              </w:rPr>
              <w:t>European Transport Network Executive Agency</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12</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lang w:bidi="en-GB"/>
              </w:rPr>
            </w:pPr>
            <w:r w:rsidRPr="00461783">
              <w:rPr>
                <w:rFonts w:eastAsia="Verdana" w:cs="Verdana"/>
                <w:lang w:bidi="en-GB"/>
              </w:rPr>
              <w:t xml:space="preserve"> 1</w:t>
            </w:r>
          </w:p>
        </w:tc>
      </w:tr>
      <w:tr w:rsidR="00E7728E" w:rsidTr="00BD5073">
        <w:tc>
          <w:tcPr>
            <w:tcW w:w="3369" w:type="dxa"/>
            <w:tcBorders>
              <w:top w:val="nil"/>
              <w:left w:val="nil"/>
              <w:bottom w:val="nil"/>
              <w:right w:val="nil"/>
            </w:tcBorders>
            <w:shd w:val="clear" w:color="auto" w:fill="CCE1EA"/>
            <w:tcMar>
              <w:top w:w="0" w:type="dxa"/>
              <w:left w:w="0" w:type="dxa"/>
              <w:bottom w:w="0" w:type="dxa"/>
              <w:right w:w="0" w:type="dxa"/>
            </w:tcMar>
          </w:tcPr>
          <w:p w:rsidR="00F50689" w:rsidRPr="00461783" w:rsidRDefault="00F50689" w:rsidP="00F50689">
            <w:pPr>
              <w:pStyle w:val="Heading7pBoldLeft"/>
              <w:rPr>
                <w:rFonts w:eastAsia="Verdana" w:cs="Verdana"/>
                <w:lang w:bidi="en-GB"/>
              </w:rPr>
            </w:pP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Pr="00461783" w:rsidRDefault="005A36C4" w:rsidP="00F50689">
            <w:pPr>
              <w:pStyle w:val="Figures8pBoldRight025"/>
              <w:rPr>
                <w:rFonts w:eastAsia="Verdana" w:cs="Verdana"/>
                <w:lang w:bidi="en-GB"/>
              </w:rPr>
            </w:pPr>
            <w:r w:rsidRPr="00461783">
              <w:rPr>
                <w:rFonts w:eastAsia="Verdana" w:cs="Verdana"/>
                <w:lang w:bidi="en-GB"/>
              </w:rPr>
              <w:t>5 600</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Pr="00461783" w:rsidRDefault="005A36C4" w:rsidP="00F50689">
            <w:pPr>
              <w:pStyle w:val="Figures8pBoldRight025"/>
              <w:rPr>
                <w:rFonts w:eastAsia="Verdana" w:cs="Verdana"/>
                <w:lang w:bidi="en-GB"/>
              </w:rPr>
            </w:pPr>
            <w:r w:rsidRPr="00461783">
              <w:rPr>
                <w:rFonts w:eastAsia="Verdana" w:cs="Verdana"/>
                <w:lang w:bidi="en-GB"/>
              </w:rPr>
              <w:t>3 890</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Pr="00461783" w:rsidRDefault="005A36C4" w:rsidP="00F50689">
            <w:pPr>
              <w:pStyle w:val="Figures8pBoldRight025"/>
              <w:rPr>
                <w:rFonts w:eastAsia="Verdana" w:cs="Verdana"/>
                <w:lang w:bidi="en-GB"/>
              </w:rPr>
            </w:pPr>
            <w:r w:rsidRPr="00461783">
              <w:rPr>
                <w:rFonts w:eastAsia="Verdana" w:cs="Verdana"/>
                <w:lang w:bidi="en-GB"/>
              </w:rPr>
              <w:t>1 481</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Pr="00461783" w:rsidRDefault="005A36C4" w:rsidP="00F50689">
            <w:pPr>
              <w:pStyle w:val="Figures8pBoldRight025"/>
              <w:rPr>
                <w:rFonts w:eastAsia="Verdana" w:cs="Verdana"/>
                <w:lang w:bidi="en-GB"/>
              </w:rPr>
            </w:pPr>
            <w:r w:rsidRPr="00461783">
              <w:rPr>
                <w:rFonts w:eastAsia="Verdana" w:cs="Verdana"/>
                <w:lang w:bidi="en-GB"/>
              </w:rPr>
              <w:t>3 488</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Pr="00461783" w:rsidRDefault="005A36C4" w:rsidP="00F50689">
            <w:pPr>
              <w:pStyle w:val="Figures8pBoldRight025"/>
              <w:rPr>
                <w:rFonts w:eastAsia="Verdana" w:cs="Verdana"/>
                <w:lang w:bidi="en-GB"/>
              </w:rPr>
            </w:pPr>
            <w:r w:rsidRPr="00461783">
              <w:rPr>
                <w:rFonts w:eastAsia="Verdana" w:cs="Verdana"/>
                <w:lang w:bidi="en-GB"/>
              </w:rPr>
              <w:t>2 563</w:t>
            </w:r>
          </w:p>
        </w:tc>
        <w:tc>
          <w:tcPr>
            <w:tcW w:w="993" w:type="dxa"/>
            <w:tcBorders>
              <w:top w:val="nil"/>
              <w:left w:val="nil"/>
              <w:bottom w:val="nil"/>
              <w:right w:val="nil"/>
            </w:tcBorders>
            <w:shd w:val="clear" w:color="auto" w:fill="CCE1EA"/>
            <w:tcMar>
              <w:top w:w="0" w:type="dxa"/>
              <w:left w:w="0" w:type="dxa"/>
              <w:bottom w:w="0" w:type="dxa"/>
              <w:right w:w="0" w:type="dxa"/>
            </w:tcMar>
          </w:tcPr>
          <w:p w:rsidR="00F50689" w:rsidRPr="00461783" w:rsidRDefault="005A36C4" w:rsidP="00F50689">
            <w:pPr>
              <w:pStyle w:val="Figures8pBoldRight025"/>
              <w:rPr>
                <w:rFonts w:eastAsia="Verdana" w:cs="Verdana"/>
                <w:lang w:bidi="en-GB"/>
              </w:rPr>
            </w:pPr>
            <w:r w:rsidRPr="00461783">
              <w:rPr>
                <w:rFonts w:eastAsia="Verdana" w:cs="Verdana"/>
                <w:lang w:bidi="en-GB"/>
              </w:rPr>
              <w:t xml:space="preserve"> 638</w:t>
            </w:r>
          </w:p>
        </w:tc>
      </w:tr>
    </w:tbl>
    <w:p w:rsidR="00F50689" w:rsidRPr="00461783" w:rsidRDefault="00F50689" w:rsidP="00F50689">
      <w:pPr>
        <w:pStyle w:val="Textstand-alone"/>
        <w:spacing w:after="0"/>
        <w:rPr>
          <w:lang w:bidi="en-G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993"/>
        <w:gridCol w:w="992"/>
        <w:gridCol w:w="992"/>
        <w:gridCol w:w="992"/>
        <w:gridCol w:w="1134"/>
        <w:gridCol w:w="993"/>
      </w:tblGrid>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lang w:bidi="en-GB"/>
              </w:rPr>
            </w:pPr>
            <w:bookmarkStart w:id="301" w:name="DOC_TBL00118_1_1"/>
            <w:bookmarkEnd w:id="301"/>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lang w:bidi="en-GB"/>
              </w:rPr>
            </w:pPr>
          </w:p>
        </w:tc>
        <w:tc>
          <w:tcPr>
            <w:tcW w:w="2127" w:type="dxa"/>
            <w:gridSpan w:val="2"/>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lang w:bidi="en-GB"/>
              </w:rPr>
            </w:pPr>
            <w:r>
              <w:rPr>
                <w:rFonts w:eastAsia="Verdana" w:cs="Verdana"/>
                <w:lang w:bidi="en-GB"/>
              </w:rPr>
              <w:t>EUR millions</w:t>
            </w:r>
          </w:p>
        </w:tc>
      </w:tr>
      <w:tr w:rsidR="00E7728E">
        <w:tc>
          <w:tcPr>
            <w:tcW w:w="351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Centered"/>
              <w:rPr>
                <w:rFonts w:eastAsia="Verdana" w:cs="Verdana"/>
                <w:lang w:bidi="en-GB"/>
              </w:rPr>
            </w:pPr>
            <w:r>
              <w:rPr>
                <w:rFonts w:eastAsia="Verdana" w:cs="Verdana"/>
                <w:lang w:bidi="en-GB"/>
              </w:rPr>
              <w:t>Type of expenditure</w:t>
            </w:r>
          </w:p>
        </w:tc>
        <w:tc>
          <w:tcPr>
            <w:tcW w:w="2977" w:type="dxa"/>
            <w:gridSpan w:val="3"/>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Centered"/>
              <w:rPr>
                <w:rFonts w:eastAsia="Verdana" w:cs="Verdana"/>
                <w:lang w:bidi="en-GB"/>
              </w:rPr>
            </w:pPr>
            <w:r>
              <w:rPr>
                <w:rFonts w:eastAsia="Verdana" w:cs="Verdana"/>
                <w:lang w:bidi="en-GB"/>
              </w:rPr>
              <w:t>Commitment appropriations</w:t>
            </w:r>
          </w:p>
        </w:tc>
        <w:tc>
          <w:tcPr>
            <w:tcW w:w="3119" w:type="dxa"/>
            <w:gridSpan w:val="3"/>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Centered"/>
              <w:rPr>
                <w:rFonts w:eastAsia="Verdana" w:cs="Verdana"/>
                <w:lang w:bidi="en-GB"/>
              </w:rPr>
            </w:pPr>
            <w:r>
              <w:rPr>
                <w:rFonts w:eastAsia="Verdana" w:cs="Verdana"/>
                <w:lang w:bidi="en-GB"/>
              </w:rPr>
              <w:t>Payment appropriations</w:t>
            </w:r>
          </w:p>
        </w:tc>
      </w:tr>
      <w:tr w:rsidR="00E7728E">
        <w:tc>
          <w:tcPr>
            <w:tcW w:w="351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Centered"/>
              <w:rPr>
                <w:rFonts w:eastAsia="Verdana" w:cs="Verdana"/>
                <w:lang w:bidi="en-GB"/>
              </w:rPr>
            </w:pPr>
          </w:p>
        </w:tc>
        <w:tc>
          <w:tcPr>
            <w:tcW w:w="993"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1"/>
              <w:rPr>
                <w:rFonts w:eastAsia="Verdana" w:cs="Verdana"/>
                <w:lang w:bidi="en-GB"/>
              </w:rPr>
            </w:pPr>
            <w:r>
              <w:rPr>
                <w:rFonts w:eastAsia="Verdana" w:cs="Verdana"/>
                <w:lang w:bidi="en-GB"/>
              </w:rPr>
              <w:t>Total appropriations available</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1"/>
              <w:rPr>
                <w:rFonts w:eastAsia="Verdana" w:cs="Verdana"/>
                <w:lang w:bidi="en-GB"/>
              </w:rPr>
            </w:pPr>
            <w:r>
              <w:rPr>
                <w:rFonts w:eastAsia="Verdana" w:cs="Verdana"/>
                <w:lang w:bidi="en-GB"/>
              </w:rPr>
              <w:t>Commit-</w:t>
            </w:r>
            <w:proofErr w:type="spellStart"/>
            <w:r>
              <w:rPr>
                <w:rFonts w:eastAsia="Verdana" w:cs="Verdana"/>
                <w:lang w:bidi="en-GB"/>
              </w:rPr>
              <w:t>ments</w:t>
            </w:r>
            <w:proofErr w:type="spellEnd"/>
            <w:r>
              <w:rPr>
                <w:rFonts w:eastAsia="Verdana" w:cs="Verdana"/>
                <w:lang w:bidi="en-GB"/>
              </w:rPr>
              <w:t xml:space="preserve"> made</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1"/>
              <w:rPr>
                <w:rFonts w:eastAsia="Verdana" w:cs="Verdana"/>
                <w:lang w:bidi="en-GB"/>
              </w:rPr>
            </w:pPr>
            <w:r>
              <w:rPr>
                <w:rFonts w:eastAsia="Verdana" w:cs="Verdana"/>
                <w:lang w:bidi="en-GB"/>
              </w:rPr>
              <w:t>Carried to 2015</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1"/>
              <w:rPr>
                <w:rFonts w:eastAsia="Verdana" w:cs="Verdana"/>
                <w:lang w:bidi="en-GB"/>
              </w:rPr>
            </w:pPr>
            <w:r>
              <w:rPr>
                <w:rFonts w:eastAsia="Verdana" w:cs="Verdana"/>
                <w:lang w:bidi="en-GB"/>
              </w:rPr>
              <w:t>Total appropriations available</w:t>
            </w:r>
          </w:p>
        </w:tc>
        <w:tc>
          <w:tcPr>
            <w:tcW w:w="1134"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1"/>
              <w:rPr>
                <w:rFonts w:eastAsia="Verdana" w:cs="Verdana"/>
                <w:lang w:bidi="en-GB"/>
              </w:rPr>
            </w:pPr>
            <w:r>
              <w:rPr>
                <w:rFonts w:eastAsia="Verdana" w:cs="Verdana"/>
                <w:lang w:bidi="en-GB"/>
              </w:rPr>
              <w:t>Payments made</w:t>
            </w:r>
          </w:p>
        </w:tc>
        <w:tc>
          <w:tcPr>
            <w:tcW w:w="993"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1"/>
              <w:rPr>
                <w:rFonts w:eastAsia="Verdana" w:cs="Verdana"/>
                <w:lang w:bidi="en-GB"/>
              </w:rPr>
            </w:pPr>
            <w:r>
              <w:rPr>
                <w:rFonts w:eastAsia="Verdana" w:cs="Verdana"/>
                <w:lang w:bidi="en-GB"/>
              </w:rPr>
              <w:t>Carried to 2015</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Staff</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941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914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955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909</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17</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Administrative expenses</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387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363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11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465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346</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99</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lang w:bidi="en-GB"/>
              </w:rPr>
            </w:pPr>
            <w:r>
              <w:rPr>
                <w:rFonts w:eastAsia="Verdana" w:cs="Verdana"/>
                <w:lang w:bidi="en-GB"/>
              </w:rPr>
              <w:t>Operational expenses</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4 272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2 613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1 469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2 067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1 309</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lang w:bidi="en-GB"/>
              </w:rPr>
            </w:pPr>
            <w:r>
              <w:rPr>
                <w:rFonts w:eastAsia="Verdana" w:cs="Verdana"/>
                <w:lang w:bidi="en-GB"/>
              </w:rPr>
              <w:t xml:space="preserve"> 522</w:t>
            </w:r>
          </w:p>
        </w:tc>
      </w:tr>
      <w:tr w:rsidR="00E7728E">
        <w:tc>
          <w:tcPr>
            <w:tcW w:w="3510"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BoldLeft"/>
              <w:rPr>
                <w:rFonts w:eastAsia="Verdana" w:cs="Verdana"/>
                <w:lang w:bidi="en-GB"/>
              </w:rPr>
            </w:pPr>
          </w:p>
        </w:tc>
        <w:tc>
          <w:tcPr>
            <w:tcW w:w="99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lang w:bidi="en-GB"/>
              </w:rPr>
            </w:pPr>
            <w:r>
              <w:rPr>
                <w:rFonts w:eastAsia="Verdana" w:cs="Verdana"/>
                <w:lang w:bidi="en-GB"/>
              </w:rPr>
              <w:t>5 600</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lang w:bidi="en-GB"/>
              </w:rPr>
            </w:pPr>
            <w:r>
              <w:rPr>
                <w:rFonts w:eastAsia="Verdana" w:cs="Verdana"/>
                <w:lang w:bidi="en-GB"/>
              </w:rPr>
              <w:t>3 890</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lang w:bidi="en-GB"/>
              </w:rPr>
            </w:pPr>
            <w:r>
              <w:rPr>
                <w:rFonts w:eastAsia="Verdana" w:cs="Verdana"/>
                <w:lang w:bidi="en-GB"/>
              </w:rPr>
              <w:t>1 481</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lang w:bidi="en-GB"/>
              </w:rPr>
            </w:pPr>
            <w:r>
              <w:rPr>
                <w:rFonts w:eastAsia="Verdana" w:cs="Verdana"/>
                <w:lang w:bidi="en-GB"/>
              </w:rPr>
              <w:t>3 488</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lang w:bidi="en-GB"/>
              </w:rPr>
            </w:pPr>
            <w:r>
              <w:rPr>
                <w:rFonts w:eastAsia="Verdana" w:cs="Verdana"/>
                <w:lang w:bidi="en-GB"/>
              </w:rPr>
              <w:t>2 563</w:t>
            </w:r>
          </w:p>
        </w:tc>
        <w:tc>
          <w:tcPr>
            <w:tcW w:w="99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lang w:bidi="en-GB"/>
              </w:rPr>
            </w:pPr>
            <w:r>
              <w:rPr>
                <w:rFonts w:eastAsia="Verdana" w:cs="Verdana"/>
                <w:lang w:bidi="en-GB"/>
              </w:rPr>
              <w:t xml:space="preserve"> 638</w:t>
            </w:r>
          </w:p>
        </w:tc>
      </w:tr>
    </w:tbl>
    <w:p w:rsidR="00F50689" w:rsidRDefault="005A36C4" w:rsidP="00F50689">
      <w:pPr>
        <w:pStyle w:val="Textstand-alone"/>
        <w:sectPr w:rsidR="00F50689" w:rsidSect="00F50689">
          <w:headerReference w:type="even" r:id="rId605"/>
          <w:headerReference w:type="default" r:id="rId606"/>
          <w:footerReference w:type="even" r:id="rId607"/>
          <w:footerReference w:type="default" r:id="rId608"/>
          <w:headerReference w:type="first" r:id="rId609"/>
          <w:footerReference w:type="first" r:id="rId610"/>
          <w:type w:val="continuous"/>
          <w:pgSz w:w="11906" w:h="16838"/>
          <w:pgMar w:top="1134" w:right="1134" w:bottom="1134" w:left="1134" w:header="709" w:footer="709" w:gutter="0"/>
          <w:cols w:space="708"/>
          <w:docGrid w:linePitch="360"/>
        </w:sectPr>
      </w:pPr>
      <w:r>
        <w:t xml:space="preserve"> </w:t>
      </w:r>
      <w:bookmarkEnd w:id="299"/>
    </w:p>
    <w:p w:rsidR="00F50689" w:rsidRPr="001E5789" w:rsidRDefault="005A36C4" w:rsidP="00F50689">
      <w:pPr>
        <w:pStyle w:val="HEADER2Part3"/>
      </w:pPr>
      <w:bookmarkStart w:id="302" w:name="_Toc424653759"/>
      <w:bookmarkStart w:id="303" w:name="_DMBM_3453"/>
      <w:r w:rsidRPr="009E4A03">
        <w:rPr>
          <w:snapToGrid w:val="0"/>
        </w:rPr>
        <w:t xml:space="preserve">BUDGET </w:t>
      </w:r>
      <w:r>
        <w:rPr>
          <w:snapToGrid w:val="0"/>
        </w:rPr>
        <w:t>RESULT</w:t>
      </w:r>
      <w:r w:rsidRPr="009E4A03">
        <w:rPr>
          <w:snapToGrid w:val="0"/>
        </w:rPr>
        <w:t xml:space="preserve"> INCLUDING AGENCIES</w:t>
      </w:r>
      <w:bookmarkEnd w:id="302"/>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rsidR="00E7728E">
        <w:tc>
          <w:tcPr>
            <w:tcW w:w="3794" w:type="dxa"/>
            <w:tcBorders>
              <w:top w:val="nil"/>
              <w:left w:val="nil"/>
              <w:bottom w:val="nil"/>
              <w:right w:val="nil"/>
            </w:tcBorders>
            <w:shd w:val="clear" w:color="auto" w:fill="auto"/>
            <w:tcMar>
              <w:top w:w="0" w:type="dxa"/>
              <w:left w:w="0" w:type="dxa"/>
              <w:bottom w:w="0" w:type="dxa"/>
              <w:right w:w="0" w:type="dxa"/>
            </w:tcMar>
          </w:tcPr>
          <w:p w:rsidR="00F50689" w:rsidRPr="001E5789" w:rsidRDefault="00F50689" w:rsidP="00F50689">
            <w:pPr>
              <w:pStyle w:val="Text8pItalicLeft"/>
              <w:rPr>
                <w:rFonts w:eastAsia="Verdana" w:cs="Verdana"/>
                <w:color w:val="FFFFFF"/>
                <w:lang w:bidi="en-GB"/>
              </w:rPr>
            </w:pPr>
            <w:bookmarkStart w:id="304" w:name="DOC_TBL00119_1_1"/>
            <w:bookmarkEnd w:id="304"/>
          </w:p>
        </w:tc>
        <w:tc>
          <w:tcPr>
            <w:tcW w:w="1488" w:type="dxa"/>
            <w:tcBorders>
              <w:top w:val="nil"/>
              <w:left w:val="nil"/>
              <w:bottom w:val="nil"/>
              <w:right w:val="nil"/>
            </w:tcBorders>
            <w:shd w:val="clear" w:color="auto" w:fill="auto"/>
            <w:tcMar>
              <w:top w:w="0" w:type="dxa"/>
              <w:left w:w="0" w:type="dxa"/>
              <w:bottom w:w="0" w:type="dxa"/>
              <w:right w:w="0" w:type="dxa"/>
            </w:tcMar>
          </w:tcPr>
          <w:p w:rsidR="00F50689" w:rsidRPr="001E5789" w:rsidRDefault="00F50689" w:rsidP="00F50689">
            <w:pPr>
              <w:pStyle w:val="Text8pItalicRight025EUR"/>
              <w:rPr>
                <w:rFonts w:eastAsia="Verdana" w:cs="Verdana"/>
                <w:i w:val="0"/>
                <w:lang w:bidi="en-GB"/>
              </w:rPr>
            </w:pPr>
          </w:p>
        </w:tc>
        <w:tc>
          <w:tcPr>
            <w:tcW w:w="1488" w:type="dxa"/>
            <w:tcBorders>
              <w:top w:val="nil"/>
              <w:left w:val="nil"/>
              <w:bottom w:val="nil"/>
              <w:right w:val="nil"/>
            </w:tcBorders>
            <w:shd w:val="clear" w:color="auto" w:fill="auto"/>
            <w:tcMar>
              <w:top w:w="0" w:type="dxa"/>
              <w:left w:w="0" w:type="dxa"/>
              <w:bottom w:w="0" w:type="dxa"/>
              <w:right w:w="0" w:type="dxa"/>
            </w:tcMar>
          </w:tcPr>
          <w:p w:rsidR="00F50689" w:rsidRPr="001E5789" w:rsidRDefault="00F50689" w:rsidP="00F50689">
            <w:pPr>
              <w:pStyle w:val="Text8pItalicRight025EUR"/>
              <w:rPr>
                <w:rFonts w:eastAsia="Verdana" w:cs="Verdana"/>
                <w:i w:val="0"/>
                <w:lang w:bidi="en-GB"/>
              </w:rPr>
            </w:pPr>
          </w:p>
        </w:tc>
        <w:tc>
          <w:tcPr>
            <w:tcW w:w="1418" w:type="dxa"/>
            <w:tcBorders>
              <w:top w:val="nil"/>
              <w:left w:val="nil"/>
              <w:bottom w:val="nil"/>
              <w:right w:val="nil"/>
            </w:tcBorders>
            <w:shd w:val="clear" w:color="auto" w:fill="auto"/>
            <w:tcMar>
              <w:top w:w="0" w:type="dxa"/>
              <w:left w:w="0" w:type="dxa"/>
              <w:bottom w:w="0" w:type="dxa"/>
              <w:right w:w="0" w:type="dxa"/>
            </w:tcMar>
          </w:tcPr>
          <w:p w:rsidR="00F50689" w:rsidRPr="001E5789" w:rsidRDefault="00F50689" w:rsidP="00F50689">
            <w:pPr>
              <w:pStyle w:val="Text8pItalicRight025EUR"/>
              <w:rPr>
                <w:rFonts w:eastAsia="Verdana" w:cs="Verdana"/>
                <w:i w:val="0"/>
                <w:lang w:bidi="en-GB"/>
              </w:rPr>
            </w:pPr>
          </w:p>
        </w:tc>
        <w:tc>
          <w:tcPr>
            <w:tcW w:w="1559"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Text8pItalicRight025EUR"/>
              <w:rPr>
                <w:rFonts w:eastAsia="Verdana" w:cs="Verdana"/>
                <w:lang w:bidi="en-GB"/>
              </w:rPr>
            </w:pPr>
            <w:r w:rsidRPr="001E5789">
              <w:rPr>
                <w:rFonts w:eastAsia="Verdana" w:cs="Verdana"/>
                <w:lang w:bidi="en-GB"/>
              </w:rPr>
              <w:t>EUR millions</w:t>
            </w:r>
          </w:p>
        </w:tc>
      </w:tr>
      <w:tr w:rsidR="00E7728E">
        <w:tc>
          <w:tcPr>
            <w:tcW w:w="3794" w:type="dxa"/>
            <w:tcBorders>
              <w:top w:val="nil"/>
              <w:left w:val="nil"/>
              <w:bottom w:val="nil"/>
              <w:right w:val="nil"/>
            </w:tcBorders>
            <w:shd w:val="clear" w:color="auto" w:fill="016794"/>
            <w:tcMar>
              <w:top w:w="0" w:type="dxa"/>
              <w:left w:w="0" w:type="dxa"/>
              <w:bottom w:w="0" w:type="dxa"/>
              <w:right w:w="0" w:type="dxa"/>
            </w:tcMar>
          </w:tcPr>
          <w:p w:rsidR="00F50689" w:rsidRPr="001E5789" w:rsidRDefault="00F50689" w:rsidP="00F50689">
            <w:pPr>
              <w:pStyle w:val="Heading10pNormalLeft"/>
              <w:rPr>
                <w:rFonts w:eastAsia="Verdana" w:cs="Verdana"/>
                <w:lang w:bidi="en-GB"/>
              </w:rPr>
            </w:pPr>
          </w:p>
        </w:tc>
        <w:tc>
          <w:tcPr>
            <w:tcW w:w="1488" w:type="dxa"/>
            <w:tcBorders>
              <w:top w:val="nil"/>
              <w:left w:val="nil"/>
              <w:bottom w:val="nil"/>
              <w:right w:val="nil"/>
            </w:tcBorders>
            <w:shd w:val="clear" w:color="auto" w:fill="016794"/>
            <w:tcMar>
              <w:top w:w="0" w:type="dxa"/>
              <w:left w:w="0" w:type="dxa"/>
              <w:bottom w:w="0" w:type="dxa"/>
              <w:right w:w="0" w:type="dxa"/>
            </w:tcMar>
          </w:tcPr>
          <w:p w:rsidR="00F50689" w:rsidRPr="001E5789" w:rsidRDefault="005A36C4" w:rsidP="00F50689">
            <w:pPr>
              <w:pStyle w:val="Heading10pNormalRight025"/>
              <w:rPr>
                <w:rFonts w:eastAsia="Verdana" w:cs="Verdana"/>
                <w:lang w:bidi="en-GB"/>
              </w:rPr>
            </w:pPr>
            <w:r w:rsidRPr="001E5789">
              <w:rPr>
                <w:rFonts w:eastAsia="Verdana" w:cs="Verdana"/>
                <w:lang w:bidi="en-GB"/>
              </w:rPr>
              <w:t>European Union</w:t>
            </w:r>
          </w:p>
        </w:tc>
        <w:tc>
          <w:tcPr>
            <w:tcW w:w="1488" w:type="dxa"/>
            <w:tcBorders>
              <w:top w:val="nil"/>
              <w:left w:val="nil"/>
              <w:bottom w:val="nil"/>
              <w:right w:val="nil"/>
            </w:tcBorders>
            <w:shd w:val="clear" w:color="auto" w:fill="016794"/>
            <w:tcMar>
              <w:top w:w="0" w:type="dxa"/>
              <w:left w:w="0" w:type="dxa"/>
              <w:bottom w:w="0" w:type="dxa"/>
              <w:right w:w="0" w:type="dxa"/>
            </w:tcMar>
          </w:tcPr>
          <w:p w:rsidR="00F50689" w:rsidRPr="001E5789" w:rsidRDefault="005A36C4" w:rsidP="00F50689">
            <w:pPr>
              <w:pStyle w:val="Heading10pNormalRight025"/>
              <w:rPr>
                <w:rFonts w:eastAsia="Verdana" w:cs="Verdana"/>
                <w:lang w:bidi="en-GB"/>
              </w:rPr>
            </w:pPr>
            <w:r w:rsidRPr="001E5789">
              <w:rPr>
                <w:rFonts w:eastAsia="Verdana" w:cs="Verdana"/>
                <w:lang w:bidi="en-GB"/>
              </w:rPr>
              <w:t>AGENCIES</w:t>
            </w:r>
          </w:p>
        </w:tc>
        <w:tc>
          <w:tcPr>
            <w:tcW w:w="1418" w:type="dxa"/>
            <w:tcBorders>
              <w:top w:val="nil"/>
              <w:left w:val="nil"/>
              <w:bottom w:val="nil"/>
              <w:right w:val="nil"/>
            </w:tcBorders>
            <w:shd w:val="clear" w:color="auto" w:fill="016794"/>
            <w:tcMar>
              <w:top w:w="0" w:type="dxa"/>
              <w:left w:w="0" w:type="dxa"/>
              <w:bottom w:w="0" w:type="dxa"/>
              <w:right w:w="0" w:type="dxa"/>
            </w:tcMar>
          </w:tcPr>
          <w:p w:rsidR="00F50689" w:rsidRPr="001E5789" w:rsidRDefault="005A36C4" w:rsidP="00F50689">
            <w:pPr>
              <w:pStyle w:val="Heading10pNormalRight025"/>
              <w:rPr>
                <w:rFonts w:eastAsia="Verdana" w:cs="Verdana"/>
                <w:lang w:bidi="en-GB"/>
              </w:rPr>
            </w:pPr>
            <w:r w:rsidRPr="001E5789">
              <w:rPr>
                <w:rFonts w:eastAsia="Verdana" w:cs="Verdana"/>
                <w:lang w:bidi="en-GB"/>
              </w:rPr>
              <w:t>Elimination of subsidies to agencies</w:t>
            </w:r>
          </w:p>
        </w:tc>
        <w:tc>
          <w:tcPr>
            <w:tcW w:w="1559" w:type="dxa"/>
            <w:tcBorders>
              <w:top w:val="nil"/>
              <w:left w:val="nil"/>
              <w:bottom w:val="nil"/>
              <w:right w:val="nil"/>
            </w:tcBorders>
            <w:shd w:val="clear" w:color="auto" w:fill="016794"/>
            <w:tcMar>
              <w:top w:w="0" w:type="dxa"/>
              <w:left w:w="0" w:type="dxa"/>
              <w:bottom w:w="0" w:type="dxa"/>
              <w:right w:w="0" w:type="dxa"/>
            </w:tcMar>
          </w:tcPr>
          <w:p w:rsidR="00F50689" w:rsidRPr="001E5789" w:rsidRDefault="005A36C4" w:rsidP="00F50689">
            <w:pPr>
              <w:pStyle w:val="Heading10pNormalRight025"/>
              <w:rPr>
                <w:rFonts w:eastAsia="Verdana" w:cs="Verdana"/>
                <w:lang w:bidi="en-GB"/>
              </w:rPr>
            </w:pPr>
            <w:r w:rsidRPr="001E5789">
              <w:rPr>
                <w:rFonts w:eastAsia="Verdana" w:cs="Verdana"/>
                <w:lang w:bidi="en-GB"/>
              </w:rPr>
              <w:t>TOTAL</w:t>
            </w:r>
          </w:p>
        </w:tc>
      </w:tr>
      <w:tr w:rsidR="00E7728E">
        <w:tc>
          <w:tcPr>
            <w:tcW w:w="3794"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Text9pNormalLeft"/>
              <w:rPr>
                <w:rFonts w:eastAsia="Verdana" w:cs="Verdana"/>
                <w:lang w:bidi="en-GB"/>
              </w:rPr>
            </w:pPr>
            <w:r w:rsidRPr="001E5789">
              <w:rPr>
                <w:rFonts w:eastAsia="Verdana" w:cs="Verdana"/>
                <w:lang w:bidi="en-GB"/>
              </w:rPr>
              <w:t>Revenue for the financial year</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lang w:bidi="en-GB"/>
              </w:rPr>
            </w:pPr>
            <w:r w:rsidRPr="001E5789">
              <w:rPr>
                <w:rFonts w:eastAsia="Verdana" w:cs="Verdana"/>
                <w:lang w:bidi="en-GB"/>
              </w:rPr>
              <w:t>143 940</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lang w:bidi="en-GB"/>
              </w:rPr>
            </w:pPr>
            <w:r w:rsidRPr="001E5789">
              <w:rPr>
                <w:rFonts w:eastAsia="Verdana" w:cs="Verdana"/>
                <w:lang w:bidi="en-GB"/>
              </w:rPr>
              <w:t>2 759</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lang w:bidi="en-GB"/>
              </w:rPr>
            </w:pPr>
            <w:r w:rsidRPr="001E5789">
              <w:rPr>
                <w:rFonts w:eastAsia="Verdana" w:cs="Verdana"/>
                <w:lang w:bidi="en-GB"/>
              </w:rPr>
              <w:t>(1 565)</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lang w:bidi="en-GB"/>
              </w:rPr>
            </w:pPr>
            <w:r w:rsidRPr="001E5789">
              <w:rPr>
                <w:rFonts w:eastAsia="Verdana" w:cs="Verdana"/>
                <w:lang w:bidi="en-GB"/>
              </w:rPr>
              <w:t>145 134</w:t>
            </w:r>
          </w:p>
        </w:tc>
      </w:tr>
      <w:tr w:rsidR="00E7728E">
        <w:tc>
          <w:tcPr>
            <w:tcW w:w="3794"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Text9pNormalLeft"/>
              <w:rPr>
                <w:rFonts w:eastAsia="Verdana" w:cs="Verdana"/>
                <w:lang w:bidi="en-GB"/>
              </w:rPr>
            </w:pPr>
            <w:r w:rsidRPr="001E5789">
              <w:rPr>
                <w:rFonts w:eastAsia="Verdana" w:cs="Verdana"/>
                <w:lang w:bidi="en-GB"/>
              </w:rPr>
              <w:t>Payments against current year's budget appropriations</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lang w:bidi="en-GB"/>
              </w:rPr>
            </w:pPr>
            <w:r w:rsidRPr="001E5789">
              <w:rPr>
                <w:rFonts w:eastAsia="Verdana" w:cs="Verdana"/>
                <w:lang w:bidi="en-GB"/>
              </w:rPr>
              <w:t>(137 136)</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lang w:bidi="en-GB"/>
              </w:rPr>
            </w:pPr>
            <w:r w:rsidRPr="001E5789">
              <w:rPr>
                <w:rFonts w:eastAsia="Verdana" w:cs="Verdana"/>
                <w:lang w:bidi="en-GB"/>
              </w:rPr>
              <w:t>(2 049)</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lang w:bidi="en-GB"/>
              </w:rPr>
            </w:pPr>
            <w:r w:rsidRPr="001E5789">
              <w:rPr>
                <w:rFonts w:eastAsia="Verdana" w:cs="Verdana"/>
                <w:lang w:bidi="en-GB"/>
              </w:rPr>
              <w:t>1 565</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lang w:bidi="en-GB"/>
              </w:rPr>
            </w:pPr>
            <w:r w:rsidRPr="001E5789">
              <w:rPr>
                <w:rFonts w:eastAsia="Verdana" w:cs="Verdana"/>
                <w:lang w:bidi="en-GB"/>
              </w:rPr>
              <w:t>(137 620)</w:t>
            </w:r>
          </w:p>
        </w:tc>
      </w:tr>
      <w:tr w:rsidR="00E7728E">
        <w:tc>
          <w:tcPr>
            <w:tcW w:w="3794"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Text9pNormalLeft"/>
              <w:rPr>
                <w:rFonts w:eastAsia="Verdana" w:cs="Verdana"/>
                <w:lang w:bidi="en-GB"/>
              </w:rPr>
            </w:pPr>
            <w:r w:rsidRPr="001E5789">
              <w:rPr>
                <w:rFonts w:eastAsia="Verdana" w:cs="Verdana"/>
                <w:lang w:bidi="en-GB"/>
              </w:rPr>
              <w:t>Payments against assigned revenue appropriations</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lang w:bidi="en-GB"/>
              </w:rPr>
            </w:pPr>
            <w:r w:rsidRPr="001E5789">
              <w:rPr>
                <w:rFonts w:eastAsia="Verdana" w:cs="Verdana"/>
                <w:lang w:bidi="en-GB"/>
              </w:rPr>
              <w:t>(4 057)</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lang w:bidi="en-GB"/>
              </w:rPr>
            </w:pPr>
            <w:r w:rsidRPr="001E5789">
              <w:rPr>
                <w:rFonts w:eastAsia="Verdana" w:cs="Verdana"/>
                <w:lang w:bidi="en-GB"/>
              </w:rPr>
              <w:t xml:space="preserve"> (300)</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lang w:bidi="en-GB"/>
              </w:rPr>
            </w:pPr>
            <w:r w:rsidRPr="001E5789">
              <w:rPr>
                <w:rFonts w:eastAsia="Verdana" w:cs="Verdana"/>
                <w:lang w:bidi="en-GB"/>
              </w:rPr>
              <w:t>–</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lang w:bidi="en-GB"/>
              </w:rPr>
            </w:pPr>
            <w:r w:rsidRPr="001E5789">
              <w:rPr>
                <w:rFonts w:eastAsia="Verdana" w:cs="Verdana"/>
                <w:lang w:bidi="en-GB"/>
              </w:rPr>
              <w:t>(4 357)</w:t>
            </w:r>
          </w:p>
        </w:tc>
      </w:tr>
      <w:tr w:rsidR="00E7728E">
        <w:tc>
          <w:tcPr>
            <w:tcW w:w="3794"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Text9pNormalLeft"/>
              <w:rPr>
                <w:rFonts w:eastAsia="Verdana" w:cs="Verdana"/>
                <w:lang w:bidi="en-GB"/>
              </w:rPr>
            </w:pPr>
            <w:r w:rsidRPr="001E5789">
              <w:rPr>
                <w:rFonts w:eastAsia="Verdana" w:cs="Verdana"/>
                <w:lang w:bidi="en-GB"/>
              </w:rPr>
              <w:t>Payment appropriations carried over to year N+1</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lang w:bidi="en-GB"/>
              </w:rPr>
            </w:pPr>
            <w:r w:rsidRPr="001E5789">
              <w:rPr>
                <w:rFonts w:eastAsia="Verdana" w:cs="Verdana"/>
                <w:lang w:bidi="en-GB"/>
              </w:rPr>
              <w:t>(1 787)</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lang w:bidi="en-GB"/>
              </w:rPr>
            </w:pPr>
            <w:r w:rsidRPr="001E5789">
              <w:rPr>
                <w:rFonts w:eastAsia="Verdana" w:cs="Verdana"/>
                <w:lang w:bidi="en-GB"/>
              </w:rPr>
              <w:t xml:space="preserve"> (402)</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lang w:bidi="en-GB"/>
              </w:rPr>
            </w:pPr>
            <w:r w:rsidRPr="001E5789">
              <w:rPr>
                <w:rFonts w:eastAsia="Verdana" w:cs="Verdana"/>
                <w:lang w:bidi="en-GB"/>
              </w:rPr>
              <w:t>–</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lang w:bidi="en-GB"/>
              </w:rPr>
            </w:pPr>
            <w:r w:rsidRPr="001E5789">
              <w:rPr>
                <w:rFonts w:eastAsia="Verdana" w:cs="Verdana"/>
                <w:lang w:bidi="en-GB"/>
              </w:rPr>
              <w:t>(2 189)</w:t>
            </w:r>
          </w:p>
        </w:tc>
      </w:tr>
      <w:tr w:rsidR="00E7728E">
        <w:tc>
          <w:tcPr>
            <w:tcW w:w="3794"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Text9pNormalLeft"/>
              <w:rPr>
                <w:rFonts w:eastAsia="Verdana" w:cs="Verdana"/>
                <w:lang w:bidi="en-GB"/>
              </w:rPr>
            </w:pPr>
            <w:r w:rsidRPr="001E5789">
              <w:rPr>
                <w:rFonts w:eastAsia="Verdana" w:cs="Verdana"/>
                <w:lang w:bidi="en-GB"/>
              </w:rPr>
              <w:t>Cancellation of unused appropriations carried over from year N-1</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lang w:bidi="en-GB"/>
              </w:rPr>
            </w:pPr>
            <w:r w:rsidRPr="001E5789">
              <w:rPr>
                <w:rFonts w:eastAsia="Verdana" w:cs="Verdana"/>
                <w:lang w:bidi="en-GB"/>
              </w:rPr>
              <w:t xml:space="preserve"> 25</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lang w:bidi="en-GB"/>
              </w:rPr>
            </w:pPr>
            <w:r w:rsidRPr="001E5789">
              <w:rPr>
                <w:rFonts w:eastAsia="Verdana" w:cs="Verdana"/>
                <w:lang w:bidi="en-GB"/>
              </w:rPr>
              <w:t xml:space="preserve"> 157</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lang w:bidi="en-GB"/>
              </w:rPr>
            </w:pPr>
            <w:r w:rsidRPr="001E5789">
              <w:rPr>
                <w:rFonts w:eastAsia="Verdana" w:cs="Verdana"/>
                <w:lang w:bidi="en-GB"/>
              </w:rPr>
              <w:t>–</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lang w:bidi="en-GB"/>
              </w:rPr>
            </w:pPr>
            <w:r w:rsidRPr="001E5789">
              <w:rPr>
                <w:rFonts w:eastAsia="Verdana" w:cs="Verdana"/>
                <w:lang w:bidi="en-GB"/>
              </w:rPr>
              <w:t xml:space="preserve"> 182</w:t>
            </w:r>
          </w:p>
        </w:tc>
      </w:tr>
      <w:tr w:rsidR="00E7728E">
        <w:tc>
          <w:tcPr>
            <w:tcW w:w="3794"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Text9pNormalLeft"/>
              <w:rPr>
                <w:rFonts w:eastAsia="Verdana" w:cs="Verdana"/>
                <w:lang w:bidi="en-GB"/>
              </w:rPr>
            </w:pPr>
            <w:r w:rsidRPr="001E5789">
              <w:rPr>
                <w:rFonts w:eastAsia="Verdana" w:cs="Verdana"/>
                <w:lang w:bidi="en-GB"/>
              </w:rPr>
              <w:t>Evolution of assigned revenue</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lang w:bidi="en-GB"/>
              </w:rPr>
            </w:pPr>
            <w:r w:rsidRPr="001E5789">
              <w:rPr>
                <w:rFonts w:eastAsia="Verdana" w:cs="Verdana"/>
                <w:lang w:bidi="en-GB"/>
              </w:rPr>
              <w:t xml:space="preserve"> 336</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lang w:bidi="en-GB"/>
              </w:rPr>
            </w:pPr>
            <w:r w:rsidRPr="001E5789">
              <w:rPr>
                <w:rFonts w:eastAsia="Verdana" w:cs="Verdana"/>
                <w:lang w:bidi="en-GB"/>
              </w:rPr>
              <w:t xml:space="preserve"> (235)</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lang w:bidi="en-GB"/>
              </w:rPr>
            </w:pPr>
            <w:r w:rsidRPr="001E5789">
              <w:rPr>
                <w:rFonts w:eastAsia="Verdana" w:cs="Verdana"/>
                <w:lang w:bidi="en-GB"/>
              </w:rPr>
              <w:t>–</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lang w:bidi="en-GB"/>
              </w:rPr>
            </w:pPr>
            <w:r w:rsidRPr="001E5789">
              <w:rPr>
                <w:rFonts w:eastAsia="Verdana" w:cs="Verdana"/>
                <w:lang w:bidi="en-GB"/>
              </w:rPr>
              <w:t xml:space="preserve"> 101</w:t>
            </w:r>
          </w:p>
        </w:tc>
      </w:tr>
      <w:tr w:rsidR="00E7728E">
        <w:tc>
          <w:tcPr>
            <w:tcW w:w="3794"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Text9pNormalLeft"/>
              <w:rPr>
                <w:rFonts w:eastAsia="Verdana" w:cs="Verdana"/>
                <w:lang w:bidi="en-GB"/>
              </w:rPr>
            </w:pPr>
            <w:r w:rsidRPr="001E5789">
              <w:rPr>
                <w:rFonts w:eastAsia="Verdana" w:cs="Verdana"/>
                <w:lang w:bidi="en-GB"/>
              </w:rPr>
              <w:t xml:space="preserve">Exchange differences for the year </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lang w:bidi="en-GB"/>
              </w:rPr>
            </w:pPr>
            <w:r w:rsidRPr="001E5789">
              <w:rPr>
                <w:rFonts w:eastAsia="Verdana" w:cs="Verdana"/>
                <w:lang w:bidi="en-GB"/>
              </w:rPr>
              <w:t xml:space="preserve"> 110</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lang w:bidi="en-GB"/>
              </w:rPr>
            </w:pPr>
            <w:r w:rsidRPr="001E5789">
              <w:rPr>
                <w:rFonts w:eastAsia="Verdana" w:cs="Verdana"/>
                <w:lang w:bidi="en-GB"/>
              </w:rPr>
              <w:t xml:space="preserve"> (2)</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lang w:bidi="en-GB"/>
              </w:rPr>
            </w:pPr>
            <w:r w:rsidRPr="001E5789">
              <w:rPr>
                <w:rFonts w:eastAsia="Verdana" w:cs="Verdana"/>
                <w:lang w:bidi="en-GB"/>
              </w:rPr>
              <w:t>–</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lang w:bidi="en-GB"/>
              </w:rPr>
            </w:pPr>
            <w:r w:rsidRPr="001E5789">
              <w:rPr>
                <w:rFonts w:eastAsia="Verdana" w:cs="Verdana"/>
                <w:lang w:bidi="en-GB"/>
              </w:rPr>
              <w:t xml:space="preserve"> 108</w:t>
            </w:r>
          </w:p>
        </w:tc>
      </w:tr>
      <w:tr w:rsidR="00E7728E">
        <w:tc>
          <w:tcPr>
            <w:tcW w:w="3794" w:type="dxa"/>
            <w:tcBorders>
              <w:top w:val="nil"/>
              <w:left w:val="nil"/>
              <w:bottom w:val="nil"/>
              <w:right w:val="nil"/>
            </w:tcBorders>
            <w:shd w:val="clear" w:color="auto" w:fill="CCE1EA"/>
            <w:tcMar>
              <w:top w:w="0" w:type="dxa"/>
              <w:left w:w="0" w:type="dxa"/>
              <w:bottom w:w="0" w:type="dxa"/>
              <w:right w:w="0" w:type="dxa"/>
            </w:tcMar>
          </w:tcPr>
          <w:p w:rsidR="00F50689" w:rsidRPr="001E5789" w:rsidRDefault="00F50689" w:rsidP="00F50689">
            <w:pPr>
              <w:pStyle w:val="Text9pBoldLeft"/>
              <w:rPr>
                <w:rFonts w:eastAsia="Verdana" w:cs="Verdana"/>
                <w:lang w:bidi="en-GB"/>
              </w:rPr>
            </w:pP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Pr="001E5789" w:rsidRDefault="005A36C4" w:rsidP="00F50689">
            <w:pPr>
              <w:pStyle w:val="Figures9pItalicBoldRight025"/>
              <w:rPr>
                <w:rFonts w:eastAsia="Verdana" w:cs="Verdana"/>
                <w:lang w:bidi="en-GB"/>
              </w:rPr>
            </w:pPr>
            <w:r w:rsidRPr="001E5789">
              <w:rPr>
                <w:rFonts w:eastAsia="Verdana" w:cs="Verdana"/>
                <w:lang w:bidi="en-GB"/>
              </w:rPr>
              <w:t>1 432</w:t>
            </w: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Pr="001E5789" w:rsidRDefault="005A36C4" w:rsidP="00F50689">
            <w:pPr>
              <w:pStyle w:val="Figures9pItalicBoldRight025"/>
              <w:rPr>
                <w:rFonts w:eastAsia="Verdana" w:cs="Verdana"/>
                <w:lang w:bidi="en-GB"/>
              </w:rPr>
            </w:pPr>
            <w:r w:rsidRPr="001E5789">
              <w:rPr>
                <w:rFonts w:eastAsia="Verdana" w:cs="Verdana"/>
                <w:lang w:bidi="en-GB"/>
              </w:rPr>
              <w:t xml:space="preserve"> (73)</w:t>
            </w:r>
          </w:p>
        </w:tc>
        <w:tc>
          <w:tcPr>
            <w:tcW w:w="1418" w:type="dxa"/>
            <w:tcBorders>
              <w:top w:val="nil"/>
              <w:left w:val="nil"/>
              <w:bottom w:val="nil"/>
              <w:right w:val="nil"/>
            </w:tcBorders>
            <w:shd w:val="clear" w:color="auto" w:fill="CCE1EA"/>
            <w:tcMar>
              <w:top w:w="0" w:type="dxa"/>
              <w:left w:w="0" w:type="dxa"/>
              <w:bottom w:w="0" w:type="dxa"/>
              <w:right w:w="0" w:type="dxa"/>
            </w:tcMar>
          </w:tcPr>
          <w:p w:rsidR="00F50689" w:rsidRPr="001E5789" w:rsidRDefault="005A36C4" w:rsidP="00F50689">
            <w:pPr>
              <w:pStyle w:val="Figures9pItalicBoldRight025"/>
              <w:rPr>
                <w:rFonts w:eastAsia="Verdana" w:cs="Verdana"/>
                <w:lang w:bidi="en-GB"/>
              </w:rPr>
            </w:pPr>
            <w:r w:rsidRPr="001E5789">
              <w:rPr>
                <w:rFonts w:eastAsia="Verdana" w:cs="Verdana"/>
                <w:lang w:bidi="en-GB"/>
              </w:rPr>
              <w:t>–</w:t>
            </w:r>
          </w:p>
        </w:tc>
        <w:tc>
          <w:tcPr>
            <w:tcW w:w="1559" w:type="dxa"/>
            <w:tcBorders>
              <w:top w:val="nil"/>
              <w:left w:val="nil"/>
              <w:bottom w:val="nil"/>
              <w:right w:val="nil"/>
            </w:tcBorders>
            <w:shd w:val="clear" w:color="auto" w:fill="CCE1EA"/>
            <w:tcMar>
              <w:top w:w="0" w:type="dxa"/>
              <w:left w:w="0" w:type="dxa"/>
              <w:bottom w:w="0" w:type="dxa"/>
              <w:right w:w="0" w:type="dxa"/>
            </w:tcMar>
          </w:tcPr>
          <w:p w:rsidR="00F50689" w:rsidRPr="001E5789" w:rsidRDefault="005A36C4" w:rsidP="00F50689">
            <w:pPr>
              <w:pStyle w:val="Figures9pItalicBoldRight025"/>
              <w:rPr>
                <w:rFonts w:eastAsia="Verdana" w:cs="Verdana"/>
                <w:lang w:bidi="en-GB"/>
              </w:rPr>
            </w:pPr>
            <w:r w:rsidRPr="001E5789">
              <w:rPr>
                <w:rFonts w:eastAsia="Verdana" w:cs="Verdana"/>
                <w:lang w:bidi="en-GB"/>
              </w:rPr>
              <w:t>1 358</w:t>
            </w:r>
          </w:p>
        </w:tc>
      </w:tr>
    </w:tbl>
    <w:p w:rsidR="00F50689" w:rsidRDefault="005A36C4" w:rsidP="00F50689">
      <w:pPr>
        <w:pStyle w:val="Textstand-alone"/>
      </w:pPr>
      <w:r w:rsidRPr="001E5789">
        <w:t>In order to provide all relevant budgetary data for the Agencies, the consolidated annual accounts include separate reports on the implementation of the individual budgets of the traditional agencies consolidated.</w:t>
      </w:r>
    </w:p>
    <w:p w:rsidR="00F50689" w:rsidRPr="001E5789" w:rsidRDefault="005A36C4" w:rsidP="00F50689">
      <w:pPr>
        <w:pStyle w:val="Textstand-alone"/>
      </w:pPr>
      <w:r>
        <w:t xml:space="preserve"> </w:t>
      </w:r>
      <w:bookmarkEnd w:id="303"/>
      <w:bookmarkEnd w:id="1"/>
    </w:p>
    <w:sectPr w:rsidR="00F50689" w:rsidRPr="001E5789" w:rsidSect="00F50689">
      <w:headerReference w:type="even" r:id="rId611"/>
      <w:headerReference w:type="default" r:id="rId612"/>
      <w:footerReference w:type="even" r:id="rId613"/>
      <w:footerReference w:type="default" r:id="rId614"/>
      <w:headerReference w:type="first" r:id="rId615"/>
      <w:footerReference w:type="first" r:id="rId616"/>
      <w:type w:val="continuous"/>
      <w:pgSz w:w="11906" w:h="16838"/>
      <w:pgMar w:top="1134" w:right="1134" w:bottom="1134" w:left="1134"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6ABB" w:rsidRDefault="00186ABB">
      <w:r>
        <w:separator/>
      </w:r>
    </w:p>
  </w:endnote>
  <w:endnote w:type="continuationSeparator" w:id="0">
    <w:p w:rsidR="00186ABB" w:rsidRDefault="00186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FA9" w:rsidRPr="00DE1FA9" w:rsidRDefault="00DE1FA9" w:rsidP="00DE1FA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7936" behindDoc="1" locked="0" layoutInCell="1" allowOverlap="1" wp14:anchorId="5D83DB66" wp14:editId="2684AEAC">
              <wp:simplePos x="0" y="0"/>
              <wp:positionH relativeFrom="column">
                <wp:posOffset>2866390</wp:posOffset>
              </wp:positionH>
              <wp:positionV relativeFrom="paragraph">
                <wp:posOffset>68580</wp:posOffset>
              </wp:positionV>
              <wp:extent cx="403225" cy="795655"/>
              <wp:effectExtent l="18415" t="20955" r="16510" b="21590"/>
              <wp:wrapNone/>
              <wp:docPr id="8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30" o:spid="_x0000_s1026" style="position:absolute;margin-left:225.7pt;margin-top:5.4pt;width:31.75pt;height:62.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EKuzlk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63</w:t>
    </w:r>
    <w:r w:rsidRPr="000D064C">
      <w:rPr>
        <w:rFonts w:ascii="Verdana" w:hAnsi="Verdana"/>
        <w:b/>
        <w:noProof/>
        <w:color w:val="FFFFFF"/>
        <w:sz w:val="18"/>
        <w:szCs w:val="18"/>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8960" behindDoc="1" locked="0" layoutInCell="1" allowOverlap="1" wp14:anchorId="4B2DD56D" wp14:editId="38618160">
              <wp:simplePos x="0" y="0"/>
              <wp:positionH relativeFrom="column">
                <wp:posOffset>2866390</wp:posOffset>
              </wp:positionH>
              <wp:positionV relativeFrom="paragraph">
                <wp:posOffset>68580</wp:posOffset>
              </wp:positionV>
              <wp:extent cx="403225" cy="795655"/>
              <wp:effectExtent l="18415" t="20955" r="16510" b="21590"/>
              <wp:wrapNone/>
              <wp:docPr id="8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31" o:spid="_x0000_s1026" style="position:absolute;margin-left:225.7pt;margin-top:5.4pt;width:31.75pt;height:62.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9984" behindDoc="1" locked="0" layoutInCell="1" allowOverlap="1" wp14:anchorId="0FAD245B" wp14:editId="005880CB">
              <wp:simplePos x="0" y="0"/>
              <wp:positionH relativeFrom="column">
                <wp:posOffset>2866390</wp:posOffset>
              </wp:positionH>
              <wp:positionV relativeFrom="paragraph">
                <wp:posOffset>68580</wp:posOffset>
              </wp:positionV>
              <wp:extent cx="403225" cy="795655"/>
              <wp:effectExtent l="18415" t="20955" r="16510" b="21590"/>
              <wp:wrapNone/>
              <wp:docPr id="8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32" o:spid="_x0000_s1026" style="position:absolute;margin-left:225.7pt;margin-top:5.4pt;width:31.75pt;height:62.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58240" behindDoc="1" locked="0" layoutInCell="1" allowOverlap="1" wp14:anchorId="0E169E3F" wp14:editId="14C17FBA">
              <wp:simplePos x="0" y="0"/>
              <wp:positionH relativeFrom="column">
                <wp:posOffset>2866390</wp:posOffset>
              </wp:positionH>
              <wp:positionV relativeFrom="paragraph">
                <wp:posOffset>68580</wp:posOffset>
              </wp:positionV>
              <wp:extent cx="403225" cy="795655"/>
              <wp:effectExtent l="18415" t="20955" r="16510" b="21590"/>
              <wp:wrapNone/>
              <wp:docPr id="1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margin-left:225.7pt;margin-top:5.4pt;width:31.75pt;height:6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IS2iJk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23</w:t>
    </w:r>
    <w:r w:rsidRPr="000D064C">
      <w:rPr>
        <w:rFonts w:ascii="Verdana" w:hAnsi="Verdana"/>
        <w:b/>
        <w:noProof/>
        <w:color w:val="FFFFFF"/>
        <w:sz w:val="18"/>
        <w:szCs w:val="18"/>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91008" behindDoc="1" locked="0" layoutInCell="1" allowOverlap="1" wp14:anchorId="5E519508" wp14:editId="7ACF30F7">
              <wp:simplePos x="0" y="0"/>
              <wp:positionH relativeFrom="column">
                <wp:posOffset>2866390</wp:posOffset>
              </wp:positionH>
              <wp:positionV relativeFrom="paragraph">
                <wp:posOffset>68580</wp:posOffset>
              </wp:positionV>
              <wp:extent cx="403225" cy="795655"/>
              <wp:effectExtent l="18415" t="20955" r="16510" b="21590"/>
              <wp:wrapNone/>
              <wp:docPr id="8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33" o:spid="_x0000_s1026" style="position:absolute;margin-left:225.7pt;margin-top:5.4pt;width:31.75pt;height:62.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92032" behindDoc="1" locked="0" layoutInCell="1" allowOverlap="1" wp14:anchorId="799672E1" wp14:editId="1BC22B62">
              <wp:simplePos x="0" y="0"/>
              <wp:positionH relativeFrom="column">
                <wp:posOffset>2866390</wp:posOffset>
              </wp:positionH>
              <wp:positionV relativeFrom="paragraph">
                <wp:posOffset>68580</wp:posOffset>
              </wp:positionV>
              <wp:extent cx="403225" cy="795655"/>
              <wp:effectExtent l="18415" t="20955" r="16510" b="21590"/>
              <wp:wrapNone/>
              <wp:docPr id="7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34" o:spid="_x0000_s1026" style="position:absolute;margin-left:225.7pt;margin-top:5.4pt;width:31.75pt;height:62.6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97152" behindDoc="1" locked="0" layoutInCell="1" allowOverlap="1" wp14:anchorId="03071C02" wp14:editId="42CA1E31">
              <wp:simplePos x="0" y="0"/>
              <wp:positionH relativeFrom="column">
                <wp:posOffset>2866390</wp:posOffset>
              </wp:positionH>
              <wp:positionV relativeFrom="paragraph">
                <wp:posOffset>68580</wp:posOffset>
              </wp:positionV>
              <wp:extent cx="403225" cy="795655"/>
              <wp:effectExtent l="18415" t="20955" r="16510" b="21590"/>
              <wp:wrapNone/>
              <wp:docPr id="7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39" o:spid="_x0000_s1026" style="position:absolute;margin-left:225.7pt;margin-top:5.4pt;width:31.75pt;height:62.6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LlghJQ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66</w:t>
    </w:r>
    <w:r w:rsidRPr="000D064C">
      <w:rPr>
        <w:rFonts w:ascii="Verdana" w:hAnsi="Verdana"/>
        <w:b/>
        <w:noProof/>
        <w:color w:val="FFFFFF"/>
        <w:sz w:val="18"/>
        <w:szCs w:val="18"/>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98176" behindDoc="1" locked="0" layoutInCell="1" allowOverlap="1" wp14:anchorId="5EF510BF" wp14:editId="7A906326">
              <wp:simplePos x="0" y="0"/>
              <wp:positionH relativeFrom="column">
                <wp:posOffset>2866390</wp:posOffset>
              </wp:positionH>
              <wp:positionV relativeFrom="paragraph">
                <wp:posOffset>68580</wp:posOffset>
              </wp:positionV>
              <wp:extent cx="403225" cy="795655"/>
              <wp:effectExtent l="18415" t="20955" r="16510" b="21590"/>
              <wp:wrapNone/>
              <wp:docPr id="7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40" o:spid="_x0000_s1026" style="position:absolute;margin-left:225.7pt;margin-top:5.4pt;width:31.75pt;height:62.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AIFw30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66</w:t>
    </w:r>
    <w:r w:rsidRPr="000D064C">
      <w:rPr>
        <w:rFonts w:ascii="Verdana" w:hAnsi="Verdana"/>
        <w:b/>
        <w:noProof/>
        <w:color w:val="FFFFFF"/>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99200" behindDoc="1" locked="0" layoutInCell="1" allowOverlap="1" wp14:anchorId="10389B00" wp14:editId="669EFB95">
              <wp:simplePos x="0" y="0"/>
              <wp:positionH relativeFrom="column">
                <wp:posOffset>2866390</wp:posOffset>
              </wp:positionH>
              <wp:positionV relativeFrom="paragraph">
                <wp:posOffset>68580</wp:posOffset>
              </wp:positionV>
              <wp:extent cx="403225" cy="795655"/>
              <wp:effectExtent l="18415" t="20955" r="16510" b="21590"/>
              <wp:wrapNone/>
              <wp:docPr id="7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41" o:spid="_x0000_s1026" style="position:absolute;margin-left:225.7pt;margin-top:5.4pt;width:31.75pt;height:62.6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bevGgIAACc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Lf1t68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00224" behindDoc="1" locked="0" layoutInCell="1" allowOverlap="1" wp14:anchorId="7C265FE3" wp14:editId="673982B8">
              <wp:simplePos x="0" y="0"/>
              <wp:positionH relativeFrom="column">
                <wp:posOffset>2866390</wp:posOffset>
              </wp:positionH>
              <wp:positionV relativeFrom="paragraph">
                <wp:posOffset>68580</wp:posOffset>
              </wp:positionV>
              <wp:extent cx="403225" cy="795655"/>
              <wp:effectExtent l="18415" t="20955" r="16510" b="21590"/>
              <wp:wrapNone/>
              <wp:docPr id="7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42" o:spid="_x0000_s1026" style="position:absolute;margin-left:225.7pt;margin-top:5.4pt;width:31.75pt;height:62.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lsCGgIAACc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CniWwI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67</w:t>
    </w:r>
    <w:r w:rsidRPr="000D064C">
      <w:rPr>
        <w:rFonts w:ascii="Verdana" w:hAnsi="Verdana"/>
        <w:b/>
        <w:noProof/>
        <w:color w:val="FFFFFF"/>
        <w:sz w:val="18"/>
        <w:szCs w:val="18"/>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01248" behindDoc="1" locked="0" layoutInCell="1" allowOverlap="1" wp14:anchorId="2458C568" wp14:editId="7C99E438">
              <wp:simplePos x="0" y="0"/>
              <wp:positionH relativeFrom="column">
                <wp:posOffset>2866390</wp:posOffset>
              </wp:positionH>
              <wp:positionV relativeFrom="paragraph">
                <wp:posOffset>68580</wp:posOffset>
              </wp:positionV>
              <wp:extent cx="403225" cy="795655"/>
              <wp:effectExtent l="18415" t="20955" r="16510" b="21590"/>
              <wp:wrapNone/>
              <wp:docPr id="7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43" o:spid="_x0000_s1026" style="position:absolute;margin-left:225.7pt;margin-top:5.4pt;width:31.75pt;height:62.6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JwSL9A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68</w:t>
    </w:r>
    <w:r w:rsidRPr="000D064C">
      <w:rPr>
        <w:rFonts w:ascii="Verdana" w:hAnsi="Verdana"/>
        <w:b/>
        <w:noProof/>
        <w:color w:val="FFFFFF"/>
        <w:sz w:val="18"/>
        <w:szCs w:val="18"/>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02272" behindDoc="1" locked="0" layoutInCell="1" allowOverlap="1" wp14:anchorId="36D53673" wp14:editId="2C96A83B">
              <wp:simplePos x="0" y="0"/>
              <wp:positionH relativeFrom="column">
                <wp:posOffset>2866390</wp:posOffset>
              </wp:positionH>
              <wp:positionV relativeFrom="paragraph">
                <wp:posOffset>68580</wp:posOffset>
              </wp:positionV>
              <wp:extent cx="403225" cy="795655"/>
              <wp:effectExtent l="18415" t="20955" r="16510" b="21590"/>
              <wp:wrapNone/>
              <wp:docPr id="6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44" o:spid="_x0000_s1026" style="position:absolute;margin-left:225.7pt;margin-top:5.4pt;width:31.75pt;height:62.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03296" behindDoc="1" locked="0" layoutInCell="1" allowOverlap="1" wp14:anchorId="2AC099BB" wp14:editId="39D65A8C">
              <wp:simplePos x="0" y="0"/>
              <wp:positionH relativeFrom="column">
                <wp:posOffset>2866390</wp:posOffset>
              </wp:positionH>
              <wp:positionV relativeFrom="paragraph">
                <wp:posOffset>68580</wp:posOffset>
              </wp:positionV>
              <wp:extent cx="403225" cy="795655"/>
              <wp:effectExtent l="18415" t="20955" r="16510" b="21590"/>
              <wp:wrapNone/>
              <wp:docPr id="6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45" o:spid="_x0000_s1026" style="position:absolute;margin-left:225.7pt;margin-top:5.4pt;width:31.75pt;height:62.6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68</w:t>
    </w:r>
    <w:r w:rsidRPr="000D064C">
      <w:rPr>
        <w:rFonts w:ascii="Verdana" w:hAnsi="Verdana"/>
        <w:b/>
        <w:noProof/>
        <w:color w:val="FFFFFF"/>
        <w:sz w:val="18"/>
        <w:szCs w:val="18"/>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04320" behindDoc="1" locked="0" layoutInCell="1" allowOverlap="1" wp14:anchorId="6F5C8EDD" wp14:editId="4CE1A49A">
              <wp:simplePos x="0" y="0"/>
              <wp:positionH relativeFrom="column">
                <wp:posOffset>2866390</wp:posOffset>
              </wp:positionH>
              <wp:positionV relativeFrom="paragraph">
                <wp:posOffset>68580</wp:posOffset>
              </wp:positionV>
              <wp:extent cx="403225" cy="795655"/>
              <wp:effectExtent l="18415" t="20955" r="16510" b="21590"/>
              <wp:wrapNone/>
              <wp:docPr id="6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46" o:spid="_x0000_s1026" style="position:absolute;margin-left:225.7pt;margin-top:5.4pt;width:31.75pt;height:62.6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NrHdQc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59264" behindDoc="1" locked="0" layoutInCell="1" allowOverlap="1" wp14:anchorId="5E4DCCD3" wp14:editId="69B794B7">
              <wp:simplePos x="0" y="0"/>
              <wp:positionH relativeFrom="column">
                <wp:posOffset>2866390</wp:posOffset>
              </wp:positionH>
              <wp:positionV relativeFrom="paragraph">
                <wp:posOffset>68580</wp:posOffset>
              </wp:positionV>
              <wp:extent cx="403225" cy="795655"/>
              <wp:effectExtent l="18415" t="20955" r="16510" b="21590"/>
              <wp:wrapNone/>
              <wp:docPr id="1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2" o:spid="_x0000_s1026" style="position:absolute;margin-left:225.7pt;margin-top:5.4pt;width:31.75pt;height:6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F8DnZY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24</w:t>
    </w:r>
    <w:r w:rsidRPr="000D064C">
      <w:rPr>
        <w:rFonts w:ascii="Verdana" w:hAnsi="Verdana"/>
        <w:b/>
        <w:noProof/>
        <w:color w:val="FFFFFF"/>
        <w:sz w:val="18"/>
        <w:szCs w:val="18"/>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05344" behindDoc="1" locked="0" layoutInCell="1" allowOverlap="1" wp14:anchorId="07748C94" wp14:editId="1D41BB12">
              <wp:simplePos x="0" y="0"/>
              <wp:positionH relativeFrom="column">
                <wp:posOffset>2866390</wp:posOffset>
              </wp:positionH>
              <wp:positionV relativeFrom="paragraph">
                <wp:posOffset>68580</wp:posOffset>
              </wp:positionV>
              <wp:extent cx="403225" cy="795655"/>
              <wp:effectExtent l="18415" t="20955" r="16510" b="21590"/>
              <wp:wrapNone/>
              <wp:docPr id="6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47" o:spid="_x0000_s1026" style="position:absolute;margin-left:225.7pt;margin-top:5.4pt;width:31.75pt;height:62.6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G83AdU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07392" behindDoc="1" locked="0" layoutInCell="1" allowOverlap="1" wp14:anchorId="7DB268F1" wp14:editId="4070E9B9">
              <wp:simplePos x="0" y="0"/>
              <wp:positionH relativeFrom="column">
                <wp:posOffset>2866390</wp:posOffset>
              </wp:positionH>
              <wp:positionV relativeFrom="paragraph">
                <wp:posOffset>68580</wp:posOffset>
              </wp:positionV>
              <wp:extent cx="403225" cy="795655"/>
              <wp:effectExtent l="18415" t="20955" r="16510" b="21590"/>
              <wp:wrapNone/>
              <wp:docPr id="6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49" o:spid="_x0000_s1026" style="position:absolute;margin-left:225.7pt;margin-top:5.4pt;width:31.75pt;height:62.6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08416" behindDoc="1" locked="0" layoutInCell="1" allowOverlap="1" wp14:anchorId="46C347EE" wp14:editId="4CAB5A9D">
              <wp:simplePos x="0" y="0"/>
              <wp:positionH relativeFrom="column">
                <wp:posOffset>2866390</wp:posOffset>
              </wp:positionH>
              <wp:positionV relativeFrom="paragraph">
                <wp:posOffset>68580</wp:posOffset>
              </wp:positionV>
              <wp:extent cx="403225" cy="795655"/>
              <wp:effectExtent l="18415" t="20955" r="16510" b="21590"/>
              <wp:wrapNone/>
              <wp:docPr id="6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50" o:spid="_x0000_s1026" style="position:absolute;margin-left:225.7pt;margin-top:5.4pt;width:31.75pt;height:62.6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PE2GsY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69</w:t>
    </w:r>
    <w:r w:rsidRPr="000D064C">
      <w:rPr>
        <w:rFonts w:ascii="Verdana" w:hAnsi="Verdana"/>
        <w:b/>
        <w:noProof/>
        <w:color w:val="FFFFFF"/>
        <w:sz w:val="18"/>
        <w:szCs w:val="18"/>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09440" behindDoc="1" locked="0" layoutInCell="1" allowOverlap="1" wp14:anchorId="64C01B1D" wp14:editId="38DD1ED2">
              <wp:simplePos x="0" y="0"/>
              <wp:positionH relativeFrom="column">
                <wp:posOffset>4445635</wp:posOffset>
              </wp:positionH>
              <wp:positionV relativeFrom="paragraph">
                <wp:posOffset>82550</wp:posOffset>
              </wp:positionV>
              <wp:extent cx="403225" cy="795655"/>
              <wp:effectExtent l="16510" t="15875" r="18415" b="17145"/>
              <wp:wrapNone/>
              <wp:docPr id="62"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51" o:spid="_x0000_s1026" style="position:absolute;margin-left:350.05pt;margin-top:6.5pt;width:31.75pt;height:62.6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m4UGgIAACc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70</w:t>
    </w:r>
    <w:r w:rsidRPr="000D064C">
      <w:rPr>
        <w:rFonts w:ascii="Verdana" w:hAnsi="Verdana"/>
        <w:b/>
        <w:noProof/>
        <w:color w:val="FFFFFF"/>
        <w:sz w:val="18"/>
        <w:szCs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10464" behindDoc="1" locked="0" layoutInCell="1" allowOverlap="1" wp14:anchorId="15F43EBA" wp14:editId="56171047">
              <wp:simplePos x="0" y="0"/>
              <wp:positionH relativeFrom="column">
                <wp:posOffset>4445635</wp:posOffset>
              </wp:positionH>
              <wp:positionV relativeFrom="paragraph">
                <wp:posOffset>82550</wp:posOffset>
              </wp:positionV>
              <wp:extent cx="403225" cy="795655"/>
              <wp:effectExtent l="16510" t="15875" r="18415" b="17145"/>
              <wp:wrapNone/>
              <wp:docPr id="6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52" o:spid="_x0000_s1026" style="position:absolute;margin-left:350.05pt;margin-top:6.5pt;width:31.75pt;height:62.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YK5GgIAACc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72</w:t>
    </w:r>
    <w:r w:rsidRPr="000D064C">
      <w:rPr>
        <w:rFonts w:ascii="Verdana" w:hAnsi="Verdana"/>
        <w:b/>
        <w:noProof/>
        <w:color w:val="FFFFFF"/>
        <w:sz w:val="18"/>
        <w:szCs w:val="18"/>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11488" behindDoc="1" locked="0" layoutInCell="1" allowOverlap="1" wp14:anchorId="4DD86229" wp14:editId="013AAE18">
              <wp:simplePos x="0" y="0"/>
              <wp:positionH relativeFrom="column">
                <wp:posOffset>2866390</wp:posOffset>
              </wp:positionH>
              <wp:positionV relativeFrom="paragraph">
                <wp:posOffset>68580</wp:posOffset>
              </wp:positionV>
              <wp:extent cx="403225" cy="795655"/>
              <wp:effectExtent l="18415" t="20955" r="16510" b="21590"/>
              <wp:wrapNone/>
              <wp:docPr id="6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53" o:spid="_x0000_s1026" style="position:absolute;margin-left:225.7pt;margin-top:5.4pt;width:31.75pt;height:62.6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G8h9ms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73</w:t>
    </w:r>
    <w:r w:rsidRPr="000D064C">
      <w:rPr>
        <w:rFonts w:ascii="Verdana" w:hAnsi="Verdana"/>
        <w:b/>
        <w:noProof/>
        <w:color w:val="FFFFFF"/>
        <w:sz w:val="18"/>
        <w:szCs w:val="18"/>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12512" behindDoc="1" locked="0" layoutInCell="1" allowOverlap="1" wp14:anchorId="4335711C" wp14:editId="74412752">
              <wp:simplePos x="0" y="0"/>
              <wp:positionH relativeFrom="column">
                <wp:posOffset>2866390</wp:posOffset>
              </wp:positionH>
              <wp:positionV relativeFrom="paragraph">
                <wp:posOffset>68580</wp:posOffset>
              </wp:positionV>
              <wp:extent cx="403225" cy="795655"/>
              <wp:effectExtent l="18415" t="20955" r="16510" b="21590"/>
              <wp:wrapNone/>
              <wp:docPr id="59"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54" o:spid="_x0000_s1026" style="position:absolute;margin-left:225.7pt;margin-top:5.4pt;width:31.75pt;height:62.6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74</w:t>
    </w:r>
    <w:r w:rsidRPr="000D064C">
      <w:rPr>
        <w:rFonts w:ascii="Verdana" w:hAnsi="Verdana"/>
        <w:b/>
        <w:noProof/>
        <w:color w:val="FFFFFF"/>
        <w:sz w:val="18"/>
        <w:szCs w:val="18"/>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13536" behindDoc="1" locked="0" layoutInCell="1" allowOverlap="1" wp14:anchorId="028E6C87" wp14:editId="2CE63490">
              <wp:simplePos x="0" y="0"/>
              <wp:positionH relativeFrom="column">
                <wp:posOffset>2866390</wp:posOffset>
              </wp:positionH>
              <wp:positionV relativeFrom="paragraph">
                <wp:posOffset>68580</wp:posOffset>
              </wp:positionV>
              <wp:extent cx="403225" cy="795655"/>
              <wp:effectExtent l="18415" t="20955" r="16510" b="21590"/>
              <wp:wrapNone/>
              <wp:docPr id="5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55" o:spid="_x0000_s1026" style="position:absolute;margin-left:225.7pt;margin-top:5.4pt;width:31.75pt;height:62.6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14560" behindDoc="1" locked="0" layoutInCell="1" allowOverlap="1" wp14:anchorId="167B30AA" wp14:editId="0F06A4A8">
              <wp:simplePos x="0" y="0"/>
              <wp:positionH relativeFrom="column">
                <wp:posOffset>2866390</wp:posOffset>
              </wp:positionH>
              <wp:positionV relativeFrom="paragraph">
                <wp:posOffset>68580</wp:posOffset>
              </wp:positionV>
              <wp:extent cx="403225" cy="795655"/>
              <wp:effectExtent l="18415" t="20955" r="16510" b="21590"/>
              <wp:wrapNone/>
              <wp:docPr id="5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56" o:spid="_x0000_s1026" style="position:absolute;margin-left:225.7pt;margin-top:5.4pt;width:31.75pt;height:62.6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J85sAs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75</w:t>
    </w:r>
    <w:r w:rsidRPr="000D064C">
      <w:rPr>
        <w:rFonts w:ascii="Verdana" w:hAnsi="Verdana"/>
        <w:b/>
        <w:noProof/>
        <w:color w:val="FFFFFF"/>
        <w:sz w:val="18"/>
        <w:szCs w:val="18"/>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15584" behindDoc="1" locked="0" layoutInCell="1" allowOverlap="1" wp14:anchorId="0CE76BAB" wp14:editId="251A4029">
              <wp:simplePos x="0" y="0"/>
              <wp:positionH relativeFrom="column">
                <wp:posOffset>2866390</wp:posOffset>
              </wp:positionH>
              <wp:positionV relativeFrom="paragraph">
                <wp:posOffset>68580</wp:posOffset>
              </wp:positionV>
              <wp:extent cx="403225" cy="795655"/>
              <wp:effectExtent l="18415" t="20955" r="16510" b="21590"/>
              <wp:wrapNone/>
              <wp:docPr id="5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57" o:spid="_x0000_s1026" style="position:absolute;margin-left:225.7pt;margin-top:5.4pt;width:31.75pt;height:62.6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CrJxNk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76</w:t>
    </w:r>
    <w:r w:rsidRPr="000D064C">
      <w:rPr>
        <w:rFonts w:ascii="Verdana" w:hAnsi="Verdana"/>
        <w:b/>
        <w:noProof/>
        <w:color w:val="FFFFFF"/>
        <w:sz w:val="18"/>
        <w:szCs w:val="18"/>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0288" behindDoc="1" locked="0" layoutInCell="1" allowOverlap="1" wp14:anchorId="42D1170F" wp14:editId="6A6E6779">
              <wp:simplePos x="0" y="0"/>
              <wp:positionH relativeFrom="column">
                <wp:posOffset>2866390</wp:posOffset>
              </wp:positionH>
              <wp:positionV relativeFrom="paragraph">
                <wp:posOffset>68580</wp:posOffset>
              </wp:positionV>
              <wp:extent cx="403225" cy="795655"/>
              <wp:effectExtent l="18415" t="20955" r="16510" b="21590"/>
              <wp:wrapNone/>
              <wp:docPr id="1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margin-left:225.7pt;margin-top:5.4pt;width:31.75pt;height:62.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25</w:t>
    </w:r>
    <w:r w:rsidRPr="000D064C">
      <w:rPr>
        <w:rFonts w:ascii="Verdana" w:hAnsi="Verdana"/>
        <w:b/>
        <w:noProof/>
        <w:color w:val="FFFFFF"/>
        <w:sz w:val="18"/>
        <w:szCs w:val="18"/>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16608" behindDoc="1" locked="0" layoutInCell="1" allowOverlap="1" wp14:anchorId="7B1C31D8" wp14:editId="03B11A37">
              <wp:simplePos x="0" y="0"/>
              <wp:positionH relativeFrom="column">
                <wp:posOffset>2866390</wp:posOffset>
              </wp:positionH>
              <wp:positionV relativeFrom="paragraph">
                <wp:posOffset>68580</wp:posOffset>
              </wp:positionV>
              <wp:extent cx="403225" cy="795655"/>
              <wp:effectExtent l="18415" t="20955" r="16510" b="21590"/>
              <wp:wrapNone/>
              <wp:docPr id="55"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58" o:spid="_x0000_s1026" style="position:absolute;margin-left:225.7pt;margin-top:5.4pt;width:31.75pt;height:62.6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ImpjN0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82</w:t>
    </w:r>
    <w:r w:rsidRPr="000D064C">
      <w:rPr>
        <w:rFonts w:ascii="Verdana" w:hAnsi="Verdana"/>
        <w:b/>
        <w:noProof/>
        <w:color w:val="FFFFFF"/>
        <w:sz w:val="18"/>
        <w:szCs w:val="18"/>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17632" behindDoc="1" locked="0" layoutInCell="1" allowOverlap="1" wp14:anchorId="3C47754A" wp14:editId="1C6B7266">
              <wp:simplePos x="0" y="0"/>
              <wp:positionH relativeFrom="column">
                <wp:posOffset>2866390</wp:posOffset>
              </wp:positionH>
              <wp:positionV relativeFrom="paragraph">
                <wp:posOffset>68580</wp:posOffset>
              </wp:positionV>
              <wp:extent cx="403225" cy="795655"/>
              <wp:effectExtent l="18415" t="20955" r="16510" b="21590"/>
              <wp:wrapNone/>
              <wp:docPr id="54"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59" o:spid="_x0000_s1026" style="position:absolute;margin-left:225.7pt;margin-top:5.4pt;width:31.75pt;height:62.6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DxZ+A8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85</w:t>
    </w:r>
    <w:r w:rsidRPr="000D064C">
      <w:rPr>
        <w:rFonts w:ascii="Verdana" w:hAnsi="Verdana"/>
        <w:b/>
        <w:noProof/>
        <w:color w:val="FFFFFF"/>
        <w:sz w:val="18"/>
        <w:szCs w:val="18"/>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18656" behindDoc="1" locked="0" layoutInCell="1" allowOverlap="1" wp14:anchorId="611076B7" wp14:editId="4FA72525">
              <wp:simplePos x="0" y="0"/>
              <wp:positionH relativeFrom="column">
                <wp:posOffset>2866390</wp:posOffset>
              </wp:positionH>
              <wp:positionV relativeFrom="paragraph">
                <wp:posOffset>68580</wp:posOffset>
              </wp:positionV>
              <wp:extent cx="403225" cy="795655"/>
              <wp:effectExtent l="18415" t="20955" r="16510" b="21590"/>
              <wp:wrapNone/>
              <wp:docPr id="53"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60" o:spid="_x0000_s1026" style="position:absolute;margin-left:225.7pt;margin-top:5.4pt;width:31.75pt;height:62.6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KVkANE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86</w:t>
    </w:r>
    <w:r w:rsidRPr="000D064C">
      <w:rPr>
        <w:rFonts w:ascii="Verdana" w:hAnsi="Verdana"/>
        <w:b/>
        <w:noProof/>
        <w:color w:val="FFFFFF"/>
        <w:sz w:val="18"/>
        <w:szCs w:val="18"/>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19680" behindDoc="1" locked="0" layoutInCell="1" allowOverlap="1" wp14:anchorId="5A48CE09" wp14:editId="3615280E">
              <wp:simplePos x="0" y="0"/>
              <wp:positionH relativeFrom="column">
                <wp:posOffset>4445635</wp:posOffset>
              </wp:positionH>
              <wp:positionV relativeFrom="paragraph">
                <wp:posOffset>82550</wp:posOffset>
              </wp:positionV>
              <wp:extent cx="403225" cy="795655"/>
              <wp:effectExtent l="16510" t="15875" r="18415" b="17145"/>
              <wp:wrapNone/>
              <wp:docPr id="52"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61" o:spid="_x0000_s1026" style="position:absolute;margin-left:350.05pt;margin-top:6.5pt;width:31.75pt;height:62.6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QDGgIAACc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87</w:t>
    </w:r>
    <w:r w:rsidRPr="000D064C">
      <w:rPr>
        <w:rFonts w:ascii="Verdana" w:hAnsi="Verdana"/>
        <w:b/>
        <w:noProof/>
        <w:color w:val="FFFFFF"/>
        <w:sz w:val="18"/>
        <w:szCs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20704" behindDoc="1" locked="0" layoutInCell="1" allowOverlap="1" wp14:anchorId="64AE736E" wp14:editId="138F34B5">
              <wp:simplePos x="0" y="0"/>
              <wp:positionH relativeFrom="column">
                <wp:posOffset>2866390</wp:posOffset>
              </wp:positionH>
              <wp:positionV relativeFrom="paragraph">
                <wp:posOffset>68580</wp:posOffset>
              </wp:positionV>
              <wp:extent cx="403225" cy="795655"/>
              <wp:effectExtent l="18415" t="20955" r="16510" b="21590"/>
              <wp:wrapNone/>
              <wp:docPr id="51"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62" o:spid="_x0000_s1026" style="position:absolute;margin-left:225.7pt;margin-top:5.4pt;width:31.75pt;height:62.6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5iuGgIAACc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I6DmK4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89</w:t>
    </w:r>
    <w:r w:rsidRPr="000D064C">
      <w:rPr>
        <w:rFonts w:ascii="Verdana" w:hAnsi="Verdana"/>
        <w:b/>
        <w:noProof/>
        <w:color w:val="FFFFFF"/>
        <w:sz w:val="18"/>
        <w:szCs w:val="18"/>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21728" behindDoc="1" locked="0" layoutInCell="1" allowOverlap="1" wp14:anchorId="77E5ACE3" wp14:editId="412675F4">
              <wp:simplePos x="0" y="0"/>
              <wp:positionH relativeFrom="column">
                <wp:posOffset>2866390</wp:posOffset>
              </wp:positionH>
              <wp:positionV relativeFrom="paragraph">
                <wp:posOffset>68580</wp:posOffset>
              </wp:positionV>
              <wp:extent cx="403225" cy="795655"/>
              <wp:effectExtent l="18415" t="20955" r="16510" b="21590"/>
              <wp:wrapNone/>
              <wp:docPr id="50"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63" o:spid="_x0000_s1026" style="position:absolute;margin-left:225.7pt;margin-top:5.4pt;width:31.75pt;height:62.6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Dtz7Hw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90</w:t>
    </w:r>
    <w:r w:rsidRPr="000D064C">
      <w:rPr>
        <w:rFonts w:ascii="Verdana" w:hAnsi="Verdana"/>
        <w:b/>
        <w:noProof/>
        <w:color w:val="FFFFFF"/>
        <w:sz w:val="18"/>
        <w:szCs w:val="18"/>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22752" behindDoc="1" locked="0" layoutInCell="1" allowOverlap="1" wp14:anchorId="7B87E449" wp14:editId="274DABC6">
              <wp:simplePos x="0" y="0"/>
              <wp:positionH relativeFrom="column">
                <wp:posOffset>2866390</wp:posOffset>
              </wp:positionH>
              <wp:positionV relativeFrom="paragraph">
                <wp:posOffset>68580</wp:posOffset>
              </wp:positionV>
              <wp:extent cx="403225" cy="795655"/>
              <wp:effectExtent l="18415" t="20955" r="16510" b="21590"/>
              <wp:wrapNone/>
              <wp:docPr id="4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64" o:spid="_x0000_s1026" style="position:absolute;margin-left:225.7pt;margin-top:5.4pt;width:31.75pt;height:62.6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93</w:t>
    </w:r>
    <w:r w:rsidRPr="000D064C">
      <w:rPr>
        <w:rFonts w:ascii="Verdana" w:hAnsi="Verdana"/>
        <w:b/>
        <w:noProof/>
        <w:color w:val="FFFFFF"/>
        <w:sz w:val="18"/>
        <w:szCs w:val="18"/>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23776" behindDoc="1" locked="0" layoutInCell="1" allowOverlap="1" wp14:anchorId="69C389F1" wp14:editId="0D8FD98A">
              <wp:simplePos x="0" y="0"/>
              <wp:positionH relativeFrom="column">
                <wp:posOffset>2866390</wp:posOffset>
              </wp:positionH>
              <wp:positionV relativeFrom="paragraph">
                <wp:posOffset>68580</wp:posOffset>
              </wp:positionV>
              <wp:extent cx="403225" cy="795655"/>
              <wp:effectExtent l="18415" t="20955" r="16510" b="21590"/>
              <wp:wrapNone/>
              <wp:docPr id="48"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65" o:spid="_x0000_s1026" style="position:absolute;margin-left:225.7pt;margin-top:5.4pt;width:31.75pt;height:62.6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94</w:t>
    </w:r>
    <w:r w:rsidRPr="000D064C">
      <w:rPr>
        <w:rFonts w:ascii="Verdana" w:hAnsi="Verdana"/>
        <w:b/>
        <w:noProof/>
        <w:color w:val="FFFFFF"/>
        <w:sz w:val="18"/>
        <w:szCs w:val="18"/>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24800" behindDoc="1" locked="0" layoutInCell="1" allowOverlap="1" wp14:anchorId="629947B1" wp14:editId="2D6032DC">
              <wp:simplePos x="0" y="0"/>
              <wp:positionH relativeFrom="column">
                <wp:posOffset>2866390</wp:posOffset>
              </wp:positionH>
              <wp:positionV relativeFrom="paragraph">
                <wp:posOffset>68580</wp:posOffset>
              </wp:positionV>
              <wp:extent cx="403225" cy="795655"/>
              <wp:effectExtent l="18415" t="20955" r="16510" b="21590"/>
              <wp:wrapNone/>
              <wp:docPr id="47"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66" o:spid="_x0000_s1026" style="position:absolute;margin-left:225.7pt;margin-top:5.4pt;width:31.75pt;height:62.6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H2mtqs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95</w:t>
    </w:r>
    <w:r w:rsidRPr="000D064C">
      <w:rPr>
        <w:rFonts w:ascii="Verdana" w:hAnsi="Verdana"/>
        <w:b/>
        <w:noProof/>
        <w:color w:val="FFFFFF"/>
        <w:sz w:val="18"/>
        <w:szCs w:val="18"/>
      </w:rPr>
      <w:fldChar w:fldCharType="end"/>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25824" behindDoc="1" locked="0" layoutInCell="1" allowOverlap="1" wp14:anchorId="5E8BE86E" wp14:editId="38609AE1">
              <wp:simplePos x="0" y="0"/>
              <wp:positionH relativeFrom="column">
                <wp:posOffset>2866390</wp:posOffset>
              </wp:positionH>
              <wp:positionV relativeFrom="paragraph">
                <wp:posOffset>68580</wp:posOffset>
              </wp:positionV>
              <wp:extent cx="403225" cy="795655"/>
              <wp:effectExtent l="18415" t="20955" r="16510" b="21590"/>
              <wp:wrapNone/>
              <wp:docPr id="4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67" o:spid="_x0000_s1026" style="position:absolute;margin-left:225.7pt;margin-top:5.4pt;width:31.75pt;height:62.6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MhWwnk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96</w:t>
    </w:r>
    <w:r w:rsidRPr="000D064C">
      <w:rPr>
        <w:rFonts w:ascii="Verdana" w:hAnsi="Verdana"/>
        <w:b/>
        <w:noProof/>
        <w:color w:val="FFFFFF"/>
        <w:sz w:val="18"/>
        <w:szCs w:val="18"/>
      </w:rPr>
      <w:fldChar w:fldCharType="end"/>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FA9" w:rsidRPr="00DE1FA9" w:rsidRDefault="00DE1FA9" w:rsidP="00DE1FA9">
    <w:pPr>
      <w:pStyle w:val="FooterCoverPage"/>
      <w:rPr>
        <w:rFonts w:ascii="Arial" w:hAnsi="Arial" w:cs="Arial"/>
        <w:b/>
        <w:sz w:val="48"/>
      </w:rPr>
    </w:pPr>
    <w:r w:rsidRPr="00DE1FA9">
      <w:rPr>
        <w:rFonts w:ascii="Arial" w:hAnsi="Arial" w:cs="Arial"/>
        <w:b/>
        <w:sz w:val="48"/>
      </w:rPr>
      <w:t>EN</w:t>
    </w:r>
    <w:r w:rsidRPr="00DE1FA9">
      <w:rPr>
        <w:rFonts w:ascii="Arial" w:hAnsi="Arial" w:cs="Arial"/>
        <w:b/>
        <w:sz w:val="48"/>
      </w:rPr>
      <w:tab/>
    </w:r>
    <w:r w:rsidRPr="00DE1FA9">
      <w:rPr>
        <w:rFonts w:ascii="Arial" w:hAnsi="Arial" w:cs="Arial"/>
        <w:b/>
        <w:sz w:val="48"/>
      </w:rPr>
      <w:tab/>
    </w:r>
    <w:fldSimple w:instr=" DOCVARIABLE &quot;LW_Confidence&quot; \* MERGEFORMAT ">
      <w:r>
        <w:t xml:space="preserve"> </w:t>
      </w:r>
    </w:fldSimple>
    <w:r w:rsidRPr="00DE1FA9">
      <w:tab/>
    </w:r>
    <w:proofErr w:type="spellStart"/>
    <w:r w:rsidRPr="00DE1FA9">
      <w:rPr>
        <w:rFonts w:ascii="Arial" w:hAnsi="Arial" w:cs="Arial"/>
        <w:b/>
        <w:sz w:val="48"/>
      </w:rPr>
      <w:t>EN</w:t>
    </w:r>
    <w:proofErr w:type="spellEnd"/>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1312" behindDoc="1" locked="0" layoutInCell="1" allowOverlap="1" wp14:anchorId="288482AC" wp14:editId="7E95C1AB">
              <wp:simplePos x="0" y="0"/>
              <wp:positionH relativeFrom="column">
                <wp:posOffset>2866390</wp:posOffset>
              </wp:positionH>
              <wp:positionV relativeFrom="paragraph">
                <wp:posOffset>68580</wp:posOffset>
              </wp:positionV>
              <wp:extent cx="403225" cy="795655"/>
              <wp:effectExtent l="18415" t="20955" r="16510" b="21590"/>
              <wp:wrapNone/>
              <wp:docPr id="10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4" o:spid="_x0000_s1026" style="position:absolute;margin-left:225.7pt;margin-top:5.4pt;width:31.75pt;height:6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26</w:t>
    </w:r>
    <w:r w:rsidRPr="000D064C">
      <w:rPr>
        <w:rFonts w:ascii="Verdana" w:hAnsi="Verdana"/>
        <w:b/>
        <w:noProof/>
        <w:color w:val="FFFFFF"/>
        <w:sz w:val="18"/>
        <w:szCs w:val="18"/>
      </w:rPr>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26848" behindDoc="1" locked="0" layoutInCell="1" allowOverlap="1" wp14:anchorId="6D227830" wp14:editId="5E69AA18">
              <wp:simplePos x="0" y="0"/>
              <wp:positionH relativeFrom="column">
                <wp:posOffset>2866390</wp:posOffset>
              </wp:positionH>
              <wp:positionV relativeFrom="paragraph">
                <wp:posOffset>68580</wp:posOffset>
              </wp:positionV>
              <wp:extent cx="403225" cy="795655"/>
              <wp:effectExtent l="18415" t="20955" r="16510" b="21590"/>
              <wp:wrapNone/>
              <wp:docPr id="4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68" o:spid="_x0000_s1026" style="position:absolute;margin-left:225.7pt;margin-top:5.4pt;width:31.75pt;height:62.6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Gs2in0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97</w:t>
    </w:r>
    <w:r w:rsidRPr="000D064C">
      <w:rPr>
        <w:rFonts w:ascii="Verdana" w:hAnsi="Verdana"/>
        <w:b/>
        <w:noProof/>
        <w:color w:val="FFFFFF"/>
        <w:sz w:val="18"/>
        <w:szCs w:val="18"/>
      </w:rPr>
      <w:fldChar w:fldCharType="end"/>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27872" behindDoc="1" locked="0" layoutInCell="1" allowOverlap="1" wp14:anchorId="16AF40B3" wp14:editId="5C51CEAB">
              <wp:simplePos x="0" y="0"/>
              <wp:positionH relativeFrom="column">
                <wp:posOffset>2866390</wp:posOffset>
              </wp:positionH>
              <wp:positionV relativeFrom="paragraph">
                <wp:posOffset>68580</wp:posOffset>
              </wp:positionV>
              <wp:extent cx="403225" cy="795655"/>
              <wp:effectExtent l="18415" t="20955" r="16510" b="21590"/>
              <wp:wrapNone/>
              <wp:docPr id="44"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69" o:spid="_x0000_s1026" style="position:absolute;margin-left:225.7pt;margin-top:5.4pt;width:31.75pt;height:62.6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98</w:t>
    </w:r>
    <w:r w:rsidRPr="000D064C">
      <w:rPr>
        <w:rFonts w:ascii="Verdana" w:hAnsi="Verdana"/>
        <w:b/>
        <w:noProof/>
        <w:color w:val="FFFFFF"/>
        <w:sz w:val="18"/>
        <w:szCs w:val="18"/>
      </w:rPr>
      <w:fldChar w:fldCharType="end"/>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28896" behindDoc="1" locked="0" layoutInCell="1" allowOverlap="1" wp14:anchorId="49726670" wp14:editId="44D0BB3E">
              <wp:simplePos x="0" y="0"/>
              <wp:positionH relativeFrom="column">
                <wp:posOffset>2866390</wp:posOffset>
              </wp:positionH>
              <wp:positionV relativeFrom="paragraph">
                <wp:posOffset>68580</wp:posOffset>
              </wp:positionV>
              <wp:extent cx="403225" cy="795655"/>
              <wp:effectExtent l="18415" t="20955" r="16510" b="21590"/>
              <wp:wrapNone/>
              <wp:docPr id="43"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70" o:spid="_x0000_s1026" style="position:absolute;margin-left:225.7pt;margin-top:5.4pt;width:31.75pt;height:62.6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FZX2Wo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99</w:t>
    </w:r>
    <w:r w:rsidRPr="000D064C">
      <w:rPr>
        <w:rFonts w:ascii="Verdana" w:hAnsi="Verdana"/>
        <w:b/>
        <w:noProof/>
        <w:color w:val="FFFFFF"/>
        <w:sz w:val="18"/>
        <w:szCs w:val="18"/>
      </w:rPr>
      <w:fldChar w:fldCharType="end"/>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29920" behindDoc="1" locked="0" layoutInCell="1" allowOverlap="1" wp14:anchorId="16AC0A39" wp14:editId="6110F83C">
              <wp:simplePos x="0" y="0"/>
              <wp:positionH relativeFrom="column">
                <wp:posOffset>2866390</wp:posOffset>
              </wp:positionH>
              <wp:positionV relativeFrom="paragraph">
                <wp:posOffset>68580</wp:posOffset>
              </wp:positionV>
              <wp:extent cx="403225" cy="795655"/>
              <wp:effectExtent l="18415" t="20955" r="16510" b="21590"/>
              <wp:wrapNone/>
              <wp:docPr id="42"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71" o:spid="_x0000_s1026" style="position:absolute;margin-left:225.7pt;margin-top:5.4pt;width:31.75pt;height:62.6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624GgIAACc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OOnrbg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100</w:t>
    </w:r>
    <w:r w:rsidRPr="000D064C">
      <w:rPr>
        <w:rFonts w:ascii="Verdana" w:hAnsi="Verdana"/>
        <w:b/>
        <w:noProof/>
        <w:color w:val="FFFFFF"/>
        <w:sz w:val="18"/>
        <w:szCs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30944" behindDoc="1" locked="0" layoutInCell="1" allowOverlap="1" wp14:anchorId="630FF33B" wp14:editId="75F30BAD">
              <wp:simplePos x="0" y="0"/>
              <wp:positionH relativeFrom="column">
                <wp:posOffset>2866390</wp:posOffset>
              </wp:positionH>
              <wp:positionV relativeFrom="paragraph">
                <wp:posOffset>68580</wp:posOffset>
              </wp:positionV>
              <wp:extent cx="403225" cy="795655"/>
              <wp:effectExtent l="18415" t="20955" r="16510" b="21590"/>
              <wp:wrapNone/>
              <wp:docPr id="4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72" o:spid="_x0000_s1026" style="position:absolute;margin-left:225.7pt;margin-top:5.4pt;width:31.75pt;height:62.6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EEVGgIAACc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H2wQRU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101</w:t>
    </w:r>
    <w:r w:rsidRPr="000D064C">
      <w:rPr>
        <w:rFonts w:ascii="Verdana" w:hAnsi="Verdana"/>
        <w:b/>
        <w:noProof/>
        <w:color w:val="FFFFFF"/>
        <w:sz w:val="18"/>
        <w:szCs w:val="18"/>
      </w:rPr>
      <w:fldChar w:fldCharType="end"/>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31968" behindDoc="1" locked="0" layoutInCell="1" allowOverlap="1" wp14:anchorId="0813E59C" wp14:editId="7E5C4B97">
              <wp:simplePos x="0" y="0"/>
              <wp:positionH relativeFrom="column">
                <wp:posOffset>2866390</wp:posOffset>
              </wp:positionH>
              <wp:positionV relativeFrom="paragraph">
                <wp:posOffset>68580</wp:posOffset>
              </wp:positionV>
              <wp:extent cx="403225" cy="795655"/>
              <wp:effectExtent l="18415" t="20955" r="16510" b="21590"/>
              <wp:wrapNone/>
              <wp:docPr id="40"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73" o:spid="_x0000_s1026" style="position:absolute;margin-left:225.7pt;margin-top:5.4pt;width:31.75pt;height:62.6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MhANcc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102</w:t>
    </w:r>
    <w:r w:rsidRPr="000D064C">
      <w:rPr>
        <w:rFonts w:ascii="Verdana" w:hAnsi="Verdana"/>
        <w:b/>
        <w:noProof/>
        <w:color w:val="FFFFFF"/>
        <w:sz w:val="18"/>
        <w:szCs w:val="18"/>
      </w:rPr>
      <w:fldChar w:fldCharType="end"/>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32992" behindDoc="1" locked="0" layoutInCell="1" allowOverlap="1" wp14:anchorId="35CCC95B" wp14:editId="0C55784F">
              <wp:simplePos x="0" y="0"/>
              <wp:positionH relativeFrom="column">
                <wp:posOffset>2866390</wp:posOffset>
              </wp:positionH>
              <wp:positionV relativeFrom="paragraph">
                <wp:posOffset>68580</wp:posOffset>
              </wp:positionV>
              <wp:extent cx="403225" cy="795655"/>
              <wp:effectExtent l="18415" t="20955" r="16510" b="21590"/>
              <wp:wrapNone/>
              <wp:docPr id="39"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74" o:spid="_x0000_s1026" style="position:absolute;margin-left:225.7pt;margin-top:5.4pt;width:31.75pt;height:62.6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104</w:t>
    </w:r>
    <w:r w:rsidRPr="000D064C">
      <w:rPr>
        <w:rFonts w:ascii="Verdana" w:hAnsi="Verdana"/>
        <w:b/>
        <w:noProof/>
        <w:color w:val="FFFFFF"/>
        <w:sz w:val="18"/>
        <w:szCs w:val="18"/>
      </w:rPr>
      <w:fldChar w:fldCharType="end"/>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34016" behindDoc="1" locked="0" layoutInCell="1" allowOverlap="1" wp14:anchorId="45F536C8" wp14:editId="6B436674">
              <wp:simplePos x="0" y="0"/>
              <wp:positionH relativeFrom="column">
                <wp:posOffset>2866390</wp:posOffset>
              </wp:positionH>
              <wp:positionV relativeFrom="paragraph">
                <wp:posOffset>68580</wp:posOffset>
              </wp:positionV>
              <wp:extent cx="403225" cy="795655"/>
              <wp:effectExtent l="18415" t="20955" r="16510" b="21590"/>
              <wp:wrapNone/>
              <wp:docPr id="3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75" o:spid="_x0000_s1026" style="position:absolute;margin-left:225.7pt;margin-top:5.4pt;width:31.75pt;height:62.6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107</w:t>
    </w:r>
    <w:r w:rsidRPr="000D064C">
      <w:rPr>
        <w:rFonts w:ascii="Verdana" w:hAnsi="Verdana"/>
        <w:b/>
        <w:noProof/>
        <w:color w:val="FFFFFF"/>
        <w:sz w:val="18"/>
        <w:szCs w:val="18"/>
      </w:rPr>
      <w:fldChar w:fldCharType="end"/>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35040" behindDoc="1" locked="0" layoutInCell="1" allowOverlap="1" wp14:anchorId="13BE5B24" wp14:editId="08BB363E">
              <wp:simplePos x="0" y="0"/>
              <wp:positionH relativeFrom="column">
                <wp:posOffset>2866390</wp:posOffset>
              </wp:positionH>
              <wp:positionV relativeFrom="paragraph">
                <wp:posOffset>68580</wp:posOffset>
              </wp:positionV>
              <wp:extent cx="403225" cy="795655"/>
              <wp:effectExtent l="18415" t="20955" r="16510" b="21590"/>
              <wp:wrapNone/>
              <wp:docPr id="3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76" o:spid="_x0000_s1026" style="position:absolute;margin-left:225.7pt;margin-top:5.4pt;width:31.75pt;height:62.6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BXFOxI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109</w:t>
    </w:r>
    <w:r w:rsidRPr="000D064C">
      <w:rPr>
        <w:rFonts w:ascii="Verdana" w:hAnsi="Verdana"/>
        <w:b/>
        <w:noProof/>
        <w:color w:val="FFFFFF"/>
        <w:sz w:val="18"/>
        <w:szCs w:val="18"/>
      </w:rPr>
      <w:fldChar w:fldCharType="end"/>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36064" behindDoc="1" locked="0" layoutInCell="1" allowOverlap="1" wp14:anchorId="111CAAEA" wp14:editId="13D583F0">
              <wp:simplePos x="0" y="0"/>
              <wp:positionH relativeFrom="column">
                <wp:posOffset>2866390</wp:posOffset>
              </wp:positionH>
              <wp:positionV relativeFrom="paragraph">
                <wp:posOffset>68580</wp:posOffset>
              </wp:positionV>
              <wp:extent cx="403225" cy="795655"/>
              <wp:effectExtent l="18415" t="20955" r="16510" b="21590"/>
              <wp:wrapNone/>
              <wp:docPr id="36"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77" o:spid="_x0000_s1026" style="position:absolute;margin-left:225.7pt;margin-top:5.4pt;width:31.75pt;height:62.6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KA1T8A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110</w:t>
    </w:r>
    <w:r w:rsidRPr="000D064C">
      <w:rPr>
        <w:rFonts w:ascii="Verdana" w:hAnsi="Verdana"/>
        <w:b/>
        <w:noProof/>
        <w:color w:val="FFFFFF"/>
        <w:sz w:val="18"/>
        <w:szCs w:val="18"/>
      </w:rPr>
      <w:fldChar w:fldCharType="end"/>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2336" behindDoc="1" locked="0" layoutInCell="1" allowOverlap="1" wp14:anchorId="5233BE5F" wp14:editId="261B2917">
              <wp:simplePos x="0" y="0"/>
              <wp:positionH relativeFrom="column">
                <wp:posOffset>2866390</wp:posOffset>
              </wp:positionH>
              <wp:positionV relativeFrom="paragraph">
                <wp:posOffset>68580</wp:posOffset>
              </wp:positionV>
              <wp:extent cx="403225" cy="795655"/>
              <wp:effectExtent l="18415" t="20955" r="16510" b="21590"/>
              <wp:wrapNone/>
              <wp:docPr id="10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5" o:spid="_x0000_s1026" style="position:absolute;margin-left:225.7pt;margin-top:5.4pt;width:31.75pt;height:62.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27</w:t>
    </w:r>
    <w:r w:rsidRPr="000D064C">
      <w:rPr>
        <w:rFonts w:ascii="Verdana" w:hAnsi="Verdana"/>
        <w:b/>
        <w:noProof/>
        <w:color w:val="FFFFFF"/>
        <w:sz w:val="18"/>
        <w:szCs w:val="18"/>
      </w:rPr>
      <w:fldChar w:fldCharType="end"/>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37088" behindDoc="1" locked="0" layoutInCell="1" allowOverlap="1" wp14:anchorId="0133591F" wp14:editId="29EE9FF4">
              <wp:simplePos x="0" y="0"/>
              <wp:positionH relativeFrom="column">
                <wp:posOffset>4445635</wp:posOffset>
              </wp:positionH>
              <wp:positionV relativeFrom="paragraph">
                <wp:posOffset>82550</wp:posOffset>
              </wp:positionV>
              <wp:extent cx="403225" cy="795655"/>
              <wp:effectExtent l="16510" t="15875" r="18415" b="17145"/>
              <wp:wrapNone/>
              <wp:docPr id="35"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78" o:spid="_x0000_s1026" style="position:absolute;margin-left:350.05pt;margin-top:6.5pt;width:31.75pt;height:62.6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111</w:t>
    </w:r>
    <w:r w:rsidRPr="000D064C">
      <w:rPr>
        <w:rFonts w:ascii="Verdana" w:hAnsi="Verdana"/>
        <w:b/>
        <w:noProof/>
        <w:color w:val="FFFFFF"/>
        <w:sz w:val="18"/>
        <w:szCs w:val="18"/>
      </w:rPr>
      <w:fldChar w:fldCharType="end"/>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38112" behindDoc="1" locked="0" layoutInCell="1" allowOverlap="1" wp14:anchorId="427B1521" wp14:editId="06E66EE4">
              <wp:simplePos x="0" y="0"/>
              <wp:positionH relativeFrom="column">
                <wp:posOffset>4445635</wp:posOffset>
              </wp:positionH>
              <wp:positionV relativeFrom="paragraph">
                <wp:posOffset>82550</wp:posOffset>
              </wp:positionV>
              <wp:extent cx="403225" cy="795655"/>
              <wp:effectExtent l="16510" t="15875" r="18415" b="17145"/>
              <wp:wrapNone/>
              <wp:docPr id="34"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79" o:spid="_x0000_s1026" style="position:absolute;margin-left:350.05pt;margin-top:6.5pt;width:31.75pt;height:62.6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112</w:t>
    </w:r>
    <w:r w:rsidRPr="000D064C">
      <w:rPr>
        <w:rFonts w:ascii="Verdana" w:hAnsi="Verdana"/>
        <w:b/>
        <w:noProof/>
        <w:color w:val="FFFFFF"/>
        <w:sz w:val="18"/>
        <w:szCs w:val="18"/>
      </w:rPr>
      <w:fldChar w:fldCharType="end"/>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39136" behindDoc="1" locked="0" layoutInCell="1" allowOverlap="1" wp14:anchorId="5138DF2B" wp14:editId="0DD65342">
              <wp:simplePos x="0" y="0"/>
              <wp:positionH relativeFrom="column">
                <wp:posOffset>2866390</wp:posOffset>
              </wp:positionH>
              <wp:positionV relativeFrom="paragraph">
                <wp:posOffset>68580</wp:posOffset>
              </wp:positionV>
              <wp:extent cx="403225" cy="795655"/>
              <wp:effectExtent l="18415" t="20955" r="16510" b="21590"/>
              <wp:wrapNone/>
              <wp:docPr id="33"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80" o:spid="_x0000_s1026" style="position:absolute;margin-left:225.7pt;margin-top:5.4pt;width:31.75pt;height:62.6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ElwSpA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115</w:t>
    </w:r>
    <w:r w:rsidRPr="000D064C">
      <w:rPr>
        <w:rFonts w:ascii="Verdana" w:hAnsi="Verdana"/>
        <w:b/>
        <w:noProof/>
        <w:color w:val="FFFFFF"/>
        <w:sz w:val="18"/>
        <w:szCs w:val="18"/>
      </w:rPr>
      <w:fldChar w:fldCharType="end"/>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40160" behindDoc="1" locked="0" layoutInCell="1" allowOverlap="1" wp14:anchorId="7244CE42" wp14:editId="54A9BE86">
              <wp:simplePos x="0" y="0"/>
              <wp:positionH relativeFrom="column">
                <wp:posOffset>4445635</wp:posOffset>
              </wp:positionH>
              <wp:positionV relativeFrom="paragraph">
                <wp:posOffset>82550</wp:posOffset>
              </wp:positionV>
              <wp:extent cx="403225" cy="795655"/>
              <wp:effectExtent l="16510" t="15875" r="18415" b="17145"/>
              <wp:wrapNone/>
              <wp:docPr id="32"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81" o:spid="_x0000_s1026" style="position:absolute;margin-left:350.05pt;margin-top:6.5pt;width:31.75pt;height:62.6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116</w:t>
    </w:r>
    <w:r w:rsidRPr="000D064C">
      <w:rPr>
        <w:rFonts w:ascii="Verdana" w:hAnsi="Verdana"/>
        <w:b/>
        <w:noProof/>
        <w:color w:val="FFFFFF"/>
        <w:sz w:val="18"/>
        <w:szCs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41184" behindDoc="1" locked="0" layoutInCell="1" allowOverlap="1" wp14:anchorId="0EFF00F6" wp14:editId="67D48E85">
              <wp:simplePos x="0" y="0"/>
              <wp:positionH relativeFrom="column">
                <wp:posOffset>4445635</wp:posOffset>
              </wp:positionH>
              <wp:positionV relativeFrom="paragraph">
                <wp:posOffset>82550</wp:posOffset>
              </wp:positionV>
              <wp:extent cx="403225" cy="795655"/>
              <wp:effectExtent l="16510" t="15875" r="18415" b="17145"/>
              <wp:wrapNone/>
              <wp:docPr id="31"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82" o:spid="_x0000_s1026" style="position:absolute;margin-left:350.05pt;margin-top:6.5pt;width:31.75pt;height:62.6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1</w:t>
    </w:r>
    <w:r w:rsidRPr="000D064C">
      <w:rPr>
        <w:rFonts w:ascii="Verdana" w:hAnsi="Verdana"/>
        <w:b/>
        <w:noProof/>
        <w:color w:val="FFFFFF"/>
        <w:sz w:val="18"/>
        <w:szCs w:val="18"/>
      </w:rPr>
      <w:fldChar w:fldCharType="end"/>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42208" behindDoc="1" locked="0" layoutInCell="1" allowOverlap="1" wp14:anchorId="606C6426" wp14:editId="394AEBDC">
              <wp:simplePos x="0" y="0"/>
              <wp:positionH relativeFrom="column">
                <wp:posOffset>4445635</wp:posOffset>
              </wp:positionH>
              <wp:positionV relativeFrom="paragraph">
                <wp:posOffset>82550</wp:posOffset>
              </wp:positionV>
              <wp:extent cx="403225" cy="795655"/>
              <wp:effectExtent l="16510" t="15875" r="18415" b="17145"/>
              <wp:wrapNone/>
              <wp:docPr id="3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83" o:spid="_x0000_s1026" style="position:absolute;margin-left:350.05pt;margin-top:6.5pt;width:31.75pt;height:62.6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117</w:t>
    </w:r>
    <w:r w:rsidRPr="000D064C">
      <w:rPr>
        <w:rFonts w:ascii="Verdana" w:hAnsi="Verdana"/>
        <w:b/>
        <w:noProof/>
        <w:color w:val="FFFFFF"/>
        <w:sz w:val="18"/>
        <w:szCs w:val="18"/>
      </w:rPr>
      <w:fldChar w:fldCharType="end"/>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43232" behindDoc="1" locked="0" layoutInCell="1" allowOverlap="1" wp14:anchorId="0A471989" wp14:editId="64AB629A">
              <wp:simplePos x="0" y="0"/>
              <wp:positionH relativeFrom="column">
                <wp:posOffset>4445635</wp:posOffset>
              </wp:positionH>
              <wp:positionV relativeFrom="paragraph">
                <wp:posOffset>82550</wp:posOffset>
              </wp:positionV>
              <wp:extent cx="403225" cy="795655"/>
              <wp:effectExtent l="16510" t="15875" r="18415" b="17145"/>
              <wp:wrapNone/>
              <wp:docPr id="29"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84" o:spid="_x0000_s1026" style="position:absolute;margin-left:350.05pt;margin-top:6.5pt;width:31.75pt;height:62.6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118</w:t>
    </w:r>
    <w:r w:rsidRPr="000D064C">
      <w:rPr>
        <w:rFonts w:ascii="Verdana" w:hAnsi="Verdana"/>
        <w:b/>
        <w:noProof/>
        <w:color w:val="FFFFFF"/>
        <w:sz w:val="18"/>
        <w:szCs w:val="18"/>
      </w:rPr>
      <w:fldChar w:fldCharType="end"/>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44256" behindDoc="1" locked="0" layoutInCell="1" allowOverlap="1" wp14:anchorId="1DF292E0" wp14:editId="7DF9688C">
              <wp:simplePos x="0" y="0"/>
              <wp:positionH relativeFrom="column">
                <wp:posOffset>4445635</wp:posOffset>
              </wp:positionH>
              <wp:positionV relativeFrom="paragraph">
                <wp:posOffset>82550</wp:posOffset>
              </wp:positionV>
              <wp:extent cx="403225" cy="795655"/>
              <wp:effectExtent l="16510" t="15875" r="18415" b="17145"/>
              <wp:wrapNone/>
              <wp:docPr id="28"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85" o:spid="_x0000_s1026" style="position:absolute;margin-left:350.05pt;margin-top:6.5pt;width:31.75pt;height:62.6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119</w:t>
    </w:r>
    <w:r w:rsidRPr="000D064C">
      <w:rPr>
        <w:rFonts w:ascii="Verdana" w:hAnsi="Verdana"/>
        <w:b/>
        <w:noProof/>
        <w:color w:val="FFFFFF"/>
        <w:sz w:val="18"/>
        <w:szCs w:val="18"/>
      </w:rPr>
      <w:fldChar w:fldCharType="end"/>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45280" behindDoc="1" locked="0" layoutInCell="1" allowOverlap="1" wp14:anchorId="642CC682" wp14:editId="24C8489D">
              <wp:simplePos x="0" y="0"/>
              <wp:positionH relativeFrom="column">
                <wp:posOffset>4445635</wp:posOffset>
              </wp:positionH>
              <wp:positionV relativeFrom="paragraph">
                <wp:posOffset>82550</wp:posOffset>
              </wp:positionV>
              <wp:extent cx="403225" cy="795655"/>
              <wp:effectExtent l="16510" t="15875" r="18415" b="17145"/>
              <wp:wrapNone/>
              <wp:docPr id="2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86" o:spid="_x0000_s1026" style="position:absolute;margin-left:350.05pt;margin-top:6.5pt;width:31.75pt;height:62.6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120</w:t>
    </w:r>
    <w:r w:rsidRPr="000D064C">
      <w:rPr>
        <w:rFonts w:ascii="Verdana" w:hAnsi="Verdana"/>
        <w:b/>
        <w:noProof/>
        <w:color w:val="FFFFFF"/>
        <w:sz w:val="18"/>
        <w:szCs w:val="18"/>
      </w:rPr>
      <w:fldChar w:fldCharType="end"/>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46304" behindDoc="1" locked="0" layoutInCell="1" allowOverlap="1" wp14:anchorId="32966B47" wp14:editId="4F9E5E21">
              <wp:simplePos x="0" y="0"/>
              <wp:positionH relativeFrom="column">
                <wp:posOffset>4445635</wp:posOffset>
              </wp:positionH>
              <wp:positionV relativeFrom="paragraph">
                <wp:posOffset>82550</wp:posOffset>
              </wp:positionV>
              <wp:extent cx="403225" cy="795655"/>
              <wp:effectExtent l="16510" t="15875" r="18415" b="17145"/>
              <wp:wrapNone/>
              <wp:docPr id="25"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87" o:spid="_x0000_s1026" style="position:absolute;margin-left:350.05pt;margin-top:6.5pt;width:31.75pt;height:62.6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121</w:t>
    </w:r>
    <w:r w:rsidRPr="000D064C">
      <w:rPr>
        <w:rFonts w:ascii="Verdana" w:hAnsi="Verdana"/>
        <w:b/>
        <w:noProof/>
        <w:color w:val="FFFFFF"/>
        <w:sz w:val="18"/>
        <w:szCs w:val="18"/>
      </w:rPr>
      <w:fldChar w:fldCharType="end"/>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3360" behindDoc="1" locked="0" layoutInCell="1" allowOverlap="1" wp14:anchorId="7B042461" wp14:editId="68F492F3">
              <wp:simplePos x="0" y="0"/>
              <wp:positionH relativeFrom="column">
                <wp:posOffset>2866390</wp:posOffset>
              </wp:positionH>
              <wp:positionV relativeFrom="paragraph">
                <wp:posOffset>68580</wp:posOffset>
              </wp:positionV>
              <wp:extent cx="403225" cy="795655"/>
              <wp:effectExtent l="18415" t="20955" r="16510" b="21590"/>
              <wp:wrapNone/>
              <wp:docPr id="10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6" o:spid="_x0000_s1026" style="position:absolute;margin-left:225.7pt;margin-top:5.4pt;width:31.75pt;height:62.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OgWFGE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28</w:t>
    </w:r>
    <w:r w:rsidRPr="000D064C">
      <w:rPr>
        <w:rFonts w:ascii="Verdana" w:hAnsi="Verdana"/>
        <w:b/>
        <w:noProof/>
        <w:color w:val="FFFFFF"/>
        <w:sz w:val="18"/>
        <w:szCs w:val="18"/>
      </w:rPr>
      <w:fldChar w:fldCharType="end"/>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47328" behindDoc="1" locked="0" layoutInCell="1" allowOverlap="1" wp14:anchorId="098E01F1" wp14:editId="27ED27E2">
              <wp:simplePos x="0" y="0"/>
              <wp:positionH relativeFrom="column">
                <wp:posOffset>2866390</wp:posOffset>
              </wp:positionH>
              <wp:positionV relativeFrom="paragraph">
                <wp:posOffset>68580</wp:posOffset>
              </wp:positionV>
              <wp:extent cx="403225" cy="795655"/>
              <wp:effectExtent l="18415" t="20955" r="16510" b="21590"/>
              <wp:wrapNone/>
              <wp:docPr id="2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88" o:spid="_x0000_s1026" style="position:absolute;margin-left:225.7pt;margin-top:5.4pt;width:31.75pt;height:62.6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DjkCGw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122</w:t>
    </w:r>
    <w:r w:rsidRPr="000D064C">
      <w:rPr>
        <w:rFonts w:ascii="Verdana" w:hAnsi="Verdana"/>
        <w:b/>
        <w:noProof/>
        <w:color w:val="FFFFFF"/>
        <w:sz w:val="18"/>
        <w:szCs w:val="18"/>
      </w:rPr>
      <w:fldChar w:fldCharType="end"/>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48352" behindDoc="1" locked="0" layoutInCell="1" allowOverlap="1" wp14:anchorId="501FDED2" wp14:editId="71B3F055">
              <wp:simplePos x="0" y="0"/>
              <wp:positionH relativeFrom="column">
                <wp:posOffset>4445635</wp:posOffset>
              </wp:positionH>
              <wp:positionV relativeFrom="paragraph">
                <wp:posOffset>82550</wp:posOffset>
              </wp:positionV>
              <wp:extent cx="403225" cy="795655"/>
              <wp:effectExtent l="16510" t="15875" r="18415" b="17145"/>
              <wp:wrapNone/>
              <wp:docPr id="23"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89" o:spid="_x0000_s1026" style="position:absolute;margin-left:350.05pt;margin-top:6.5pt;width:31.75pt;height:62.6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123</w:t>
    </w:r>
    <w:r w:rsidRPr="000D064C">
      <w:rPr>
        <w:rFonts w:ascii="Verdana" w:hAnsi="Verdana"/>
        <w:b/>
        <w:noProof/>
        <w:color w:val="FFFFFF"/>
        <w:sz w:val="18"/>
        <w:szCs w:val="18"/>
      </w:rPr>
      <w:fldChar w:fldCharType="end"/>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49376" behindDoc="1" locked="0" layoutInCell="1" allowOverlap="1" wp14:anchorId="1F17E91D" wp14:editId="7356B727">
              <wp:simplePos x="0" y="0"/>
              <wp:positionH relativeFrom="column">
                <wp:posOffset>2866390</wp:posOffset>
              </wp:positionH>
              <wp:positionV relativeFrom="paragraph">
                <wp:posOffset>68580</wp:posOffset>
              </wp:positionV>
              <wp:extent cx="403225" cy="795655"/>
              <wp:effectExtent l="18415" t="20955" r="16510" b="21590"/>
              <wp:wrapNone/>
              <wp:docPr id="22"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90" o:spid="_x0000_s1026" style="position:absolute;margin-left:225.7pt;margin-top:5.4pt;width:31.75pt;height:62.6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124</w:t>
    </w:r>
    <w:r w:rsidRPr="000D064C">
      <w:rPr>
        <w:rFonts w:ascii="Verdana" w:hAnsi="Verdana"/>
        <w:b/>
        <w:noProof/>
        <w:color w:val="FFFFFF"/>
        <w:sz w:val="18"/>
        <w:szCs w:val="18"/>
      </w:rPr>
      <w:fldChar w:fldCharType="end"/>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50400" behindDoc="1" locked="0" layoutInCell="1" allowOverlap="1" wp14:anchorId="60BD4728" wp14:editId="585FAA43">
              <wp:simplePos x="0" y="0"/>
              <wp:positionH relativeFrom="column">
                <wp:posOffset>4445635</wp:posOffset>
              </wp:positionH>
              <wp:positionV relativeFrom="paragraph">
                <wp:posOffset>82550</wp:posOffset>
              </wp:positionV>
              <wp:extent cx="403225" cy="795655"/>
              <wp:effectExtent l="16510" t="15875" r="18415" b="17145"/>
              <wp:wrapNone/>
              <wp:docPr id="2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91" o:spid="_x0000_s1026" style="position:absolute;margin-left:350.05pt;margin-top:6.5pt;width:31.75pt;height:62.6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4IGgIAACc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125</w:t>
    </w:r>
    <w:r w:rsidRPr="000D064C">
      <w:rPr>
        <w:rFonts w:ascii="Verdana" w:hAnsi="Verdana"/>
        <w:b/>
        <w:noProof/>
        <w:color w:val="FFFFFF"/>
        <w:sz w:val="18"/>
        <w:szCs w:val="18"/>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51424" behindDoc="1" locked="0" layoutInCell="1" allowOverlap="1" wp14:anchorId="6913B949" wp14:editId="34B80368">
              <wp:simplePos x="0" y="0"/>
              <wp:positionH relativeFrom="column">
                <wp:posOffset>4445635</wp:posOffset>
              </wp:positionH>
              <wp:positionV relativeFrom="paragraph">
                <wp:posOffset>82550</wp:posOffset>
              </wp:positionV>
              <wp:extent cx="403225" cy="795655"/>
              <wp:effectExtent l="16510" t="15875" r="18415" b="17145"/>
              <wp:wrapNone/>
              <wp:docPr id="20"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92" o:spid="_x0000_s1026" style="position:absolute;margin-left:350.05pt;margin-top:6.5pt;width:31.75pt;height:62.6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126</w:t>
    </w:r>
    <w:r w:rsidRPr="000D064C">
      <w:rPr>
        <w:rFonts w:ascii="Verdana" w:hAnsi="Verdana"/>
        <w:b/>
        <w:noProof/>
        <w:color w:val="FFFFFF"/>
        <w:sz w:val="18"/>
        <w:szCs w:val="18"/>
      </w:rPr>
      <w:fldChar w:fldCharType="end"/>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52448" behindDoc="1" locked="0" layoutInCell="1" allowOverlap="1" wp14:anchorId="1267771D" wp14:editId="26514E35">
              <wp:simplePos x="0" y="0"/>
              <wp:positionH relativeFrom="column">
                <wp:posOffset>4445635</wp:posOffset>
              </wp:positionH>
              <wp:positionV relativeFrom="paragraph">
                <wp:posOffset>82550</wp:posOffset>
              </wp:positionV>
              <wp:extent cx="403225" cy="795655"/>
              <wp:effectExtent l="16510" t="15875" r="18415" b="17145"/>
              <wp:wrapNone/>
              <wp:docPr id="19"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93" o:spid="_x0000_s1026" style="position:absolute;margin-left:350.05pt;margin-top:6.5pt;width:31.75pt;height:62.6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127</w:t>
    </w:r>
    <w:r w:rsidRPr="000D064C">
      <w:rPr>
        <w:rFonts w:ascii="Verdana" w:hAnsi="Verdana"/>
        <w:b/>
        <w:noProof/>
        <w:color w:val="FFFFFF"/>
        <w:sz w:val="18"/>
        <w:szCs w:val="18"/>
      </w:rPr>
      <w:fldChar w:fldCharType="end"/>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53472" behindDoc="1" locked="0" layoutInCell="1" allowOverlap="1" wp14:anchorId="18320359" wp14:editId="51B73ABB">
              <wp:simplePos x="0" y="0"/>
              <wp:positionH relativeFrom="column">
                <wp:posOffset>2866390</wp:posOffset>
              </wp:positionH>
              <wp:positionV relativeFrom="paragraph">
                <wp:posOffset>68580</wp:posOffset>
              </wp:positionV>
              <wp:extent cx="403225" cy="795655"/>
              <wp:effectExtent l="18415" t="20955" r="16510" b="21590"/>
              <wp:wrapNone/>
              <wp:docPr id="17"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94" o:spid="_x0000_s1026" style="position:absolute;margin-left:225.7pt;margin-top:5.4pt;width:31.75pt;height:62.6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128</w:t>
    </w:r>
    <w:r w:rsidRPr="000D064C">
      <w:rPr>
        <w:rFonts w:ascii="Verdana" w:hAnsi="Verdana"/>
        <w:b/>
        <w:noProof/>
        <w:color w:val="FFFFFF"/>
        <w:sz w:val="18"/>
        <w:szCs w:val="18"/>
      </w:rPr>
      <w:fldChar w:fldCharType="end"/>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54496" behindDoc="1" locked="0" layoutInCell="1" allowOverlap="1" wp14:anchorId="7D550A1F" wp14:editId="42724092">
              <wp:simplePos x="0" y="0"/>
              <wp:positionH relativeFrom="column">
                <wp:posOffset>4445635</wp:posOffset>
              </wp:positionH>
              <wp:positionV relativeFrom="paragraph">
                <wp:posOffset>82550</wp:posOffset>
              </wp:positionV>
              <wp:extent cx="403225" cy="795655"/>
              <wp:effectExtent l="16510" t="15875" r="18415" b="17145"/>
              <wp:wrapNone/>
              <wp:docPr id="16"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95" o:spid="_x0000_s1026" style="position:absolute;margin-left:350.05pt;margin-top:6.5pt;width:31.75pt;height:62.6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129</w:t>
    </w:r>
    <w:r w:rsidRPr="000D064C">
      <w:rPr>
        <w:rFonts w:ascii="Verdana" w:hAnsi="Verdana"/>
        <w:b/>
        <w:noProof/>
        <w:color w:val="FFFFFF"/>
        <w:sz w:val="18"/>
        <w:szCs w:val="18"/>
      </w:rPr>
      <w:fldChar w:fldCharType="end"/>
    </w: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55520" behindDoc="1" locked="0" layoutInCell="1" allowOverlap="1" wp14:anchorId="3423FDE0" wp14:editId="63CF563C">
              <wp:simplePos x="0" y="0"/>
              <wp:positionH relativeFrom="column">
                <wp:posOffset>4445635</wp:posOffset>
              </wp:positionH>
              <wp:positionV relativeFrom="paragraph">
                <wp:posOffset>82550</wp:posOffset>
              </wp:positionV>
              <wp:extent cx="403225" cy="795655"/>
              <wp:effectExtent l="16510" t="15875" r="18415" b="17145"/>
              <wp:wrapNone/>
              <wp:docPr id="15"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96" o:spid="_x0000_s1026" style="position:absolute;margin-left:350.05pt;margin-top:6.5pt;width:31.75pt;height:62.6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1</w:t>
    </w:r>
    <w:r w:rsidRPr="000D064C">
      <w:rPr>
        <w:rFonts w:ascii="Verdana" w:hAnsi="Verdana"/>
        <w:b/>
        <w:noProof/>
        <w:color w:val="FFFFFF"/>
        <w:sz w:val="18"/>
        <w:szCs w:val="18"/>
      </w:rPr>
      <w:fldChar w:fldCharType="end"/>
    </w: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56544" behindDoc="1" locked="0" layoutInCell="1" allowOverlap="1" wp14:anchorId="242C302A" wp14:editId="4E40721B">
              <wp:simplePos x="0" y="0"/>
              <wp:positionH relativeFrom="column">
                <wp:posOffset>4445635</wp:posOffset>
              </wp:positionH>
              <wp:positionV relativeFrom="paragraph">
                <wp:posOffset>82550</wp:posOffset>
              </wp:positionV>
              <wp:extent cx="403225" cy="795655"/>
              <wp:effectExtent l="16510" t="15875" r="18415" b="17145"/>
              <wp:wrapNone/>
              <wp:docPr id="1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97" o:spid="_x0000_s1026" style="position:absolute;margin-left:350.05pt;margin-top:6.5pt;width:31.75pt;height:62.6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131</w:t>
    </w:r>
    <w:r w:rsidRPr="000D064C">
      <w:rPr>
        <w:rFonts w:ascii="Verdana" w:hAnsi="Verdana"/>
        <w:b/>
        <w:noProof/>
        <w:color w:val="FFFFFF"/>
        <w:sz w:val="18"/>
        <w:szCs w:val="18"/>
      </w:rPr>
      <w:fldChar w:fldCharType="end"/>
    </w: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4384" behindDoc="1" locked="0" layoutInCell="1" allowOverlap="1" wp14:anchorId="09B65BE8" wp14:editId="33F08EC6">
              <wp:simplePos x="0" y="0"/>
              <wp:positionH relativeFrom="column">
                <wp:posOffset>2866390</wp:posOffset>
              </wp:positionH>
              <wp:positionV relativeFrom="paragraph">
                <wp:posOffset>68580</wp:posOffset>
              </wp:positionV>
              <wp:extent cx="403225" cy="795655"/>
              <wp:effectExtent l="18415" t="20955" r="16510" b="21590"/>
              <wp:wrapNone/>
              <wp:docPr id="10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7" o:spid="_x0000_s1026" style="position:absolute;margin-left:225.7pt;margin-top:5.4pt;width:31.75pt;height:62.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JKjHy4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29</w:t>
    </w:r>
    <w:r w:rsidRPr="000D064C">
      <w:rPr>
        <w:rFonts w:ascii="Verdana" w:hAnsi="Verdana"/>
        <w:b/>
        <w:noProof/>
        <w:color w:val="FFFFFF"/>
        <w:sz w:val="18"/>
        <w:szCs w:val="18"/>
      </w:rPr>
      <w:fldChar w:fldCharType="end"/>
    </w: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57568" behindDoc="1" locked="0" layoutInCell="1" allowOverlap="1" wp14:anchorId="19664E27" wp14:editId="04D0E791">
              <wp:simplePos x="0" y="0"/>
              <wp:positionH relativeFrom="column">
                <wp:posOffset>2866390</wp:posOffset>
              </wp:positionH>
              <wp:positionV relativeFrom="paragraph">
                <wp:posOffset>68580</wp:posOffset>
              </wp:positionV>
              <wp:extent cx="403225" cy="795655"/>
              <wp:effectExtent l="18415" t="20955" r="16510" b="21590"/>
              <wp:wrapNone/>
              <wp:docPr id="13"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98" o:spid="_x0000_s1026" style="position:absolute;margin-left:225.7pt;margin-top:5.4pt;width:31.75pt;height:62.6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AFNxgk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133</w:t>
    </w:r>
    <w:r w:rsidRPr="000D064C">
      <w:rPr>
        <w:rFonts w:ascii="Verdana" w:hAnsi="Verdana"/>
        <w:b/>
        <w:noProof/>
        <w:color w:val="FFFFFF"/>
        <w:sz w:val="18"/>
        <w:szCs w:val="18"/>
      </w:rPr>
      <w:fldChar w:fldCharType="end"/>
    </w: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58592" behindDoc="1" locked="0" layoutInCell="1" allowOverlap="1" wp14:anchorId="5D505E65" wp14:editId="6F4235C9">
              <wp:simplePos x="0" y="0"/>
              <wp:positionH relativeFrom="column">
                <wp:posOffset>2866390</wp:posOffset>
              </wp:positionH>
              <wp:positionV relativeFrom="paragraph">
                <wp:posOffset>68580</wp:posOffset>
              </wp:positionV>
              <wp:extent cx="403225" cy="795655"/>
              <wp:effectExtent l="18415" t="20955" r="16510" b="21590"/>
              <wp:wrapNone/>
              <wp:docPr id="12"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99" o:spid="_x0000_s1026" style="position:absolute;margin-left:225.7pt;margin-top:5.4pt;width:31.75pt;height:62.6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LS9sts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135</w:t>
    </w:r>
    <w:r w:rsidRPr="000D064C">
      <w:rPr>
        <w:rFonts w:ascii="Verdana" w:hAnsi="Verdana"/>
        <w:b/>
        <w:noProof/>
        <w:color w:val="FFFFFF"/>
        <w:sz w:val="18"/>
        <w:szCs w:val="18"/>
      </w:rPr>
      <w:fldChar w:fldCharType="end"/>
    </w: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59616" behindDoc="1" locked="0" layoutInCell="1" allowOverlap="1" wp14:anchorId="61ABD912" wp14:editId="18B36760">
              <wp:simplePos x="0" y="0"/>
              <wp:positionH relativeFrom="column">
                <wp:posOffset>2866390</wp:posOffset>
              </wp:positionH>
              <wp:positionV relativeFrom="paragraph">
                <wp:posOffset>68580</wp:posOffset>
              </wp:positionV>
              <wp:extent cx="403225" cy="795655"/>
              <wp:effectExtent l="18415" t="20955" r="16510" b="21590"/>
              <wp:wrapNone/>
              <wp:docPr id="1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0" o:spid="_x0000_s1026" style="position:absolute;margin-left:225.7pt;margin-top:5.4pt;width:31.75pt;height:62.6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FA9" w:rsidRPr="00DE1FA9" w:rsidRDefault="00DE1FA9" w:rsidP="00DE1FA9">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5408" behindDoc="1" locked="0" layoutInCell="1" allowOverlap="1" wp14:anchorId="2EA22450" wp14:editId="1D57D77F">
              <wp:simplePos x="0" y="0"/>
              <wp:positionH relativeFrom="column">
                <wp:posOffset>4445635</wp:posOffset>
              </wp:positionH>
              <wp:positionV relativeFrom="paragraph">
                <wp:posOffset>82550</wp:posOffset>
              </wp:positionV>
              <wp:extent cx="403225" cy="795655"/>
              <wp:effectExtent l="16510" t="15875" r="18415" b="17145"/>
              <wp:wrapNone/>
              <wp:docPr id="10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8" o:spid="_x0000_s1026" style="position:absolute;margin-left:350.05pt;margin-top:6.5pt;width:31.75pt;height:6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30</w:t>
    </w:r>
    <w:r w:rsidRPr="000D064C">
      <w:rPr>
        <w:rFonts w:ascii="Verdana" w:hAnsi="Verdana"/>
        <w:b/>
        <w:noProof/>
        <w:color w:val="FFFFFF"/>
        <w:sz w:val="18"/>
        <w:szCs w:val="18"/>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6432" behindDoc="1" locked="0" layoutInCell="1" allowOverlap="1" wp14:anchorId="4DF2F316" wp14:editId="7C64658F">
              <wp:simplePos x="0" y="0"/>
              <wp:positionH relativeFrom="column">
                <wp:posOffset>2866390</wp:posOffset>
              </wp:positionH>
              <wp:positionV relativeFrom="paragraph">
                <wp:posOffset>68580</wp:posOffset>
              </wp:positionV>
              <wp:extent cx="403225" cy="795655"/>
              <wp:effectExtent l="18415" t="20955" r="16510" b="21590"/>
              <wp:wrapNone/>
              <wp:docPr id="10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9" o:spid="_x0000_s1026" style="position:absolute;margin-left:225.7pt;margin-top:5.4pt;width:31.75pt;height:62.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Fu+rBk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31</w:t>
    </w:r>
    <w:r w:rsidRPr="000D064C">
      <w:rPr>
        <w:rFonts w:ascii="Verdana" w:hAnsi="Verdana"/>
        <w:b/>
        <w:noProof/>
        <w:color w:val="FFFFFF"/>
        <w:sz w:val="18"/>
        <w:szCs w:val="18"/>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Pr="000D064C" w:rsidRDefault="0012099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61664" behindDoc="1" locked="0" layoutInCell="1" allowOverlap="1" wp14:anchorId="32992599" wp14:editId="384421CB">
              <wp:simplePos x="0" y="0"/>
              <wp:positionH relativeFrom="column">
                <wp:posOffset>2866390</wp:posOffset>
              </wp:positionH>
              <wp:positionV relativeFrom="paragraph">
                <wp:posOffset>68580</wp:posOffset>
              </wp:positionV>
              <wp:extent cx="403225" cy="795655"/>
              <wp:effectExtent l="18415" t="20955" r="16510" b="21590"/>
              <wp:wrapNone/>
              <wp:docPr id="6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9" o:spid="_x0000_s1026" style="position:absolute;margin-left:225.7pt;margin-top:5.4pt;width:31.75pt;height:62.6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BhHK0MaAgAAJg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12099B" w:rsidRPr="000D064C" w:rsidRDefault="0012099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32</w:t>
    </w:r>
    <w:r w:rsidRPr="000D064C">
      <w:rPr>
        <w:rFonts w:ascii="Verdana" w:hAnsi="Verdana"/>
        <w:b/>
        <w:noProof/>
        <w:color w:val="FFFFFF"/>
        <w:sz w:val="18"/>
        <w:szCs w:val="18"/>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7456" behindDoc="1" locked="0" layoutInCell="1" allowOverlap="1" wp14:anchorId="28D13FF7" wp14:editId="7E8FAAB0">
              <wp:simplePos x="0" y="0"/>
              <wp:positionH relativeFrom="column">
                <wp:posOffset>2866390</wp:posOffset>
              </wp:positionH>
              <wp:positionV relativeFrom="paragraph">
                <wp:posOffset>68580</wp:posOffset>
              </wp:positionV>
              <wp:extent cx="403225" cy="795655"/>
              <wp:effectExtent l="18415" t="20955" r="16510" b="21590"/>
              <wp:wrapNone/>
              <wp:docPr id="10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 o:spid="_x0000_s1026" style="position:absolute;margin-left:225.7pt;margin-top:5.4pt;width:31.75pt;height:62.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L8/4k4aAgAAKA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43</w:t>
    </w:r>
    <w:r w:rsidRPr="000D064C">
      <w:rPr>
        <w:rFonts w:ascii="Verdana" w:hAnsi="Verdana"/>
        <w:b/>
        <w:noProof/>
        <w:color w:val="FFFFFF"/>
        <w:sz w:val="18"/>
        <w:szCs w:val="18"/>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8480" behindDoc="1" locked="0" layoutInCell="1" allowOverlap="1" wp14:anchorId="68941879" wp14:editId="147BC170">
              <wp:simplePos x="0" y="0"/>
              <wp:positionH relativeFrom="column">
                <wp:posOffset>2866390</wp:posOffset>
              </wp:positionH>
              <wp:positionV relativeFrom="paragraph">
                <wp:posOffset>68580</wp:posOffset>
              </wp:positionV>
              <wp:extent cx="403225" cy="795655"/>
              <wp:effectExtent l="18415" t="20955" r="16510" b="21590"/>
              <wp:wrapNone/>
              <wp:docPr id="10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1" o:spid="_x0000_s1026" style="position:absolute;margin-left:225.7pt;margin-top:5.4pt;width:31.75pt;height:62.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44</w:t>
    </w:r>
    <w:r w:rsidRPr="000D064C">
      <w:rPr>
        <w:rFonts w:ascii="Verdana" w:hAnsi="Verdana"/>
        <w:b/>
        <w:noProof/>
        <w:color w:val="FFFFFF"/>
        <w:sz w:val="18"/>
        <w:szCs w:val="18"/>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9504" behindDoc="1" locked="0" layoutInCell="1" allowOverlap="1" wp14:anchorId="6AB8933E" wp14:editId="45F59C25">
              <wp:simplePos x="0" y="0"/>
              <wp:positionH relativeFrom="column">
                <wp:posOffset>2866390</wp:posOffset>
              </wp:positionH>
              <wp:positionV relativeFrom="paragraph">
                <wp:posOffset>68580</wp:posOffset>
              </wp:positionV>
              <wp:extent cx="403225" cy="795655"/>
              <wp:effectExtent l="18415" t="20955" r="16510" b="21590"/>
              <wp:wrapNone/>
              <wp:docPr id="10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2" o:spid="_x0000_s1026" style="position:absolute;margin-left:225.7pt;margin-top:5.4pt;width:31.75pt;height:62.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0528" behindDoc="1" locked="0" layoutInCell="1" allowOverlap="1" wp14:anchorId="7A74237C" wp14:editId="54824967">
              <wp:simplePos x="0" y="0"/>
              <wp:positionH relativeFrom="column">
                <wp:posOffset>2866390</wp:posOffset>
              </wp:positionH>
              <wp:positionV relativeFrom="paragraph">
                <wp:posOffset>68580</wp:posOffset>
              </wp:positionV>
              <wp:extent cx="403225" cy="795655"/>
              <wp:effectExtent l="18415" t="20955" r="16510" b="21590"/>
              <wp:wrapNone/>
              <wp:docPr id="10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3" o:spid="_x0000_s1026" style="position:absolute;margin-left:225.7pt;margin-top:5.4pt;width:31.75pt;height:62.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1552" behindDoc="1" locked="0" layoutInCell="1" allowOverlap="1" wp14:anchorId="2546C9EA" wp14:editId="27BCD327">
              <wp:simplePos x="0" y="0"/>
              <wp:positionH relativeFrom="column">
                <wp:posOffset>2866390</wp:posOffset>
              </wp:positionH>
              <wp:positionV relativeFrom="paragraph">
                <wp:posOffset>68580</wp:posOffset>
              </wp:positionV>
              <wp:extent cx="403225" cy="795655"/>
              <wp:effectExtent l="18415" t="20955" r="16510" b="21590"/>
              <wp:wrapNone/>
              <wp:docPr id="9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4" o:spid="_x0000_s1026" style="position:absolute;margin-left:225.7pt;margin-top:5.4pt;width:31.75pt;height:62.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2576" behindDoc="1" locked="0" layoutInCell="1" allowOverlap="1" wp14:anchorId="11FD3B0A" wp14:editId="3ACEA721">
              <wp:simplePos x="0" y="0"/>
              <wp:positionH relativeFrom="column">
                <wp:posOffset>4445635</wp:posOffset>
              </wp:positionH>
              <wp:positionV relativeFrom="paragraph">
                <wp:posOffset>82550</wp:posOffset>
              </wp:positionV>
              <wp:extent cx="403225" cy="795655"/>
              <wp:effectExtent l="16510" t="15875" r="18415" b="17145"/>
              <wp:wrapNone/>
              <wp:docPr id="9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5" o:spid="_x0000_s1026" style="position:absolute;margin-left:350.05pt;margin-top:6.5pt;width:31.75pt;height:62.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45</w:t>
    </w:r>
    <w:r w:rsidRPr="000D064C">
      <w:rPr>
        <w:rFonts w:ascii="Verdana" w:hAnsi="Verdana"/>
        <w:b/>
        <w:noProof/>
        <w:color w:val="FFFFFF"/>
        <w:sz w:val="18"/>
        <w:szCs w:val="18"/>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3600" behindDoc="1" locked="0" layoutInCell="1" allowOverlap="1" wp14:anchorId="24EE752E" wp14:editId="6B123788">
              <wp:simplePos x="0" y="0"/>
              <wp:positionH relativeFrom="column">
                <wp:posOffset>2866390</wp:posOffset>
              </wp:positionH>
              <wp:positionV relativeFrom="paragraph">
                <wp:posOffset>68580</wp:posOffset>
              </wp:positionV>
              <wp:extent cx="403225" cy="795655"/>
              <wp:effectExtent l="18415" t="20955" r="16510" b="21590"/>
              <wp:wrapNone/>
              <wp:docPr id="9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6" o:spid="_x0000_s1026" style="position:absolute;margin-left:225.7pt;margin-top:5.4pt;width:31.75pt;height:62.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Kc4GwIAACc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47</w:t>
    </w:r>
    <w:r w:rsidRPr="000D064C">
      <w:rPr>
        <w:rFonts w:ascii="Verdana" w:hAnsi="Verdana"/>
        <w:b/>
        <w:noProof/>
        <w:color w:val="FFFFFF"/>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4624" behindDoc="1" locked="0" layoutInCell="1" allowOverlap="1" wp14:anchorId="34E943BC" wp14:editId="73D8495A">
              <wp:simplePos x="0" y="0"/>
              <wp:positionH relativeFrom="column">
                <wp:posOffset>2866390</wp:posOffset>
              </wp:positionH>
              <wp:positionV relativeFrom="paragraph">
                <wp:posOffset>68580</wp:posOffset>
              </wp:positionV>
              <wp:extent cx="403225" cy="795655"/>
              <wp:effectExtent l="18415" t="20955" r="16510" b="21590"/>
              <wp:wrapNone/>
              <wp:docPr id="9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7" o:spid="_x0000_s1026" style="position:absolute;margin-left:225.7pt;margin-top:5.4pt;width:31.75pt;height:62.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qGwIAACc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49</w:t>
    </w:r>
    <w:r w:rsidRPr="000D064C">
      <w:rPr>
        <w:rFonts w:ascii="Verdana" w:hAnsi="Verdana"/>
        <w:b/>
        <w:noProof/>
        <w:color w:val="FFFFFF"/>
        <w:sz w:val="18"/>
        <w:szCs w:val="18"/>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5648" behindDoc="1" locked="0" layoutInCell="1" allowOverlap="1" wp14:anchorId="4B82FB87" wp14:editId="7AF85137">
              <wp:simplePos x="0" y="0"/>
              <wp:positionH relativeFrom="column">
                <wp:posOffset>2866390</wp:posOffset>
              </wp:positionH>
              <wp:positionV relativeFrom="paragraph">
                <wp:posOffset>68580</wp:posOffset>
              </wp:positionV>
              <wp:extent cx="403225" cy="795655"/>
              <wp:effectExtent l="18415" t="20955" r="16510" b="21590"/>
              <wp:wrapNone/>
              <wp:docPr id="9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8" o:spid="_x0000_s1026" style="position:absolute;margin-left:225.7pt;margin-top:5.4pt;width:31.75pt;height:62.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JvuGgIAACc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J1Qm+4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52</w:t>
    </w:r>
    <w:r w:rsidRPr="000D064C">
      <w:rPr>
        <w:rFonts w:ascii="Verdana" w:hAnsi="Verdana"/>
        <w:b/>
        <w:noProof/>
        <w:color w:val="FFFFFF"/>
        <w:sz w:val="18"/>
        <w:szCs w:val="18"/>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6672" behindDoc="1" locked="0" layoutInCell="1" allowOverlap="1" wp14:anchorId="2350AFC1" wp14:editId="697353DB">
              <wp:simplePos x="0" y="0"/>
              <wp:positionH relativeFrom="column">
                <wp:posOffset>2866390</wp:posOffset>
              </wp:positionH>
              <wp:positionV relativeFrom="paragraph">
                <wp:posOffset>68580</wp:posOffset>
              </wp:positionV>
              <wp:extent cx="403225" cy="795655"/>
              <wp:effectExtent l="18415" t="20955" r="16510" b="21590"/>
              <wp:wrapNone/>
              <wp:docPr id="9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9" o:spid="_x0000_s1026" style="position:absolute;margin-left:225.7pt;margin-top:5.4pt;width:31.75pt;height:62.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O88GgIAACc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Cig7zw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54</w:t>
    </w:r>
    <w:r w:rsidRPr="000D064C">
      <w:rPr>
        <w:rFonts w:ascii="Verdana" w:hAnsi="Verdana"/>
        <w:b/>
        <w:noProof/>
        <w:color w:val="FFFFFF"/>
        <w:sz w:val="18"/>
        <w:szCs w:val="18"/>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7696" behindDoc="1" locked="0" layoutInCell="1" allowOverlap="1" wp14:anchorId="0864E31C" wp14:editId="216967E4">
              <wp:simplePos x="0" y="0"/>
              <wp:positionH relativeFrom="column">
                <wp:posOffset>2866390</wp:posOffset>
              </wp:positionH>
              <wp:positionV relativeFrom="paragraph">
                <wp:posOffset>68580</wp:posOffset>
              </wp:positionV>
              <wp:extent cx="403225" cy="795655"/>
              <wp:effectExtent l="18415" t="20955" r="16510" b="21590"/>
              <wp:wrapNone/>
              <wp:docPr id="9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20" o:spid="_x0000_s1026" style="position:absolute;margin-left:225.7pt;margin-top:5.4pt;width:31.75pt;height:62.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LGdF+I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8720" behindDoc="1" locked="0" layoutInCell="1" allowOverlap="1" wp14:anchorId="63C34A93" wp14:editId="5610E4CF">
              <wp:simplePos x="0" y="0"/>
              <wp:positionH relativeFrom="column">
                <wp:posOffset>2866390</wp:posOffset>
              </wp:positionH>
              <wp:positionV relativeFrom="paragraph">
                <wp:posOffset>68580</wp:posOffset>
              </wp:positionV>
              <wp:extent cx="403225" cy="795655"/>
              <wp:effectExtent l="18415" t="20955" r="16510" b="21590"/>
              <wp:wrapNone/>
              <wp:docPr id="9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21" o:spid="_x0000_s1026" style="position:absolute;margin-left:225.7pt;margin-top:5.4pt;width:31.75pt;height:62.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MwGgIAACc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ARtYzA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55</w:t>
    </w:r>
    <w:r w:rsidRPr="000D064C">
      <w:rPr>
        <w:rFonts w:ascii="Verdana" w:hAnsi="Verdana"/>
        <w:b/>
        <w:noProof/>
        <w:color w:val="FFFFFF"/>
        <w:sz w:val="18"/>
        <w:szCs w:val="18"/>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9744" behindDoc="1" locked="0" layoutInCell="1" allowOverlap="1" wp14:anchorId="6126B941" wp14:editId="259DED93">
              <wp:simplePos x="0" y="0"/>
              <wp:positionH relativeFrom="column">
                <wp:posOffset>2866390</wp:posOffset>
              </wp:positionH>
              <wp:positionV relativeFrom="paragraph">
                <wp:posOffset>68580</wp:posOffset>
              </wp:positionV>
              <wp:extent cx="403225" cy="795655"/>
              <wp:effectExtent l="18415" t="20955" r="16510" b="21590"/>
              <wp:wrapNone/>
              <wp:docPr id="9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22" o:spid="_x0000_s1026" style="position:absolute;margin-left:225.7pt;margin-top:5.4pt;width:31.75pt;height:62.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o+dGgIAACc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Jp6j50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56</w:t>
    </w:r>
    <w:r w:rsidRPr="000D064C">
      <w:rPr>
        <w:rFonts w:ascii="Verdana" w:hAnsi="Verdana"/>
        <w:b/>
        <w:noProof/>
        <w:color w:val="FFFFFF"/>
        <w:sz w:val="18"/>
        <w:szCs w:val="18"/>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0768" behindDoc="1" locked="0" layoutInCell="1" allowOverlap="1" wp14:anchorId="36AFD6A7" wp14:editId="12CA8BA1">
              <wp:simplePos x="0" y="0"/>
              <wp:positionH relativeFrom="column">
                <wp:posOffset>2866390</wp:posOffset>
              </wp:positionH>
              <wp:positionV relativeFrom="paragraph">
                <wp:posOffset>68580</wp:posOffset>
              </wp:positionV>
              <wp:extent cx="403225" cy="795655"/>
              <wp:effectExtent l="18415" t="20955" r="16510" b="21590"/>
              <wp:wrapNone/>
              <wp:docPr id="9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23" o:spid="_x0000_s1026" style="position:absolute;margin-left:225.7pt;margin-top:5.4pt;width:31.75pt;height:62.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C+K+08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57</w:t>
    </w:r>
    <w:r w:rsidRPr="000D064C">
      <w:rPr>
        <w:rFonts w:ascii="Verdana" w:hAnsi="Verdana"/>
        <w:b/>
        <w:noProof/>
        <w:color w:val="FFFFFF"/>
        <w:sz w:val="18"/>
        <w:szCs w:val="18"/>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1792" behindDoc="1" locked="0" layoutInCell="1" allowOverlap="1" wp14:anchorId="7F5B537C" wp14:editId="6D9EBE7F">
              <wp:simplePos x="0" y="0"/>
              <wp:positionH relativeFrom="column">
                <wp:posOffset>2866390</wp:posOffset>
              </wp:positionH>
              <wp:positionV relativeFrom="paragraph">
                <wp:posOffset>68580</wp:posOffset>
              </wp:positionV>
              <wp:extent cx="403225" cy="795655"/>
              <wp:effectExtent l="18415" t="20955" r="16510" b="21590"/>
              <wp:wrapNone/>
              <wp:docPr id="8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24" o:spid="_x0000_s1026" style="position:absolute;margin-left:225.7pt;margin-top:5.4pt;width:31.75pt;height:62.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58</w:t>
    </w:r>
    <w:r w:rsidRPr="000D064C">
      <w:rPr>
        <w:rFonts w:ascii="Verdana" w:hAnsi="Verdana"/>
        <w:b/>
        <w:noProof/>
        <w:color w:val="FFFFFF"/>
        <w:sz w:val="18"/>
        <w:szCs w:val="18"/>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2816" behindDoc="1" locked="0" layoutInCell="1" allowOverlap="1" wp14:anchorId="7DFEF11D" wp14:editId="3874E3CA">
              <wp:simplePos x="0" y="0"/>
              <wp:positionH relativeFrom="column">
                <wp:posOffset>2866390</wp:posOffset>
              </wp:positionH>
              <wp:positionV relativeFrom="paragraph">
                <wp:posOffset>68580</wp:posOffset>
              </wp:positionV>
              <wp:extent cx="403225" cy="795655"/>
              <wp:effectExtent l="18415" t="20955" r="16510" b="21590"/>
              <wp:wrapNone/>
              <wp:docPr id="8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25" o:spid="_x0000_s1026" style="position:absolute;margin-left:225.7pt;margin-top:5.4pt;width:31.75pt;height:62.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59</w:t>
    </w:r>
    <w:r w:rsidRPr="000D064C">
      <w:rPr>
        <w:rFonts w:ascii="Verdana" w:hAnsi="Verdana"/>
        <w:b/>
        <w:noProof/>
        <w:color w:val="FFFFFF"/>
        <w:sz w:val="18"/>
        <w:szCs w:val="18"/>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3840" behindDoc="1" locked="0" layoutInCell="1" allowOverlap="1" wp14:anchorId="775398C4" wp14:editId="5D1895FB">
              <wp:simplePos x="0" y="0"/>
              <wp:positionH relativeFrom="column">
                <wp:posOffset>2866390</wp:posOffset>
              </wp:positionH>
              <wp:positionV relativeFrom="paragraph">
                <wp:posOffset>68580</wp:posOffset>
              </wp:positionV>
              <wp:extent cx="403225" cy="795655"/>
              <wp:effectExtent l="18415" t="20955" r="16510" b="21590"/>
              <wp:wrapNone/>
              <wp:docPr id="8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26" o:spid="_x0000_s1026" style="position:absolute;margin-left:225.7pt;margin-top:5.4pt;width:31.75pt;height:62.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GlfoZg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60</w:t>
    </w:r>
    <w:r w:rsidRPr="000D064C">
      <w:rPr>
        <w:rFonts w:ascii="Verdana" w:hAnsi="Verdana"/>
        <w:b/>
        <w:noProof/>
        <w:color w:val="FFFFFF"/>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4864" behindDoc="1" locked="0" layoutInCell="1" allowOverlap="1" wp14:anchorId="133EA4EA" wp14:editId="6549599B">
              <wp:simplePos x="0" y="0"/>
              <wp:positionH relativeFrom="column">
                <wp:posOffset>2866390</wp:posOffset>
              </wp:positionH>
              <wp:positionV relativeFrom="paragraph">
                <wp:posOffset>68580</wp:posOffset>
              </wp:positionV>
              <wp:extent cx="403225" cy="795655"/>
              <wp:effectExtent l="18415" t="20955" r="16510" b="21590"/>
              <wp:wrapNone/>
              <wp:docPr id="8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27" o:spid="_x0000_s1026" style="position:absolute;margin-left:225.7pt;margin-top:5.4pt;width:31.75pt;height:62.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Nyv1Uo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61</w:t>
    </w:r>
    <w:r w:rsidRPr="000D064C">
      <w:rPr>
        <w:rFonts w:ascii="Verdana" w:hAnsi="Verdana"/>
        <w:b/>
        <w:noProof/>
        <w:color w:val="FFFFFF"/>
        <w:sz w:val="18"/>
        <w:szCs w:val="18"/>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5888" behindDoc="1" locked="0" layoutInCell="1" allowOverlap="1" wp14:anchorId="49FF7CC7" wp14:editId="6962C697">
              <wp:simplePos x="0" y="0"/>
              <wp:positionH relativeFrom="column">
                <wp:posOffset>2866390</wp:posOffset>
              </wp:positionH>
              <wp:positionV relativeFrom="paragraph">
                <wp:posOffset>68580</wp:posOffset>
              </wp:positionV>
              <wp:extent cx="403225" cy="795655"/>
              <wp:effectExtent l="18415" t="20955" r="16510" b="21590"/>
              <wp:wrapNone/>
              <wp:docPr id="8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28" o:spid="_x0000_s1026" style="position:absolute;margin-left:225.7pt;margin-top:5.4pt;width:31.75pt;height:62.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H/PnU4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DE1FA9">
      <w:rPr>
        <w:rFonts w:ascii="Verdana" w:hAnsi="Verdana"/>
        <w:b/>
        <w:noProof/>
        <w:color w:val="FFFFFF"/>
        <w:sz w:val="18"/>
        <w:szCs w:val="18"/>
      </w:rPr>
      <w:t>62</w:t>
    </w:r>
    <w:r w:rsidRPr="000D064C">
      <w:rPr>
        <w:rFonts w:ascii="Verdana" w:hAnsi="Verdana"/>
        <w:b/>
        <w:noProof/>
        <w:color w:val="FFFFFF"/>
        <w:sz w:val="18"/>
        <w:szCs w:val="18"/>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0D064C" w:rsidRDefault="00186ABB" w:rsidP="00F50689">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6912" behindDoc="1" locked="0" layoutInCell="1" allowOverlap="1" wp14:anchorId="0D698911" wp14:editId="24BC0E78">
              <wp:simplePos x="0" y="0"/>
              <wp:positionH relativeFrom="column">
                <wp:posOffset>2866390</wp:posOffset>
              </wp:positionH>
              <wp:positionV relativeFrom="paragraph">
                <wp:posOffset>68580</wp:posOffset>
              </wp:positionV>
              <wp:extent cx="403225" cy="795655"/>
              <wp:effectExtent l="18415" t="20955" r="16510" b="21590"/>
              <wp:wrapNone/>
              <wp:docPr id="8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29" o:spid="_x0000_s1026" style="position:absolute;margin-left:225.7pt;margin-top:5.4pt;width:31.75pt;height:62.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Mo/6Zw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186ABB" w:rsidRPr="000D064C" w:rsidRDefault="00186ABB">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6ABB" w:rsidRDefault="00186ABB">
      <w:r>
        <w:separator/>
      </w:r>
    </w:p>
  </w:footnote>
  <w:footnote w:type="continuationSeparator" w:id="0">
    <w:p w:rsidR="00186ABB" w:rsidRDefault="00186A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FA9" w:rsidRPr="00DE1FA9" w:rsidRDefault="00DE1FA9" w:rsidP="00DE1FA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6A0C78"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6A0C78"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6A0C78"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FA9" w:rsidRPr="00DE1FA9" w:rsidRDefault="00DE1FA9" w:rsidP="00DE1FA9">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6A0C78"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6A0C78"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6A0C78"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6A0C78"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6A0C78"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6A0C78"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6A0C78"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6A0C78"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6A0C78"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6A0C78"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6A0C78"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6A0C78"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6A0C78"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6A0C78"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6A0C78"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6A0C78"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FA9" w:rsidRPr="00DE1FA9" w:rsidRDefault="00DE1FA9" w:rsidP="00DE1FA9">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6A0C78"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Pr="004C09A2" w:rsidRDefault="0012099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2099B" w:rsidRDefault="0012099B">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6A0C78"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BB" w:rsidRPr="004C09A2" w:rsidRDefault="00186ABB"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szCs w:val="14"/>
      </w:rPr>
      <w:t>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201</w:t>
    </w:r>
    <w:r>
      <w:rPr>
        <w:rFonts w:ascii="Verdana" w:hAnsi="Verdana"/>
        <w:i/>
        <w:color w:val="016794"/>
        <w:sz w:val="16"/>
        <w:szCs w:val="14"/>
      </w:rPr>
      <w:t>4</w:t>
    </w:r>
  </w:p>
  <w:p w:rsidR="00186ABB" w:rsidRDefault="00186ABB">
    <w:pPr>
      <w:pStyle w:val="Heade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9B" w:rsidRDefault="0012099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9F2ED78"/>
    <w:lvl w:ilvl="0">
      <w:start w:val="1"/>
      <w:numFmt w:val="decimal"/>
      <w:pStyle w:val="HEADER1Part4"/>
      <w:lvlText w:val="%1."/>
      <w:lvlJc w:val="left"/>
      <w:pPr>
        <w:ind w:left="907" w:hanging="907"/>
      </w:pPr>
      <w:rPr>
        <w:rFonts w:hint="default"/>
      </w:rPr>
    </w:lvl>
    <w:lvl w:ilvl="1">
      <w:start w:val="1"/>
      <w:numFmt w:val="decimal"/>
      <w:pStyle w:val="HEADER2Part4"/>
      <w:lvlText w:val="%1.%2."/>
      <w:lvlJc w:val="left"/>
      <w:pPr>
        <w:ind w:left="907" w:hanging="907"/>
      </w:pPr>
      <w:rPr>
        <w:rFonts w:hint="default"/>
      </w:rPr>
    </w:lvl>
    <w:lvl w:ilvl="2">
      <w:start w:val="1"/>
      <w:numFmt w:val="decimal"/>
      <w:pStyle w:val="HEADER3Part4"/>
      <w:lvlText w:val="%1.%2.%3."/>
      <w:lvlJc w:val="left"/>
      <w:pPr>
        <w:ind w:left="907" w:hanging="907"/>
      </w:pPr>
      <w:rPr>
        <w:rFonts w:hint="default"/>
      </w:rPr>
    </w:lvl>
    <w:lvl w:ilvl="3">
      <w:start w:val="1"/>
      <w:numFmt w:val="decimal"/>
      <w:pStyle w:val="HEADER4Part4"/>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1">
    <w:nsid w:val="00000002"/>
    <w:multiLevelType w:val="multilevel"/>
    <w:tmpl w:val="DFA2C348"/>
    <w:lvl w:ilvl="0">
      <w:start w:val="1"/>
      <w:numFmt w:val="decimal"/>
      <w:pStyle w:val="HEADER1Part3"/>
      <w:lvlText w:val="%1."/>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1">
      <w:start w:val="1"/>
      <w:numFmt w:val="decimal"/>
      <w:pStyle w:val="HEADER2Part3"/>
      <w:lvlText w:val="%1.%2."/>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pStyle w:val="HEADER3Part3"/>
      <w:lvlText w:val="%1.%2.%3."/>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3">
      <w:start w:val="1"/>
      <w:numFmt w:val="decimal"/>
      <w:lvlText w:val="%1.%2.%3.%4."/>
      <w:lvlJc w:val="left"/>
      <w:pPr>
        <w:ind w:left="907" w:hanging="90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rPr>
    </w:lvl>
    <w:lvl w:ilvl="4">
      <w:start w:val="1"/>
      <w:numFmt w:val="lowerLetter"/>
      <w:lvlText w:val="(%5)"/>
      <w:lvlJc w:val="left"/>
      <w:pPr>
        <w:ind w:left="907" w:hanging="907"/>
      </w:pPr>
      <w:rPr>
        <w:rFonts w:hint="default"/>
      </w:rPr>
    </w:lvl>
    <w:lvl w:ilvl="5">
      <w:start w:val="1"/>
      <w:numFmt w:val="lowerRoman"/>
      <w:lvlText w:val="(%6)"/>
      <w:lvlJc w:val="lef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left"/>
      <w:pPr>
        <w:ind w:left="907" w:hanging="907"/>
      </w:pPr>
      <w:rPr>
        <w:rFonts w:hint="default"/>
      </w:rPr>
    </w:lvl>
  </w:abstractNum>
  <w:abstractNum w:abstractNumId="2">
    <w:nsid w:val="00000003"/>
    <w:multiLevelType w:val="multilevel"/>
    <w:tmpl w:val="B89498CE"/>
    <w:lvl w:ilvl="0">
      <w:start w:val="1"/>
      <w:numFmt w:val="decimal"/>
      <w:pStyle w:val="HEADER1Part1"/>
      <w:isLgl/>
      <w:lvlText w:val="%1."/>
      <w:lvlJc w:val="left"/>
      <w:pPr>
        <w:ind w:left="907" w:hanging="907"/>
      </w:pPr>
      <w:rPr>
        <w:rFonts w:hint="default"/>
        <w:b/>
        <w:i w:val="0"/>
        <w:color w:val="016794"/>
        <w:sz w:val="32"/>
        <w:szCs w:val="28"/>
      </w:rPr>
    </w:lvl>
    <w:lvl w:ilvl="1">
      <w:start w:val="1"/>
      <w:numFmt w:val="decimal"/>
      <w:pStyle w:val="HEADER2Part1"/>
      <w:isLgl/>
      <w:lvlText w:val="%1.%2."/>
      <w:lvlJc w:val="left"/>
      <w:pPr>
        <w:ind w:left="907" w:hanging="907"/>
      </w:pPr>
      <w:rPr>
        <w:rFonts w:hint="default"/>
      </w:rPr>
    </w:lvl>
    <w:lvl w:ilvl="2">
      <w:start w:val="1"/>
      <w:numFmt w:val="decimal"/>
      <w:pStyle w:val="HEADER3Part1"/>
      <w:isLgl/>
      <w:lvlText w:val="%1.%2.%3."/>
      <w:lvlJc w:val="left"/>
      <w:pPr>
        <w:ind w:left="907" w:hanging="907"/>
      </w:pPr>
      <w:rPr>
        <w:rFonts w:hint="default"/>
      </w:rPr>
    </w:lvl>
    <w:lvl w:ilvl="3">
      <w:start w:val="1"/>
      <w:numFmt w:val="decimal"/>
      <w:pStyle w:val="HEADER4Part1"/>
      <w:isLgl/>
      <w:lvlText w:val="%1.%2.%3.%4."/>
      <w:lvlJc w:val="left"/>
      <w:pPr>
        <w:ind w:left="907" w:hanging="90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0000004"/>
    <w:multiLevelType w:val="hybridMultilevel"/>
    <w:tmpl w:val="87B4A22A"/>
    <w:lvl w:ilvl="0" w:tplc="C0B69578">
      <w:start w:val="1"/>
      <w:numFmt w:val="bullet"/>
      <w:lvlText w:val=""/>
      <w:lvlJc w:val="left"/>
      <w:pPr>
        <w:ind w:left="720" w:hanging="360"/>
      </w:pPr>
      <w:rPr>
        <w:rFonts w:ascii="Symbol" w:hAnsi="Symbol" w:hint="default"/>
      </w:rPr>
    </w:lvl>
    <w:lvl w:ilvl="1" w:tplc="B7CC81F6">
      <w:start w:val="1"/>
      <w:numFmt w:val="bullet"/>
      <w:lvlText w:val="o"/>
      <w:lvlJc w:val="left"/>
      <w:pPr>
        <w:ind w:left="1440" w:hanging="360"/>
      </w:pPr>
      <w:rPr>
        <w:rFonts w:ascii="Courier New" w:hAnsi="Courier New" w:cs="Courier New" w:hint="default"/>
      </w:rPr>
    </w:lvl>
    <w:lvl w:ilvl="2" w:tplc="3AF2C504">
      <w:start w:val="1"/>
      <w:numFmt w:val="bullet"/>
      <w:lvlText w:val=""/>
      <w:lvlJc w:val="left"/>
      <w:pPr>
        <w:ind w:left="2160" w:hanging="360"/>
      </w:pPr>
      <w:rPr>
        <w:rFonts w:ascii="Wingdings" w:hAnsi="Wingdings" w:hint="default"/>
      </w:rPr>
    </w:lvl>
    <w:lvl w:ilvl="3" w:tplc="B082D736" w:tentative="1">
      <w:start w:val="1"/>
      <w:numFmt w:val="bullet"/>
      <w:lvlText w:val=""/>
      <w:lvlJc w:val="left"/>
      <w:pPr>
        <w:ind w:left="2880" w:hanging="360"/>
      </w:pPr>
      <w:rPr>
        <w:rFonts w:ascii="Symbol" w:hAnsi="Symbol" w:hint="default"/>
      </w:rPr>
    </w:lvl>
    <w:lvl w:ilvl="4" w:tplc="B0CC1C12" w:tentative="1">
      <w:start w:val="1"/>
      <w:numFmt w:val="bullet"/>
      <w:lvlText w:val="o"/>
      <w:lvlJc w:val="left"/>
      <w:pPr>
        <w:ind w:left="3600" w:hanging="360"/>
      </w:pPr>
      <w:rPr>
        <w:rFonts w:ascii="Courier New" w:hAnsi="Courier New" w:cs="Courier New" w:hint="default"/>
      </w:rPr>
    </w:lvl>
    <w:lvl w:ilvl="5" w:tplc="37D414BC" w:tentative="1">
      <w:start w:val="1"/>
      <w:numFmt w:val="bullet"/>
      <w:lvlText w:val=""/>
      <w:lvlJc w:val="left"/>
      <w:pPr>
        <w:ind w:left="4320" w:hanging="360"/>
      </w:pPr>
      <w:rPr>
        <w:rFonts w:ascii="Wingdings" w:hAnsi="Wingdings" w:hint="default"/>
      </w:rPr>
    </w:lvl>
    <w:lvl w:ilvl="6" w:tplc="ECAC46FE" w:tentative="1">
      <w:start w:val="1"/>
      <w:numFmt w:val="bullet"/>
      <w:lvlText w:val=""/>
      <w:lvlJc w:val="left"/>
      <w:pPr>
        <w:ind w:left="5040" w:hanging="360"/>
      </w:pPr>
      <w:rPr>
        <w:rFonts w:ascii="Symbol" w:hAnsi="Symbol" w:hint="default"/>
      </w:rPr>
    </w:lvl>
    <w:lvl w:ilvl="7" w:tplc="EA904EF2" w:tentative="1">
      <w:start w:val="1"/>
      <w:numFmt w:val="bullet"/>
      <w:lvlText w:val="o"/>
      <w:lvlJc w:val="left"/>
      <w:pPr>
        <w:ind w:left="5760" w:hanging="360"/>
      </w:pPr>
      <w:rPr>
        <w:rFonts w:ascii="Courier New" w:hAnsi="Courier New" w:cs="Courier New" w:hint="default"/>
      </w:rPr>
    </w:lvl>
    <w:lvl w:ilvl="8" w:tplc="F0745480" w:tentative="1">
      <w:start w:val="1"/>
      <w:numFmt w:val="bullet"/>
      <w:lvlText w:val=""/>
      <w:lvlJc w:val="left"/>
      <w:pPr>
        <w:ind w:left="6480" w:hanging="360"/>
      </w:pPr>
      <w:rPr>
        <w:rFonts w:ascii="Wingdings" w:hAnsi="Wingdings" w:hint="default"/>
      </w:rPr>
    </w:lvl>
  </w:abstractNum>
  <w:abstractNum w:abstractNumId="4">
    <w:nsid w:val="00000005"/>
    <w:multiLevelType w:val="hybridMultilevel"/>
    <w:tmpl w:val="A4D64F7C"/>
    <w:lvl w:ilvl="0" w:tplc="465CC760">
      <w:start w:val="1"/>
      <w:numFmt w:val="bullet"/>
      <w:lvlText w:val=""/>
      <w:lvlJc w:val="left"/>
      <w:pPr>
        <w:ind w:left="720" w:hanging="360"/>
      </w:pPr>
      <w:rPr>
        <w:rFonts w:ascii="Symbol" w:hAnsi="Symbol" w:hint="default"/>
      </w:rPr>
    </w:lvl>
    <w:lvl w:ilvl="1" w:tplc="6C6017E6" w:tentative="1">
      <w:start w:val="1"/>
      <w:numFmt w:val="bullet"/>
      <w:lvlText w:val="o"/>
      <w:lvlJc w:val="left"/>
      <w:pPr>
        <w:ind w:left="1440" w:hanging="360"/>
      </w:pPr>
      <w:rPr>
        <w:rFonts w:ascii="Courier New" w:hAnsi="Courier New" w:cs="Courier New" w:hint="default"/>
      </w:rPr>
    </w:lvl>
    <w:lvl w:ilvl="2" w:tplc="352AE79E" w:tentative="1">
      <w:start w:val="1"/>
      <w:numFmt w:val="bullet"/>
      <w:lvlText w:val=""/>
      <w:lvlJc w:val="left"/>
      <w:pPr>
        <w:ind w:left="2160" w:hanging="360"/>
      </w:pPr>
      <w:rPr>
        <w:rFonts w:ascii="Wingdings" w:hAnsi="Wingdings" w:hint="default"/>
      </w:rPr>
    </w:lvl>
    <w:lvl w:ilvl="3" w:tplc="270EBB52" w:tentative="1">
      <w:start w:val="1"/>
      <w:numFmt w:val="bullet"/>
      <w:lvlText w:val=""/>
      <w:lvlJc w:val="left"/>
      <w:pPr>
        <w:ind w:left="2880" w:hanging="360"/>
      </w:pPr>
      <w:rPr>
        <w:rFonts w:ascii="Symbol" w:hAnsi="Symbol" w:hint="default"/>
      </w:rPr>
    </w:lvl>
    <w:lvl w:ilvl="4" w:tplc="C47A1744" w:tentative="1">
      <w:start w:val="1"/>
      <w:numFmt w:val="bullet"/>
      <w:lvlText w:val="o"/>
      <w:lvlJc w:val="left"/>
      <w:pPr>
        <w:ind w:left="3600" w:hanging="360"/>
      </w:pPr>
      <w:rPr>
        <w:rFonts w:ascii="Courier New" w:hAnsi="Courier New" w:cs="Courier New" w:hint="default"/>
      </w:rPr>
    </w:lvl>
    <w:lvl w:ilvl="5" w:tplc="09F69910" w:tentative="1">
      <w:start w:val="1"/>
      <w:numFmt w:val="bullet"/>
      <w:lvlText w:val=""/>
      <w:lvlJc w:val="left"/>
      <w:pPr>
        <w:ind w:left="4320" w:hanging="360"/>
      </w:pPr>
      <w:rPr>
        <w:rFonts w:ascii="Wingdings" w:hAnsi="Wingdings" w:hint="default"/>
      </w:rPr>
    </w:lvl>
    <w:lvl w:ilvl="6" w:tplc="A35EE3D2" w:tentative="1">
      <w:start w:val="1"/>
      <w:numFmt w:val="bullet"/>
      <w:lvlText w:val=""/>
      <w:lvlJc w:val="left"/>
      <w:pPr>
        <w:ind w:left="5040" w:hanging="360"/>
      </w:pPr>
      <w:rPr>
        <w:rFonts w:ascii="Symbol" w:hAnsi="Symbol" w:hint="default"/>
      </w:rPr>
    </w:lvl>
    <w:lvl w:ilvl="7" w:tplc="70E0E1D8" w:tentative="1">
      <w:start w:val="1"/>
      <w:numFmt w:val="bullet"/>
      <w:lvlText w:val="o"/>
      <w:lvlJc w:val="left"/>
      <w:pPr>
        <w:ind w:left="5760" w:hanging="360"/>
      </w:pPr>
      <w:rPr>
        <w:rFonts w:ascii="Courier New" w:hAnsi="Courier New" w:cs="Courier New" w:hint="default"/>
      </w:rPr>
    </w:lvl>
    <w:lvl w:ilvl="8" w:tplc="D9FC3796" w:tentative="1">
      <w:start w:val="1"/>
      <w:numFmt w:val="bullet"/>
      <w:lvlText w:val=""/>
      <w:lvlJc w:val="left"/>
      <w:pPr>
        <w:ind w:left="6480" w:hanging="360"/>
      </w:pPr>
      <w:rPr>
        <w:rFonts w:ascii="Wingdings" w:hAnsi="Wingdings" w:hint="default"/>
      </w:rPr>
    </w:lvl>
  </w:abstractNum>
  <w:abstractNum w:abstractNumId="5">
    <w:nsid w:val="00000006"/>
    <w:multiLevelType w:val="hybridMultilevel"/>
    <w:tmpl w:val="3C3C430C"/>
    <w:lvl w:ilvl="0" w:tplc="263C5334">
      <w:start w:val="1"/>
      <w:numFmt w:val="bullet"/>
      <w:lvlText w:val=""/>
      <w:lvlJc w:val="left"/>
      <w:pPr>
        <w:ind w:left="720" w:hanging="360"/>
      </w:pPr>
      <w:rPr>
        <w:rFonts w:ascii="Symbol" w:hAnsi="Symbol" w:hint="default"/>
      </w:rPr>
    </w:lvl>
    <w:lvl w:ilvl="1" w:tplc="5FC455AC" w:tentative="1">
      <w:start w:val="1"/>
      <w:numFmt w:val="bullet"/>
      <w:lvlText w:val="o"/>
      <w:lvlJc w:val="left"/>
      <w:pPr>
        <w:ind w:left="1440" w:hanging="360"/>
      </w:pPr>
      <w:rPr>
        <w:rFonts w:ascii="Courier New" w:hAnsi="Courier New" w:cs="Courier New" w:hint="default"/>
      </w:rPr>
    </w:lvl>
    <w:lvl w:ilvl="2" w:tplc="F8907710" w:tentative="1">
      <w:start w:val="1"/>
      <w:numFmt w:val="bullet"/>
      <w:lvlText w:val=""/>
      <w:lvlJc w:val="left"/>
      <w:pPr>
        <w:ind w:left="2160" w:hanging="360"/>
      </w:pPr>
      <w:rPr>
        <w:rFonts w:ascii="Wingdings" w:hAnsi="Wingdings" w:hint="default"/>
      </w:rPr>
    </w:lvl>
    <w:lvl w:ilvl="3" w:tplc="2FAE80FE" w:tentative="1">
      <w:start w:val="1"/>
      <w:numFmt w:val="bullet"/>
      <w:lvlText w:val=""/>
      <w:lvlJc w:val="left"/>
      <w:pPr>
        <w:ind w:left="2880" w:hanging="360"/>
      </w:pPr>
      <w:rPr>
        <w:rFonts w:ascii="Symbol" w:hAnsi="Symbol" w:hint="default"/>
      </w:rPr>
    </w:lvl>
    <w:lvl w:ilvl="4" w:tplc="EEF251FE" w:tentative="1">
      <w:start w:val="1"/>
      <w:numFmt w:val="bullet"/>
      <w:lvlText w:val="o"/>
      <w:lvlJc w:val="left"/>
      <w:pPr>
        <w:ind w:left="3600" w:hanging="360"/>
      </w:pPr>
      <w:rPr>
        <w:rFonts w:ascii="Courier New" w:hAnsi="Courier New" w:cs="Courier New" w:hint="default"/>
      </w:rPr>
    </w:lvl>
    <w:lvl w:ilvl="5" w:tplc="DEB8F972" w:tentative="1">
      <w:start w:val="1"/>
      <w:numFmt w:val="bullet"/>
      <w:lvlText w:val=""/>
      <w:lvlJc w:val="left"/>
      <w:pPr>
        <w:ind w:left="4320" w:hanging="360"/>
      </w:pPr>
      <w:rPr>
        <w:rFonts w:ascii="Wingdings" w:hAnsi="Wingdings" w:hint="default"/>
      </w:rPr>
    </w:lvl>
    <w:lvl w:ilvl="6" w:tplc="4106FE78" w:tentative="1">
      <w:start w:val="1"/>
      <w:numFmt w:val="bullet"/>
      <w:lvlText w:val=""/>
      <w:lvlJc w:val="left"/>
      <w:pPr>
        <w:ind w:left="5040" w:hanging="360"/>
      </w:pPr>
      <w:rPr>
        <w:rFonts w:ascii="Symbol" w:hAnsi="Symbol" w:hint="default"/>
      </w:rPr>
    </w:lvl>
    <w:lvl w:ilvl="7" w:tplc="0A34AEB0" w:tentative="1">
      <w:start w:val="1"/>
      <w:numFmt w:val="bullet"/>
      <w:lvlText w:val="o"/>
      <w:lvlJc w:val="left"/>
      <w:pPr>
        <w:ind w:left="5760" w:hanging="360"/>
      </w:pPr>
      <w:rPr>
        <w:rFonts w:ascii="Courier New" w:hAnsi="Courier New" w:cs="Courier New" w:hint="default"/>
      </w:rPr>
    </w:lvl>
    <w:lvl w:ilvl="8" w:tplc="496E8204" w:tentative="1">
      <w:start w:val="1"/>
      <w:numFmt w:val="bullet"/>
      <w:lvlText w:val=""/>
      <w:lvlJc w:val="left"/>
      <w:pPr>
        <w:ind w:left="6480" w:hanging="360"/>
      </w:pPr>
      <w:rPr>
        <w:rFonts w:ascii="Wingdings" w:hAnsi="Wingdings" w:hint="default"/>
      </w:rPr>
    </w:lvl>
  </w:abstractNum>
  <w:abstractNum w:abstractNumId="6">
    <w:nsid w:val="00000007"/>
    <w:multiLevelType w:val="hybridMultilevel"/>
    <w:tmpl w:val="154C8B50"/>
    <w:lvl w:ilvl="0" w:tplc="6654168E">
      <w:start w:val="1"/>
      <w:numFmt w:val="bullet"/>
      <w:lvlText w:val=""/>
      <w:lvlJc w:val="left"/>
      <w:pPr>
        <w:ind w:left="720" w:hanging="360"/>
      </w:pPr>
      <w:rPr>
        <w:rFonts w:ascii="Symbol" w:hAnsi="Symbol" w:hint="default"/>
      </w:rPr>
    </w:lvl>
    <w:lvl w:ilvl="1" w:tplc="A87AD49A" w:tentative="1">
      <w:start w:val="1"/>
      <w:numFmt w:val="bullet"/>
      <w:lvlText w:val="o"/>
      <w:lvlJc w:val="left"/>
      <w:pPr>
        <w:ind w:left="1440" w:hanging="360"/>
      </w:pPr>
      <w:rPr>
        <w:rFonts w:ascii="Courier New" w:hAnsi="Courier New" w:cs="Courier New" w:hint="default"/>
      </w:rPr>
    </w:lvl>
    <w:lvl w:ilvl="2" w:tplc="C8A263DC" w:tentative="1">
      <w:start w:val="1"/>
      <w:numFmt w:val="bullet"/>
      <w:lvlText w:val=""/>
      <w:lvlJc w:val="left"/>
      <w:pPr>
        <w:ind w:left="2160" w:hanging="360"/>
      </w:pPr>
      <w:rPr>
        <w:rFonts w:ascii="Wingdings" w:hAnsi="Wingdings" w:hint="default"/>
      </w:rPr>
    </w:lvl>
    <w:lvl w:ilvl="3" w:tplc="83663E78" w:tentative="1">
      <w:start w:val="1"/>
      <w:numFmt w:val="bullet"/>
      <w:lvlText w:val=""/>
      <w:lvlJc w:val="left"/>
      <w:pPr>
        <w:ind w:left="2880" w:hanging="360"/>
      </w:pPr>
      <w:rPr>
        <w:rFonts w:ascii="Symbol" w:hAnsi="Symbol" w:hint="default"/>
      </w:rPr>
    </w:lvl>
    <w:lvl w:ilvl="4" w:tplc="08D4EEC4" w:tentative="1">
      <w:start w:val="1"/>
      <w:numFmt w:val="bullet"/>
      <w:lvlText w:val="o"/>
      <w:lvlJc w:val="left"/>
      <w:pPr>
        <w:ind w:left="3600" w:hanging="360"/>
      </w:pPr>
      <w:rPr>
        <w:rFonts w:ascii="Courier New" w:hAnsi="Courier New" w:cs="Courier New" w:hint="default"/>
      </w:rPr>
    </w:lvl>
    <w:lvl w:ilvl="5" w:tplc="592088D6" w:tentative="1">
      <w:start w:val="1"/>
      <w:numFmt w:val="bullet"/>
      <w:lvlText w:val=""/>
      <w:lvlJc w:val="left"/>
      <w:pPr>
        <w:ind w:left="4320" w:hanging="360"/>
      </w:pPr>
      <w:rPr>
        <w:rFonts w:ascii="Wingdings" w:hAnsi="Wingdings" w:hint="default"/>
      </w:rPr>
    </w:lvl>
    <w:lvl w:ilvl="6" w:tplc="E72AF914" w:tentative="1">
      <w:start w:val="1"/>
      <w:numFmt w:val="bullet"/>
      <w:lvlText w:val=""/>
      <w:lvlJc w:val="left"/>
      <w:pPr>
        <w:ind w:left="5040" w:hanging="360"/>
      </w:pPr>
      <w:rPr>
        <w:rFonts w:ascii="Symbol" w:hAnsi="Symbol" w:hint="default"/>
      </w:rPr>
    </w:lvl>
    <w:lvl w:ilvl="7" w:tplc="0E0E8B00" w:tentative="1">
      <w:start w:val="1"/>
      <w:numFmt w:val="bullet"/>
      <w:lvlText w:val="o"/>
      <w:lvlJc w:val="left"/>
      <w:pPr>
        <w:ind w:left="5760" w:hanging="360"/>
      </w:pPr>
      <w:rPr>
        <w:rFonts w:ascii="Courier New" w:hAnsi="Courier New" w:cs="Courier New" w:hint="default"/>
      </w:rPr>
    </w:lvl>
    <w:lvl w:ilvl="8" w:tplc="19C60C94" w:tentative="1">
      <w:start w:val="1"/>
      <w:numFmt w:val="bullet"/>
      <w:lvlText w:val=""/>
      <w:lvlJc w:val="left"/>
      <w:pPr>
        <w:ind w:left="6480" w:hanging="360"/>
      </w:pPr>
      <w:rPr>
        <w:rFonts w:ascii="Wingdings" w:hAnsi="Wingdings" w:hint="default"/>
      </w:rPr>
    </w:lvl>
  </w:abstractNum>
  <w:abstractNum w:abstractNumId="7">
    <w:nsid w:val="00000008"/>
    <w:multiLevelType w:val="hybridMultilevel"/>
    <w:tmpl w:val="AE44FEF8"/>
    <w:lvl w:ilvl="0" w:tplc="0F4AE8A4">
      <w:start w:val="1"/>
      <w:numFmt w:val="bullet"/>
      <w:lvlText w:val=""/>
      <w:lvlJc w:val="left"/>
      <w:pPr>
        <w:ind w:left="720" w:hanging="360"/>
      </w:pPr>
      <w:rPr>
        <w:rFonts w:ascii="Symbol" w:hAnsi="Symbol" w:hint="default"/>
      </w:rPr>
    </w:lvl>
    <w:lvl w:ilvl="1" w:tplc="88AE0FC4">
      <w:start w:val="1"/>
      <w:numFmt w:val="bullet"/>
      <w:lvlText w:val="•"/>
      <w:lvlJc w:val="left"/>
      <w:pPr>
        <w:ind w:left="1800" w:hanging="720"/>
      </w:pPr>
      <w:rPr>
        <w:rFonts w:ascii="Verdana" w:eastAsia="Times New Roman" w:hAnsi="Verdana" w:cs="Times New Roman" w:hint="default"/>
      </w:rPr>
    </w:lvl>
    <w:lvl w:ilvl="2" w:tplc="38764FDA" w:tentative="1">
      <w:start w:val="1"/>
      <w:numFmt w:val="bullet"/>
      <w:lvlText w:val=""/>
      <w:lvlJc w:val="left"/>
      <w:pPr>
        <w:ind w:left="2160" w:hanging="360"/>
      </w:pPr>
      <w:rPr>
        <w:rFonts w:ascii="Wingdings" w:hAnsi="Wingdings" w:hint="default"/>
      </w:rPr>
    </w:lvl>
    <w:lvl w:ilvl="3" w:tplc="CFF8F622" w:tentative="1">
      <w:start w:val="1"/>
      <w:numFmt w:val="bullet"/>
      <w:lvlText w:val=""/>
      <w:lvlJc w:val="left"/>
      <w:pPr>
        <w:ind w:left="2880" w:hanging="360"/>
      </w:pPr>
      <w:rPr>
        <w:rFonts w:ascii="Symbol" w:hAnsi="Symbol" w:hint="default"/>
      </w:rPr>
    </w:lvl>
    <w:lvl w:ilvl="4" w:tplc="27F657C4" w:tentative="1">
      <w:start w:val="1"/>
      <w:numFmt w:val="bullet"/>
      <w:lvlText w:val="o"/>
      <w:lvlJc w:val="left"/>
      <w:pPr>
        <w:ind w:left="3600" w:hanging="360"/>
      </w:pPr>
      <w:rPr>
        <w:rFonts w:ascii="Courier New" w:hAnsi="Courier New" w:cs="Courier New" w:hint="default"/>
      </w:rPr>
    </w:lvl>
    <w:lvl w:ilvl="5" w:tplc="7606224C" w:tentative="1">
      <w:start w:val="1"/>
      <w:numFmt w:val="bullet"/>
      <w:lvlText w:val=""/>
      <w:lvlJc w:val="left"/>
      <w:pPr>
        <w:ind w:left="4320" w:hanging="360"/>
      </w:pPr>
      <w:rPr>
        <w:rFonts w:ascii="Wingdings" w:hAnsi="Wingdings" w:hint="default"/>
      </w:rPr>
    </w:lvl>
    <w:lvl w:ilvl="6" w:tplc="3180655E" w:tentative="1">
      <w:start w:val="1"/>
      <w:numFmt w:val="bullet"/>
      <w:lvlText w:val=""/>
      <w:lvlJc w:val="left"/>
      <w:pPr>
        <w:ind w:left="5040" w:hanging="360"/>
      </w:pPr>
      <w:rPr>
        <w:rFonts w:ascii="Symbol" w:hAnsi="Symbol" w:hint="default"/>
      </w:rPr>
    </w:lvl>
    <w:lvl w:ilvl="7" w:tplc="577EF6FA" w:tentative="1">
      <w:start w:val="1"/>
      <w:numFmt w:val="bullet"/>
      <w:lvlText w:val="o"/>
      <w:lvlJc w:val="left"/>
      <w:pPr>
        <w:ind w:left="5760" w:hanging="360"/>
      </w:pPr>
      <w:rPr>
        <w:rFonts w:ascii="Courier New" w:hAnsi="Courier New" w:cs="Courier New" w:hint="default"/>
      </w:rPr>
    </w:lvl>
    <w:lvl w:ilvl="8" w:tplc="7CC2A530" w:tentative="1">
      <w:start w:val="1"/>
      <w:numFmt w:val="bullet"/>
      <w:lvlText w:val=""/>
      <w:lvlJc w:val="left"/>
      <w:pPr>
        <w:ind w:left="6480" w:hanging="360"/>
      </w:pPr>
      <w:rPr>
        <w:rFonts w:ascii="Wingdings" w:hAnsi="Wingdings" w:hint="default"/>
      </w:rPr>
    </w:lvl>
  </w:abstractNum>
  <w:abstractNum w:abstractNumId="8">
    <w:nsid w:val="00000009"/>
    <w:multiLevelType w:val="hybridMultilevel"/>
    <w:tmpl w:val="78E69128"/>
    <w:lvl w:ilvl="0" w:tplc="E37216F8">
      <w:start w:val="1"/>
      <w:numFmt w:val="bullet"/>
      <w:lvlText w:val=""/>
      <w:lvlJc w:val="left"/>
      <w:pPr>
        <w:ind w:left="720" w:hanging="360"/>
      </w:pPr>
      <w:rPr>
        <w:rFonts w:ascii="Symbol" w:hAnsi="Symbol" w:hint="default"/>
      </w:rPr>
    </w:lvl>
    <w:lvl w:ilvl="1" w:tplc="8A44F150" w:tentative="1">
      <w:start w:val="1"/>
      <w:numFmt w:val="bullet"/>
      <w:lvlText w:val="o"/>
      <w:lvlJc w:val="left"/>
      <w:pPr>
        <w:ind w:left="1440" w:hanging="360"/>
      </w:pPr>
      <w:rPr>
        <w:rFonts w:ascii="Courier New" w:hAnsi="Courier New" w:cs="Courier New" w:hint="default"/>
      </w:rPr>
    </w:lvl>
    <w:lvl w:ilvl="2" w:tplc="1A188024" w:tentative="1">
      <w:start w:val="1"/>
      <w:numFmt w:val="bullet"/>
      <w:lvlText w:val=""/>
      <w:lvlJc w:val="left"/>
      <w:pPr>
        <w:ind w:left="2160" w:hanging="360"/>
      </w:pPr>
      <w:rPr>
        <w:rFonts w:ascii="Wingdings" w:hAnsi="Wingdings" w:hint="default"/>
      </w:rPr>
    </w:lvl>
    <w:lvl w:ilvl="3" w:tplc="7B944C94" w:tentative="1">
      <w:start w:val="1"/>
      <w:numFmt w:val="bullet"/>
      <w:lvlText w:val=""/>
      <w:lvlJc w:val="left"/>
      <w:pPr>
        <w:ind w:left="2880" w:hanging="360"/>
      </w:pPr>
      <w:rPr>
        <w:rFonts w:ascii="Symbol" w:hAnsi="Symbol" w:hint="default"/>
      </w:rPr>
    </w:lvl>
    <w:lvl w:ilvl="4" w:tplc="1D489E42" w:tentative="1">
      <w:start w:val="1"/>
      <w:numFmt w:val="bullet"/>
      <w:lvlText w:val="o"/>
      <w:lvlJc w:val="left"/>
      <w:pPr>
        <w:ind w:left="3600" w:hanging="360"/>
      </w:pPr>
      <w:rPr>
        <w:rFonts w:ascii="Courier New" w:hAnsi="Courier New" w:cs="Courier New" w:hint="default"/>
      </w:rPr>
    </w:lvl>
    <w:lvl w:ilvl="5" w:tplc="B16867BA" w:tentative="1">
      <w:start w:val="1"/>
      <w:numFmt w:val="bullet"/>
      <w:lvlText w:val=""/>
      <w:lvlJc w:val="left"/>
      <w:pPr>
        <w:ind w:left="4320" w:hanging="360"/>
      </w:pPr>
      <w:rPr>
        <w:rFonts w:ascii="Wingdings" w:hAnsi="Wingdings" w:hint="default"/>
      </w:rPr>
    </w:lvl>
    <w:lvl w:ilvl="6" w:tplc="A950CE28" w:tentative="1">
      <w:start w:val="1"/>
      <w:numFmt w:val="bullet"/>
      <w:lvlText w:val=""/>
      <w:lvlJc w:val="left"/>
      <w:pPr>
        <w:ind w:left="5040" w:hanging="360"/>
      </w:pPr>
      <w:rPr>
        <w:rFonts w:ascii="Symbol" w:hAnsi="Symbol" w:hint="default"/>
      </w:rPr>
    </w:lvl>
    <w:lvl w:ilvl="7" w:tplc="6284D40E" w:tentative="1">
      <w:start w:val="1"/>
      <w:numFmt w:val="bullet"/>
      <w:lvlText w:val="o"/>
      <w:lvlJc w:val="left"/>
      <w:pPr>
        <w:ind w:left="5760" w:hanging="360"/>
      </w:pPr>
      <w:rPr>
        <w:rFonts w:ascii="Courier New" w:hAnsi="Courier New" w:cs="Courier New" w:hint="default"/>
      </w:rPr>
    </w:lvl>
    <w:lvl w:ilvl="8" w:tplc="D30C1074" w:tentative="1">
      <w:start w:val="1"/>
      <w:numFmt w:val="bullet"/>
      <w:lvlText w:val=""/>
      <w:lvlJc w:val="left"/>
      <w:pPr>
        <w:ind w:left="6480" w:hanging="360"/>
      </w:pPr>
      <w:rPr>
        <w:rFonts w:ascii="Wingdings" w:hAnsi="Wingdings" w:hint="default"/>
      </w:rPr>
    </w:lvl>
  </w:abstractNum>
  <w:abstractNum w:abstractNumId="9">
    <w:nsid w:val="0000000A"/>
    <w:multiLevelType w:val="hybridMultilevel"/>
    <w:tmpl w:val="E1703C60"/>
    <w:lvl w:ilvl="0" w:tplc="7C123522">
      <w:start w:val="1"/>
      <w:numFmt w:val="bullet"/>
      <w:lvlText w:val=""/>
      <w:lvlJc w:val="left"/>
      <w:pPr>
        <w:ind w:left="720" w:hanging="360"/>
      </w:pPr>
      <w:rPr>
        <w:rFonts w:ascii="Symbol" w:hAnsi="Symbol" w:hint="default"/>
      </w:rPr>
    </w:lvl>
    <w:lvl w:ilvl="1" w:tplc="CB540C14" w:tentative="1">
      <w:start w:val="1"/>
      <w:numFmt w:val="bullet"/>
      <w:lvlText w:val="o"/>
      <w:lvlJc w:val="left"/>
      <w:pPr>
        <w:ind w:left="1440" w:hanging="360"/>
      </w:pPr>
      <w:rPr>
        <w:rFonts w:ascii="Courier New" w:hAnsi="Courier New" w:cs="Courier New" w:hint="default"/>
      </w:rPr>
    </w:lvl>
    <w:lvl w:ilvl="2" w:tplc="D0443C60" w:tentative="1">
      <w:start w:val="1"/>
      <w:numFmt w:val="bullet"/>
      <w:lvlText w:val=""/>
      <w:lvlJc w:val="left"/>
      <w:pPr>
        <w:ind w:left="2160" w:hanging="360"/>
      </w:pPr>
      <w:rPr>
        <w:rFonts w:ascii="Wingdings" w:hAnsi="Wingdings" w:hint="default"/>
      </w:rPr>
    </w:lvl>
    <w:lvl w:ilvl="3" w:tplc="ACAA797C" w:tentative="1">
      <w:start w:val="1"/>
      <w:numFmt w:val="bullet"/>
      <w:lvlText w:val=""/>
      <w:lvlJc w:val="left"/>
      <w:pPr>
        <w:ind w:left="2880" w:hanging="360"/>
      </w:pPr>
      <w:rPr>
        <w:rFonts w:ascii="Symbol" w:hAnsi="Symbol" w:hint="default"/>
      </w:rPr>
    </w:lvl>
    <w:lvl w:ilvl="4" w:tplc="FA56635A" w:tentative="1">
      <w:start w:val="1"/>
      <w:numFmt w:val="bullet"/>
      <w:lvlText w:val="o"/>
      <w:lvlJc w:val="left"/>
      <w:pPr>
        <w:ind w:left="3600" w:hanging="360"/>
      </w:pPr>
      <w:rPr>
        <w:rFonts w:ascii="Courier New" w:hAnsi="Courier New" w:cs="Courier New" w:hint="default"/>
      </w:rPr>
    </w:lvl>
    <w:lvl w:ilvl="5" w:tplc="FC44523A" w:tentative="1">
      <w:start w:val="1"/>
      <w:numFmt w:val="bullet"/>
      <w:lvlText w:val=""/>
      <w:lvlJc w:val="left"/>
      <w:pPr>
        <w:ind w:left="4320" w:hanging="360"/>
      </w:pPr>
      <w:rPr>
        <w:rFonts w:ascii="Wingdings" w:hAnsi="Wingdings" w:hint="default"/>
      </w:rPr>
    </w:lvl>
    <w:lvl w:ilvl="6" w:tplc="F31E6B0C" w:tentative="1">
      <w:start w:val="1"/>
      <w:numFmt w:val="bullet"/>
      <w:lvlText w:val=""/>
      <w:lvlJc w:val="left"/>
      <w:pPr>
        <w:ind w:left="5040" w:hanging="360"/>
      </w:pPr>
      <w:rPr>
        <w:rFonts w:ascii="Symbol" w:hAnsi="Symbol" w:hint="default"/>
      </w:rPr>
    </w:lvl>
    <w:lvl w:ilvl="7" w:tplc="1A1AAD7A" w:tentative="1">
      <w:start w:val="1"/>
      <w:numFmt w:val="bullet"/>
      <w:lvlText w:val="o"/>
      <w:lvlJc w:val="left"/>
      <w:pPr>
        <w:ind w:left="5760" w:hanging="360"/>
      </w:pPr>
      <w:rPr>
        <w:rFonts w:ascii="Courier New" w:hAnsi="Courier New" w:cs="Courier New" w:hint="default"/>
      </w:rPr>
    </w:lvl>
    <w:lvl w:ilvl="8" w:tplc="9EA6C88E" w:tentative="1">
      <w:start w:val="1"/>
      <w:numFmt w:val="bullet"/>
      <w:lvlText w:val=""/>
      <w:lvlJc w:val="left"/>
      <w:pPr>
        <w:ind w:left="6480" w:hanging="360"/>
      </w:pPr>
      <w:rPr>
        <w:rFonts w:ascii="Wingdings" w:hAnsi="Wingdings" w:hint="default"/>
      </w:rPr>
    </w:lvl>
  </w:abstractNum>
  <w:abstractNum w:abstractNumId="10">
    <w:nsid w:val="0000000B"/>
    <w:multiLevelType w:val="hybridMultilevel"/>
    <w:tmpl w:val="9AE265B8"/>
    <w:lvl w:ilvl="0" w:tplc="E7C4E428">
      <w:start w:val="1"/>
      <w:numFmt w:val="bullet"/>
      <w:lvlText w:val=""/>
      <w:lvlJc w:val="left"/>
      <w:pPr>
        <w:ind w:left="720" w:hanging="360"/>
      </w:pPr>
      <w:rPr>
        <w:rFonts w:ascii="Symbol" w:hAnsi="Symbol" w:hint="default"/>
      </w:rPr>
    </w:lvl>
    <w:lvl w:ilvl="1" w:tplc="7436A168" w:tentative="1">
      <w:start w:val="1"/>
      <w:numFmt w:val="bullet"/>
      <w:lvlText w:val="o"/>
      <w:lvlJc w:val="left"/>
      <w:pPr>
        <w:ind w:left="1440" w:hanging="360"/>
      </w:pPr>
      <w:rPr>
        <w:rFonts w:ascii="Courier New" w:hAnsi="Courier New" w:cs="Courier New" w:hint="default"/>
      </w:rPr>
    </w:lvl>
    <w:lvl w:ilvl="2" w:tplc="9C1A289E" w:tentative="1">
      <w:start w:val="1"/>
      <w:numFmt w:val="bullet"/>
      <w:lvlText w:val=""/>
      <w:lvlJc w:val="left"/>
      <w:pPr>
        <w:ind w:left="2160" w:hanging="360"/>
      </w:pPr>
      <w:rPr>
        <w:rFonts w:ascii="Wingdings" w:hAnsi="Wingdings" w:hint="default"/>
      </w:rPr>
    </w:lvl>
    <w:lvl w:ilvl="3" w:tplc="A530D13A" w:tentative="1">
      <w:start w:val="1"/>
      <w:numFmt w:val="bullet"/>
      <w:lvlText w:val=""/>
      <w:lvlJc w:val="left"/>
      <w:pPr>
        <w:ind w:left="2880" w:hanging="360"/>
      </w:pPr>
      <w:rPr>
        <w:rFonts w:ascii="Symbol" w:hAnsi="Symbol" w:hint="default"/>
      </w:rPr>
    </w:lvl>
    <w:lvl w:ilvl="4" w:tplc="490C9F16" w:tentative="1">
      <w:start w:val="1"/>
      <w:numFmt w:val="bullet"/>
      <w:lvlText w:val="o"/>
      <w:lvlJc w:val="left"/>
      <w:pPr>
        <w:ind w:left="3600" w:hanging="360"/>
      </w:pPr>
      <w:rPr>
        <w:rFonts w:ascii="Courier New" w:hAnsi="Courier New" w:cs="Courier New" w:hint="default"/>
      </w:rPr>
    </w:lvl>
    <w:lvl w:ilvl="5" w:tplc="AA1451FC" w:tentative="1">
      <w:start w:val="1"/>
      <w:numFmt w:val="bullet"/>
      <w:lvlText w:val=""/>
      <w:lvlJc w:val="left"/>
      <w:pPr>
        <w:ind w:left="4320" w:hanging="360"/>
      </w:pPr>
      <w:rPr>
        <w:rFonts w:ascii="Wingdings" w:hAnsi="Wingdings" w:hint="default"/>
      </w:rPr>
    </w:lvl>
    <w:lvl w:ilvl="6" w:tplc="C54CAA5C" w:tentative="1">
      <w:start w:val="1"/>
      <w:numFmt w:val="bullet"/>
      <w:lvlText w:val=""/>
      <w:lvlJc w:val="left"/>
      <w:pPr>
        <w:ind w:left="5040" w:hanging="360"/>
      </w:pPr>
      <w:rPr>
        <w:rFonts w:ascii="Symbol" w:hAnsi="Symbol" w:hint="default"/>
      </w:rPr>
    </w:lvl>
    <w:lvl w:ilvl="7" w:tplc="091A9768" w:tentative="1">
      <w:start w:val="1"/>
      <w:numFmt w:val="bullet"/>
      <w:lvlText w:val="o"/>
      <w:lvlJc w:val="left"/>
      <w:pPr>
        <w:ind w:left="5760" w:hanging="360"/>
      </w:pPr>
      <w:rPr>
        <w:rFonts w:ascii="Courier New" w:hAnsi="Courier New" w:cs="Courier New" w:hint="default"/>
      </w:rPr>
    </w:lvl>
    <w:lvl w:ilvl="8" w:tplc="01C4FC38" w:tentative="1">
      <w:start w:val="1"/>
      <w:numFmt w:val="bullet"/>
      <w:lvlText w:val=""/>
      <w:lvlJc w:val="left"/>
      <w:pPr>
        <w:ind w:left="6480" w:hanging="360"/>
      </w:pPr>
      <w:rPr>
        <w:rFonts w:ascii="Wingdings" w:hAnsi="Wingdings" w:hint="default"/>
      </w:rPr>
    </w:lvl>
  </w:abstractNum>
  <w:abstractNum w:abstractNumId="11">
    <w:nsid w:val="0000000C"/>
    <w:multiLevelType w:val="hybridMultilevel"/>
    <w:tmpl w:val="515A4876"/>
    <w:lvl w:ilvl="0" w:tplc="0114CABC">
      <w:start w:val="1"/>
      <w:numFmt w:val="bullet"/>
      <w:lvlText w:val=""/>
      <w:lvlJc w:val="left"/>
      <w:pPr>
        <w:ind w:left="720" w:hanging="360"/>
      </w:pPr>
      <w:rPr>
        <w:rFonts w:ascii="Symbol" w:hAnsi="Symbol" w:hint="default"/>
      </w:rPr>
    </w:lvl>
    <w:lvl w:ilvl="1" w:tplc="3E186D4A">
      <w:start w:val="1"/>
      <w:numFmt w:val="bullet"/>
      <w:lvlText w:val=""/>
      <w:lvlJc w:val="left"/>
      <w:pPr>
        <w:ind w:left="1440" w:hanging="360"/>
      </w:pPr>
      <w:rPr>
        <w:rFonts w:ascii="Symbol" w:hAnsi="Symbol" w:hint="default"/>
      </w:rPr>
    </w:lvl>
    <w:lvl w:ilvl="2" w:tplc="51A0C382" w:tentative="1">
      <w:start w:val="1"/>
      <w:numFmt w:val="bullet"/>
      <w:lvlText w:val=""/>
      <w:lvlJc w:val="left"/>
      <w:pPr>
        <w:ind w:left="2160" w:hanging="360"/>
      </w:pPr>
      <w:rPr>
        <w:rFonts w:ascii="Wingdings" w:hAnsi="Wingdings" w:hint="default"/>
      </w:rPr>
    </w:lvl>
    <w:lvl w:ilvl="3" w:tplc="E75068E2" w:tentative="1">
      <w:start w:val="1"/>
      <w:numFmt w:val="bullet"/>
      <w:lvlText w:val=""/>
      <w:lvlJc w:val="left"/>
      <w:pPr>
        <w:ind w:left="2880" w:hanging="360"/>
      </w:pPr>
      <w:rPr>
        <w:rFonts w:ascii="Symbol" w:hAnsi="Symbol" w:hint="default"/>
      </w:rPr>
    </w:lvl>
    <w:lvl w:ilvl="4" w:tplc="3E78E656" w:tentative="1">
      <w:start w:val="1"/>
      <w:numFmt w:val="bullet"/>
      <w:lvlText w:val="o"/>
      <w:lvlJc w:val="left"/>
      <w:pPr>
        <w:ind w:left="3600" w:hanging="360"/>
      </w:pPr>
      <w:rPr>
        <w:rFonts w:ascii="Courier New" w:hAnsi="Courier New" w:cs="Courier New" w:hint="default"/>
      </w:rPr>
    </w:lvl>
    <w:lvl w:ilvl="5" w:tplc="2D2C6354" w:tentative="1">
      <w:start w:val="1"/>
      <w:numFmt w:val="bullet"/>
      <w:lvlText w:val=""/>
      <w:lvlJc w:val="left"/>
      <w:pPr>
        <w:ind w:left="4320" w:hanging="360"/>
      </w:pPr>
      <w:rPr>
        <w:rFonts w:ascii="Wingdings" w:hAnsi="Wingdings" w:hint="default"/>
      </w:rPr>
    </w:lvl>
    <w:lvl w:ilvl="6" w:tplc="E6C256E0" w:tentative="1">
      <w:start w:val="1"/>
      <w:numFmt w:val="bullet"/>
      <w:lvlText w:val=""/>
      <w:lvlJc w:val="left"/>
      <w:pPr>
        <w:ind w:left="5040" w:hanging="360"/>
      </w:pPr>
      <w:rPr>
        <w:rFonts w:ascii="Symbol" w:hAnsi="Symbol" w:hint="default"/>
      </w:rPr>
    </w:lvl>
    <w:lvl w:ilvl="7" w:tplc="44C0E14E" w:tentative="1">
      <w:start w:val="1"/>
      <w:numFmt w:val="bullet"/>
      <w:lvlText w:val="o"/>
      <w:lvlJc w:val="left"/>
      <w:pPr>
        <w:ind w:left="5760" w:hanging="360"/>
      </w:pPr>
      <w:rPr>
        <w:rFonts w:ascii="Courier New" w:hAnsi="Courier New" w:cs="Courier New" w:hint="default"/>
      </w:rPr>
    </w:lvl>
    <w:lvl w:ilvl="8" w:tplc="E9922474" w:tentative="1">
      <w:start w:val="1"/>
      <w:numFmt w:val="bullet"/>
      <w:lvlText w:val=""/>
      <w:lvlJc w:val="left"/>
      <w:pPr>
        <w:ind w:left="6480" w:hanging="360"/>
      </w:pPr>
      <w:rPr>
        <w:rFonts w:ascii="Wingdings" w:hAnsi="Wingdings" w:hint="default"/>
      </w:rPr>
    </w:lvl>
  </w:abstractNum>
  <w:abstractNum w:abstractNumId="12">
    <w:nsid w:val="0000000D"/>
    <w:multiLevelType w:val="multilevel"/>
    <w:tmpl w:val="999EE3EE"/>
    <w:lvl w:ilvl="0">
      <w:start w:val="1"/>
      <w:numFmt w:val="decimal"/>
      <w:pStyle w:val="HEADER1Part2"/>
      <w:lvlText w:val="%1."/>
      <w:lvlJc w:val="left"/>
      <w:pPr>
        <w:ind w:left="907" w:hanging="907"/>
      </w:pPr>
      <w:rPr>
        <w:rFonts w:hint="default"/>
      </w:rPr>
    </w:lvl>
    <w:lvl w:ilvl="1">
      <w:start w:val="1"/>
      <w:numFmt w:val="decimal"/>
      <w:pStyle w:val="HEADER2Part2"/>
      <w:lvlText w:val="%1.%2."/>
      <w:lvlJc w:val="left"/>
      <w:pPr>
        <w:ind w:left="907" w:hanging="907"/>
      </w:pPr>
      <w:rPr>
        <w:rFonts w:hint="default"/>
      </w:rPr>
    </w:lvl>
    <w:lvl w:ilvl="2">
      <w:start w:val="1"/>
      <w:numFmt w:val="decimal"/>
      <w:pStyle w:val="HEADER3Part2"/>
      <w:lvlText w:val="%1.%2.%3."/>
      <w:lvlJc w:val="left"/>
      <w:pPr>
        <w:ind w:left="907" w:hanging="907"/>
      </w:pPr>
      <w:rPr>
        <w:rFonts w:hint="default"/>
      </w:rPr>
    </w:lvl>
    <w:lvl w:ilvl="3">
      <w:start w:val="1"/>
      <w:numFmt w:val="decimal"/>
      <w:pStyle w:val="HEADER4Part2"/>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13">
    <w:nsid w:val="0000000E"/>
    <w:multiLevelType w:val="hybridMultilevel"/>
    <w:tmpl w:val="42FC2B20"/>
    <w:lvl w:ilvl="0" w:tplc="2EE43478">
      <w:start w:val="1"/>
      <w:numFmt w:val="lowerRoman"/>
      <w:pStyle w:val="TextSubtitlenumberingRCItalic"/>
      <w:lvlText w:val="(%1)"/>
      <w:lvlJc w:val="left"/>
      <w:pPr>
        <w:ind w:left="720" w:hanging="360"/>
      </w:pPr>
      <w:rPr>
        <w:rFonts w:hint="default"/>
      </w:rPr>
    </w:lvl>
    <w:lvl w:ilvl="1" w:tplc="3730AEF4" w:tentative="1">
      <w:start w:val="1"/>
      <w:numFmt w:val="lowerLetter"/>
      <w:lvlText w:val="%2."/>
      <w:lvlJc w:val="left"/>
      <w:pPr>
        <w:ind w:left="1440" w:hanging="360"/>
      </w:pPr>
    </w:lvl>
    <w:lvl w:ilvl="2" w:tplc="3A4283D2" w:tentative="1">
      <w:start w:val="1"/>
      <w:numFmt w:val="lowerRoman"/>
      <w:lvlText w:val="%3."/>
      <w:lvlJc w:val="right"/>
      <w:pPr>
        <w:ind w:left="2160" w:hanging="180"/>
      </w:pPr>
    </w:lvl>
    <w:lvl w:ilvl="3" w:tplc="9DC07F58" w:tentative="1">
      <w:start w:val="1"/>
      <w:numFmt w:val="decimal"/>
      <w:lvlText w:val="%4."/>
      <w:lvlJc w:val="left"/>
      <w:pPr>
        <w:ind w:left="2880" w:hanging="360"/>
      </w:pPr>
    </w:lvl>
    <w:lvl w:ilvl="4" w:tplc="B71E8230" w:tentative="1">
      <w:start w:val="1"/>
      <w:numFmt w:val="lowerLetter"/>
      <w:lvlText w:val="%5."/>
      <w:lvlJc w:val="left"/>
      <w:pPr>
        <w:ind w:left="3600" w:hanging="360"/>
      </w:pPr>
    </w:lvl>
    <w:lvl w:ilvl="5" w:tplc="0140331A" w:tentative="1">
      <w:start w:val="1"/>
      <w:numFmt w:val="lowerRoman"/>
      <w:lvlText w:val="%6."/>
      <w:lvlJc w:val="right"/>
      <w:pPr>
        <w:ind w:left="4320" w:hanging="180"/>
      </w:pPr>
    </w:lvl>
    <w:lvl w:ilvl="6" w:tplc="C8B2FEFA" w:tentative="1">
      <w:start w:val="1"/>
      <w:numFmt w:val="decimal"/>
      <w:lvlText w:val="%7."/>
      <w:lvlJc w:val="left"/>
      <w:pPr>
        <w:ind w:left="5040" w:hanging="360"/>
      </w:pPr>
    </w:lvl>
    <w:lvl w:ilvl="7" w:tplc="40487094" w:tentative="1">
      <w:start w:val="1"/>
      <w:numFmt w:val="lowerLetter"/>
      <w:lvlText w:val="%8."/>
      <w:lvlJc w:val="left"/>
      <w:pPr>
        <w:ind w:left="5760" w:hanging="360"/>
      </w:pPr>
    </w:lvl>
    <w:lvl w:ilvl="8" w:tplc="5E52C51A" w:tentative="1">
      <w:start w:val="1"/>
      <w:numFmt w:val="lowerRoman"/>
      <w:lvlText w:val="%9."/>
      <w:lvlJc w:val="right"/>
      <w:pPr>
        <w:ind w:left="6480" w:hanging="180"/>
      </w:pPr>
    </w:lvl>
  </w:abstractNum>
  <w:abstractNum w:abstractNumId="14">
    <w:nsid w:val="0000000F"/>
    <w:multiLevelType w:val="hybridMultilevel"/>
    <w:tmpl w:val="ACAA79B8"/>
    <w:lvl w:ilvl="0" w:tplc="66A8D770">
      <w:numFmt w:val="bullet"/>
      <w:pStyle w:val="Textstand-alonebulletpointJustified"/>
      <w:lvlText w:val="-"/>
      <w:lvlJc w:val="left"/>
      <w:pPr>
        <w:ind w:left="1080" w:hanging="360"/>
      </w:pPr>
      <w:rPr>
        <w:rFonts w:ascii="Times New Roman" w:eastAsia="Times New Roman" w:hAnsi="Times New Roman" w:cs="Times New Roman" w:hint="default"/>
      </w:rPr>
    </w:lvl>
    <w:lvl w:ilvl="1" w:tplc="91027E40" w:tentative="1">
      <w:start w:val="1"/>
      <w:numFmt w:val="bullet"/>
      <w:lvlText w:val="o"/>
      <w:lvlJc w:val="left"/>
      <w:pPr>
        <w:ind w:left="1800" w:hanging="360"/>
      </w:pPr>
      <w:rPr>
        <w:rFonts w:ascii="Courier New" w:hAnsi="Courier New" w:cs="Courier New" w:hint="default"/>
      </w:rPr>
    </w:lvl>
    <w:lvl w:ilvl="2" w:tplc="CF940768" w:tentative="1">
      <w:start w:val="1"/>
      <w:numFmt w:val="bullet"/>
      <w:lvlText w:val=""/>
      <w:lvlJc w:val="left"/>
      <w:pPr>
        <w:ind w:left="2520" w:hanging="360"/>
      </w:pPr>
      <w:rPr>
        <w:rFonts w:ascii="Wingdings" w:hAnsi="Wingdings" w:hint="default"/>
      </w:rPr>
    </w:lvl>
    <w:lvl w:ilvl="3" w:tplc="910E3CC2" w:tentative="1">
      <w:start w:val="1"/>
      <w:numFmt w:val="bullet"/>
      <w:lvlText w:val=""/>
      <w:lvlJc w:val="left"/>
      <w:pPr>
        <w:ind w:left="3240" w:hanging="360"/>
      </w:pPr>
      <w:rPr>
        <w:rFonts w:ascii="Symbol" w:hAnsi="Symbol" w:hint="default"/>
      </w:rPr>
    </w:lvl>
    <w:lvl w:ilvl="4" w:tplc="3CCA760C" w:tentative="1">
      <w:start w:val="1"/>
      <w:numFmt w:val="bullet"/>
      <w:lvlText w:val="o"/>
      <w:lvlJc w:val="left"/>
      <w:pPr>
        <w:ind w:left="3960" w:hanging="360"/>
      </w:pPr>
      <w:rPr>
        <w:rFonts w:ascii="Courier New" w:hAnsi="Courier New" w:cs="Courier New" w:hint="default"/>
      </w:rPr>
    </w:lvl>
    <w:lvl w:ilvl="5" w:tplc="196C98F8" w:tentative="1">
      <w:start w:val="1"/>
      <w:numFmt w:val="bullet"/>
      <w:lvlText w:val=""/>
      <w:lvlJc w:val="left"/>
      <w:pPr>
        <w:ind w:left="4680" w:hanging="360"/>
      </w:pPr>
      <w:rPr>
        <w:rFonts w:ascii="Wingdings" w:hAnsi="Wingdings" w:hint="default"/>
      </w:rPr>
    </w:lvl>
    <w:lvl w:ilvl="6" w:tplc="FD36A6EE" w:tentative="1">
      <w:start w:val="1"/>
      <w:numFmt w:val="bullet"/>
      <w:lvlText w:val=""/>
      <w:lvlJc w:val="left"/>
      <w:pPr>
        <w:ind w:left="5400" w:hanging="360"/>
      </w:pPr>
      <w:rPr>
        <w:rFonts w:ascii="Symbol" w:hAnsi="Symbol" w:hint="default"/>
      </w:rPr>
    </w:lvl>
    <w:lvl w:ilvl="7" w:tplc="95AC8312" w:tentative="1">
      <w:start w:val="1"/>
      <w:numFmt w:val="bullet"/>
      <w:lvlText w:val="o"/>
      <w:lvlJc w:val="left"/>
      <w:pPr>
        <w:ind w:left="6120" w:hanging="360"/>
      </w:pPr>
      <w:rPr>
        <w:rFonts w:ascii="Courier New" w:hAnsi="Courier New" w:cs="Courier New" w:hint="default"/>
      </w:rPr>
    </w:lvl>
    <w:lvl w:ilvl="8" w:tplc="B1048BA2" w:tentative="1">
      <w:start w:val="1"/>
      <w:numFmt w:val="bullet"/>
      <w:lvlText w:val=""/>
      <w:lvlJc w:val="left"/>
      <w:pPr>
        <w:ind w:left="6840" w:hanging="360"/>
      </w:pPr>
      <w:rPr>
        <w:rFonts w:ascii="Wingdings" w:hAnsi="Wingdings" w:hint="default"/>
      </w:rPr>
    </w:lvl>
  </w:abstractNum>
  <w:abstractNum w:abstractNumId="15">
    <w:nsid w:val="00000010"/>
    <w:multiLevelType w:val="hybridMultilevel"/>
    <w:tmpl w:val="125CBDD2"/>
    <w:lvl w:ilvl="0" w:tplc="D5FE109E">
      <w:start w:val="1"/>
      <w:numFmt w:val="lowerRoman"/>
      <w:pStyle w:val="Textstand-alonenumberingRCIndentJustified"/>
      <w:lvlText w:val="(%1)"/>
      <w:lvlJc w:val="left"/>
      <w:pPr>
        <w:ind w:left="720" w:hanging="360"/>
      </w:pPr>
      <w:rPr>
        <w:rFonts w:ascii="Verdana" w:hAnsi="Verdana" w:cs="Times New Roman"/>
        <w:b w:val="0"/>
        <w:bCs w:val="0"/>
        <w:i/>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D6147F86" w:tentative="1">
      <w:start w:val="1"/>
      <w:numFmt w:val="lowerLetter"/>
      <w:lvlText w:val="%2."/>
      <w:lvlJc w:val="left"/>
      <w:pPr>
        <w:ind w:left="1440" w:hanging="360"/>
      </w:pPr>
    </w:lvl>
    <w:lvl w:ilvl="2" w:tplc="CA3253DC" w:tentative="1">
      <w:start w:val="1"/>
      <w:numFmt w:val="lowerRoman"/>
      <w:lvlText w:val="%3."/>
      <w:lvlJc w:val="right"/>
      <w:pPr>
        <w:ind w:left="2160" w:hanging="180"/>
      </w:pPr>
    </w:lvl>
    <w:lvl w:ilvl="3" w:tplc="AF70EE5E" w:tentative="1">
      <w:start w:val="1"/>
      <w:numFmt w:val="decimal"/>
      <w:lvlText w:val="%4."/>
      <w:lvlJc w:val="left"/>
      <w:pPr>
        <w:ind w:left="2880" w:hanging="360"/>
      </w:pPr>
    </w:lvl>
    <w:lvl w:ilvl="4" w:tplc="1598DD1A" w:tentative="1">
      <w:start w:val="1"/>
      <w:numFmt w:val="lowerLetter"/>
      <w:lvlText w:val="%5."/>
      <w:lvlJc w:val="left"/>
      <w:pPr>
        <w:ind w:left="3600" w:hanging="360"/>
      </w:pPr>
    </w:lvl>
    <w:lvl w:ilvl="5" w:tplc="DA20AFF6" w:tentative="1">
      <w:start w:val="1"/>
      <w:numFmt w:val="lowerRoman"/>
      <w:lvlText w:val="%6."/>
      <w:lvlJc w:val="right"/>
      <w:pPr>
        <w:ind w:left="4320" w:hanging="180"/>
      </w:pPr>
    </w:lvl>
    <w:lvl w:ilvl="6" w:tplc="F0629608" w:tentative="1">
      <w:start w:val="1"/>
      <w:numFmt w:val="decimal"/>
      <w:lvlText w:val="%7."/>
      <w:lvlJc w:val="left"/>
      <w:pPr>
        <w:ind w:left="5040" w:hanging="360"/>
      </w:pPr>
    </w:lvl>
    <w:lvl w:ilvl="7" w:tplc="3A30D31A" w:tentative="1">
      <w:start w:val="1"/>
      <w:numFmt w:val="lowerLetter"/>
      <w:lvlText w:val="%8."/>
      <w:lvlJc w:val="left"/>
      <w:pPr>
        <w:ind w:left="5760" w:hanging="360"/>
      </w:pPr>
    </w:lvl>
    <w:lvl w:ilvl="8" w:tplc="431E21E2" w:tentative="1">
      <w:start w:val="1"/>
      <w:numFmt w:val="lowerRoman"/>
      <w:lvlText w:val="%9."/>
      <w:lvlJc w:val="right"/>
      <w:pPr>
        <w:ind w:left="6480" w:hanging="180"/>
      </w:pPr>
    </w:lvl>
  </w:abstractNum>
  <w:abstractNum w:abstractNumId="16">
    <w:nsid w:val="00000011"/>
    <w:multiLevelType w:val="multilevel"/>
    <w:tmpl w:val="28B29544"/>
    <w:lvl w:ilvl="0">
      <w:start w:val="1"/>
      <w:numFmt w:val="lowerLetter"/>
      <w:pStyle w:val="TextSubtitleItalicnumberinglettera"/>
      <w:lvlText w:val="(%1)"/>
      <w:lvlJc w:val="left"/>
      <w:pPr>
        <w:ind w:left="0" w:firstLine="0"/>
      </w:pPr>
      <w:rPr>
        <w:rFonts w:ascii="Verdana" w:hAnsi="Verdana" w:hint="default"/>
        <w:b w:val="0"/>
        <w:i w:val="0"/>
        <w:iCs w:val="0"/>
        <w:caps w:val="0"/>
        <w:smallCaps w:val="0"/>
        <w:strike w:val="0"/>
        <w:dstrike w:val="0"/>
        <w:noProof w:val="0"/>
        <w:vanish w:val="0"/>
        <w:color w:val="auto"/>
        <w:spacing w:val="0"/>
        <w:position w:val="0"/>
        <w:sz w:val="18"/>
        <w:u w:val="none"/>
        <w:effect w:val="none"/>
        <w:vertAlign w:val="baseline"/>
        <w:specVanish w:val="0"/>
      </w:rPr>
    </w:lvl>
    <w:lvl w:ilvl="1">
      <w:start w:val="1"/>
      <w:numFmt w:val="decimal"/>
      <w:lvlText w:val="%1.%2"/>
      <w:lvlJc w:val="left"/>
      <w:pPr>
        <w:ind w:left="1440" w:hanging="1440"/>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992" w:hanging="992"/>
      </w:pPr>
      <w:rPr>
        <w:rFonts w:cs="Times New Roman" w:hint="default"/>
        <w:b w:val="0"/>
        <w:bCs w:val="0"/>
        <w:i w:val="0"/>
        <w:iCs w:val="0"/>
        <w:caps w:val="0"/>
        <w:smallCaps w:val="0"/>
        <w:strike w:val="0"/>
        <w:dstrike w:val="0"/>
        <w:vanish w:val="0"/>
        <w:spacing w:val="0"/>
        <w:kern w:val="0"/>
        <w:position w:val="0"/>
        <w:u w:val="none"/>
        <w:effect w:val="none"/>
        <w:vertAlign w:val="baseline"/>
        <w:specVanish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00000012"/>
    <w:multiLevelType w:val="hybridMultilevel"/>
    <w:tmpl w:val="077C6BBC"/>
    <w:lvl w:ilvl="0" w:tplc="26D295E6">
      <w:start w:val="1"/>
      <w:numFmt w:val="decimal"/>
      <w:pStyle w:val="Textstand-alonenumberingJustified"/>
      <w:lvlText w:val="(%1)"/>
      <w:lvlJc w:val="left"/>
      <w:pPr>
        <w:ind w:left="720" w:hanging="360"/>
      </w:pPr>
      <w:rPr>
        <w:rFonts w:ascii="Verdana" w:hAnsi="Verdana" w:hint="default"/>
        <w:b w:val="0"/>
        <w:i w:val="0"/>
        <w:sz w:val="18"/>
      </w:rPr>
    </w:lvl>
    <w:lvl w:ilvl="1" w:tplc="3B549540" w:tentative="1">
      <w:start w:val="1"/>
      <w:numFmt w:val="lowerLetter"/>
      <w:lvlText w:val="%2."/>
      <w:lvlJc w:val="left"/>
      <w:pPr>
        <w:ind w:left="1440" w:hanging="360"/>
      </w:pPr>
    </w:lvl>
    <w:lvl w:ilvl="2" w:tplc="618CAB80" w:tentative="1">
      <w:start w:val="1"/>
      <w:numFmt w:val="lowerRoman"/>
      <w:lvlText w:val="%3."/>
      <w:lvlJc w:val="right"/>
      <w:pPr>
        <w:ind w:left="2160" w:hanging="180"/>
      </w:pPr>
    </w:lvl>
    <w:lvl w:ilvl="3" w:tplc="B7921100" w:tentative="1">
      <w:start w:val="1"/>
      <w:numFmt w:val="decimal"/>
      <w:lvlText w:val="%4."/>
      <w:lvlJc w:val="left"/>
      <w:pPr>
        <w:ind w:left="2880" w:hanging="360"/>
      </w:pPr>
    </w:lvl>
    <w:lvl w:ilvl="4" w:tplc="84B8F7FC" w:tentative="1">
      <w:start w:val="1"/>
      <w:numFmt w:val="lowerLetter"/>
      <w:lvlText w:val="%5."/>
      <w:lvlJc w:val="left"/>
      <w:pPr>
        <w:ind w:left="3600" w:hanging="360"/>
      </w:pPr>
    </w:lvl>
    <w:lvl w:ilvl="5" w:tplc="0742E122" w:tentative="1">
      <w:start w:val="1"/>
      <w:numFmt w:val="lowerRoman"/>
      <w:lvlText w:val="%6."/>
      <w:lvlJc w:val="right"/>
      <w:pPr>
        <w:ind w:left="4320" w:hanging="180"/>
      </w:pPr>
    </w:lvl>
    <w:lvl w:ilvl="6" w:tplc="5EE4D466" w:tentative="1">
      <w:start w:val="1"/>
      <w:numFmt w:val="decimal"/>
      <w:lvlText w:val="%7."/>
      <w:lvlJc w:val="left"/>
      <w:pPr>
        <w:ind w:left="5040" w:hanging="360"/>
      </w:pPr>
    </w:lvl>
    <w:lvl w:ilvl="7" w:tplc="C58620D8" w:tentative="1">
      <w:start w:val="1"/>
      <w:numFmt w:val="lowerLetter"/>
      <w:lvlText w:val="%8."/>
      <w:lvlJc w:val="left"/>
      <w:pPr>
        <w:ind w:left="5760" w:hanging="360"/>
      </w:pPr>
    </w:lvl>
    <w:lvl w:ilvl="8" w:tplc="89424B2E" w:tentative="1">
      <w:start w:val="1"/>
      <w:numFmt w:val="lowerRoman"/>
      <w:lvlText w:val="%9."/>
      <w:lvlJc w:val="right"/>
      <w:pPr>
        <w:ind w:left="6480" w:hanging="180"/>
      </w:pPr>
    </w:lvl>
  </w:abstractNum>
  <w:abstractNum w:abstractNumId="18">
    <w:nsid w:val="00000013"/>
    <w:multiLevelType w:val="hybridMultilevel"/>
    <w:tmpl w:val="DBBEBFFE"/>
    <w:lvl w:ilvl="0" w:tplc="8FA2E258">
      <w:start w:val="1"/>
      <w:numFmt w:val="lowerLetter"/>
      <w:pStyle w:val="Textstand-alonenumberingLetters"/>
      <w:lvlText w:val="%1)"/>
      <w:lvlJc w:val="left"/>
      <w:pPr>
        <w:ind w:left="720" w:hanging="360"/>
      </w:pPr>
      <w:rPr>
        <w:rFonts w:hint="default"/>
      </w:rPr>
    </w:lvl>
    <w:lvl w:ilvl="1" w:tplc="E7262134" w:tentative="1">
      <w:start w:val="1"/>
      <w:numFmt w:val="lowerLetter"/>
      <w:lvlText w:val="%2."/>
      <w:lvlJc w:val="left"/>
      <w:pPr>
        <w:ind w:left="1440" w:hanging="360"/>
      </w:pPr>
    </w:lvl>
    <w:lvl w:ilvl="2" w:tplc="2014F5AE" w:tentative="1">
      <w:start w:val="1"/>
      <w:numFmt w:val="lowerRoman"/>
      <w:lvlText w:val="%3."/>
      <w:lvlJc w:val="right"/>
      <w:pPr>
        <w:ind w:left="2160" w:hanging="180"/>
      </w:pPr>
    </w:lvl>
    <w:lvl w:ilvl="3" w:tplc="B348603C" w:tentative="1">
      <w:start w:val="1"/>
      <w:numFmt w:val="decimal"/>
      <w:lvlText w:val="%4."/>
      <w:lvlJc w:val="left"/>
      <w:pPr>
        <w:ind w:left="2880" w:hanging="360"/>
      </w:pPr>
    </w:lvl>
    <w:lvl w:ilvl="4" w:tplc="580E9184" w:tentative="1">
      <w:start w:val="1"/>
      <w:numFmt w:val="lowerLetter"/>
      <w:lvlText w:val="%5."/>
      <w:lvlJc w:val="left"/>
      <w:pPr>
        <w:ind w:left="3600" w:hanging="360"/>
      </w:pPr>
    </w:lvl>
    <w:lvl w:ilvl="5" w:tplc="099E4496" w:tentative="1">
      <w:start w:val="1"/>
      <w:numFmt w:val="lowerRoman"/>
      <w:lvlText w:val="%6."/>
      <w:lvlJc w:val="right"/>
      <w:pPr>
        <w:ind w:left="4320" w:hanging="180"/>
      </w:pPr>
    </w:lvl>
    <w:lvl w:ilvl="6" w:tplc="BD7A939A" w:tentative="1">
      <w:start w:val="1"/>
      <w:numFmt w:val="decimal"/>
      <w:lvlText w:val="%7."/>
      <w:lvlJc w:val="left"/>
      <w:pPr>
        <w:ind w:left="5040" w:hanging="360"/>
      </w:pPr>
    </w:lvl>
    <w:lvl w:ilvl="7" w:tplc="F6829136" w:tentative="1">
      <w:start w:val="1"/>
      <w:numFmt w:val="lowerLetter"/>
      <w:lvlText w:val="%8."/>
      <w:lvlJc w:val="left"/>
      <w:pPr>
        <w:ind w:left="5760" w:hanging="360"/>
      </w:pPr>
    </w:lvl>
    <w:lvl w:ilvl="8" w:tplc="46CC5B00" w:tentative="1">
      <w:start w:val="1"/>
      <w:numFmt w:val="lowerRoman"/>
      <w:lvlText w:val="%9."/>
      <w:lvlJc w:val="right"/>
      <w:pPr>
        <w:ind w:left="6480" w:hanging="180"/>
      </w:pPr>
    </w:lvl>
  </w:abstractNum>
  <w:abstractNum w:abstractNumId="19">
    <w:nsid w:val="00000014"/>
    <w:multiLevelType w:val="hybridMultilevel"/>
    <w:tmpl w:val="C652AFAA"/>
    <w:lvl w:ilvl="0" w:tplc="83500608">
      <w:start w:val="1"/>
      <w:numFmt w:val="bullet"/>
      <w:pStyle w:val="Textstand-aloneBulletpoint"/>
      <w:lvlText w:val=""/>
      <w:lvlJc w:val="left"/>
      <w:pPr>
        <w:ind w:left="786" w:hanging="360"/>
      </w:pPr>
      <w:rPr>
        <w:rFonts w:ascii="Symbol" w:hAnsi="Symbol" w:hint="default"/>
      </w:rPr>
    </w:lvl>
    <w:lvl w:ilvl="1" w:tplc="D95C5668" w:tentative="1">
      <w:start w:val="1"/>
      <w:numFmt w:val="bullet"/>
      <w:lvlText w:val="o"/>
      <w:lvlJc w:val="left"/>
      <w:pPr>
        <w:ind w:left="1800" w:hanging="360"/>
      </w:pPr>
      <w:rPr>
        <w:rFonts w:ascii="Courier New" w:hAnsi="Courier New" w:cs="Courier New" w:hint="default"/>
      </w:rPr>
    </w:lvl>
    <w:lvl w:ilvl="2" w:tplc="483CBBFE" w:tentative="1">
      <w:start w:val="1"/>
      <w:numFmt w:val="bullet"/>
      <w:lvlText w:val=""/>
      <w:lvlJc w:val="left"/>
      <w:pPr>
        <w:ind w:left="2520" w:hanging="360"/>
      </w:pPr>
      <w:rPr>
        <w:rFonts w:ascii="Wingdings" w:hAnsi="Wingdings" w:hint="default"/>
      </w:rPr>
    </w:lvl>
    <w:lvl w:ilvl="3" w:tplc="71680A5E" w:tentative="1">
      <w:start w:val="1"/>
      <w:numFmt w:val="bullet"/>
      <w:lvlText w:val=""/>
      <w:lvlJc w:val="left"/>
      <w:pPr>
        <w:ind w:left="3240" w:hanging="360"/>
      </w:pPr>
      <w:rPr>
        <w:rFonts w:ascii="Symbol" w:hAnsi="Symbol" w:hint="default"/>
      </w:rPr>
    </w:lvl>
    <w:lvl w:ilvl="4" w:tplc="FDB6E688" w:tentative="1">
      <w:start w:val="1"/>
      <w:numFmt w:val="bullet"/>
      <w:lvlText w:val="o"/>
      <w:lvlJc w:val="left"/>
      <w:pPr>
        <w:ind w:left="3960" w:hanging="360"/>
      </w:pPr>
      <w:rPr>
        <w:rFonts w:ascii="Courier New" w:hAnsi="Courier New" w:cs="Courier New" w:hint="default"/>
      </w:rPr>
    </w:lvl>
    <w:lvl w:ilvl="5" w:tplc="6F161AC4" w:tentative="1">
      <w:start w:val="1"/>
      <w:numFmt w:val="bullet"/>
      <w:lvlText w:val=""/>
      <w:lvlJc w:val="left"/>
      <w:pPr>
        <w:ind w:left="4680" w:hanging="360"/>
      </w:pPr>
      <w:rPr>
        <w:rFonts w:ascii="Wingdings" w:hAnsi="Wingdings" w:hint="default"/>
      </w:rPr>
    </w:lvl>
    <w:lvl w:ilvl="6" w:tplc="23D63BD0" w:tentative="1">
      <w:start w:val="1"/>
      <w:numFmt w:val="bullet"/>
      <w:lvlText w:val=""/>
      <w:lvlJc w:val="left"/>
      <w:pPr>
        <w:ind w:left="5400" w:hanging="360"/>
      </w:pPr>
      <w:rPr>
        <w:rFonts w:ascii="Symbol" w:hAnsi="Symbol" w:hint="default"/>
      </w:rPr>
    </w:lvl>
    <w:lvl w:ilvl="7" w:tplc="0C9C2090" w:tentative="1">
      <w:start w:val="1"/>
      <w:numFmt w:val="bullet"/>
      <w:lvlText w:val="o"/>
      <w:lvlJc w:val="left"/>
      <w:pPr>
        <w:ind w:left="6120" w:hanging="360"/>
      </w:pPr>
      <w:rPr>
        <w:rFonts w:ascii="Courier New" w:hAnsi="Courier New" w:cs="Courier New" w:hint="default"/>
      </w:rPr>
    </w:lvl>
    <w:lvl w:ilvl="8" w:tplc="9BF2244E" w:tentative="1">
      <w:start w:val="1"/>
      <w:numFmt w:val="bullet"/>
      <w:lvlText w:val=""/>
      <w:lvlJc w:val="left"/>
      <w:pPr>
        <w:ind w:left="6840" w:hanging="360"/>
      </w:pPr>
      <w:rPr>
        <w:rFonts w:ascii="Wingdings" w:hAnsi="Wingdings" w:hint="default"/>
      </w:rPr>
    </w:lvl>
  </w:abstractNum>
  <w:abstractNum w:abstractNumId="20">
    <w:nsid w:val="00000015"/>
    <w:multiLevelType w:val="hybridMultilevel"/>
    <w:tmpl w:val="67B060EA"/>
    <w:lvl w:ilvl="0" w:tplc="04B881A8">
      <w:numFmt w:val="bullet"/>
      <w:lvlText w:val="–"/>
      <w:lvlJc w:val="left"/>
      <w:pPr>
        <w:tabs>
          <w:tab w:val="num" w:pos="0"/>
        </w:tabs>
        <w:ind w:left="720" w:hanging="360"/>
      </w:pPr>
      <w:rPr>
        <w:rFonts w:ascii="Verdana" w:eastAsia="Calibri" w:hAnsi="Verdana" w:cs="Times New Roman" w:hint="default"/>
        <w:b w:val="0"/>
        <w:bCs w:val="0"/>
        <w:i w:val="0"/>
        <w:iCs w:val="0"/>
        <w:caps w:val="0"/>
        <w:smallCaps w:val="0"/>
        <w:strike w:val="0"/>
        <w:dstrike w:val="0"/>
        <w:noProof w:val="0"/>
        <w:vanish w:val="0"/>
        <w:color w:val="auto"/>
        <w:spacing w:val="0"/>
        <w:w w:val="100"/>
        <w:kern w:val="0"/>
        <w:position w:val="0"/>
        <w:sz w:val="20"/>
        <w:szCs w:val="20"/>
        <w:highlight w:val="none"/>
        <w:u w:val="none"/>
        <w:effect w:val="none"/>
        <w:bdr w:val="nil"/>
        <w:shd w:val="clear" w:color="auto" w:fill="auto"/>
        <w:rtl w:val="0"/>
        <w:cs w:val="0"/>
      </w:rPr>
    </w:lvl>
    <w:lvl w:ilvl="1" w:tplc="8C2E3222" w:tentative="1">
      <w:start w:val="1"/>
      <w:numFmt w:val="bullet"/>
      <w:lvlText w:val="o"/>
      <w:lvlJc w:val="left"/>
      <w:pPr>
        <w:ind w:left="1440" w:hanging="360"/>
      </w:pPr>
      <w:rPr>
        <w:rFonts w:ascii="Courier New" w:hAnsi="Courier New" w:cs="Courier New" w:hint="default"/>
      </w:rPr>
    </w:lvl>
    <w:lvl w:ilvl="2" w:tplc="D10A16C6" w:tentative="1">
      <w:start w:val="1"/>
      <w:numFmt w:val="bullet"/>
      <w:lvlText w:val=""/>
      <w:lvlJc w:val="left"/>
      <w:pPr>
        <w:ind w:left="2160" w:hanging="360"/>
      </w:pPr>
      <w:rPr>
        <w:rFonts w:ascii="Wingdings" w:hAnsi="Wingdings" w:hint="default"/>
      </w:rPr>
    </w:lvl>
    <w:lvl w:ilvl="3" w:tplc="01E89240" w:tentative="1">
      <w:start w:val="1"/>
      <w:numFmt w:val="bullet"/>
      <w:lvlText w:val=""/>
      <w:lvlJc w:val="left"/>
      <w:pPr>
        <w:ind w:left="2880" w:hanging="360"/>
      </w:pPr>
      <w:rPr>
        <w:rFonts w:ascii="Symbol" w:hAnsi="Symbol" w:hint="default"/>
      </w:rPr>
    </w:lvl>
    <w:lvl w:ilvl="4" w:tplc="0724291A" w:tentative="1">
      <w:start w:val="1"/>
      <w:numFmt w:val="bullet"/>
      <w:lvlText w:val="o"/>
      <w:lvlJc w:val="left"/>
      <w:pPr>
        <w:ind w:left="3600" w:hanging="360"/>
      </w:pPr>
      <w:rPr>
        <w:rFonts w:ascii="Courier New" w:hAnsi="Courier New" w:cs="Courier New" w:hint="default"/>
      </w:rPr>
    </w:lvl>
    <w:lvl w:ilvl="5" w:tplc="349A4E3C" w:tentative="1">
      <w:start w:val="1"/>
      <w:numFmt w:val="bullet"/>
      <w:lvlText w:val=""/>
      <w:lvlJc w:val="left"/>
      <w:pPr>
        <w:ind w:left="4320" w:hanging="360"/>
      </w:pPr>
      <w:rPr>
        <w:rFonts w:ascii="Wingdings" w:hAnsi="Wingdings" w:hint="default"/>
      </w:rPr>
    </w:lvl>
    <w:lvl w:ilvl="6" w:tplc="C020380A" w:tentative="1">
      <w:start w:val="1"/>
      <w:numFmt w:val="bullet"/>
      <w:lvlText w:val=""/>
      <w:lvlJc w:val="left"/>
      <w:pPr>
        <w:ind w:left="5040" w:hanging="360"/>
      </w:pPr>
      <w:rPr>
        <w:rFonts w:ascii="Symbol" w:hAnsi="Symbol" w:hint="default"/>
      </w:rPr>
    </w:lvl>
    <w:lvl w:ilvl="7" w:tplc="42E256A2" w:tentative="1">
      <w:start w:val="1"/>
      <w:numFmt w:val="bullet"/>
      <w:lvlText w:val="o"/>
      <w:lvlJc w:val="left"/>
      <w:pPr>
        <w:ind w:left="5760" w:hanging="360"/>
      </w:pPr>
      <w:rPr>
        <w:rFonts w:ascii="Courier New" w:hAnsi="Courier New" w:cs="Courier New" w:hint="default"/>
      </w:rPr>
    </w:lvl>
    <w:lvl w:ilvl="8" w:tplc="EDC2D5FA" w:tentative="1">
      <w:start w:val="1"/>
      <w:numFmt w:val="bullet"/>
      <w:lvlText w:val=""/>
      <w:lvlJc w:val="left"/>
      <w:pPr>
        <w:ind w:left="6480" w:hanging="360"/>
      </w:pPr>
      <w:rPr>
        <w:rFonts w:ascii="Wingdings" w:hAnsi="Wingdings" w:hint="default"/>
      </w:rPr>
    </w:lvl>
  </w:abstractNum>
  <w:abstractNum w:abstractNumId="21">
    <w:nsid w:val="00000016"/>
    <w:multiLevelType w:val="hybridMultilevel"/>
    <w:tmpl w:val="7C707274"/>
    <w:lvl w:ilvl="0" w:tplc="95964352">
      <w:numFmt w:val="bullet"/>
      <w:lvlText w:val="–"/>
      <w:lvlJc w:val="left"/>
      <w:pPr>
        <w:ind w:left="720" w:hanging="360"/>
      </w:pPr>
      <w:rPr>
        <w:rFonts w:ascii="Verdana" w:eastAsia="Calibri" w:hAnsi="Verdana" w:cs="Times New Roman" w:hint="default"/>
        <w:b w:val="0"/>
        <w:bCs w:val="0"/>
        <w:i w:val="0"/>
        <w:iCs w:val="0"/>
        <w:caps w:val="0"/>
        <w:smallCaps w:val="0"/>
        <w:strike w:val="0"/>
        <w:dstrike w:val="0"/>
        <w:noProof w:val="0"/>
        <w:vanish w:val="0"/>
        <w:color w:val="auto"/>
        <w:spacing w:val="0"/>
        <w:w w:val="100"/>
        <w:kern w:val="0"/>
        <w:position w:val="0"/>
        <w:sz w:val="20"/>
        <w:szCs w:val="20"/>
        <w:highlight w:val="none"/>
        <w:u w:val="none"/>
        <w:effect w:val="none"/>
        <w:bdr w:val="nil"/>
        <w:shd w:val="clear" w:color="auto" w:fill="auto"/>
        <w:rtl w:val="0"/>
        <w:cs w:val="0"/>
      </w:rPr>
    </w:lvl>
    <w:lvl w:ilvl="1" w:tplc="2D1023C0" w:tentative="1">
      <w:start w:val="1"/>
      <w:numFmt w:val="bullet"/>
      <w:lvlText w:val="o"/>
      <w:lvlJc w:val="left"/>
      <w:pPr>
        <w:ind w:left="1440" w:hanging="360"/>
      </w:pPr>
      <w:rPr>
        <w:rFonts w:ascii="Courier New" w:hAnsi="Courier New" w:cs="Courier New" w:hint="default"/>
      </w:rPr>
    </w:lvl>
    <w:lvl w:ilvl="2" w:tplc="E9002BDE" w:tentative="1">
      <w:start w:val="1"/>
      <w:numFmt w:val="bullet"/>
      <w:lvlText w:val=""/>
      <w:lvlJc w:val="left"/>
      <w:pPr>
        <w:ind w:left="2160" w:hanging="360"/>
      </w:pPr>
      <w:rPr>
        <w:rFonts w:ascii="Wingdings" w:hAnsi="Wingdings" w:hint="default"/>
      </w:rPr>
    </w:lvl>
    <w:lvl w:ilvl="3" w:tplc="43BE58E4" w:tentative="1">
      <w:start w:val="1"/>
      <w:numFmt w:val="bullet"/>
      <w:lvlText w:val=""/>
      <w:lvlJc w:val="left"/>
      <w:pPr>
        <w:ind w:left="2880" w:hanging="360"/>
      </w:pPr>
      <w:rPr>
        <w:rFonts w:ascii="Symbol" w:hAnsi="Symbol" w:hint="default"/>
      </w:rPr>
    </w:lvl>
    <w:lvl w:ilvl="4" w:tplc="94783EE2" w:tentative="1">
      <w:start w:val="1"/>
      <w:numFmt w:val="bullet"/>
      <w:lvlText w:val="o"/>
      <w:lvlJc w:val="left"/>
      <w:pPr>
        <w:ind w:left="3600" w:hanging="360"/>
      </w:pPr>
      <w:rPr>
        <w:rFonts w:ascii="Courier New" w:hAnsi="Courier New" w:cs="Courier New" w:hint="default"/>
      </w:rPr>
    </w:lvl>
    <w:lvl w:ilvl="5" w:tplc="F2E4A0BE" w:tentative="1">
      <w:start w:val="1"/>
      <w:numFmt w:val="bullet"/>
      <w:lvlText w:val=""/>
      <w:lvlJc w:val="left"/>
      <w:pPr>
        <w:ind w:left="4320" w:hanging="360"/>
      </w:pPr>
      <w:rPr>
        <w:rFonts w:ascii="Wingdings" w:hAnsi="Wingdings" w:hint="default"/>
      </w:rPr>
    </w:lvl>
    <w:lvl w:ilvl="6" w:tplc="16BEFD3A" w:tentative="1">
      <w:start w:val="1"/>
      <w:numFmt w:val="bullet"/>
      <w:lvlText w:val=""/>
      <w:lvlJc w:val="left"/>
      <w:pPr>
        <w:ind w:left="5040" w:hanging="360"/>
      </w:pPr>
      <w:rPr>
        <w:rFonts w:ascii="Symbol" w:hAnsi="Symbol" w:hint="default"/>
      </w:rPr>
    </w:lvl>
    <w:lvl w:ilvl="7" w:tplc="2578B132" w:tentative="1">
      <w:start w:val="1"/>
      <w:numFmt w:val="bullet"/>
      <w:lvlText w:val="o"/>
      <w:lvlJc w:val="left"/>
      <w:pPr>
        <w:ind w:left="5760" w:hanging="360"/>
      </w:pPr>
      <w:rPr>
        <w:rFonts w:ascii="Courier New" w:hAnsi="Courier New" w:cs="Courier New" w:hint="default"/>
      </w:rPr>
    </w:lvl>
    <w:lvl w:ilvl="8" w:tplc="57304DEC" w:tentative="1">
      <w:start w:val="1"/>
      <w:numFmt w:val="bullet"/>
      <w:lvlText w:val=""/>
      <w:lvlJc w:val="left"/>
      <w:pPr>
        <w:ind w:left="6480" w:hanging="360"/>
      </w:pPr>
      <w:rPr>
        <w:rFonts w:ascii="Wingdings" w:hAnsi="Wingdings" w:hint="default"/>
      </w:rPr>
    </w:lvl>
  </w:abstractNum>
  <w:abstractNum w:abstractNumId="22">
    <w:nsid w:val="161846EB"/>
    <w:multiLevelType w:val="hybridMultilevel"/>
    <w:tmpl w:val="B3D8EC42"/>
    <w:lvl w:ilvl="0" w:tplc="C2E418CA">
      <w:start w:val="1"/>
      <w:numFmt w:val="decimal"/>
      <w:lvlText w:val="(%1)"/>
      <w:lvlJc w:val="left"/>
      <w:pPr>
        <w:ind w:left="1287" w:hanging="360"/>
      </w:pPr>
      <w:rPr>
        <w:rFonts w:hint="default"/>
      </w:rPr>
    </w:lvl>
    <w:lvl w:ilvl="1" w:tplc="853E38A2" w:tentative="1">
      <w:start w:val="1"/>
      <w:numFmt w:val="lowerLetter"/>
      <w:lvlText w:val="%2."/>
      <w:lvlJc w:val="left"/>
      <w:pPr>
        <w:ind w:left="2007" w:hanging="360"/>
      </w:pPr>
    </w:lvl>
    <w:lvl w:ilvl="2" w:tplc="F212429C" w:tentative="1">
      <w:start w:val="1"/>
      <w:numFmt w:val="lowerRoman"/>
      <w:lvlText w:val="%3."/>
      <w:lvlJc w:val="right"/>
      <w:pPr>
        <w:ind w:left="2727" w:hanging="180"/>
      </w:pPr>
    </w:lvl>
    <w:lvl w:ilvl="3" w:tplc="C548DB70" w:tentative="1">
      <w:start w:val="1"/>
      <w:numFmt w:val="decimal"/>
      <w:lvlText w:val="%4."/>
      <w:lvlJc w:val="left"/>
      <w:pPr>
        <w:ind w:left="3447" w:hanging="360"/>
      </w:pPr>
    </w:lvl>
    <w:lvl w:ilvl="4" w:tplc="03227A5C" w:tentative="1">
      <w:start w:val="1"/>
      <w:numFmt w:val="lowerLetter"/>
      <w:lvlText w:val="%5."/>
      <w:lvlJc w:val="left"/>
      <w:pPr>
        <w:ind w:left="4167" w:hanging="360"/>
      </w:pPr>
    </w:lvl>
    <w:lvl w:ilvl="5" w:tplc="C03A229C" w:tentative="1">
      <w:start w:val="1"/>
      <w:numFmt w:val="lowerRoman"/>
      <w:lvlText w:val="%6."/>
      <w:lvlJc w:val="right"/>
      <w:pPr>
        <w:ind w:left="4887" w:hanging="180"/>
      </w:pPr>
    </w:lvl>
    <w:lvl w:ilvl="6" w:tplc="0FA2F522" w:tentative="1">
      <w:start w:val="1"/>
      <w:numFmt w:val="decimal"/>
      <w:lvlText w:val="%7."/>
      <w:lvlJc w:val="left"/>
      <w:pPr>
        <w:ind w:left="5607" w:hanging="360"/>
      </w:pPr>
    </w:lvl>
    <w:lvl w:ilvl="7" w:tplc="DAAA69BE" w:tentative="1">
      <w:start w:val="1"/>
      <w:numFmt w:val="lowerLetter"/>
      <w:lvlText w:val="%8."/>
      <w:lvlJc w:val="left"/>
      <w:pPr>
        <w:ind w:left="6327" w:hanging="360"/>
      </w:pPr>
    </w:lvl>
    <w:lvl w:ilvl="8" w:tplc="112E5B3A" w:tentative="1">
      <w:start w:val="1"/>
      <w:numFmt w:val="lowerRoman"/>
      <w:lvlText w:val="%9."/>
      <w:lvlJc w:val="right"/>
      <w:pPr>
        <w:ind w:left="7047" w:hanging="180"/>
      </w:pPr>
    </w:lvl>
  </w:abstractNum>
  <w:abstractNum w:abstractNumId="23">
    <w:nsid w:val="6EC2470B"/>
    <w:multiLevelType w:val="hybridMultilevel"/>
    <w:tmpl w:val="A9524D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12"/>
    <w:lvlOverride w:ilvl="0">
      <w:lvl w:ilvl="0">
        <w:start w:val="1"/>
        <w:numFmt w:val="decimal"/>
        <w:pStyle w:val="HEADER1Part2"/>
        <w:lvlText w:val="%1."/>
        <w:lvlJc w:val="left"/>
        <w:pPr>
          <w:ind w:left="907" w:hanging="907"/>
        </w:pPr>
        <w:rPr>
          <w:rFonts w:hint="default"/>
        </w:rPr>
      </w:lvl>
    </w:lvlOverride>
    <w:lvlOverride w:ilvl="1">
      <w:lvl w:ilvl="1">
        <w:start w:val="1"/>
        <w:numFmt w:val="decimal"/>
        <w:pStyle w:val="HEADER2Part2"/>
        <w:lvlText w:val="%1.%2."/>
        <w:lvlJc w:val="left"/>
        <w:pPr>
          <w:ind w:left="907" w:hanging="907"/>
        </w:pPr>
        <w:rPr>
          <w:rFonts w:hint="default"/>
        </w:rPr>
      </w:lvl>
    </w:lvlOverride>
    <w:lvlOverride w:ilvl="2">
      <w:lvl w:ilvl="2">
        <w:start w:val="1"/>
        <w:numFmt w:val="decimal"/>
        <w:pStyle w:val="HEADER3Part2"/>
        <w:lvlText w:val="%1.%2.%3."/>
        <w:lvlJc w:val="left"/>
        <w:pPr>
          <w:ind w:left="907" w:hanging="907"/>
        </w:pPr>
        <w:rPr>
          <w:rFonts w:hint="default"/>
        </w:rPr>
      </w:lvl>
    </w:lvlOverride>
    <w:lvlOverride w:ilvl="3">
      <w:lvl w:ilvl="3">
        <w:start w:val="1"/>
        <w:numFmt w:val="decimal"/>
        <w:pStyle w:val="HEADER4Part2"/>
        <w:lvlText w:val="%1.%2.%3.%4."/>
        <w:lvlJc w:val="left"/>
        <w:pPr>
          <w:ind w:left="907" w:hanging="907"/>
        </w:pPr>
        <w:rPr>
          <w:rFonts w:hint="default"/>
        </w:rPr>
      </w:lvl>
    </w:lvlOverride>
    <w:lvlOverride w:ilvl="4">
      <w:lvl w:ilvl="4">
        <w:start w:val="1"/>
        <w:numFmt w:val="lowerLetter"/>
        <w:lvlText w:val="%5."/>
        <w:lvlJc w:val="left"/>
        <w:pPr>
          <w:ind w:left="3666" w:hanging="360"/>
        </w:pPr>
        <w:rPr>
          <w:rFonts w:hint="default"/>
        </w:rPr>
      </w:lvl>
    </w:lvlOverride>
    <w:lvlOverride w:ilvl="5">
      <w:lvl w:ilvl="5">
        <w:start w:val="1"/>
        <w:numFmt w:val="lowerRoman"/>
        <w:lvlText w:val="%6."/>
        <w:lvlJc w:val="right"/>
        <w:pPr>
          <w:ind w:left="4386" w:hanging="180"/>
        </w:pPr>
        <w:rPr>
          <w:rFonts w:hint="default"/>
        </w:rPr>
      </w:lvl>
    </w:lvlOverride>
    <w:lvlOverride w:ilvl="6">
      <w:lvl w:ilvl="6">
        <w:start w:val="1"/>
        <w:numFmt w:val="decimal"/>
        <w:lvlText w:val="%7."/>
        <w:lvlJc w:val="left"/>
        <w:pPr>
          <w:ind w:left="5106" w:hanging="360"/>
        </w:pPr>
        <w:rPr>
          <w:rFonts w:hint="default"/>
        </w:rPr>
      </w:lvl>
    </w:lvlOverride>
    <w:lvlOverride w:ilvl="7">
      <w:lvl w:ilvl="7">
        <w:start w:val="1"/>
        <w:numFmt w:val="lowerLetter"/>
        <w:lvlText w:val="%8."/>
        <w:lvlJc w:val="left"/>
        <w:pPr>
          <w:ind w:left="5826" w:hanging="360"/>
        </w:pPr>
        <w:rPr>
          <w:rFonts w:hint="default"/>
        </w:rPr>
      </w:lvl>
    </w:lvlOverride>
    <w:lvlOverride w:ilvl="8">
      <w:lvl w:ilvl="8">
        <w:start w:val="1"/>
        <w:numFmt w:val="lowerRoman"/>
        <w:lvlText w:val="%9."/>
        <w:lvlJc w:val="right"/>
        <w:pPr>
          <w:ind w:left="6546" w:hanging="180"/>
        </w:pPr>
        <w:rPr>
          <w:rFonts w:hint="default"/>
        </w:rPr>
      </w:lvl>
    </w:lvlOverride>
  </w:num>
  <w:num w:numId="25">
    <w:abstractNumId w:val="12"/>
  </w:num>
  <w:num w:numId="26">
    <w:abstractNumId w:val="12"/>
  </w:num>
  <w:num w:numId="27">
    <w:abstractNumId w:val="12"/>
  </w:num>
  <w:num w:numId="28">
    <w:abstractNumId w:val="23"/>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8913">
      <o:colormenu v:ext="edit" fillcolor="none [1311]"/>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IP_META_BIP_SEL001" w:val="&lt;OBJECT&gt;&lt;META&gt;&lt;ID&gt;&lt;/ID&gt;&lt;NAME&gt;BIP_SEL001&lt;/NAME&gt;&lt;TYPE&gt;&lt;ID&gt;21&lt;/ID&gt;&lt;FRIENDLYNAME&gt;Selection&lt;/FRIENDLYNAME&gt;&lt;LABEL&gt;&lt;/LABEL&gt;&lt;/TYPE&gt;&lt;STATUS&gt;NEW&lt;/STATUS&gt;&lt;INFO&gt;&lt;/INFO&gt;&lt;/META&gt;&lt;UPDATE&gt;&lt;DATE&gt;&lt;/DATE&gt;&lt;/UPDATE&gt;&lt;QUERIES&gt;&lt;META&gt;&lt;DATAPROVIDER&gt;&lt;/DATAPROVIDER&gt;&lt;/META&gt;&lt;QUERY reftype=&quot;&quot; elmntsel=&quot;&quot;&gt;&lt;META&gt;&lt;REFERENCE&gt;&lt;/REFERENCE&gt;&lt;/META&gt;&lt;SELECT&gt;&lt;/SELECT&gt;&lt;FILTERS&gt;&lt;FILTER&gt;&lt;/FILTER&gt;&lt;/FILTERS&gt;&lt;/QUERY&gt;&lt;/QUERIES&gt;&lt;/OBJECT&gt;"/>
    <w:docVar w:name="BIP_META_BIP_SEL003" w:val="&lt;OBJECT&gt;&lt;META&gt;&lt;ID&gt;&lt;/ID&gt;&lt;NAME&gt;BIP_SEL003&lt;/NAME&gt;&lt;TYPE&gt;&lt;ID&gt;21&lt;/ID&gt;&lt;FRIENDLYNAME&gt;Selection&lt;/FRIENDLYNAME&gt;&lt;LABEL&gt;&lt;/LABEL&gt;&lt;/TYPE&gt;&lt;STATUS&gt;NEW&lt;/STATUS&gt;&lt;INFO&gt;&lt;/INFO&gt;&lt;/META&gt;&lt;UPDATE&gt;&lt;DATE&gt;&lt;/DATE&gt;&lt;/UPDATE&gt;&lt;QUERIES&gt;&lt;META&gt;&lt;DATAPROVIDER&gt;&lt;/DATAPROVIDER&gt;&lt;/META&gt;&lt;QUERY reftype=&quot;&quot; elmntsel=&quot;&quot;&gt;&lt;META&gt;&lt;REFERENCE&gt;&lt;/REFERENCE&gt;&lt;/META&gt;&lt;SELECT&gt;&lt;/SELECT&gt;&lt;FILTERS&gt;&lt;FILTER&gt;&lt;/FILTER&gt;&lt;/FILTERS&gt;&lt;/QUERY&gt;&lt;/QUERIES&gt;&lt;/OBJECT&gt;"/>
    <w:docVar w:name="BIP_META_DOC_TBL00001" w:val="&lt;OBJECT&gt;&lt;META&gt;&lt;ID&gt;&lt;/ID&gt;&lt;NAME&gt;DOC_TBL0000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3/10/2015 1:54:27 PM&lt;/DYNAMIZEDON&gt;&lt;LASTUPDATEDBY&gt;servela&lt;/LASTUPDATEDBY&gt;&lt;LASTUPDATEDON&gt;7/9/2015 10:10:34 AM&lt;/LASTUPDATEDON&gt;&lt;UTC&gt;1&lt;/UTC&gt;&lt;/UPDATE&gt;&lt;QUERIES bbk=&quot;2691&quot; bbkdesc=&quot;2014 Annual Accounts/EU Annual Accounts/DC - Balance Sheet (xlsx)&quot; datapro=&quot;BS&quot; tdatapro=&quot;BS&quot; author=&quot;&quot; modtime=&quot;7/9/2015 8:27:35 AM&quot; moduser=&quot;servela&quot; rolluptime=&quot;&quot; syuser=&quot;servela&quot; syuzeit=&quot;7/9/2015 8:27:35 AM&quot; root=&quot;/BBOOK/DATAPROVIDER[./META/PROPS/ID='BS']/DATA&quot; colcount=&quot;4&quot; rowcount=&quot;37&quot; url=&quot;&quot; dynamizeds=&quot;SAP Disclosure Management - Production&quot; dynamizedstype=&quot;9&quot; refreshds=&quot;&quot; viewtype=&quot;1&quot;&gt;&lt;QUERY reftype=&quot;ABS&quot; elmntsel=&quot;TABLE&quot; bbk=&quot;2691&quot; bbkdesc=&quot;2014 Annual Accounts/EU Annual Accounts/DC - Balance Sheet (xlsx)&quot; datapro=&quot;BS&quot; infos=&quot;&quot; iscomment=&quot;0&quot;&gt;&lt;SELECT&gt;/BBOOK/DATAPROVIDER[./META/PROPS/ID='BS']/DATA/ROW&lt;/SELECT&gt;&lt;FILTERS&gt;&lt;FILTER&gt;&lt;/FILTER&gt;&lt;/FILTERS&gt;&lt;/QUERY&gt;&lt;/QUERIES&gt;&lt;/OBJECT&gt;"/>
    <w:docVar w:name="BIP_META_DOC_TBL00002" w:val="&lt;OBJECT&gt;&lt;META&gt;&lt;ID&gt;&lt;/ID&gt;&lt;NAME&gt;DOC_TBL0000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koehlmn&lt;/DYNAMIZEDBY&gt;&lt;DYNAMIZEDON&gt;17/03/2015 17:26:38&lt;/DYNAMIZEDON&gt;&lt;LASTUPDATEDBY&gt;servela&lt;/LASTUPDATEDBY&gt;&lt;LASTUPDATEDON&gt;7/9/2015 10:10:48 AM&lt;/LASTUPDATEDON&gt;&lt;UTC&gt;1&lt;/UTC&gt;&lt;/UPDATE&gt;&lt;QUERIES bbk=&quot;2692&quot; bbkdesc=&quot;2014 Annual Accounts/EU Annual Accounts/DC - Statement of Financial Performance (xlsx)&quot; datapro=&quot;FP&quot; tdatapro=&quot;FP&quot; author=&quot;&quot; modtime=&quot;7/9/2015 8:27:55 AM&quot; moduser=&quot;servela&quot; rolluptime=&quot;&quot; syuser=&quot;servela&quot; syuzeit=&quot;7/9/2015 8:27:55 AM&quot; root=&quot;/BBOOK/DATAPROVIDER[./META/PROPS/ID='FP']/DATA&quot; colcount=&quot;4&quot; rowcount=&quot;35&quot; url=&quot;&quot; dynamizeds=&quot;SAP Disclosure Management - Production&quot; dynamizedstype=&quot;9&quot; refreshds=&quot;&quot; viewtype=&quot;1&quot;&gt;&lt;QUERY reftype=&quot;ABS&quot; elmntsel=&quot;TABLE&quot; bbk=&quot;2692&quot; bbkdesc=&quot;2014 Annual Accounts/EU Annual Accounts/DC - Statement of Financial Performance (xlsx)&quot; datapro=&quot;FP&quot; infos=&quot;&quot; iscomment=&quot;0&quot;&gt;&lt;SELECT&gt;/BBOOK/DATAPROVIDER[./META/PROPS/ID='FP']/DATA/ROW&lt;/SELECT&gt;&lt;FILTERS&gt;&lt;FILTER&gt;&lt;/FILTER&gt;&lt;/FILTERS&gt;&lt;/QUERY&gt;&lt;/QUERIES&gt;&lt;/OBJECT&gt;"/>
    <w:docVar w:name="BIP_META_DOC_TBL00003" w:val="&lt;OBJECT&gt;&lt;META&gt;&lt;ID&gt;&lt;/ID&gt;&lt;NAME&gt;DOC_TBL0000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koehlmn&lt;/DYNAMIZEDBY&gt;&lt;DYNAMIZEDON&gt;09/07/2015 17:23:37&lt;/DYNAMIZEDON&gt;&lt;LASTUPDATEDBY&gt;koehlmn&lt;/LASTUPDATEDBY&gt;&lt;LASTUPDATEDON&gt;09/07/2015 17:23:37&lt;/LASTUPDATEDON&gt;&lt;UTC&gt;1&lt;/UTC&gt;&lt;/UPDATE&gt;&lt;QUERIES bbk=&quot;2693&quot; bbkdesc=&quot;2014 Annual Accounts/EU Annual Accounts/DC - Cashflow statement (xlsx)&quot; datapro=&quot;CF&quot; tdatapro=&quot;CF&quot; author=&quot;&quot; modtime=&quot;3/13/2015 3:44:48 PM&quot; moduser=&quot;servela&quot; rolluptime=&quot;&quot; syuser=&quot;servela&quot; syuzeit=&quot;3/13/2015 3:44:48 PM&quot; root=&quot;/DATA&quot; colcount=&quot;4&quot; rowcount=&quot;29&quot; url=&quot;&quot; dynamizeds=&quot;SAP Disclosure Management - Production&quot; dynamizedstype=&quot;9&quot; refreshds=&quot;&quot; viewtype=&quot;1&quot;&gt;&lt;QUERY reftype=&quot;ABS&quot; elmntsel=&quot;TABLE&quot; bbk=&quot;2693&quot; bbkdesc=&quot;2014 Annual Accounts/EU Annual Accounts/DC - Cashflow statement automated (xlsx)&quot; datapro=&quot;CF&quot; infos=&quot;&quot; iscomment=&quot;0&quot;&gt;&lt;SELECT&gt;/BBOOK/DATAPROVIDER[./META/PROPS/ID='CF']/DATA/ROW&lt;/SELECT&gt;&lt;FILTERS&gt;&lt;FILTER&gt;&lt;/FILTER&gt;&lt;/FILTERS&gt;&lt;/QUERY&gt;&lt;/QUERIES&gt;&lt;/OBJECT&gt;"/>
    <w:docVar w:name="BIP_META_DOC_TBL00004" w:val="&lt;OBJECT&gt;&lt;META&gt;&lt;ID&gt;&lt;/ID&gt;&lt;NAME&gt;DOC_TBL0000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20/03/2015 14:01:08&lt;/DYNAMIZEDON&gt;&lt;LASTUPDATEDBY&gt;koehlmn&lt;/LASTUPDATEDBY&gt;&lt;LASTUPDATEDON&gt;7/13/2015 12:11:18 PM&lt;/LASTUPDATEDON&gt;&lt;UTC&gt;1&lt;/UTC&gt;&lt;/UPDATE&gt;&lt;QUERIES bbk=&quot;3133&quot; bbkdesc=&quot;2014 Annual Accounts/EU Annual Accounts/DC - Statment of changes in net assets EU (xlsx)&quot; datapro=&quot;SOC&quot; tdatapro=&quot;SOC&quot; author=&quot;&quot; modtime=&quot;7/13/2015 12:10:36 PM&quot; moduser=&quot;koehlmn&quot; rolluptime=&quot;&quot; syuser=&quot;koehlmn&quot; syuzeit=&quot;7/13/2015 12:10:36 PM&quot; root=&quot;/BBOOK/DATAPROVIDER[./META/PROPS/ID='SOC']/DATA&quot; colcount=&quot;6&quot; rowcount=&quot;18&quot; url=&quot;&quot; dynamizeds=&quot;SAP Disclosure Management - Production&quot; dynamizedstype=&quot;9&quot; refreshds=&quot;&quot; viewtype=&quot;1&quot;&gt;&lt;QUERY reftype=&quot;ABS&quot; elmntsel=&quot;TABLE&quot; bbk=&quot;3133&quot; bbkdesc=&quot;2014 Annual Accounts/EU Annual Accounts/DC - Statment of changes in net assets EU (xlsx)&quot; datapro=&quot;SOC&quot; infos=&quot;&quot; iscomment=&quot;0&quot;&gt;&lt;SELECT&gt;/BBOOK/DATAPROVIDER[./META/PROPS/ID='SOC']/DATA/ROW&lt;/SELECT&gt;&lt;FILTERS&gt;&lt;FILTER&gt;&lt;/FILTER&gt;&lt;/FILTERS&gt;&lt;/QUERY&gt;&lt;/QUERIES&gt;&lt;/OBJECT&gt;"/>
    <w:docVar w:name="BIP_META_DOC_TBL00005" w:val="&lt;OBJECT&gt;&lt;META&gt;&lt;ID&gt;&lt;/ID&gt;&lt;NAME&gt;DOC_TBL0000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0.8.20&lt;/DATE&gt;&lt;DYNAMIZEDBY&gt;vignoal&lt;/DYNAMIZEDBY&gt;&lt;DYNAMIZEDON&gt;08/12/2014 14:39:56&lt;/DYNAMIZEDON&gt;&lt;LASTUPDATEDBY&gt;servela&lt;/LASTUPDATEDBY&gt;&lt;LASTUPDATEDON&gt;7/9/2015 10:11:36 AM&lt;/LASTUPDATEDON&gt;&lt;UTC&gt;1&lt;/UTC&gt;&lt;/UPDATE&gt;&lt;QUERIES bbk=&quot;3029&quot; bbkdesc=&quot;2014 Annual Accounts/EU Annual Accounts/DC - Currency table (xlsx)&quot; datapro=&quot;CURRENCY&quot; tdatapro=&quot;CURRENCY&quot; author=&quot;&quot; modtime=&quot;6/17/2015 2:42:57 PM&quot; moduser=&quot;bocacla&quot; rolluptime=&quot;&quot; syuser=&quot;bocacla&quot; syuzeit=&quot;6/17/2015 2:42:57 PM&quot; root=&quot;/BBOOK/DATAPROVIDER[./META/PROPS/ID='CURRENCY']/DATA&quot; colcount=&quot;6&quot; rowcount=&quot;8&quot; url=&quot;&quot; dynamizeds=&quot;SAP Disclosure Management - Production&quot; dynamizedstype=&quot;9&quot; refreshds=&quot;&quot; viewtype=&quot;1&quot;&gt;&lt;QUERY reftype=&quot;ABS&quot; elmntsel=&quot;TABLE&quot; bbk=&quot;3029&quot; bbkdesc=&quot;2014 Annual Accounts/EU Annual Accounts/DC - Currency table (xlsx)&quot; datapro=&quot;CURRENCY&quot; infos=&quot;&quot; iscomment=&quot;0&quot;&gt;&lt;SELECT&gt;/BBOOK/DATAPROVIDER[./META/PROPS/ID='CURRENCY']/DATA/ROW&lt;/SELECT&gt;&lt;FILTERS&gt;&lt;FILTER&gt;&lt;/FILTER&gt;&lt;/FILTERS&gt;&lt;/QUERY&gt;&lt;/QUERIES&gt;&lt;/OBJECT&gt;"/>
    <w:docVar w:name="BIP_META_DOC_TBL00006" w:val="&lt;OBJECT&gt;&lt;META&gt;&lt;ID&gt;&lt;/ID&gt;&lt;NAME&gt;DOC_TBL0000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0.8.20&lt;/DATE&gt;&lt;DYNAMIZEDBY&gt;vignoal&lt;/DYNAMIZEDBY&gt;&lt;DYNAMIZEDON&gt;08/12/2014 15:08:19&lt;/DYNAMIZEDON&gt;&lt;LASTUPDATEDBY&gt;servela&lt;/LASTUPDATEDBY&gt;&lt;LASTUPDATEDON&gt;7/9/2015 10:11:36 AM&lt;/LASTUPDATEDON&gt;&lt;UTC&gt;1&lt;/UTC&gt;&lt;/UPDATE&gt;&lt;QUERIES bbk=&quot;3030&quot; bbkdesc=&quot;2014 Annual Accounts/EU Annual Accounts/DC - DeprecRates (xlsx)&quot; datapro=&quot;DEPRECRATES&quot; tdatapro=&quot;DEPRECRATES&quot; author=&quot;&quot; modtime=&quot;6/17/2015 2:42:57 PM&quot; moduser=&quot;bocacla&quot; rolluptime=&quot;&quot; syuser=&quot;bocacla&quot; syuzeit=&quot;6/17/2015 2:42:57 PM&quot; root=&quot;/BBOOK/DATAPROVIDER[./META/PROPS/ID='DEPRECRATES']/DATA&quot; colcount=&quot;2&quot; rowcount=&quot;7&quot; url=&quot;&quot; dynamizeds=&quot;SAP Disclosure Management - Production&quot; dynamizedstype=&quot;9&quot; refreshds=&quot;&quot; viewtype=&quot;1&quot;&gt;&lt;QUERY reftype=&quot;ABS&quot; elmntsel=&quot;TABLE&quot; bbk=&quot;3030&quot; bbkdesc=&quot;2014 Annual Accounts/EU Annual Accounts/DC - DeprecRates (xlsx)&quot; datapro=&quot;DEPRECRATES&quot; infos=&quot;&quot; iscomment=&quot;0&quot;&gt;&lt;SELECT&gt;/BBOOK/DATAPROVIDER[./META/PROPS/ID='DEPRECRATES']/DATA/ROW&lt;/SELECT&gt;&lt;FILTERS&gt;&lt;FILTER&gt;&lt;/FILTER&gt;&lt;/FILTERS&gt;&lt;/QUERY&gt;&lt;/QUERIES&gt;&lt;/OBJECT&gt;"/>
    <w:docVar w:name="BIP_META_DOC_TBL00007" w:val="&lt;OBJECT&gt;&lt;META&gt;&lt;ID&gt;&lt;/ID&gt;&lt;NAME&gt;DOC_TBL0000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koehlmn&lt;/DYNAMIZEDBY&gt;&lt;DYNAMIZEDON&gt;17/03/2015 13:14:11&lt;/DYNAMIZEDON&gt;&lt;LASTUPDATEDBY&gt;koehlmn&lt;/LASTUPDATEDBY&gt;&lt;LASTUPDATEDON&gt;7/10/2015 9:08:02 AM&lt;/LASTUPDATEDON&gt;&lt;UTC&gt;1&lt;/UTC&gt;&lt;/UPDATE&gt;&lt;QUERIES bbk=&quot;3098&quot; bbkdesc=&quot;2014 Annual Accounts/EU Annual Accounts/DC - Intangible fixed assets (xlsx)&quot; datapro=&quot;ITFA&quot; tdatapro=&quot;ITFA&quot; author=&quot;&quot; modtime=&quot;3/12/2015 9:54:58 AM&quot; moduser=&quot;servela&quot; rolluptime=&quot;&quot; syuser=&quot;servela&quot; syuzeit=&quot;3/12/2015 9:54:58 AM&quot; root=&quot;/DATA&quot; colcount=&quot;2&quot; rowcount=&quot;17&quot; url=&quot;&quot; dynamizeds=&quot;SAP Disclosure Management - Production&quot; dynamizedstype=&quot;9&quot; refreshds=&quot;&quot; viewtype=&quot;1&quot;&gt;&lt;QUERY reftype=&quot;ABS&quot; elmntsel=&quot;TABLE&quot; bbk=&quot;3098&quot; bbkdesc=&quot;2014 Annual Accounts/EU Annual Accounts/DC - Intangible fixed assets (xlsx)&quot; datapro=&quot;ITFA&quot; infos=&quot;&quot; iscomment=&quot;0&quot;&gt;&lt;SELECT&gt;/BBOOK/DATAPROVIDER[./META/PROPS/ID='ITFA']/DATA/ROW&lt;/SELECT&gt;&lt;FILTERS&gt;&lt;FILTER&gt;&lt;/FILTER&gt;&lt;/FILTERS&gt;&lt;/QUERY&gt;&lt;/QUERIES&gt;&lt;/OBJECT&gt;"/>
    <w:docVar w:name="BIP_META_DOC_TBL00008" w:val="&lt;OBJECT&gt;&lt;META&gt;&lt;ID&gt;&lt;/ID&gt;&lt;NAME&gt;DOC_TBL0000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2/10/2015 8:47:41 AM&lt;/DYNAMIZEDON&gt;&lt;LASTUPDATEDBY&gt;koehlmn&lt;/LASTUPDATEDBY&gt;&lt;LASTUPDATEDON&gt;7/10/2015 9:00:14 AM&lt;/LASTUPDATEDON&gt;&lt;UTC&gt;1&lt;/UTC&gt;&lt;/UPDATE&gt;&lt;QUERIES bbk=&quot;3136&quot; bbkdesc=&quot;2014 Annual Accounts/EU Annual Accounts/DC - PPE (xlsx)&quot; datapro=&quot;PPE&quot; tdatapro=&quot;PPE&quot; author=&quot;&quot; modtime=&quot;7/10/2015 8:59:52 AM&quot; moduser=&quot;koehlmn&quot; rolluptime=&quot;&quot; syuser=&quot;koehlmn&quot; syuzeit=&quot;7/10/2015 8:59:52 AM&quot; root=&quot;/BBOOK/DATAPROVIDER[./META/PROPS/ID='PPE']/DATA&quot; colcount=&quot;9&quot; rowcount=&quot;18&quot; url=&quot;&quot; dynamizeds=&quot;SAP Disclosure Management - Production&quot; dynamizedstype=&quot;9&quot; refreshds=&quot;&quot; viewtype=&quot;1&quot;&gt;&lt;QUERY reftype=&quot;ABS&quot; elmntsel=&quot;TABLE&quot; bbk=&quot;3136&quot; bbkdesc=&quot;2014 Annual Accounts/EU Annual Accounts/DC - PPE (xlsx)&quot; datapro=&quot;PPE&quot; infos=&quot;&quot; iscomment=&quot;0&quot;&gt;&lt;SELECT&gt;/BBOOK/DATAPROVIDER[./META/PROPS/ID='PPE']/DATA/ROW&lt;/SELECT&gt;&lt;FILTERS&gt;&lt;FILTER&gt;&lt;/FILTER&gt;&lt;/FILTERS&gt;&lt;/QUERY&gt;&lt;/QUERIES&gt;&lt;/OBJECT&gt;"/>
    <w:docVar w:name="BIP_META_DOC_TBL00009" w:val="&lt;OBJECT&gt;&lt;META&gt;&lt;ID&gt;&lt;/ID&gt;&lt;NAME&gt;DOC_TBL0000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7/11/2014 12:25:24&lt;/DYNAMIZEDON&gt;&lt;LASTUPDATEDBY&gt;servela&lt;/LASTUPDATEDBY&gt;&lt;LASTUPDATEDON&gt;7/9/2015 10:12:11 AM&lt;/LASTUPDATEDON&gt;&lt;UTC&gt;1&lt;/UTC&gt;&lt;/UPDATE&gt;&lt;QUERIES bbk=&quot;2698&quot; bbkdesc=&quot;2014 Annual Accounts/EU Annual Accounts/DC - Investments accounted for using the equity method (xlsx)&quot; datapro=&quot;EM&quot; tdatapro=&quot;EM&quot; author=&quot;&quot; modtime=&quot;7/9/2015 8:29:19 AM&quot; moduser=&quot;servela&quot; rolluptime=&quot;&quot; syuser=&quot;servela&quot; syuzeit=&quot;7/9/2015 8:29:19 AM&quot; root=&quot;/BBOOK/DATAPROVIDER[./META/PROPS/ID='EM']/DATA&quot; colcount=&quot;4&quot; rowcount=&quot;5&quot; url=&quot;&quot; dynamizeds=&quot;SAP Disclosure Management - Production&quot; dynamizedstype=&quot;9&quot; refreshds=&quot;&quot; viewtype=&quot;1&quot;&gt;&lt;QUERY reftype=&quot;ABS&quot; elmntsel=&quot;TABLE&quot; bbk=&quot;2698&quot; bbkdesc=&quot;2014 Annual Accounts/EU Annual Accounts/DC - Investments accounted for using the equity method new (xlsx)&quot; datapro=&quot;EM&quot; infos=&quot;&quot; iscomment=&quot;0&quot;&gt;&lt;SELECT&gt;/BBOOK/DATAPROVIDER[./META/PROPS/ID='EM']/DATA/ROW&lt;/SELECT&gt;&lt;FILTERS&gt;&lt;FILTER&gt;&lt;/FILTER&gt;&lt;/FILTERS&gt;&lt;/QUERY&gt;&lt;/QUERIES&gt;&lt;/OBJECT&gt;"/>
    <w:docVar w:name="BIP_META_DOC_TBL00010" w:val="&lt;OBJECT&gt;&lt;META&gt;&lt;ID&gt;&lt;/ID&gt;&lt;NAME&gt;DOC_TBL0001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6/03/2015 13:28:27&lt;/DYNAMIZEDON&gt;&lt;LASTUPDATEDBY&gt;servela&lt;/LASTUPDATEDBY&gt;&lt;LASTUPDATEDON&gt;7/9/2015 10:12:11 AM&lt;/LASTUPDATEDON&gt;&lt;UTC&gt;1&lt;/UTC&gt;&lt;/UPDATE&gt;&lt;QUERIES bbk=&quot;2534&quot; bbkdesc=&quot;2014 Annual Accounts/EC Annual Accounts/DC - Investments accounted for using the equity method new (xlsx)&quot; datapro=&quot;PARTJV&quot; tdatapro=&quot;PARTJV&quot; author=&quot;&quot; modtime=&quot;3/13/2015 3:37:54 PM&quot; moduser=&quot;oerboan&quot; rolluptime=&quot;&quot; syuser=&quot;oerboan&quot; syuzeit=&quot;3/13/2015 3:37:54 PM&quot; root=&quot;/DATA&quot; colcount=&quot;9&quot; rowcount=&quot;8&quot; url=&quot;&quot; dynamizeds=&quot;SAP Disclosure Management - Production&quot; dynamizedstype=&quot;9&quot; refreshds=&quot;&quot; viewtype=&quot;1&quot;&gt;&lt;QUERY reftype=&quot;ABS&quot; elmntsel=&quot;TABLE&quot; bbk=&quot;2534&quot; bbkdesc=&quot;2014 Annual Accounts/EC Annual Accounts/DC - Investments accounted for using the equity method new (xlsx)&quot; datapro=&quot;PARTJV&quot; infos=&quot;&quot; iscomment=&quot;0&quot;&gt;&lt;SELECT&gt;/BBOOK/DATAPROVIDER[./META/PROPS/ID='PARTJV']/DATA/ROW&lt;/SELECT&gt;&lt;FILTERS&gt;&lt;FILTER&gt;&lt;/FILTER&gt;&lt;/FILTERS&gt;&lt;/QUERY&gt;&lt;/QUERIES&gt;&lt;/OBJECT&gt;"/>
    <w:docVar w:name="BIP_META_DOC_TBL00011" w:val="&lt;OBJECT&gt;&lt;META&gt;&lt;ID&gt;&lt;/ID&gt;&lt;NAME&gt;DOC_TBL0001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7/11/2014 12:33:10&lt;/DYNAMIZEDON&gt;&lt;LASTUPDATEDBY&gt;servela&lt;/LASTUPDATEDBY&gt;&lt;LASTUPDATEDON&gt;7/9/2015 10:12:11 AM&lt;/LASTUPDATEDON&gt;&lt;UTC&gt;1&lt;/UTC&gt;&lt;/UPDATE&gt;&lt;QUERIES bbk=&quot;2534&quot; bbkdesc=&quot;2014 Annual Accounts/EC Annual Accounts/DC - Investments accounted for using the equity method new (xlsx)&quot; datapro=&quot;PARTJV2&quot; tdatapro=&quot;PARTJV2&quot; author=&quot;&quot; modtime=&quot;7/2/2015 3:26:00 PM&quot; moduser=&quot;servela&quot; rolluptime=&quot;&quot; syuser=&quot;servela&quot; syuzeit=&quot;7/2/2015 3:26:00 PM&quot; root=&quot;/BBOOK/DATAPROVIDER[./META/PROPS/ID='PARTJV2']/DATA&quot; colcount=&quot;3&quot; rowcount=&quot;8&quot; url=&quot;&quot; dynamizeds=&quot;SAP Disclosure Management - Production&quot; dynamizedstype=&quot;9&quot; refreshds=&quot;&quot; viewtype=&quot;1&quot;&gt;&lt;QUERY reftype=&quot;ABS&quot; elmntsel=&quot;TABLE&quot; bbk=&quot;2534&quot; bbkdesc=&quot;2014 Annual Accounts/EC Annual Accounts/DC - Investments accounted for using the equity method new (xlsx)&quot; datapro=&quot;PARTJV2&quot; infos=&quot;&quot; iscomment=&quot;0&quot;&gt;&lt;SELECT&gt;/BBOOK/DATAPROVIDER[./META/PROPS/ID='PARTJV2']/DATA/ROW&lt;/SELECT&gt;&lt;FILTERS&gt;&lt;FILTER&gt;&lt;/FILTER&gt;&lt;/FILTERS&gt;&lt;/QUERY&gt;&lt;/QUERIES&gt;&lt;/OBJECT&gt;"/>
    <w:docVar w:name="BIP_META_DOC_TBL00012" w:val="&lt;OBJECT&gt;&lt;META&gt;&lt;ID&gt;&lt;/ID&gt;&lt;NAME&gt;DOC_TBL0001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3/10/2015 3:12:15 PM&lt;/DYNAMIZEDON&gt;&lt;LASTUPDATEDBY&gt;servela&lt;/LASTUPDATEDBY&gt;&lt;LASTUPDATEDON&gt;7/9/2015 10:12:11 AM&lt;/LASTUPDATEDON&gt;&lt;UTC&gt;1&lt;/UTC&gt;&lt;/UPDATE&gt;&lt;QUERIES bbk=&quot;2534&quot; bbkdesc=&quot;2014 Annual Accounts/EC Annual Accounts/DC - Investments accounted for using the equity method new (xlsx)&quot; datapro=&quot;PARTASS1&quot; tdatapro=&quot;PARTASS1&quot; author=&quot;&quot; modtime=&quot;3/9/2015 9:07:04 AM&quot; moduser=&quot;oerboan&quot; rolluptime=&quot;&quot; syuser=&quot;oerboan&quot; syuzeit=&quot;3/9/2015 9:07:04 AM&quot; root=&quot;/DATA&quot; colcount=&quot;2&quot; rowcount=&quot;8&quot; url=&quot;&quot; dynamizeds=&quot;SAP Disclosure Management - Production&quot; dynamizedstype=&quot;9&quot; refreshds=&quot;&quot; viewtype=&quot;1&quot;&gt;&lt;QUERY reftype=&quot;ABS&quot; elmntsel=&quot;TABLE&quot; bbk=&quot;2534&quot; bbkdesc=&quot;2014 Annual Accounts/EC Annual Accounts/DC - Investments accounted for using the equity method new (xlsx)&quot; datapro=&quot;PARTASS1&quot; infos=&quot;&quot; iscomment=&quot;0&quot;&gt;&lt;SELECT&gt;/BBOOK/DATAPROVIDER[./META/PROPS/ID='PARTASS1']/DATA/ROW&lt;/SELECT&gt;&lt;FILTERS&gt;&lt;FILTER&gt;&lt;/FILTER&gt;&lt;/FILTERS&gt;&lt;/QUERY&gt;&lt;/QUERIES&gt;&lt;/OBJECT&gt;"/>
    <w:docVar w:name="BIP_META_DOC_TBL00013" w:val="&lt;OBJECT&gt;&lt;META&gt;&lt;ID&gt;&lt;/ID&gt;&lt;NAME&gt;DOC_TBL0001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7/11/2014 12:33:45&lt;/DYNAMIZEDON&gt;&lt;LASTUPDATEDBY&gt;servela&lt;/LASTUPDATEDBY&gt;&lt;LASTUPDATEDON&gt;7/9/2015 10:12:11 AM&lt;/LASTUPDATEDON&gt;&lt;UTC&gt;1&lt;/UTC&gt;&lt;/UPDATE&gt;&lt;QUERIES bbk=&quot;2534&quot; bbkdesc=&quot;2014 Annual Accounts/EC Annual Accounts/DC - Investments accounted for using the equity method new (xlsx)&quot; datapro=&quot;PARTASS2&quot; tdatapro=&quot;PARTASS2&quot; author=&quot;&quot; modtime=&quot;7/2/2015 3:26:00 PM&quot; moduser=&quot;servela&quot; rolluptime=&quot;&quot; syuser=&quot;servela&quot; syuzeit=&quot;7/2/2015 3:26:00 PM&quot; root=&quot;/BBOOK/DATAPROVIDER[./META/PROPS/ID='PARTASS2']/DATA&quot; colcount=&quot;3&quot; rowcount=&quot;6&quot; url=&quot;&quot; dynamizeds=&quot;SAP Disclosure Management - Production&quot; dynamizedstype=&quot;9&quot; refreshds=&quot;&quot; viewtype=&quot;1&quot;&gt;&lt;QUERY reftype=&quot;ABS&quot; elmntsel=&quot;TABLE&quot; bbk=&quot;2534&quot; bbkdesc=&quot;2014 Annual Accounts/EC Annual Accounts/DC - Investments accounted for using the equity method new (xlsx)&quot; datapro=&quot;PARTASS2&quot; infos=&quot;&quot; iscomment=&quot;0&quot;&gt;&lt;SELECT&gt;/BBOOK/DATAPROVIDER[./META/PROPS/ID='PARTASS2']/DATA/ROW&lt;/SELECT&gt;&lt;FILTERS&gt;&lt;FILTER&gt;&lt;/FILTER&gt;&lt;/FILTERS&gt;&lt;/QUERY&gt;&lt;/QUERIES&gt;&lt;/OBJECT&gt;"/>
    <w:docVar w:name="BIP_META_DOC_TBL00014" w:val="&lt;OBJECT&gt;&lt;META&gt;&lt;ID&gt;&lt;/ID&gt;&lt;NAME&gt;DOC_TBL0001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7/11/2014 12:43:51&lt;/DYNAMIZEDON&gt;&lt;LASTUPDATEDBY&gt;servela&lt;/LASTUPDATEDBY&gt;&lt;LASTUPDATEDON&gt;7/9/2015 10:12:11 AM&lt;/LASTUPDATEDON&gt;&lt;UTC&gt;1&lt;/UTC&gt;&lt;/UPDATE&gt;&lt;QUERIES bbk=&quot;2534&quot; bbkdesc=&quot;2014 Annual Accounts/EC Annual Accounts/DC - Investments accounted for using the equity method new (xlsx)&quot; datapro=&quot;EIF&quot; tdatapro=&quot;EIF&quot; author=&quot;&quot; modtime=&quot;7/2/2015 3:26:00 PM&quot; moduser=&quot;servela&quot; rolluptime=&quot;&quot; syuser=&quot;servela&quot; syuzeit=&quot;7/2/2015 3:26:00 PM&quot; root=&quot;/BBOOK/DATAPROVIDER[./META/PROPS/ID='EIF']/DATA&quot; colcount=&quot;3&quot; rowcount=&quot;5&quot; url=&quot;&quot; dynamizeds=&quot;SAP Disclosure Management - Production&quot; dynamizedstype=&quot;9&quot; refreshds=&quot;&quot; viewtype=&quot;1&quot;&gt;&lt;QUERY reftype=&quot;ABS&quot; elmntsel=&quot;TABLE&quot; bbk=&quot;2534&quot; bbkdesc=&quot;2014 Annual Accounts/EC Annual Accounts/DC - Investments accounted for using the equity method new (xlsx)&quot; datapro=&quot;EIF&quot; infos=&quot;&quot; iscomment=&quot;0&quot;&gt;&lt;SELECT&gt;/BBOOK/DATAPROVIDER[./META/PROPS/ID='EIF']/DATA/ROW&lt;/SELECT&gt;&lt;FILTERS&gt;&lt;FILTER&gt;&lt;/FILTER&gt;&lt;/FILTERS&gt;&lt;/QUERY&gt;&lt;/QUERIES&gt;&lt;/OBJECT&gt;"/>
    <w:docVar w:name="BIP_META_DOC_TBL00015" w:val="&lt;OBJECT&gt;&lt;META&gt;&lt;ID&gt;&lt;/ID&gt;&lt;NAME&gt;DOC_TBL0001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koehlmn&lt;/DYNAMIZEDBY&gt;&lt;DYNAMIZEDON&gt;18/03/2015 19:38:34&lt;/DYNAMIZEDON&gt;&lt;LASTUPDATEDBY&gt;koehlmn&lt;/LASTUPDATEDBY&gt;&lt;LASTUPDATEDON&gt;7/13/2015 4:19:08 PM&lt;/LASTUPDATEDON&gt;&lt;UTC&gt;1&lt;/UTC&gt;&lt;/UPDATE&gt;&lt;QUERIES bbk=&quot;2699&quot; bbkdesc=&quot;2014 Annual Accounts/EU Annual Accounts/DC - Financial assets (xlsx)&quot; datapro=&quot;FINA&quot; tdatapro=&quot;FINA&quot; author=&quot;&quot; modtime=&quot;7/13/2015 4:17:55 PM&quot; moduser=&quot;koehlmn&quot; rolluptime=&quot;&quot; syuser=&quot;koehlmn&quot; syuzeit=&quot;7/13/2015 4:17:55 PM&quot; root=&quot;/BBOOK/DATAPROVIDER[./META/PROPS/ID='FINA']/DATA&quot; colcount=&quot;4&quot; rowcount=&quot;11&quot; url=&quot;&quot; dynamizeds=&quot;SAP Disclosure Management - Production&quot; dynamizedstype=&quot;9&quot; refreshds=&quot;&quot; viewtype=&quot;1&quot;&gt;&lt;QUERY reftype=&quot;ABS&quot; elmntsel=&quot;TABLE&quot; bbk=&quot;2699&quot; bbkdesc=&quot;2014 Annual Accounts/EU Annual Accounts/DC - Financial assets (xlsx)&quot; datapro=&quot;FINA&quot; infos=&quot;&quot; iscomment=&quot;0&quot;&gt;&lt;SELECT&gt;/BBOOK/DATAPROVIDER[./META/PROPS/ID='FINA']/DATA/ROW&lt;/SELECT&gt;&lt;FILTERS&gt;&lt;FILTER&gt;&lt;/FILTER&gt;&lt;/FILTERS&gt;&lt;/QUERY&gt;&lt;/QUERIES&gt;&lt;/OBJECT&gt;"/>
    <w:docVar w:name="BIP_META_DOC_TBL00016" w:val="&lt;OBJECT&gt;&lt;META&gt;&lt;ID&gt;&lt;/ID&gt;&lt;NAME&gt;DOC_TBL0001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koehlmn&lt;/DYNAMIZEDBY&gt;&lt;DYNAMIZEDON&gt;17/03/2015 11:14:41&lt;/DYNAMIZEDON&gt;&lt;LASTUPDATEDBY&gt;koehlmn&lt;/LASTUPDATEDBY&gt;&lt;LASTUPDATEDON&gt;7/13/2015 4:19:20 PM&lt;/LASTUPDATEDON&gt;&lt;UTC&gt;1&lt;/UTC&gt;&lt;/UPDATE&gt;&lt;QUERIES bbk=&quot;2699&quot; bbkdesc=&quot;2014 Annual Accounts/EU Annual Accounts/DC - Financial assets (xlsx)&quot; datapro=&quot;AFS&quot; tdatapro=&quot;AFS&quot; author=&quot;&quot; modtime=&quot;7/13/2015 4:17:55 PM&quot; moduser=&quot;koehlmn&quot; rolluptime=&quot;&quot; syuser=&quot;koehlmn&quot; syuzeit=&quot;7/13/2015 4:17:55 PM&quot; root=&quot;/BBOOK/DATAPROVIDER[./META/PROPS/ID='AFS']/DATA&quot; colcount=&quot;3&quot; rowcount=&quot;17&quot; url=&quot;&quot; dynamizeds=&quot;SAP Disclosure Management - Production&quot; dynamizedstype=&quot;9&quot; refreshds=&quot;&quot; viewtype=&quot;1&quot;&gt;&lt;QUERY reftype=&quot;ABS&quot; elmntsel=&quot;TABLE&quot; bbk=&quot;2699&quot; bbkdesc=&quot;2014 Annual Accounts/EU Annual Accounts/DC - Financial assets (xlsx)&quot; datapro=&quot;AFS&quot; infos=&quot;&quot; iscomment=&quot;0&quot;&gt;&lt;SELECT&gt;/BBOOK/DATAPROVIDER[./META/PROPS/ID='AFS']/DATA/ROW&lt;/SELECT&gt;&lt;FILTERS&gt;&lt;FILTER&gt;&lt;/FILTER&gt;&lt;/FILTERS&gt;&lt;/QUERY&gt;&lt;/QUERIES&gt;&lt;/OBJECT&gt;"/>
    <w:docVar w:name="BIP_META_DOC_TBL00017" w:val="&lt;OBJECT&gt;&lt;META&gt;&lt;ID&gt;&lt;/ID&gt;&lt;NAME&gt;DOC_TBL0001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6/11/2014 12:19:07&lt;/DYNAMIZEDON&gt;&lt;LASTUPDATEDBY&gt;koehlmn&lt;/LASTUPDATEDBY&gt;&lt;LASTUPDATEDON&gt;7/13/2015 4:19:13 PM&lt;/LASTUPDATEDON&gt;&lt;UTC&gt;1&lt;/UTC&gt;&lt;/UPDATE&gt;&lt;QUERIES bbk=&quot;2701&quot; bbkdesc=&quot;2014 Annual Accounts/EU Annual Accounts/DC - Fair value hierarchy of available for sale financial assets (xlsx)&quot; datapro=&quot;FVH&quot; tdatapro=&quot;FVH&quot; author=&quot;&quot; modtime=&quot;7/13/2015 4:15:54 PM&quot; moduser=&quot;koehlmn&quot; rolluptime=&quot;&quot; syuser=&quot;koehlmn&quot; syuzeit=&quot;7/13/2015 4:15:54 PM&quot; root=&quot;/BBOOK/DATAPROVIDER[./META/PROPS/ID='FVH']/DATA&quot; colcount=&quot;3&quot; rowcount=&quot;6&quot; url=&quot;&quot; dynamizeds=&quot;SAP Disclosure Management - Production&quot; dynamizedstype=&quot;9&quot; refreshds=&quot;&quot; viewtype=&quot;1&quot;&gt;&lt;QUERY reftype=&quot;ABS&quot; elmntsel=&quot;TABLE&quot; bbk=&quot;2701&quot; bbkdesc=&quot;2014 Annual Accounts/EU Annual Accounts/DC - Fair value hierarchy of available for sale financial assets (xlsx)&quot; datapro=&quot;FVH&quot; infos=&quot;&quot; iscomment=&quot;0&quot;&gt;&lt;SELECT&gt;/BBOOK/DATAPROVIDER[./META/PROPS/ID='FVH']/DATA/ROW&lt;/SELECT&gt;&lt;FILTERS&gt;&lt;FILTER&gt;&lt;/FILTER&gt;&lt;/FILTERS&gt;&lt;/QUERY&gt;&lt;/QUERIES&gt;&lt;/OBJECT&gt;"/>
    <w:docVar w:name="BIP_META_DOC_TBL00018" w:val="&lt;OBJECT&gt;&lt;META&gt;&lt;ID&gt;&lt;/ID&gt;&lt;NAME&gt;DOC_TBL0001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koehlmn&lt;/DYNAMIZEDBY&gt;&lt;DYNAMIZEDON&gt;3/26/2015 8:14:35 PM&lt;/DYNAMIZEDON&gt;&lt;LASTUPDATEDBY&gt;koehlmn&lt;/LASTUPDATEDBY&gt;&lt;LASTUPDATEDON&gt;7/13/2015 4:19:17 PM&lt;/LASTUPDATEDON&gt;&lt;UTC&gt;1&lt;/UTC&gt;&lt;/UPDATE&gt;&lt;QUERIES bbk=&quot;2535&quot; bbkdesc=&quot;2014 Annual Accounts/EC Annual Accounts/DC - Financial assets (xlsx)&quot; datapro=&quot;RECOFINA&quot; tdatapro=&quot;RECOFINA&quot; author=&quot;&quot; modtime=&quot;7/2/2015 3:26:01 PM&quot; moduser=&quot;servela&quot; rolluptime=&quot;&quot; syuser=&quot;servela&quot; syuzeit=&quot;7/2/2015 3:26:01 PM&quot; root=&quot;/BBOOK/DATAPROVIDER[./META/PROPS/ID='RECOFINA']/DATA&quot; colcount=&quot;2&quot; rowcount=&quot;10&quot; url=&quot;&quot; dynamizeds=&quot;SAP Disclosure Management - Production&quot; dynamizedstype=&quot;9&quot; refreshds=&quot;&quot; viewtype=&quot;1&quot;&gt;&lt;QUERY reftype=&quot;ABS&quot; elmntsel=&quot;TABLE&quot; bbk=&quot;2535&quot; bbkdesc=&quot;2014 Annual Accounts/EC Annual Accounts/DC - Financial assets (xlsx)&quot; datapro=&quot;RECOFINA&quot; infos=&quot;&quot; iscomment=&quot;0&quot;&gt;&lt;SELECT&gt;/BBOOK/DATAPROVIDER[./META/PROPS/ID='RECOFINA']/DATA/ROW&lt;/SELECT&gt;&lt;FILTERS&gt;&lt;FILTER&gt;&lt;/FILTER&gt;&lt;/FILTERS&gt;&lt;/QUERY&gt;&lt;/QUERIES&gt;&lt;/OBJECT&gt;"/>
    <w:docVar w:name="BIP_META_DOC_TBL00019" w:val="&lt;OBJECT&gt;&lt;META&gt;&lt;ID&gt;&lt;/ID&gt;&lt;NAME&gt;DOC_TBL0001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6/03/2015 11:29:48&lt;/DYNAMIZEDON&gt;&lt;LASTUPDATEDBY&gt;koehlmn&lt;/LASTUPDATEDBY&gt;&lt;LASTUPDATEDON&gt;7/13/2015 4:19:11 PM&lt;/LASTUPDATEDON&gt;&lt;UTC&gt;1&lt;/UTC&gt;&lt;/UPDATE&gt;&lt;QUERIES bbk=&quot;2699&quot; bbkdesc=&quot;2014 Annual Accounts/EU Annual Accounts/DC - Financial assets (xlsx)&quot; datapro=&quot;EIB&quot; tdatapro=&quot;EIB&quot; author=&quot;&quot; modtime=&quot;7/13/2015 4:17:55 PM&quot; moduser=&quot;koehlmn&quot; rolluptime=&quot;&quot; syuser=&quot;koehlmn&quot; syuzeit=&quot;7/13/2015 4:17:55 PM&quot; root=&quot;/BBOOK/DATAPROVIDER[./META/PROPS/ID='EIB']/DATA&quot; colcount=&quot;3&quot; rowcount=&quot;5&quot; url=&quot;&quot; dynamizeds=&quot;SAP Disclosure Management - Production&quot; dynamizedstype=&quot;9&quot; refreshds=&quot;&quot; viewtype=&quot;1&quot;&gt;&lt;QUERY reftype=&quot;ABS&quot; elmntsel=&quot;TABLE&quot; bbk=&quot;2699&quot; bbkdesc=&quot;2014 Annual Accounts/EU Annual Accounts/DC - Financial assets (xlsx)&quot; datapro=&quot;EIB&quot; infos=&quot;&quot; iscomment=&quot;0&quot;&gt;&lt;SELECT&gt;/BBOOK/DATAPROVIDER[./META/PROPS/ID='EIB']/DATA/ROW&lt;/SELECT&gt;&lt;FILTERS&gt;&lt;FILTER&gt;&lt;/FILTER&gt;&lt;/FILTERS&gt;&lt;/QUERY&gt;&lt;/QUERIES&gt;&lt;/OBJECT&gt;"/>
    <w:docVar w:name="BIP_META_DOC_TBL00020" w:val="&lt;OBJECT&gt;&lt;META&gt;&lt;ID&gt;&lt;/ID&gt;&lt;NAME&gt;DOC_TBL0002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06/03/2015 13:57:11&lt;/DYNAMIZEDON&gt;&lt;LASTUPDATEDBY&gt;koehlmn&lt;/LASTUPDATEDBY&gt;&lt;LASTUPDATEDON&gt;7/13/2015 4:19:10 PM&lt;/LASTUPDATEDON&gt;&lt;UTC&gt;1&lt;/UTC&gt;&lt;/UPDATE&gt;&lt;QUERIES bbk=&quot;2699&quot; bbkdesc=&quot;2014 Annual Accounts/EU Annual Accounts/DC - Financial assets (xlsx)&quot; datapro=&quot;LO&quot; tdatapro=&quot;LO&quot; author=&quot;&quot; modtime=&quot;7/13/2015 4:17:55 PM&quot; moduser=&quot;koehlmn&quot; rolluptime=&quot;&quot; syuser=&quot;koehlmn&quot; syuzeit=&quot;7/13/2015 4:17:55 PM&quot; root=&quot;/BBOOK/DATAPROVIDER[./META/PROPS/ID='LO']/DATA&quot; colcount=&quot;3&quot; rowcount=&quot;5&quot; url=&quot;&quot; dynamizeds=&quot;SAP Disclosure Management - Production&quot; dynamizedstype=&quot;9&quot; refreshds=&quot;&quot; viewtype=&quot;1&quot;&gt;&lt;QUERY reftype=&quot;ABS&quot; elmntsel=&quot;TABLE&quot; bbk=&quot;2699&quot; bbkdesc=&quot;2014 Annual Accounts/EU Annual Accounts/DC - Financial assets (xlsx)&quot; datapro=&quot;LO&quot; infos=&quot;&quot; iscomment=&quot;0&quot;&gt;&lt;SELECT&gt;/BBOOK/DATAPROVIDER[./META/PROPS/ID='LO']/DATA/ROW&lt;/SELECT&gt;&lt;FILTERS&gt;&lt;FILTER&gt;&lt;/FILTER&gt;&lt;/FILTERS&gt;&lt;/QUERY&gt;&lt;/QUERIES&gt;&lt;/OBJECT&gt;"/>
    <w:docVar w:name="BIP_META_DOC_TBL00021" w:val="&lt;OBJECT&gt;&lt;META&gt;&lt;ID&gt;&lt;/ID&gt;&lt;NAME&gt;DOC_TBL0002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1/20/2014 4:09:43 PM&lt;/DYNAMIZEDON&gt;&lt;LASTUPDATEDBY&gt;koehlmn&lt;/LASTUPDATEDBY&gt;&lt;LASTUPDATEDON&gt;7/13/2015 4:19:19 PM&lt;/LASTUPDATEDON&gt;&lt;UTC&gt;1&lt;/UTC&gt;&lt;/UPDATE&gt;&lt;QUERIES bbk=&quot;2771&quot; bbkdesc=&quot;2014 Annual Accounts/EU Annual Accounts/DC - Loans granted from borrowed funds LINKED TO EC (xlsx)&quot; datapro=&quot;LGFBF&quot; tdatapro=&quot;LGFBF&quot; author=&quot;&quot; modtime=&quot;7/13/2015 4:13:47 PM&quot; moduser=&quot;koehlmn&quot; rolluptime=&quot;&quot; syuser=&quot;koehlmn&quot; syuzeit=&quot;7/13/2015 4:13:47 PM&quot; root=&quot;/BBOOK/DATAPROVIDER[./META/PROPS/ID='LGFBF']/DATA&quot; colcount=&quot;7&quot; rowcount=&quot;11&quot; url=&quot;&quot; dynamizeds=&quot;SAP Disclosure Management - Production&quot; dynamizedstype=&quot;9&quot; refreshds=&quot;&quot; viewtype=&quot;1&quot;&gt;&lt;QUERY reftype=&quot;ABS&quot; elmntsel=&quot;TABLE&quot; bbk=&quot;2771&quot; bbkdesc=&quot;2014 Annual Accounts/EU Annual Accounts/DC - Loans granted from borrowed funds LINKED TO EC (except ECSC column) (xlsx)&quot; datapro=&quot;LGFBF&quot; infos=&quot;&quot; iscomment=&quot;0&quot;&gt;&lt;SELECT&gt;/BBOOK/DATAPROVIDER[./META/PROPS/ID='LGFBF']/DATA/ROW&lt;/SELECT&gt;&lt;FILTERS&gt;&lt;FILTER&gt;&lt;/FILTER&gt;&lt;/FILTERS&gt;&lt;/QUERY&gt;&lt;/QUERIES&gt;&lt;/OBJECT&gt;"/>
    <w:docVar w:name="BIP_META_DOC_TBL00022" w:val="&lt;OBJECT&gt;&lt;META&gt;&lt;ID&gt;&lt;/ID&gt;&lt;NAME&gt;DOC_TBL0002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0/03/2015 11:09:04&lt;/DYNAMIZEDON&gt;&lt;LASTUPDATEDBY&gt;koehlmn&lt;/LASTUPDATEDBY&gt;&lt;LASTUPDATEDON&gt;7/13/2015 4:19:15 PM&lt;/LASTUPDATEDON&gt;&lt;UTC&gt;1&lt;/UTC&gt;&lt;/UPDATE&gt;&lt;QUERIES bbk=&quot;2764&quot; bbkdesc=&quot;2014 Annual Accounts/EU Annual Accounts/DC - Financial Support Mechanisms (xlsx)&quot; datapro=&quot;BORR2&quot; tdatapro=&quot;BORR2&quot; author=&quot;&quot; modtime=&quot;7/13/2015 4:14:39 PM&quot; moduser=&quot;koehlmn&quot; rolluptime=&quot;&quot; syuser=&quot;koehlmn&quot; syuzeit=&quot;7/13/2015 4:14:39 PM&quot; root=&quot;/BBOOK/DATAPROVIDER[./META/PROPS/ID='BORR2']/DATA&quot; colcount=&quot;3&quot; rowcount=&quot;6&quot; url=&quot;&quot; dynamizeds=&quot;SAP Disclosure Management - Production&quot; dynamizedstype=&quot;9&quot; refreshds=&quot;&quot; viewtype=&quot;1&quot;&gt;&lt;QUERY reftype=&quot;ABS&quot; elmntsel=&quot;TABLE&quot; bbk=&quot;2764&quot; bbkdesc=&quot;2014 Annual Accounts/EU Annual Accounts/DC - Financial Support Mechanisms (xlsx)&quot; datapro=&quot;BORR2&quot; infos=&quot;&quot; iscomment=&quot;0&quot;&gt;&lt;SELECT&gt;/BBOOK/DATAPROVIDER[./META/PROPS/ID='BORR2']/DATA/ROW&lt;/SELECT&gt;&lt;FILTERS&gt;&lt;FILTER&gt;&lt;/FILTER&gt;&lt;/FILTERS&gt;&lt;/QUERY&gt;&lt;/QUERIES&gt;&lt;/OBJECT&gt;"/>
    <w:docVar w:name="BIP_META_DOC_TBL00023" w:val="&lt;OBJECT&gt;&lt;META&gt;&lt;ID&gt;&lt;/ID&gt;&lt;NAME&gt;DOC_TBL0002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7/03/2015 15:43:00&lt;/DYNAMIZEDON&gt;&lt;LASTUPDATEDBY&gt;koehlmn&lt;/LASTUPDATEDBY&gt;&lt;LASTUPDATEDON&gt;7/9/2015 4:33:42 PM&lt;/LASTUPDATEDON&gt;&lt;UTC&gt;1&lt;/UTC&gt;&lt;/UPDATE&gt;&lt;QUERIES bbk=&quot;2708&quot; bbkdesc=&quot;2014 Annual Accounts/EU Annual Accounts/DC - Pre-financing (xlsx)&quot; datapro=&quot;PF&quot; tdatapro=&quot;PF&quot; author=&quot;&quot; modtime=&quot;3/12/2015 2:52:02 PM&quot; moduser=&quot;servela&quot; rolluptime=&quot;&quot; syuser=&quot;servela&quot; syuzeit=&quot;3/12/2015 2:52:02 PM&quot; root=&quot;/DATA&quot; colcount=&quot;4&quot; rowcount=&quot;11&quot; url=&quot;&quot; dynamizeds=&quot;SAP Disclosure Management - Production&quot; dynamizedstype=&quot;9&quot; refreshds=&quot;&quot; viewtype=&quot;1&quot;&gt;&lt;QUERY reftype=&quot;ABS&quot; elmntsel=&quot;TABLE&quot; bbk=&quot;2708&quot; bbkdesc=&quot;2014 Annual Accounts/EU Annual Accounts/DC - Pre-financing (xlsx)&quot; datapro=&quot;PF&quot; infos=&quot;&quot; iscomment=&quot;0&quot;&gt;&lt;SELECT&gt;/BBOOK/DATAPROVIDER[./META/PROPS/ID='PF']/DATA/ROW&lt;/SELECT&gt;&lt;FILTERS&gt;&lt;FILTER&gt;&lt;/FILTER&gt;&lt;/FILTERS&gt;&lt;/QUERY&gt;&lt;/QUERIES&gt;&lt;/OBJECT&gt;"/>
    <w:docVar w:name="BIP_META_DOC_TBL00024" w:val="&lt;OBJECT&gt;&lt;META&gt;&lt;ID&gt;&lt;/ID&gt;&lt;NAME&gt;DOC_TBL0002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koehlmn&lt;/DYNAMIZEDBY&gt;&lt;DYNAMIZEDON&gt;24/03/2015 16:35:32&lt;/DYNAMIZEDON&gt;&lt;LASTUPDATEDBY&gt;koehlmn&lt;/LASTUPDATEDBY&gt;&lt;LASTUPDATEDON&gt;7/10/2015 12:44:08 PM&lt;/LASTUPDATEDON&gt;&lt;UTC&gt;1&lt;/UTC&gt;&lt;/UPDATE&gt;&lt;QUERIES bbk=&quot;2709&quot; bbkdesc=&quot;2014 Annual Accounts/EU Annual Accounts/DC - Pre-financing detailed (xlsx)&quot; datapro=&quot;PFD&quot; tdatapro=&quot;PFD&quot; author=&quot;&quot; modtime=&quot;7/10/2015 12:43:33 PM&quot; moduser=&quot;koehlmn&quot; rolluptime=&quot;&quot; syuser=&quot;koehlmn&quot; syuzeit=&quot;7/10/2015 12:43:33 PM&quot; root=&quot;/BBOOK/DATAPROVIDER[./META/PROPS/ID='PFD']/DATA&quot; colcount=&quot;7&quot; rowcount=&quot;20&quot; url=&quot;&quot; dynamizeds=&quot;SAP Disclosure Management - Production&quot; dynamizedstype=&quot;9&quot; refreshds=&quot;&quot; viewtype=&quot;1&quot;&gt;&lt;QUERY reftype=&quot;ABS&quot; elmntsel=&quot;TABLE&quot; bbk=&quot;2709&quot; bbkdesc=&quot;2014 Annual Accounts/EU Annual Accounts/DC - Pre-financing detailed (xlsx)&quot; datapro=&quot;PFD&quot; infos=&quot;&quot; iscomment=&quot;0&quot;&gt;&lt;SELECT&gt;/BBOOK/DATAPROVIDER[./META/PROPS/ID='PFD']/DATA/ROW&lt;/SELECT&gt;&lt;FILTERS&gt;&lt;FILTER&gt;&lt;/FILTER&gt;&lt;/FILTERS&gt;&lt;/QUERY&gt;&lt;/QUERIES&gt;&lt;/OBJECT&gt;"/>
    <w:docVar w:name="BIP_META_DOC_TBL00025" w:val="&lt;OBJECT&gt;&lt;META&gt;&lt;ID&gt;&lt;/ID&gt;&lt;NAME&gt;DOC_TBL0002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5/03/2015 16:16:04&lt;/DYNAMIZEDON&gt;&lt;LASTUPDATEDBY&gt;koehlmn&lt;/LASTUPDATEDBY&gt;&lt;LASTUPDATEDON&gt;7/9/2015 4:33:43 PM&lt;/LASTUPDATEDON&gt;&lt;UTC&gt;1&lt;/UTC&gt;&lt;/UPDATE&gt;&lt;QUERIES bbk=&quot;2536&quot; bbkdesc=&quot;2014 Annual Accounts/EC Annual Accounts/DC - Pre-financing (xlsx)&quot; datapro=&quot;FEIAS&quot; tdatapro=&quot;FEIAS&quot; author=&quot;&quot; modtime=&quot;7/9/2015 7:38:48 AM&quot; moduser=&quot;bularmi&quot; rolluptime=&quot;&quot; syuser=&quot;bularmi&quot; syuzeit=&quot;7/9/2015 7:38:48 AM&quot; root=&quot;/BBOOK/DATAPROVIDER[./META/PROPS/ID='FEIAS']/DATA&quot; colcount=&quot;3&quot; rowcount=&quot;11&quot; url=&quot;&quot; dynamizeds=&quot;SAP Disclosure Management - Production&quot; dynamizedstype=&quot;9&quot; refreshds=&quot;&quot; viewtype=&quot;1&quot;&gt;&lt;QUERY reftype=&quot;ABS&quot; elmntsel=&quot;TABLE&quot; bbk=&quot;2536&quot; bbkdesc=&quot;2014 Annual Accounts/EC Annual Accounts/DC - Pre-financing (xlsx)&quot; datapro=&quot;FEIAS&quot; infos=&quot;&quot; iscomment=&quot;0&quot;&gt;&lt;SELECT&gt;/BBOOK/DATAPROVIDER[./META/PROPS/ID='FEIAS']/DATA/ROW&lt;/SELECT&gt;&lt;FILTERS&gt;&lt;FILTER&gt;&lt;/FILTER&gt;&lt;/FILTERS&gt;&lt;/QUERY&gt;&lt;/QUERIES&gt;&lt;/OBJECT&gt;"/>
    <w:docVar w:name="BIP_META_DOC_TBL00026" w:val="&lt;OBJECT&gt;&lt;META&gt;&lt;ID&gt;&lt;/ID&gt;&lt;NAME&gt;DOC_TBL0002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koehlmn&lt;/DYNAMIZEDBY&gt;&lt;DYNAMIZEDON&gt;17/03/2015 15:43:02&lt;/DYNAMIZEDON&gt;&lt;LASTUPDATEDBY&gt;koehlmn&lt;/LASTUPDATEDBY&gt;&lt;LASTUPDATEDON&gt;7/13/2015 12:03:21 PM&lt;/LASTUPDATEDON&gt;&lt;UTC&gt;1&lt;/UTC&gt;&lt;/UPDATE&gt;&lt;QUERIES bbk=&quot;2710&quot; bbkdesc=&quot;2014 Annual Accounts/EU Annual Accounts/DC - Exchange receivables and Non-exchange recoverables (xlsx)&quot; datapro=&quot;ERNER&quot; tdatapro=&quot;ERNER&quot; author=&quot;&quot; modtime=&quot;3/12/2015 3:29:26 PM&quot; moduser=&quot;servela&quot; rolluptime=&quot;&quot; syuser=&quot;servela&quot; syuzeit=&quot;3/12/2015 3:29:26 PM&quot; root=&quot;/BBOOK/DATAPROVIDER[./META/PROPS/ID='FEIAS']/DATA&quot; colcount=&quot;4&quot; rowcount=&quot;11&quot; url=&quot;&quot; dynamizeds=&quot;SAP Disclosure Management - Production&quot; dynamizedstype=&quot;9&quot; refreshds=&quot;&quot; viewtype=&quot;1&quot;&gt;&lt;QUERY reftype=&quot;ABS&quot; elmntsel=&quot;TABLE&quot; bbk=&quot;2710&quot; bbkdesc=&quot;2014 Annual Accounts/EU Annual Accounts/DC - Exchange receivables and Non-exchange recoverables (xlsx)&quot; datapro=&quot;ERNER&quot; infos=&quot;&quot; iscomment=&quot;0&quot;&gt;&lt;SELECT&gt;/BBOOK/DATAPROVIDER[./META/PROPS/ID='ERNER']/DATA/ROW&lt;/SELECT&gt;&lt;FILTERS&gt;&lt;FILTER&gt;&lt;/FILTER&gt;&lt;/FILTERS&gt;&lt;/QUERY&gt;&lt;/QUERIES&gt;&lt;/OBJECT&gt;"/>
    <w:docVar w:name="BIP_META_DOC_TBL00027" w:val="&lt;OBJECT&gt;&lt;META&gt;&lt;ID&gt;&lt;/ID&gt;&lt;NAME&gt;DOC_TBL0002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koehlmn&lt;/DYNAMIZEDBY&gt;&lt;DYNAMIZEDON&gt;3/26/2015 9:16:56 AM&lt;/DYNAMIZEDON&gt;&lt;LASTUPDATEDBY&gt;koehlmn&lt;/LASTUPDATEDBY&gt;&lt;LASTUPDATEDON&gt;7/13/2015 12:03:19 PM&lt;/LASTUPDATEDON&gt;&lt;UTC&gt;1&lt;/UTC&gt;&lt;/UPDATE&gt;&lt;QUERIES bbk=&quot;2710&quot; bbkdesc=&quot;2014 Annual Accounts/EU Annual Accounts/DC - Exchange receivables and Non-exchange recoverables (xlsx)&quot; datapro=&quot;RNET&quot; tdatapro=&quot;RNET&quot; author=&quot;&quot; modtime=&quot;7/13/2015 12:02:31 PM&quot; moduser=&quot;koehlmn&quot; rolluptime=&quot;&quot; syuser=&quot;koehlmn&quot; syuzeit=&quot;7/13/2015 12:02:31 PM&quot; root=&quot;/BBOOK/DATAPROVIDER[./META/PROPS/ID='RNET']/DATA&quot; colcount=&quot;4&quot; rowcount=&quot;14&quot; url=&quot;&quot; dynamizeds=&quot;SAP Disclosure Management - Production&quot; dynamizedstype=&quot;9&quot; refreshds=&quot;&quot; viewtype=&quot;1&quot;&gt;&lt;QUERY reftype=&quot;ABS&quot; elmntsel=&quot;TABLE&quot; bbk=&quot;2710&quot; bbkdesc=&quot;2014 Annual Accounts/EU Annual Accounts/DC - Exchange receivables and Non-exchange recoverables (xlsx)&quot; datapro=&quot;RNET&quot; infos=&quot;&quot; iscomment=&quot;0&quot;&gt;&lt;SELECT&gt;/BBOOK/DATAPROVIDER[./META/PROPS/ID='RNET']/DATA/ROW&lt;/SELECT&gt;&lt;FILTERS&gt;&lt;FILTER&gt;&lt;/FILTER&gt;&lt;/FILTERS&gt;&lt;/QUERY&gt;&lt;/QUERIES&gt;&lt;/OBJECT&gt;"/>
    <w:docVar w:name="BIP_META_DOC_TBL00028" w:val="&lt;OBJECT&gt;&lt;META&gt;&lt;ID&gt;&lt;/ID&gt;&lt;NAME&gt;DOC_TBL0002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koehlmn&lt;/DYNAMIZEDBY&gt;&lt;DYNAMIZEDON&gt;7/13/2015 12:19:22 PM&lt;/DYNAMIZEDON&gt;&lt;LASTUPDATEDBY&gt;koehlmn&lt;/LASTUPDATEDBY&gt;&lt;LASTUPDATEDON&gt;7/13/2015 4:23:30 PM&lt;/LASTUPDATEDON&gt;&lt;UTC&gt;1&lt;/UTC&gt;&lt;/UPDATE&gt;&lt;QUERIES bbk=&quot;2711&quot; bbkdesc=&quot;2014 Annual Accounts/EU Annual Accounts/DC - Recoverables from Member States (xlsx)&quot; datapro=&quot;RMS&quot; tdatapro=&quot;RMS&quot; author=&quot;&quot; modtime=&quot;7/13/2015 4:23:00 PM&quot; moduser=&quot;koehlmn&quot; rolluptime=&quot;&quot; syuser=&quot;koehlmn&quot; syuzeit=&quot;7/13/2015 4:23:00 PM&quot; root=&quot;/BBOOK/DATAPROVIDER[./META/PROPS/ID='RMS']/DATA&quot; colcount=&quot;3&quot; rowcount=&quot;22&quot; url=&quot;&quot; dynamizeds=&quot;SAP Disclosure Management - Production&quot; dynamizedstype=&quot;9&quot; refreshds=&quot;&quot; viewtype=&quot;1&quot;&gt;&lt;QUERY reftype=&quot;ABS&quot; elmntsel=&quot;TABLE&quot; bbk=&quot;2711&quot; bbkdesc=&quot;2014 Annual Accounts/EU Annual Accounts/DC - Recoverables from Member States (xlsx)&quot; datapro=&quot;RMS&quot; infos=&quot;&quot; iscomment=&quot;0&quot;&gt;&lt;SELECT&gt;/BBOOK/DATAPROVIDER[./META/PROPS/ID='RMS']/DATA/ROW&lt;/SELECT&gt;&lt;FILTERS&gt;&lt;FILTER&gt;&lt;/FILTER&gt;&lt;/FILTERS&gt;&lt;/QUERY&gt;&lt;/QUERIES&gt;&lt;/OBJECT&gt;"/>
    <w:docVar w:name="BIP_META_DOC_TBL00029" w:val="&lt;OBJECT&gt;&lt;META&gt;&lt;ID&gt;&lt;/ID&gt;&lt;NAME&gt;DOC_TBL0002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koehlmn&lt;/DYNAMIZEDBY&gt;&lt;DYNAMIZEDON&gt;24/03/2015 16:56:19&lt;/DYNAMIZEDON&gt;&lt;LASTUPDATEDBY&gt;koehlmn&lt;/LASTUPDATEDBY&gt;&lt;LASTUPDATEDON&gt;7/13/2015 12:03:24 PM&lt;/LASTUPDATEDON&gt;&lt;UTC&gt;1&lt;/UTC&gt;&lt;/UPDATE&gt;&lt;QUERIES bbk=&quot;2713&quot; bbkdesc=&quot;2014 Annual Accounts/EU Annual Accounts/DC - Accrued income and Deferred charges (xlsx)&quot; datapro=&quot;AIDC&quot; tdatapro=&quot;AIDC&quot; author=&quot;&quot; modtime=&quot;7/10/2015 9:58:45 AM&quot; moduser=&quot;koehlmn&quot; rolluptime=&quot;&quot; syuser=&quot;koehlmn&quot; syuzeit=&quot;7/10/2015 9:58:45 AM&quot; root=&quot;/BBOOK/DATAPROVIDER[./META/PROPS/ID='AIDC']/DATA&quot; colcount=&quot;3&quot; rowcount=&quot;10&quot; url=&quot;&quot; dynamizeds=&quot;SAP Disclosure Management - Production&quot; dynamizedstype=&quot;9&quot; refreshds=&quot;&quot; viewtype=&quot;1&quot;&gt;&lt;QUERY reftype=&quot;ABS&quot; elmntsel=&quot;TABLE&quot; bbk=&quot;2713&quot; bbkdesc=&quot;2014 Annual Accounts/EU Annual Accounts/DC - Accrued income and Deferred charges (xlsx)&quot; datapro=&quot;AIDC&quot; infos=&quot;&quot; iscomment=&quot;0&quot;&gt;&lt;SELECT&gt;/BBOOK/DATAPROVIDER[./META/PROPS/ID='AIDC']/DATA/ROW&lt;/SELECT&gt;&lt;FILTERS&gt;&lt;FILTER&gt;&lt;/FILTER&gt;&lt;/FILTERS&gt;&lt;/QUERY&gt;&lt;/QUERIES&gt;&lt;/OBJECT&gt;"/>
    <w:docVar w:name="BIP_META_DOC_TBL00030" w:val="&lt;OBJECT&gt;&lt;META&gt;&lt;ID&gt;&lt;/ID&gt;&lt;NAME&gt;DOC_TBL0003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02/03/2015 16:43:29&lt;/DYNAMIZEDON&gt;&lt;LASTUPDATEDBY&gt;koehlmn&lt;/LASTUPDATEDBY&gt;&lt;LASTUPDATEDON&gt;7/13/2015 12:03:17 PM&lt;/LASTUPDATEDON&gt;&lt;UTC&gt;1&lt;/UTC&gt;&lt;/UPDATE&gt;&lt;QUERIES bbk=&quot;2710&quot; bbkdesc=&quot;2014 Annual Accounts/EU Annual Accounts/DC - Exchange receivables and Non-exchange recoverables (xlsx)&quot; datapro=&quot;RET&quot; tdatapro=&quot;RET&quot; author=&quot;&quot; modtime=&quot;7/13/2015 12:02:31 PM&quot; moduser=&quot;koehlmn&quot; rolluptime=&quot;&quot; syuser=&quot;koehlmn&quot; syuzeit=&quot;7/13/2015 12:02:31 PM&quot; root=&quot;/BBOOK/DATAPROVIDER[./META/PROPS/ID='RET']/DATA&quot; colcount=&quot;3&quot; rowcount=&quot;12&quot; url=&quot;&quot; dynamizeds=&quot;SAP Disclosure Management - Production&quot; dynamizedstype=&quot;9&quot; refreshds=&quot;&quot; viewtype=&quot;1&quot;&gt;&lt;QUERY reftype=&quot;ABS&quot; elmntsel=&quot;TABLE&quot; bbk=&quot;2710&quot; bbkdesc=&quot;2014 Annual Accounts/EU Annual Accounts/DC - Exchange receivables and Non-exchange recoverables (xlsx)&quot; datapro=&quot;RET&quot; infos=&quot;&quot; iscomment=&quot;0&quot;&gt;&lt;SELECT&gt;/BBOOK/DATAPROVIDER[./META/PROPS/ID='RET']/DATA/ROW&lt;/SELECT&gt;&lt;FILTERS&gt;&lt;FILTER&gt;&lt;/FILTER&gt;&lt;/FILTERS&gt;&lt;/QUERY&gt;&lt;/QUERIES&gt;&lt;/OBJECT&gt;"/>
    <w:docVar w:name="BIP_META_DOC_TBL00031" w:val="&lt;OBJECT&gt;&lt;META&gt;&lt;ID&gt;&lt;/ID&gt;&lt;NAME&gt;DOC_TBL0003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0.5.25&lt;/DATE&gt;&lt;DYNAMIZEDBY&gt;vignoal&lt;/DYNAMIZEDBY&gt;&lt;DYNAMIZEDON&gt;17/11/2014 14:33:11&lt;/DYNAMIZEDON&gt;&lt;LASTUPDATEDBY&gt;servela&lt;/LASTUPDATEDBY&gt;&lt;LASTUPDATEDON&gt;7/9/2015 10:14:11 AM&lt;/LASTUPDATEDON&gt;&lt;UTC&gt;1&lt;/UTC&gt;&lt;/UPDATE&gt;&lt;QUERIES bbk=&quot;2714&quot; bbkdesc=&quot;2014 Annual Accounts/EU Annual Accounts/DC - Inventories (xlsx)&quot; datapro=&quot;INV&quot; tdatapro=&quot;INV&quot; author=&quot;&quot; modtime=&quot;7/8/2015 1:36:32 PM&quot; moduser=&quot;servela&quot; rolluptime=&quot;&quot; syuser=&quot;servela&quot; syuzeit=&quot;7/8/2015 1:36:32 PM&quot; root=&quot;/BBOOK/DATAPROVIDER[./META/PROPS/ID='INV']/DATA&quot; colcount=&quot;3&quot; rowcount=&quot;5&quot; url=&quot;&quot; dynamizeds=&quot;SAP Disclosure Management - Production&quot; dynamizedstype=&quot;9&quot; refreshds=&quot;&quot; viewtype=&quot;1&quot;&gt;&lt;QUERY reftype=&quot;ABS&quot; elmntsel=&quot;TABLE&quot; bbk=&quot;2714&quot; bbkdesc=&quot;2014 Annual Accounts/EU Annual Accounts/DC - Inventories (xlsx)&quot; datapro=&quot;INV&quot; infos=&quot;&quot; iscomment=&quot;0&quot;&gt;&lt;SELECT&gt;/BBOOK/DATAPROVIDER[./META/PROPS/ID='INV']/DATA/ROW&lt;/SELECT&gt;&lt;FILTERS&gt;&lt;FILTER&gt;&lt;/FILTER&gt;&lt;/FILTERS&gt;&lt;/QUERY&gt;&lt;/QUERIES&gt;&lt;/OBJECT&gt;"/>
    <w:docVar w:name="BIP_META_DOC_TBL00032" w:val="&lt;OBJECT&gt;&lt;META&gt;&lt;ID&gt;&lt;/ID&gt;&lt;NAME&gt;DOC_TBL0003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30/03/2015 07:43:45&lt;/DYNAMIZEDON&gt;&lt;LASTUPDATEDBY&gt;koehlmn&lt;/LASTUPDATEDBY&gt;&lt;LASTUPDATEDON&gt;7/13/2015 4:25:33 PM&lt;/LASTUPDATEDON&gt;&lt;UTC&gt;1&lt;/UTC&gt;&lt;/UPDATE&gt;&lt;QUERIES bbk=&quot;2715&quot; bbkdesc=&quot;2014 Annual Accounts/EU Annual Accounts/DC - Cash and cash equivalents (xlsx)&quot; datapro=&quot;CCE&quot; tdatapro=&quot;CCE&quot; author=&quot;&quot; modtime=&quot;3/13/2015 2:17:19 PM&quot; moduser=&quot;servela&quot; rolluptime=&quot;&quot; syuser=&quot;servela&quot; syuzeit=&quot;3/13/2015 2:17:19 PM&quot; root=&quot;/DATA&quot; colcount=&quot;4&quot; rowcount=&quot;12&quot; url=&quot;&quot; dynamizeds=&quot;SAP Disclosure Management - Production&quot; dynamizedstype=&quot;9&quot; refreshds=&quot;&quot; viewtype=&quot;1&quot;&gt;&lt;QUERY reftype=&quot;ABS&quot; elmntsel=&quot;TABLE&quot; bbk=&quot;2715&quot; bbkdesc=&quot;2014 Annual Accounts/EU Annual Accounts/DC - Cash and cash equivalents (xlsx)&quot; datapro=&quot;CCE&quot; infos=&quot;&quot; iscomment=&quot;0&quot;&gt;&lt;SELECT&gt;/BBOOK/DATAPROVIDER[./META/PROPS/ID='CCE']/DATA/ROW&lt;/SELECT&gt;&lt;FILTERS&gt;&lt;FILTER&gt;&lt;/FILTER&gt;&lt;/FILTERS&gt;&lt;/QUERY&gt;&lt;/QUERIES&gt;&lt;/OBJECT&gt;"/>
    <w:docVar w:name="BIP_META_DOC_TBL00033" w:val="&lt;OBJECT&gt;&lt;META&gt;&lt;ID&gt;&lt;/ID&gt;&lt;NAME&gt;DOC_TBL0003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7/11/2014 16:11:39&lt;/DYNAMIZEDON&gt;&lt;LASTUPDATEDBY&gt;koehlmn&lt;/LASTUPDATEDBY&gt;&lt;LASTUPDATEDON&gt;7/9/2015 3:02:30 PM&lt;/LASTUPDATEDON&gt;&lt;UTC&gt;1&lt;/UTC&gt;&lt;/UPDATE&gt;&lt;QUERIES bbk=&quot;2716&quot; bbkdesc=&quot;2014 Annual Accounts/EU Annual Accounts/DC - Pension and other employee benefits (xlsx)&quot; datapro=&quot;PENS&quot; tdatapro=&quot;PENS&quot; author=&quot;&quot; modtime=&quot;7/9/2015 3:02:02 PM&quot; moduser=&quot;koehlmn&quot; rolluptime=&quot;&quot; syuser=&quot;koehlmn&quot; syuzeit=&quot;7/9/2015 3:02:02 PM&quot; root=&quot;/BBOOK/DATAPROVIDER[./META/PROPS/ID='PENS']/DATA&quot; colcount=&quot;4&quot; rowcount=&quot;6&quot; url=&quot;&quot; dynamizeds=&quot;SAP Disclosure Management - Production&quot; dynamizedstype=&quot;9&quot; refreshds=&quot;&quot; viewtype=&quot;1&quot;&gt;&lt;QUERY reftype=&quot;ABS&quot; elmntsel=&quot;TABLE&quot; bbk=&quot;2716&quot; bbkdesc=&quot;2014 Annual Accounts/EU Annual Accounts/DC - Pension and other employee benefits (xlsx)&quot; datapro=&quot;PENS&quot; infos=&quot;&quot; iscomment=&quot;0&quot;&gt;&lt;SELECT&gt;/BBOOK/DATAPROVIDER[./META/PROPS/ID='PENS']/DATA/ROW&lt;/SELECT&gt;&lt;FILTERS&gt;&lt;FILTER&gt;&lt;/FILTER&gt;&lt;/FILTERS&gt;&lt;/QUERY&gt;&lt;/QUERIES&gt;&lt;/OBJECT&gt;"/>
    <w:docVar w:name="BIP_META_DOC_TBL00034" w:val="&lt;OBJECT&gt;&lt;META&gt;&lt;ID&gt;&lt;/ID&gt;&lt;NAME&gt;DOC_TBL0003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11/03/2015 10:57:48&lt;/DYNAMIZEDON&gt;&lt;LASTUPDATEDBY&gt;koehlmn&lt;/LASTUPDATEDBY&gt;&lt;LASTUPDATEDON&gt;7/13/2015 12:22:57 PM&lt;/LASTUPDATEDON&gt;&lt;UTC&gt;1&lt;/UTC&gt;&lt;/UPDATE&gt;&lt;QUERIES bbk=&quot;2716&quot; bbkdesc=&quot;2014 Annual Accounts/EU Annual Accounts/DC - Pension and other employee benefits (xlsx)&quot; datapro=&quot;GEBL&quot; tdatapro=&quot;GEBL&quot; author=&quot;&quot; modtime=&quot;7/13/2015 12:22:25 PM&quot; moduser=&quot;koehlmn&quot; rolluptime=&quot;&quot; syuser=&quot;koehlmn&quot; syuzeit=&quot;7/13/2015 12:22:25 PM&quot; root=&quot;/BBOOK/DATAPROVIDER[./META/PROPS/ID='GEBL']/DATA&quot; colcount=&quot;4&quot; rowcount=&quot;13&quot; url=&quot;&quot; dynamizeds=&quot;SAP Disclosure Management - Production&quot; dynamizedstype=&quot;9&quot; refreshds=&quot;&quot; viewtype=&quot;1&quot;&gt;&lt;QUERY reftype=&quot;ABS&quot; elmntsel=&quot;TABLE&quot; bbk=&quot;2716&quot; bbkdesc=&quot;2014 Annual Accounts/EU Annual Accounts/DC - Pension and other employee benefits (xlsx)&quot; datapro=&quot;GEBL&quot; infos=&quot;&quot; iscomment=&quot;0&quot;&gt;&lt;SELECT&gt;/BBOOK/DATAPROVIDER[./META/PROPS/ID='GEBL']/DATA/ROW&lt;/SELECT&gt;&lt;FILTERS&gt;&lt;FILTER&gt;&lt;/FILTER&gt;&lt;/FILTERS&gt;&lt;/QUERY&gt;&lt;/QUERIES&gt;&lt;/OBJECT&gt;"/>
    <w:docVar w:name="BIP_META_DOC_TBL00035" w:val="&lt;OBJECT&gt;&lt;META&gt;&lt;ID&gt;&lt;/ID&gt;&lt;NAME&gt;DOC_TBL0003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4/07/2015 12:46:19&lt;/DYNAMIZEDON&gt;&lt;LASTUPDATEDBY&gt;vignoal&lt;/LASTUPDATEDBY&gt;&lt;LASTUPDATEDON&gt;14/07/2015 12:46:19&lt;/LASTUPDATEDON&gt;&lt;UTC&gt;1&lt;/UTC&gt;&lt;/UPDATE&gt;&lt;QUERIES bbk=&quot;2716&quot; bbkdesc=&quot;2014 Annual Accounts/EU Annual Accounts/DC - Pension and other employee benefits (xlsx)&quot; datapro=&quot;EBL&quot; tdatapro=&quot;EBL&quot; author=&quot;&quot; modtime=&quot;7/14/2015 12:44:34 PM&quot; moduser=&quot;niyam&quot; rolluptime=&quot;&quot; syuser=&quot;&quot; syuzeit=&quot;&quot; root=&quot;/BBOOK/DATAPROVIDER[./META/PROPS/ID='EBL']/DATA&quot; colcount=&quot;6&quot; rowcount=&quot;3&quot; url=&quot;&quot; dynamizeds=&quot;SAP Disclosure Management - Production&quot; dynamizedstype=&quot;9&quot; refreshds=&quot;&quot; viewtype=&quot;1&quot;&gt;&lt;QUERY reftype=&quot;ABS&quot; elmntsel=&quot;TABLE&quot; bbk=&quot;2716&quot; bbkdesc=&quot;2014 Annual Accounts/EU Annual Accounts/DC - Pension and other employee benefits (xlsx)&quot; datapro=&quot;EBL&quot; infos=&quot;&quot; iscomment=&quot;0&quot;&gt;&lt;SELECT&gt;/BBOOK/DATAPROVIDER[./META/PROPS/ID='EBL']/DATA/ROW&lt;/SELECT&gt;&lt;FILTERS&gt;&lt;FILTER&gt;&lt;/FILTER&gt;&lt;/FILTERS&gt;&lt;/QUERY&gt;&lt;/QUERIES&gt;&lt;/OBJECT&gt;"/>
    <w:docVar w:name="BIP_META_DOC_TBL00036" w:val="&lt;OBJECT&gt;&lt;META&gt;&lt;ID&gt;&lt;/ID&gt;&lt;NAME&gt;DOC_TBL0003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06/03/2015 14:10:26&lt;/DYNAMIZEDON&gt;&lt;LASTUPDATEDBY&gt;koehlmn&lt;/LASTUPDATEDBY&gt;&lt;LASTUPDATEDON&gt;7/9/2015 3:05:36 PM&lt;/LASTUPDATEDON&gt;&lt;UTC&gt;1&lt;/UTC&gt;&lt;/UPDATE&gt;&lt;QUERIES bbk=&quot;2719&quot; bbkdesc=&quot;2014 Annual Accounts/EU Annual Accounts/DC - Provisions (xlsx)&quot; datapro=&quot;PROV&quot; tdatapro=&quot;PROV&quot; author=&quot;&quot; modtime=&quot;7/9/2015 3:05:08 PM&quot; moduser=&quot;koehlmn&quot; rolluptime=&quot;&quot; syuser=&quot;koehlmn&quot; syuzeit=&quot;7/9/2015 3:05:08 PM&quot; root=&quot;/BBOOK/DATAPROVIDER[./META/PROPS/ID='PROV']/DATA&quot; colcount=&quot;8&quot; rowcount=&quot;10&quot; url=&quot;&quot; dynamizeds=&quot;SAP Disclosure Management - Production&quot; dynamizedstype=&quot;9&quot; refreshds=&quot;&quot; viewtype=&quot;1&quot;&gt;&lt;QUERY reftype=&quot;ABS&quot; elmntsel=&quot;TABLE&quot; bbk=&quot;2719&quot; bbkdesc=&quot;2014 Annual Accounts/EU Annual Accounts/DC - Provisions (xlsx)&quot; datapro=&quot;PROV&quot; infos=&quot;&quot; iscomment=&quot;0&quot;&gt;&lt;SELECT&gt;/BBOOK/DATAPROVIDER[./META/PROPS/ID='PROV']/DATA/ROW&lt;/SELECT&gt;&lt;FILTERS&gt;&lt;FILTER&gt;&lt;/FILTER&gt;&lt;/FILTERS&gt;&lt;/QUERY&gt;&lt;/QUERIES&gt;&lt;/OBJECT&gt;"/>
    <w:docVar w:name="BIP_META_DOC_TBL00037" w:val="&lt;OBJECT&gt;&lt;META&gt;&lt;ID&gt;&lt;/ID&gt;&lt;NAME&gt;DOC_TBL0003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3/10/2015 2:32:32 PM&lt;/DYNAMIZEDON&gt;&lt;LASTUPDATEDBY&gt;koehlmn&lt;/LASTUPDATEDBY&gt;&lt;LASTUPDATEDON&gt;7/9/2015 3:10:28 PM&lt;/LASTUPDATEDON&gt;&lt;UTC&gt;1&lt;/UTC&gt;&lt;/UPDATE&gt;&lt;QUERIES bbk=&quot;2720&quot; bbkdesc=&quot;2014 Annual Accounts/EU Annual Accounts/DC - Financial liabilities (xlsx)&quot; datapro=&quot;FinL&quot; tdatapro=&quot;FinL&quot; author=&quot;&quot; modtime=&quot;3/2/2015 4:22:47 PM&quot; moduser=&quot;vignale&quot; rolluptime=&quot;&quot; syuser=&quot;vignale&quot; syuzeit=&quot;3/2/2015 4:22:47 PM&quot; root=&quot;/DATA&quot; colcount=&quot;4&quot; rowcount=&quot;11&quot; url=&quot;&quot; dynamizeds=&quot;SAP Disclosure Management - Production&quot; dynamizedstype=&quot;9&quot; refreshds=&quot;&quot; viewtype=&quot;1&quot;&gt;&lt;QUERY reftype=&quot;ABS&quot; elmntsel=&quot;TABLE&quot; bbk=&quot;2720&quot; bbkdesc=&quot;2014 Annual Accounts/EU Annual Accounts/DC - Financial liabilities (xlsx)&quot; datapro=&quot;FinL&quot; infos=&quot;&quot; iscomment=&quot;0&quot;&gt;&lt;SELECT&gt;/BBOOK/DATAPROVIDER[./META/PROPS/ID='FinL']/DATA/ROW&lt;/SELECT&gt;&lt;FILTERS&gt;&lt;FILTER&gt;&lt;/FILTER&gt;&lt;/FILTERS&gt;&lt;/QUERY&gt;&lt;/QUERIES&gt;&lt;/OBJECT&gt;"/>
    <w:docVar w:name="BIP_META_DOC_TBL00038" w:val="&lt;OBJECT&gt;&lt;META&gt;&lt;ID&gt;&lt;/ID&gt;&lt;NAME&gt;DOC_TBL0003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4/03/2015 15:59:59&lt;/DYNAMIZEDON&gt;&lt;LASTUPDATEDBY&gt;koehlmn&lt;/LASTUPDATEDBY&gt;&lt;LASTUPDATEDON&gt;7/9/2015 3:10:36 PM&lt;/LASTUPDATEDON&gt;&lt;UTC&gt;1&lt;/UTC&gt;&lt;/UPDATE&gt;&lt;QUERIES bbk=&quot;2720&quot; bbkdesc=&quot;2014 Annual Accounts/EU Annual Accounts/DC - Financial liabilities (xlsx)&quot; datapro=&quot;FinLiabBorrowings&quot; tdatapro=&quot;FinLiabBorrowings&quot; author=&quot;&quot; modtime=&quot;7/9/2015 3:08:16 PM&quot; moduser=&quot;koehlmn&quot; rolluptime=&quot;&quot; syuser=&quot;koehlmn&quot; syuzeit=&quot;7/9/2015 3:08:16 PM&quot; root=&quot;/BBOOK/DATAPROVIDER[./META/PROPS/ID='FinLiabBorrowings']/DATA&quot; colcount=&quot;3&quot; rowcount=&quot;5&quot; url=&quot;&quot; dynamizeds=&quot;SAP Disclosure Management - Production&quot; dynamizedstype=&quot;9&quot; refreshds=&quot;&quot; viewtype=&quot;1&quot;&gt;&lt;QUERY reftype=&quot;ABS&quot; elmntsel=&quot;TABLE&quot; bbk=&quot;2720&quot; bbkdesc=&quot;2014 Annual Accounts/EU Annual Accounts/DC - Financial liabilities (xlsx)&quot; datapro=&quot;FinLiabBorrowings&quot; infos=&quot;&quot; iscomment=&quot;0&quot;&gt;&lt;SELECT&gt;/BBOOK/DATAPROVIDER[./META/PROPS/ID='FinLiabBorrowings']/DATA/ROW&lt;/SELECT&gt;&lt;FILTERS&gt;&lt;FILTER&gt;&lt;/FILTER&gt;&lt;/FILTERS&gt;&lt;/QUERY&gt;&lt;/QUERIES&gt;&lt;/OBJECT&gt;"/>
    <w:docVar w:name="BIP_META_DOC_TBL00039" w:val="&lt;OBJECT&gt;&lt;META&gt;&lt;ID&gt;&lt;/ID&gt;&lt;NAME&gt;DOC_TBL0003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6/01/2015 14:48:58&lt;/DYNAMIZEDON&gt;&lt;LASTUPDATEDBY&gt;koehlmn&lt;/LASTUPDATEDBY&gt;&lt;LASTUPDATEDON&gt;7/9/2015 3:10:33 PM&lt;/LASTUPDATEDON&gt;&lt;UTC&gt;1&lt;/UTC&gt;&lt;/UPDATE&gt;&lt;QUERIES bbk=&quot;2772&quot; bbkdesc=&quot;2014 Annual Accounts/EU Annual Accounts/DC - Borrowings by Financial instruments (xlsx)&quot; datapro=&quot;BFI&quot; tdatapro=&quot;BFI&quot; author=&quot;&quot; modtime=&quot;11/21/2014 8:16:57 AM&quot; moduser=&quot;vignale&quot; rolluptime=&quot;&quot; syuser=&quot;vignale&quot; syuzeit=&quot;11/21/2014 8:16:57 AM&quot; root=&quot;/DATA&quot; colcount=&quot;7&quot; rowcount=&quot;10&quot; url=&quot;&quot; dynamizeds=&quot;SAP Disclosure Management - Production&quot; dynamizedstype=&quot;9&quot; refreshds=&quot;&quot; viewtype=&quot;1&quot;&gt;&lt;QUERY reftype=&quot;ABS&quot; elmntsel=&quot;TABLE&quot; bbk=&quot;2772&quot; bbkdesc=&quot;2014 Annual Accounts/EU Annual Accounts/DC - Borrowings by Financial instruments LINKED TO EU (except the ECSC column) (xlsx)&quot; datapro=&quot;BFI&quot; infos=&quot;&quot; iscomment=&quot;0&quot;&gt;&lt;SELECT&gt;/BBOOK/DATAPROVIDER[./META/PROPS/ID='BFI']/DATA/ROW&lt;/SELECT&gt;&lt;FILTERS&gt;&lt;FILTER&gt;&lt;/FILTER&gt;&lt;/FILTERS&gt;&lt;/QUERY&gt;&lt;/QUERIES&gt;&lt;/OBJECT&gt;"/>
    <w:docVar w:name="BIP_META_DOC_TBL00040" w:val="&lt;OBJECT&gt;&lt;META&gt;&lt;ID&gt;&lt;/ID&gt;&lt;NAME&gt;DOC_TBL0004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0/03/2015 11:10:53&lt;/DYNAMIZEDON&gt;&lt;LASTUPDATEDBY&gt;koehlmn&lt;/LASTUPDATEDBY&gt;&lt;LASTUPDATEDON&gt;7/9/2015 3:10:35 PM&lt;/LASTUPDATEDON&gt;&lt;UTC&gt;1&lt;/UTC&gt;&lt;/UPDATE&gt;&lt;QUERIES bbk=&quot;2764&quot; bbkdesc=&quot;2014 Annual Accounts/EU Annual Accounts/DC - Financial Support Mechanisms (xlsx)&quot; datapro=&quot;BORR3&quot; tdatapro=&quot;BORR3&quot; author=&quot;&quot; modtime=&quot;7/2/2015 3:24:18 PM&quot; moduser=&quot;koehlmn&quot; rolluptime=&quot;&quot; syuser=&quot;koehlmn&quot; syuzeit=&quot;7/2/2015 3:24:18 PM&quot; root=&quot;/BBOOK/DATAPROVIDER[./META/PROPS/ID='BORR3']/DATA&quot; colcount=&quot;3&quot; rowcount=&quot;6&quot; url=&quot;&quot; dynamizeds=&quot;SAP Disclosure Management - Production&quot; dynamizedstype=&quot;9&quot; refreshds=&quot;&quot; viewtype=&quot;1&quot;&gt;&lt;QUERY reftype=&quot;ABS&quot; elmntsel=&quot;TABLE&quot; bbk=&quot;2764&quot; bbkdesc=&quot;2014 Annual Accounts/EU Annual Accounts/DC - Financial Support Mechanisms (xlsx)&quot; datapro=&quot;BORR3&quot; infos=&quot;&quot; iscomment=&quot;0&quot;&gt;&lt;SELECT&gt;/BBOOK/DATAPROVIDER[./META/PROPS/ID='BORR3']/DATA/ROW&lt;/SELECT&gt;&lt;FILTERS&gt;&lt;FILTER&gt;&lt;/FILTER&gt;&lt;/FILTERS&gt;&lt;/QUERY&gt;&lt;/QUERIES&gt;&lt;/OBJECT&gt;"/>
    <w:docVar w:name="BIP_META_DOC_TBL00041" w:val="&lt;OBJECT&gt;&lt;META&gt;&lt;ID&gt;&lt;/ID&gt;&lt;NAME&gt;DOC_TBL0004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7/03/2015 16:21:08&lt;/DYNAMIZEDON&gt;&lt;LASTUPDATEDBY&gt;koehlmn&lt;/LASTUPDATEDBY&gt;&lt;LASTUPDATEDON&gt;7/9/2015 3:02:32 PM&lt;/LASTUPDATEDON&gt;&lt;UTC&gt;1&lt;/UTC&gt;&lt;/UPDATE&gt;&lt;QUERIES bbk=&quot;2539&quot; bbkdesc=&quot;2014 Annual Accounts/EC Annual Accounts/DC - Pension and other employee benefits (xlsx)&quot; datapro=&quot;SPL&quot; tdatapro=&quot;SPL&quot; author=&quot;&quot; modtime=&quot;7/2/2015 3:27:45 PM&quot; moduser=&quot;servela&quot; rolluptime=&quot;&quot; syuser=&quot;servela&quot; syuzeit=&quot;7/2/2015 3:27:45 PM&quot; root=&quot;/BBOOK/DATAPROVIDER[./META/PROPS/ID='SPL']/DATA&quot; colcount=&quot;3&quot; rowcount=&quot;7&quot; url=&quot;&quot; dynamizeds=&quot;SAP Disclosure Management - Production&quot; dynamizedstype=&quot;9&quot; refreshds=&quot;&quot; viewtype=&quot;1&quot;&gt;&lt;QUERY reftype=&quot;ABS&quot; elmntsel=&quot;TABLE&quot; bbk=&quot;2539&quot; bbkdesc=&quot;2014 Annual Accounts/EC Annual Accounts/DC - Pension and other employee benefits (xlsx)&quot; datapro=&quot;SPL&quot; infos=&quot;&quot; iscomment=&quot;0&quot;&gt;&lt;SELECT&gt;/BBOOK/DATAPROVIDER[./META/PROPS/ID='SPL']/DATA/ROW&lt;/SELECT&gt;&lt;FILTERS&gt;&lt;FILTER&gt;&lt;/FILTER&gt;&lt;/FILTERS&gt;&lt;/QUERY&gt;&lt;/QUERIES&gt;&lt;/OBJECT&gt;"/>
    <w:docVar w:name="BIP_META_DOC_TBL00042" w:val="&lt;OBJECT&gt;&lt;META&gt;&lt;ID&gt;&lt;/ID&gt;&lt;NAME&gt;DOC_TBL0004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koehlmn&lt;/DYNAMIZEDBY&gt;&lt;DYNAMIZEDON&gt;7/13/2015 12:36:57 PM&lt;/DYNAMIZEDON&gt;&lt;LASTUPDATEDBY&gt;koehlmn&lt;/LASTUPDATEDBY&gt;&lt;LASTUPDATEDON&gt;7/13/2015 12:36:57 PM&lt;/LASTUPDATEDON&gt;&lt;UTC&gt;1&lt;/UTC&gt;&lt;/UPDATE&gt;&lt;QUERIES bbk=&quot;2725&quot; bbkdesc=&quot;2014 Annual Accounts/EU Annual Accounts/DC - Other financial liabilities (xlsx)&quot; datapro=&quot;OthFinanL&quot; tdatapro=&quot;OthFinanL&quot; author=&quot;&quot; modtime=&quot;11/18/2014 8:39:48 AM&quot; moduser=&quot;vignale&quot; rolluptime=&quot;&quot; syuser=&quot;vignale&quot; syuzeit=&quot;11/18/2014 8:39:48 AM&quot; root=&quot;/BBOOK/DATAPROVIDER[./META/PROPS/ID='RMS']/DATA&quot; colcount=&quot;3&quot; rowcount=&quot;13&quot; url=&quot;&quot; dynamizeds=&quot;SAP Disclosure Management - Production&quot; dynamizedstype=&quot;9&quot; refreshds=&quot;&quot; viewtype=&quot;1&quot;&gt;&lt;QUERY reftype=&quot;ABS&quot; elmntsel=&quot;TABLE&quot; bbk=&quot;2725&quot; bbkdesc=&quot;2014 Annual Accounts/EU Annual Accounts/DC - Other financial liabilities (xlsx)&quot; datapro=&quot;OthFinanL&quot; infos=&quot;&quot; iscomment=&quot;0&quot;&gt;&lt;SELECT&gt;/BBOOK/DATAPROVIDER[./META/PROPS/ID='OthFinanL']/DATA/ROW&lt;/SELECT&gt;&lt;FILTERS&gt;&lt;FILTER&gt;&lt;/FILTER&gt;&lt;/FILTERS&gt;&lt;/QUERY&gt;&lt;/QUERIES&gt;&lt;/OBJECT&gt;"/>
    <w:docVar w:name="BIP_META_DOC_TBL00043" w:val="&lt;OBJECT&gt;&lt;META&gt;&lt;ID&gt;&lt;/ID&gt;&lt;NAME&gt;DOC_TBL0004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6/01/2015 14:50:00&lt;/DYNAMIZEDON&gt;&lt;LASTUPDATEDBY&gt;koehlmn&lt;/LASTUPDATEDBY&gt;&lt;LASTUPDATEDON&gt;7/10/2015 1:33:57 PM&lt;/LASTUPDATEDON&gt;&lt;UTC&gt;1&lt;/UTC&gt;&lt;/UPDATE&gt;&lt;QUERIES bbk=&quot;2726&quot; bbkdesc=&quot;2014 Annual Accounts/EU Annual Accounts/DC - Finance Lease liabilities (xlsx)&quot; datapro=&quot;FL&quot; tdatapro=&quot;FL&quot; author=&quot;&quot; modtime=&quot;11/18/2014 8:39:58 AM&quot; moduser=&quot;vignale&quot; rolluptime=&quot;&quot; syuser=&quot;vignale&quot; syuzeit=&quot;11/18/2014 8:39:58 AM&quot; root=&quot;/DATA&quot; colcount=&quot;5&quot; rowcount=&quot;9&quot; url=&quot;&quot; dynamizeds=&quot;SAP Disclosure Management - Production&quot; dynamizedstype=&quot;9&quot; refreshds=&quot;&quot; viewtype=&quot;1&quot;&gt;&lt;QUERY reftype=&quot;ABS&quot; elmntsel=&quot;TABLE&quot; bbk=&quot;2726&quot; bbkdesc=&quot;2014 Annual Accounts/EU Annual Accounts/DC - Finance Lease liabilities (xlsx)&quot; datapro=&quot;FL&quot; infos=&quot;&quot; iscomment=&quot;0&quot;&gt;&lt;SELECT&gt;/BBOOK/DATAPROVIDER[./META/PROPS/ID='FL']/DATA/ROW&lt;/SELECT&gt;&lt;FILTERS&gt;&lt;FILTER&gt;&lt;/FILTER&gt;&lt;/FILTERS&gt;&lt;/QUERY&gt;&lt;/QUERIES&gt;&lt;/OBJECT&gt;"/>
    <w:docVar w:name="BIP_META_DOC_TBL00044" w:val="&lt;OBJECT&gt;&lt;META&gt;&lt;ID&gt;&lt;/ID&gt;&lt;NAME&gt;DOC_TBL0004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7/3/2015 8:08:02 AM&lt;/DYNAMIZEDON&gt;&lt;LASTUPDATEDBY&gt;koehlmn&lt;/LASTUPDATEDBY&gt;&lt;LASTUPDATEDON&gt;7/13/2015 4:04:42 PM&lt;/LASTUPDATEDON&gt;&lt;UTC&gt;1&lt;/UTC&gt;&lt;/UPDATE&gt;&lt;QUERIES bbk=&quot;2727&quot; bbkdesc=&quot;2014 Annual Accounts/EU Annual Accounts/DC - Payables (xlsx)&quot; datapro=&quot;PAYAB&quot; tdatapro=&quot;PAYAB&quot; author=&quot;&quot; modtime=&quot;7/13/2015 4:04:03 PM&quot; moduser=&quot;koehlmn&quot; rolluptime=&quot;&quot; syuser=&quot;koehlmn&quot; syuzeit=&quot;7/13/2015 4:04:03 PM&quot; root=&quot;/BBOOK/DATAPROVIDER[./META/PROPS/ID='PAYAB']/DATA&quot; colcount=&quot;4&quot; rowcount=&quot;23&quot; url=&quot;&quot; dynamizeds=&quot;SAP Disclosure Management - Production&quot; dynamizedstype=&quot;9&quot; refreshds=&quot;&quot; viewtype=&quot;1&quot;&gt;&lt;QUERY reftype=&quot;ABS&quot; elmntsel=&quot;TABLE&quot; bbk=&quot;2727&quot; bbkdesc=&quot;2014 Annual Accounts/EU Annual Accounts/DC - Payables (xlsx)&quot; datapro=&quot;PAYAB&quot; infos=&quot;&quot; iscomment=&quot;0&quot;&gt;&lt;SELECT&gt;/BBOOK/DATAPROVIDER[./META/PROPS/ID='PAYAB']/DATA/ROW&lt;/SELECT&gt;&lt;FILTERS&gt;&lt;FILTER&gt;&lt;/FILTER&gt;&lt;/FILTERS&gt;&lt;/QUERY&gt;&lt;/QUERIES&gt;&lt;/OBJECT&gt;"/>
    <w:docVar w:name="BIP_META_DOC_TBL00045" w:val="&lt;OBJECT&gt;&lt;META&gt;&lt;ID&gt;&lt;/ID&gt;&lt;NAME&gt;DOC_TBL0004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koehlmn&lt;/DYNAMIZEDBY&gt;&lt;DYNAMIZEDON&gt;19/03/2015 08:32:07&lt;/DYNAMIZEDON&gt;&lt;LASTUPDATEDBY&gt;koehlmn&lt;/LASTUPDATEDBY&gt;&lt;LASTUPDATEDON&gt;7/10/2015 10:16:45 AM&lt;/LASTUPDATEDON&gt;&lt;UTC&gt;1&lt;/UTC&gt;&lt;/UPDATE&gt;&lt;QUERIES bbk=&quot;2728&quot; bbkdesc=&quot;2014 Annual Accounts/EU Annual Accounts/DC - Accrued charges and Deferred income (xlsx)&quot; datapro=&quot;ACCDEF&quot; tdatapro=&quot;ACCDEF&quot; author=&quot;&quot; modtime=&quot;7/10/2015 10:15:56 AM&quot; moduser=&quot;koehlmn&quot; rolluptime=&quot;&quot; syuser=&quot;koehlmn&quot; syuzeit=&quot;7/10/2015 10:15:56 AM&quot; root=&quot;/BBOOK/DATAPROVIDER[./META/PROPS/ID='ACCDEF']/DATA&quot; colcount=&quot;3&quot; rowcount=&quot;6&quot; url=&quot;&quot; dynamizeds=&quot;SAP Disclosure Management - Production&quot; dynamizedstype=&quot;9&quot; refreshds=&quot;&quot; viewtype=&quot;1&quot;&gt;&lt;QUERY reftype=&quot;ABS&quot; elmntsel=&quot;TABLE&quot; bbk=&quot;2728&quot; bbkdesc=&quot;2014 Annual Accounts/EU Annual Accounts/DC - Accrued charges and Deferred income (xlsx)&quot; datapro=&quot;ACCDEF&quot; infos=&quot;&quot; iscomment=&quot;0&quot;&gt;&lt;SELECT&gt;/BBOOK/DATAPROVIDER[./META/PROPS/ID='ACCDEF']/DATA/ROW&lt;/SELECT&gt;&lt;FILTERS&gt;&lt;FILTER&gt;&lt;/FILTER&gt;&lt;/FILTERS&gt;&lt;/QUERY&gt;&lt;/QUERIES&gt;&lt;/OBJECT&gt;"/>
    <w:docVar w:name="BIP_META_DOC_TBL00046" w:val="&lt;OBJECT&gt;&lt;META&gt;&lt;ID&gt;&lt;/ID&gt;&lt;NAME&gt;DOC_TBL0004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26/01/2015 15:25:32&lt;/DYNAMIZEDON&gt;&lt;LASTUPDATEDBY&gt;koehlmn&lt;/LASTUPDATEDBY&gt;&lt;LASTUPDATEDON&gt;7/10/2015 10:16:46 AM&lt;/LASTUPDATEDON&gt;&lt;UTC&gt;1&lt;/UTC&gt;&lt;/UPDATE&gt;&lt;QUERIES bbk=&quot;2728&quot; bbkdesc=&quot;2014 Annual Accounts/EU Annual Accounts/DC - Accrued charges and Deferred income (xlsx)&quot; datapro=&quot;SPLITACC&quot; tdatapro=&quot;SPLITACC&quot; author=&quot;&quot; modtime=&quot;7/10/2015 10:15:56 AM&quot; moduser=&quot;koehlmn&quot; rolluptime=&quot;&quot; syuser=&quot;koehlmn&quot; syuzeit=&quot;7/10/2015 10:15:56 AM&quot; root=&quot;/BBOOK/DATAPROVIDER[./META/PROPS/ID='ACCDEF']/DATA&quot; colcount=&quot;3&quot; rowcount=&quot;8&quot; url=&quot;&quot; dynamizeds=&quot;SAP Disclosure Management - Production&quot; dynamizedstype=&quot;9&quot; refreshds=&quot;&quot; viewtype=&quot;1&quot;&gt;&lt;QUERY reftype=&quot;ABS&quot; elmntsel=&quot;TABLE&quot; bbk=&quot;2728&quot; bbkdesc=&quot;2014 Annual Accounts/EU Annual Accounts/DC - Accrued charges and Deferred income (xlsx)&quot; datapro=&quot;SPLITACC&quot; infos=&quot;&quot; iscomment=&quot;0&quot;&gt;&lt;SELECT&gt;/BBOOK/DATAPROVIDER[./META/PROPS/ID='SPLITACC']/DATA/ROW&lt;/SELECT&gt;&lt;FILTERS&gt;&lt;FILTER&gt;&lt;/FILTER&gt;&lt;/FILTERS&gt;&lt;/QUERY&gt;&lt;/QUERIES&gt;&lt;/OBJECT&gt;"/>
    <w:docVar w:name="BIP_META_DOC_TBL00047" w:val="&lt;OBJECT&gt;&lt;META&gt;&lt;ID&gt;&lt;/ID&gt;&lt;NAME&gt;DOC_TBL0004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6/01/2015 15:34:19&lt;/DYNAMIZEDON&gt;&lt;LASTUPDATEDBY&gt;servela&lt;/LASTUPDATEDBY&gt;&lt;LASTUPDATEDON&gt;7/9/2015 10:16:31 AM&lt;/LASTUPDATEDON&gt;&lt;UTC&gt;1&lt;/UTC&gt;&lt;/UPDATE&gt;&lt;QUERIES bbk=&quot;2729&quot; bbkdesc=&quot;2014 Annual Accounts/EU Annual Accounts/DC - Reserves (xlsx)&quot; datapro=&quot;RES&quot; tdatapro=&quot;RES&quot; author=&quot;&quot; modtime=&quot;7/8/2015 1:40:38 PM&quot; moduser=&quot;servela&quot; rolluptime=&quot;&quot; syuser=&quot;servela&quot; syuzeit=&quot;7/8/2015 1:40:38 PM&quot; root=&quot;/BBOOK/DATAPROVIDER[./META/PROPS/ID='RES']/DATA&quot; colcount=&quot;4&quot; rowcount=&quot;6&quot; url=&quot;&quot; dynamizeds=&quot;SAP Disclosure Management - Production&quot; dynamizedstype=&quot;9&quot; refreshds=&quot;&quot; viewtype=&quot;1&quot;&gt;&lt;QUERY reftype=&quot;ABS&quot; elmntsel=&quot;TABLE&quot; bbk=&quot;2729&quot; bbkdesc=&quot;2014 Annual Accounts/EU Annual Accounts/DC - Reserves (xlsx)&quot; datapro=&quot;RES&quot; infos=&quot;&quot; iscomment=&quot;0&quot;&gt;&lt;SELECT&gt;/BBOOK/DATAPROVIDER[./META/PROPS/ID='RES']/DATA/ROW&lt;/SELECT&gt;&lt;FILTERS&gt;&lt;FILTER&gt;&lt;/FILTER&gt;&lt;/FILTERS&gt;&lt;/QUERY&gt;&lt;/QUERIES&gt;&lt;/OBJECT&gt;"/>
    <w:docVar w:name="BIP_META_DOC_TBL00048" w:val="&lt;OBJECT&gt;&lt;META&gt;&lt;ID&gt;&lt;/ID&gt;&lt;NAME&gt;DOC_TBL0004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6/01/2015 15:33:38&lt;/DYNAMIZEDON&gt;&lt;LASTUPDATEDBY&gt;servela&lt;/LASTUPDATEDBY&gt;&lt;LASTUPDATEDON&gt;7/9/2015 10:16:31 AM&lt;/LASTUPDATEDON&gt;&lt;UTC&gt;1&lt;/UTC&gt;&lt;/UPDATE&gt;&lt;QUERIES bbk=&quot;2730&quot; bbkdesc=&quot;2014 Annual Accounts/EU Annual Accounts/DC - Fair value movements of available for sale financial assets (xlsx)&quot; datapro=&quot;FVMAFS&quot; tdatapro=&quot;FVMAFS&quot; author=&quot;&quot; modtime=&quot;11/18/2014 9:45:08 AM&quot; moduser=&quot;vignale&quot; rolluptime=&quot;&quot; syuser=&quot;vignale&quot; syuzeit=&quot;11/18/2014 9:45:08 AM&quot; root=&quot;/BBOOK/DATAPROVIDER[./META/PROPS/ID='RES']/DATA&quot; colcount=&quot;3&quot; rowcount=&quot;5&quot; url=&quot;&quot; dynamizeds=&quot;SAP Disclosure Management - Production&quot; dynamizedstype=&quot;9&quot; refreshds=&quot;&quot; viewtype=&quot;1&quot;&gt;&lt;QUERY reftype=&quot;ABS&quot; elmntsel=&quot;TABLE&quot; bbk=&quot;2730&quot; bbkdesc=&quot;2014 Annual Accounts/EU Annual Accounts/DC - Fair value movements of on available for sale financial assets (xlsx)&quot; datapro=&quot;FVMAFS&quot; infos=&quot;&quot; iscomment=&quot;0&quot;&gt;&lt;SELECT&gt;/BBOOK/DATAPROVIDER[./META/PROPS/ID='FVMAFS']/DATA/ROW&lt;/SELECT&gt;&lt;FILTERS&gt;&lt;FILTER&gt;&lt;/FILTER&gt;&lt;/FILTERS&gt;&lt;/QUERY&gt;&lt;/QUERIES&gt;&lt;/OBJECT&gt;"/>
    <w:docVar w:name="BIP_META_DOC_TBL00049" w:val="&lt;OBJECT&gt;&lt;META&gt;&lt;ID&gt;&lt;/ID&gt;&lt;NAME&gt;DOC_TBL0004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6/01/2015 15:37:20&lt;/DYNAMIZEDON&gt;&lt;LASTUPDATEDBY&gt;koehlmn&lt;/LASTUPDATEDBY&gt;&lt;LASTUPDATEDON&gt;7/9/2015 3:24:54 PM&lt;/LASTUPDATEDON&gt;&lt;UTC&gt;1&lt;/UTC&gt;&lt;/UPDATE&gt;&lt;QUERIES bbk=&quot;2731&quot; bbkdesc=&quot;2014 Annual Accounts/EU Annual Accounts/DC - Amounts to be called from member states (xlsx)&quot; datapro=&quot;MEMST1&quot; tdatapro=&quot;MEMST1&quot; author=&quot;&quot; modtime=&quot;11/18/2014 9:47:08 AM&quot; moduser=&quot;vignale&quot; rolluptime=&quot;&quot; syuser=&quot;vignale&quot; syuzeit=&quot;11/18/2014 9:47:08 AM&quot; root=&quot;/DATA&quot; colcount=&quot;2&quot; rowcount=&quot;8&quot; url=&quot;&quot; dynamizeds=&quot;SAP Disclosure Management - Production&quot; dynamizedstype=&quot;9&quot; refreshds=&quot;&quot; viewtype=&quot;1&quot;&gt;&lt;QUERY reftype=&quot;ABS&quot; elmntsel=&quot;TABLE&quot; bbk=&quot;2731&quot; bbkdesc=&quot;2014 Annual Accounts/EU Annual Accounts/DC - Amounts to be called from member states (xlsx)&quot; datapro=&quot;MEMST1&quot; infos=&quot;&quot; iscomment=&quot;0&quot;&gt;&lt;SELECT&gt;/BBOOK/DATAPROVIDER[./META/PROPS/ID='MEMST1']/DATA/ROW&lt;/SELECT&gt;&lt;FILTERS&gt;&lt;FILTER&gt;&lt;/FILTER&gt;&lt;/FILTERS&gt;&lt;/QUERY&gt;&lt;/QUERIES&gt;&lt;/OBJECT&gt;"/>
    <w:docVar w:name="BIP_META_DOC_TBL00050" w:val="&lt;OBJECT&gt;&lt;META&gt;&lt;ID&gt;&lt;/ID&gt;&lt;NAME&gt;DOC_TBL0005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22/2015 9:30:22 AM&lt;/DYNAMIZEDON&gt;&lt;LASTUPDATEDBY&gt;servela&lt;/LASTUPDATEDBY&gt;&lt;LASTUPDATEDON&gt;7/9/2015 10:17:05 AM&lt;/LASTUPDATEDON&gt;&lt;UTC&gt;1&lt;/UTC&gt;&lt;/UPDATE&gt;&lt;QUERIES bbk=&quot;2548&quot; bbkdesc=&quot;2014 Annual Accounts/EC Annual Accounts/DC - Traditional own resources (xlsx)&quot; datapro=&quot;TOR&quot; tdatapro=&quot;TOR&quot; author=&quot;&quot; modtime=&quot;7/2/2015 3:29:20 PM&quot; moduser=&quot;servela&quot; rolluptime=&quot;&quot; syuser=&quot;servela&quot; syuzeit=&quot;7/2/2015 3:29:20 PM&quot; root=&quot;/BBOOK/DATAPROVIDER[./META/PROPS/ID='TOR']/DATA&quot; colcount=&quot;3&quot; rowcount=&quot;5&quot; url=&quot;&quot; dynamizeds=&quot;SAP Disclosure Management - Production&quot; dynamizedstype=&quot;9&quot; refreshds=&quot;&quot; viewtype=&quot;1&quot;&gt;&lt;QUERY reftype=&quot;ABS&quot; elmntsel=&quot;TABLE&quot; bbk=&quot;2548&quot; bbkdesc=&quot;2014 Annual Accounts/EC Annual Accounts/DC - Traditional own resources (xlsx)&quot; datapro=&quot;TOR&quot; infos=&quot;&quot; iscomment=&quot;0&quot;&gt;&lt;SELECT&gt;/BBOOK/DATAPROVIDER[./META/PROPS/ID='TOR']/DATA/ROW&lt;/SELECT&gt;&lt;FILTERS&gt;&lt;FILTER&gt;&lt;/FILTER&gt;&lt;/FILTERS&gt;&lt;/QUERY&gt;&lt;/QUERIES&gt;&lt;/OBJECT&gt;"/>
    <w:docVar w:name="BIP_META_DOC_TBL00051" w:val="&lt;OBJECT&gt;&lt;META&gt;&lt;ID&gt;&lt;/ID&gt;&lt;NAME&gt;DOC_TBL0005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22/2015 1:47:32 PM&lt;/DYNAMIZEDON&gt;&lt;LASTUPDATEDBY&gt;servela&lt;/LASTUPDATEDBY&gt;&lt;LASTUPDATEDON&gt;7/9/2015 10:17:11 AM&lt;/LASTUPDATEDON&gt;&lt;UTC&gt;1&lt;/UTC&gt;&lt;/UPDATE&gt;&lt;QUERIES bbk=&quot;2733&quot; bbkdesc=&quot;2014 Annual Accounts/EU Annual Accounts/DC - Recovery of expenses (xlsx)&quot; datapro=&quot;RecovExp&quot; tdatapro=&quot;RecovExp&quot; author=&quot;&quot; modtime=&quot;11/18/2014 12:19:16 PM&quot; moduser=&quot;vignale&quot; rolluptime=&quot;&quot; syuser=&quot;vignale&quot; syuzeit=&quot;11/18/2014 12:19:16 PM&quot; root=&quot;/DATA&quot; colcount=&quot;4&quot; rowcount=&quot;8&quot; url=&quot;&quot; dynamizeds=&quot;SAP Disclosure Management - Production&quot; dynamizedstype=&quot;9&quot; refreshds=&quot;&quot; viewtype=&quot;1&quot;&gt;&lt;QUERY reftype=&quot;ABS&quot; elmntsel=&quot;TABLE&quot; bbk=&quot;2733&quot; bbkdesc=&quot;2014 Annual Accounts/EU Annual Accounts/DC - Recovery of expenses (xlsx)&quot; datapro=&quot;RecovExp&quot; infos=&quot;&quot; iscomment=&quot;0&quot;&gt;&lt;SELECT&gt;/BBOOK/DATAPROVIDER[./META/PROPS/ID='RecovExp']/DATA/ROW&lt;/SELECT&gt;&lt;FILTERS&gt;&lt;FILTER&gt;&lt;/FILTER&gt;&lt;/FILTERS&gt;&lt;/QUERY&gt;&lt;/QUERIES&gt;&lt;/OBJECT&gt;"/>
    <w:docVar w:name="BIP_META_DOC_TBL00052" w:val="&lt;OBJECT&gt;&lt;META&gt;&lt;ID&gt;&lt;/ID&gt;&lt;NAME&gt;DOC_TBL0005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02/03/2015 17:01:20&lt;/DYNAMIZEDON&gt;&lt;LASTUPDATEDBY&gt;servela&lt;/LASTUPDATEDBY&gt;&lt;LASTUPDATEDON&gt;7/9/2015 10:17:26 AM&lt;/LASTUPDATEDON&gt;&lt;UTC&gt;1&lt;/UTC&gt;&lt;/UPDATE&gt;&lt;QUERIES bbk=&quot;2734&quot; bbkdesc=&quot;2014 Annual Accounts/EU Annual Accounts/DC - Other non-exchange revenue (xlsx)&quot; datapro=&quot;ONER&quot; tdatapro=&quot;ONER&quot; author=&quot;&quot; modtime=&quot;7/8/2015 4:25:55 PM&quot; moduser=&quot;koehlmn&quot; rolluptime=&quot;&quot; syuser=&quot;koehlmn&quot; syuzeit=&quot;7/8/2015 4:25:55 PM&quot; root=&quot;/BBOOK/DATAPROVIDER[./META/PROPS/ID='ONER']/DATA&quot; colcount=&quot;4&quot; rowcount=&quot;10&quot; url=&quot;&quot; dynamizeds=&quot;SAP Disclosure Management - Production&quot; dynamizedstype=&quot;9&quot; refreshds=&quot;&quot; viewtype=&quot;1&quot;&gt;&lt;QUERY reftype=&quot;ABS&quot; elmntsel=&quot;TABLE&quot; bbk=&quot;2734&quot; bbkdesc=&quot;2014 Annual Accounts/EU Annual Accounts/DC - Other non-exchange revenue (xlsx)&quot; datapro=&quot;ONER&quot; infos=&quot;&quot; iscomment=&quot;0&quot;&gt;&lt;SELECT&gt;/BBOOK/DATAPROVIDER[./META/PROPS/ID='ONER']/DATA/ROW&lt;/SELECT&gt;&lt;FILTERS&gt;&lt;FILTER&gt;&lt;/FILTER&gt;&lt;/FILTERS&gt;&lt;/QUERY&gt;&lt;/QUERIES&gt;&lt;/OBJECT&gt;"/>
    <w:docVar w:name="BIP_META_DOC_TBL00053" w:val="&lt;OBJECT&gt;&lt;META&gt;&lt;ID&gt;&lt;/ID&gt;&lt;NAME&gt;DOC_TBL0005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22/2015 4:03:51 PM&lt;/DYNAMIZEDON&gt;&lt;LASTUPDATEDBY&gt;servela&lt;/LASTUPDATEDBY&gt;&lt;LASTUPDATEDON&gt;7/9/2015 10:17:41 AM&lt;/LASTUPDATEDON&gt;&lt;UTC&gt;1&lt;/UTC&gt;&lt;/UPDATE&gt;&lt;QUERIES bbk=&quot;2735&quot; bbkdesc=&quot;2014 Annual Accounts/EU Annual Accounts/DC - Financial income (xlsx)&quot; datapro=&quot;FINREV&quot; tdatapro=&quot;FINREV&quot; author=&quot;&quot; modtime=&quot;7/8/2015 1:46:57 PM&quot; moduser=&quot;servela&quot; rolluptime=&quot;&quot; syuser=&quot;servela&quot; syuzeit=&quot;7/8/2015 1:46:57 PM&quot; root=&quot;/BBOOK/DATAPROVIDER[./META/PROPS/ID='FINREV']/DATA&quot; colcount=&quot;3&quot; rowcount=&quot;15&quot; url=&quot;&quot; dynamizeds=&quot;SAP Disclosure Management - Production&quot; dynamizedstype=&quot;9&quot; refreshds=&quot;&quot; viewtype=&quot;1&quot;&gt;&lt;QUERY reftype=&quot;ABS&quot; elmntsel=&quot;TABLE&quot; bbk=&quot;2735&quot; bbkdesc=&quot;2014 Annual Accounts/EU Annual Accounts/DC - Financial income (xlsx)&quot; datapro=&quot;FINREV&quot; infos=&quot;&quot; iscomment=&quot;0&quot;&gt;&lt;SELECT&gt;/BBOOK/DATAPROVIDER[./META/PROPS/ID='FINREV']/DATA/ROW&lt;/SELECT&gt;&lt;FILTERS&gt;&lt;FILTER&gt;&lt;/FILTER&gt;&lt;/FILTERS&gt;&lt;/QUERY&gt;&lt;/QUERIES&gt;&lt;/OBJECT&gt;"/>
    <w:docVar w:name="BIP_META_DOC_TBL00054" w:val="&lt;OBJECT&gt;&lt;META&gt;&lt;ID&gt;&lt;/ID&gt;&lt;NAME&gt;DOC_TBL0005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koehlmn&lt;/DYNAMIZEDBY&gt;&lt;DYNAMIZEDON&gt;13/07/2015 16:34:51&lt;/DYNAMIZEDON&gt;&lt;LASTUPDATEDBY&gt;koehlmn&lt;/LASTUPDATEDBY&gt;&lt;LASTUPDATEDON&gt;13/07/2015 16:34:51&lt;/LASTUPDATEDON&gt;&lt;UTC&gt;1&lt;/UTC&gt;&lt;/UPDATE&gt;&lt;QUERIES bbk=&quot;2735&quot; bbkdesc=&quot;2014 Annual Accounts/EU Annual Accounts/DC - Financial income (xlsx)&quot; datapro=&quot;NGL&quot; tdatapro=&quot;NGL&quot; author=&quot;&quot; modtime=&quot;7/13/2015 4:33:45 PM&quot; moduser=&quot;koehlmn&quot; rolluptime=&quot;&quot; syuser=&quot;koehlmn&quot; syuzeit=&quot;7/13/2015 4:33:45 PM&quot; root=&quot;/BBOOK/DATAPROVIDER[./META/PROPS/ID='NGL']/DATA&quot; colcount=&quot;3&quot; rowcount=&quot;5&quot; url=&quot;&quot; dynamizeds=&quot;SAP Disclosure Management - Production&quot; dynamizedstype=&quot;9&quot; refreshds=&quot;&quot; viewtype=&quot;1&quot;&gt;&lt;QUERY reftype=&quot;ABS&quot; elmntsel=&quot;TABLE&quot; bbk=&quot;2735&quot; bbkdesc=&quot;2014 Annual Accounts/EU Annual Accounts/DC - Financial income (xlsx)&quot; datapro=&quot;NGL&quot; infos=&quot;&quot; iscomment=&quot;0&quot;&gt;&lt;SELECT&gt;/BBOOK/DATAPROVIDER[./META/PROPS/ID='NGL']/DATA/ROW&lt;/SELECT&gt;&lt;FILTERS&gt;&lt;FILTER&gt;&lt;/FILTER&gt;&lt;/FILTERS&gt;&lt;/QUERY&gt;&lt;/QUERIES&gt;&lt;/OBJECT&gt;"/>
    <w:docVar w:name="BIP_META_DOC_TBL00055" w:val="&lt;OBJECT&gt;&lt;META&gt;&lt;ID&gt;&lt;/ID&gt;&lt;NAME&gt;DOC_TBL0005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koehlmn&lt;/DYNAMIZEDBY&gt;&lt;DYNAMIZEDON&gt;09/07/2015 09:49:11&lt;/DYNAMIZEDON&gt;&lt;LASTUPDATEDBY&gt;koehlmn&lt;/LASTUPDATEDBY&gt;&lt;LASTUPDATEDON&gt;7/9/2015 3:33:00 PM&lt;/LASTUPDATEDON&gt;&lt;UTC&gt;1&lt;/UTC&gt;&lt;/UPDATE&gt;&lt;QUERIES bbk=&quot;2736&quot; bbkdesc=&quot;2014 Annual Accounts/EU Annual Accounts/DC - Other exchange revenue (xlsx)&quot; datapro=&quot;OER&quot; tdatapro=&quot;OER&quot; author=&quot;&quot; modtime=&quot;7/9/2015 3:32:41 PM&quot; moduser=&quot;koehlmn&quot; rolluptime=&quot;&quot; syuser=&quot;koehlmn&quot; syuzeit=&quot;7/9/2015 3:32:41 PM&quot; root=&quot;/BBOOK/DATAPROVIDER[./META/PROPS/ID='OER']/DATA&quot; colcount=&quot;3&quot; rowcount=&quot;7&quot; url=&quot;&quot; dynamizeds=&quot;SAP Disclosure Management - Production&quot; dynamizedstype=&quot;9&quot; refreshds=&quot;&quot; viewtype=&quot;1&quot;&gt;&lt;QUERY reftype=&quot;ABS&quot; elmntsel=&quot;TABLE&quot; bbk=&quot;2736&quot; bbkdesc=&quot;2014 Annual Accounts/EU Annual Accounts/DC - Other exchange revenue (xlsx)&quot; datapro=&quot;OER&quot; infos=&quot;&quot; iscomment=&quot;0&quot;&gt;&lt;SELECT&gt;/BBOOK/DATAPROVIDER[./META/PROPS/ID='OER']/DATA/ROW&lt;/SELECT&gt;&lt;FILTERS&gt;&lt;FILTER&gt;&lt;/FILTER&gt;&lt;/FILTERS&gt;&lt;/QUERY&gt;&lt;/QUERIES&gt;&lt;/OBJECT&gt;"/>
    <w:docVar w:name="BIP_META_DOC_TBL00056" w:val="&lt;OBJECT&gt;&lt;META&gt;&lt;ID&gt;&lt;/ID&gt;&lt;NAME&gt;DOC_TBL0005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3/03/2015 09:55:19&lt;/DYNAMIZEDON&gt;&lt;LASTUPDATEDBY&gt;servela&lt;/LASTUPDATEDBY&gt;&lt;LASTUPDATEDON&gt;7/9/2015 10:18:07 AM&lt;/LASTUPDATEDON&gt;&lt;UTC&gt;1&lt;/UTC&gt;&lt;/UPDATE&gt;&lt;QUERIES bbk=&quot;2489&quot; bbkdesc=&quot;2014 Annual Accounts/EC Annual Accounts/DC - Shared Direct and Indirect Management (xlsx)&quot; datapro=&quot;SM&quot; tdatapro=&quot;SM&quot; author=&quot;&quot; modtime=&quot;7/9/2015 9:12:58 AM&quot; moduser=&quot;bularmi&quot; rolluptime=&quot;&quot; syuser=&quot;bularmi&quot; syuzeit=&quot;7/9/2015 9:12:58 AM&quot; root=&quot;/BBOOK/DATAPROVIDER[./META/PROPS/ID='SM']/DATA&quot; colcount=&quot;3&quot; rowcount=&quot;8&quot; url=&quot;&quot; dynamizeds=&quot;SAP Disclosure Management - Production&quot; dynamizedstype=&quot;9&quot; refreshds=&quot;&quot; viewtype=&quot;1&quot;&gt;&lt;QUERY reftype=&quot;ABS&quot; elmntsel=&quot;TABLE&quot; bbk=&quot;2489&quot; bbkdesc=&quot;2014 Annual Accounts/EC Annual Accounts/DC - Shared Direct and Indirect Management (xlsx)&quot; datapro=&quot;SM&quot; infos=&quot;&quot; iscomment=&quot;0&quot;&gt;&lt;SELECT&gt;/BBOOK/DATAPROVIDER[./META/PROPS/ID='SM']/DATA/ROW&lt;/SELECT&gt;&lt;FILTERS&gt;&lt;FILTER&gt;&lt;/FILTER&gt;&lt;/FILTERS&gt;&lt;/QUERY&gt;&lt;/QUERIES&gt;&lt;/OBJECT&gt;"/>
    <w:docVar w:name="BIP_META_DOC_TBL00057" w:val="&lt;OBJECT&gt;&lt;META&gt;&lt;ID&gt;&lt;/ID&gt;&lt;NAME&gt;DOC_TBL0005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8/11/2014 13:36:32&lt;/DYNAMIZEDON&gt;&lt;LASTUPDATEDBY&gt;servela&lt;/LASTUPDATEDBY&gt;&lt;LASTUPDATEDON&gt;7/9/2015 10:18:13 AM&lt;/LASTUPDATEDON&gt;&lt;UTC&gt;1&lt;/UTC&gt;&lt;/UPDATE&gt;&lt;QUERIES bbk=&quot;2737&quot; bbkdesc=&quot;2014 Annual Accounts/EU Annual Accounts/DC - Direct and Indirect Management (xlsx)&quot; datapro=&quot;DM&quot; tdatapro=&quot;DM&quot; author=&quot;&quot; modtime=&quot;7/8/2015 1:48:16 PM&quot; moduser=&quot;servela&quot; rolluptime=&quot;&quot; syuser=&quot;servela&quot; syuzeit=&quot;7/8/2015 1:48:16 PM&quot; root=&quot;/BBOOK/DATAPROVIDER[./META/PROPS/ID='DM']/DATA&quot; colcount=&quot;3&quot; rowcount=&quot;5&quot; url=&quot;&quot; dynamizeds=&quot;SAP Disclosure Management - Production&quot; dynamizedstype=&quot;9&quot; refreshds=&quot;&quot; viewtype=&quot;1&quot;&gt;&lt;QUERY reftype=&quot;ABS&quot; elmntsel=&quot;TABLE&quot; bbk=&quot;2737&quot; bbkdesc=&quot;2014 Annual Accounts/EU Annual Accounts/DC - Shared Direct and Indirect Management (xlsx)&quot; datapro=&quot;DM&quot; infos=&quot;&quot; iscomment=&quot;0&quot;&gt;&lt;SELECT&gt;/BBOOK/DATAPROVIDER[./META/PROPS/ID='DM']/DATA/ROW&lt;/SELECT&gt;&lt;FILTERS&gt;&lt;FILTER&gt;&lt;/FILTER&gt;&lt;/FILTERS&gt;&lt;/QUERY&gt;&lt;/QUERIES&gt;&lt;/OBJECT&gt;"/>
    <w:docVar w:name="BIP_META_DOC_TBL00058" w:val="&lt;OBJECT&gt;&lt;META&gt;&lt;ID&gt;&lt;/ID&gt;&lt;NAME&gt;DOC_TBL0005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8/11/2014 13:37:14&lt;/DYNAMIZEDON&gt;&lt;LASTUPDATEDBY&gt;servela&lt;/LASTUPDATEDBY&gt;&lt;LASTUPDATEDON&gt;7/9/2015 10:18:28 AM&lt;/LASTUPDATEDON&gt;&lt;UTC&gt;1&lt;/UTC&gt;&lt;/UPDATE&gt;&lt;QUERIES bbk=&quot;2737&quot; bbkdesc=&quot;2014 Annual Accounts/EU Annual Accounts/DC - Direct and Indirect Management (xlsx)&quot; datapro=&quot;IM&quot; tdatapro=&quot;IM&quot; author=&quot;&quot; modtime=&quot;7/9/2015 10:18:23 AM&quot; moduser=&quot;servela&quot; rolluptime=&quot;&quot; syuser=&quot;servela&quot; syuzeit=&quot;7/9/2015 10:18:23 AM&quot; root=&quot;/BBOOK/DATAPROVIDER[./META/PROPS/ID='IM']/DATA&quot; colcount=&quot;4&quot; rowcount=&quot;7&quot; url=&quot;&quot; dynamizeds=&quot;SAP Disclosure Management - Production&quot; dynamizedstype=&quot;9&quot; refreshds=&quot;&quot; viewtype=&quot;1&quot;&gt;&lt;QUERY reftype=&quot;ABS&quot; elmntsel=&quot;TABLE&quot; bbk=&quot;2737&quot; bbkdesc=&quot;2014 Annual Accounts/EU Annual Accounts/DC - Shared Direct and Indirect Management (xlsx)&quot; datapro=&quot;IM&quot; infos=&quot;&quot; iscomment=&quot;0&quot;&gt;&lt;SELECT&gt;/BBOOK/DATAPROVIDER[./META/PROPS/ID='IM']/DATA/ROW&lt;/SELECT&gt;&lt;FILTERS&gt;&lt;FILTER&gt;&lt;/FILTER&gt;&lt;/FILTERS&gt;&lt;/QUERY&gt;&lt;/QUERIES&gt;&lt;/OBJECT&gt;"/>
    <w:docVar w:name="BIP_META_DOC_TBL00059" w:val="&lt;OBJECT&gt;&lt;META&gt;&lt;ID&gt;&lt;/ID&gt;&lt;NAME&gt;DOC_TBL0005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koehlmn&lt;/DYNAMIZEDBY&gt;&lt;DYNAMIZEDON&gt;3/19/2015 2:06:49 PM&lt;/DYNAMIZEDON&gt;&lt;LASTUPDATEDBY&gt;servela&lt;/LASTUPDATEDBY&gt;&lt;LASTUPDATEDON&gt;7/9/2015 10:18:37 AM&lt;/LASTUPDATEDON&gt;&lt;UTC&gt;1&lt;/UTC&gt;&lt;/UPDATE&gt;&lt;QUERIES bbk=&quot;2741&quot; bbkdesc=&quot;2014 Annual Accounts/EU Annual Accounts/DC - Staff and Pension costs (xlsx)&quot; datapro=&quot;SPC&quot; tdatapro=&quot;SPC&quot; author=&quot;&quot; modtime=&quot;7/8/2015 1:48:32 PM&quot; moduser=&quot;servela&quot; rolluptime=&quot;&quot; syuser=&quot;servela&quot; syuzeit=&quot;7/8/2015 1:48:32 PM&quot; root=&quot;/BBOOK/DATAPROVIDER[./META/PROPS/ID='SPC']/DATA&quot; colcount=&quot;3&quot; rowcount=&quot;5&quot; url=&quot;&quot; dynamizeds=&quot;SAP Disclosure Management - Production&quot; dynamizedstype=&quot;9&quot; refreshds=&quot;&quot; viewtype=&quot;1&quot;&gt;&lt;QUERY reftype=&quot;ABS&quot; elmntsel=&quot;TABLE&quot; bbk=&quot;2741&quot; bbkdesc=&quot;2014 Annual Accounts/EU Annual Accounts/DC - Staff and Pension costs (xlsx)&quot; datapro=&quot;SPC&quot; infos=&quot;&quot; iscomment=&quot;0&quot;&gt;&lt;SELECT&gt;/BBOOK/DATAPROVIDER[./META/PROPS/ID='SPC']/DATA/ROW&lt;/SELECT&gt;&lt;FILTERS&gt;&lt;FILTER&gt;&lt;/FILTER&gt;&lt;/FILTERS&gt;&lt;/QUERY&gt;&lt;/QUERIES&gt;&lt;/OBJECT&gt;"/>
    <w:docVar w:name="BIP_META_DOC_TBL00060" w:val="&lt;OBJECT&gt;&lt;META&gt;&lt;ID&gt;&lt;/ID&gt;&lt;NAME&gt;DOC_TBL0006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3/01/2015 08:34:18&lt;/DYNAMIZEDON&gt;&lt;LASTUPDATEDBY&gt;koehlmn&lt;/LASTUPDATEDBY&gt;&lt;LASTUPDATEDON&gt;7/10/2015 12:12:03 PM&lt;/LASTUPDATEDON&gt;&lt;UTC&gt;1&lt;/UTC&gt;&lt;/UPDATE&gt;&lt;QUERIES bbk=&quot;2743&quot; bbkdesc=&quot;2014 Annual Accounts/EU Annual Accounts/DC - Finance costs (xlsx)&quot; datapro=&quot;FINEXP&quot; tdatapro=&quot;FINEXP&quot; author=&quot;&quot; modtime=&quot;7/10/2015 12:10:56 PM&quot; moduser=&quot;koehlmn&quot; rolluptime=&quot;&quot; syuser=&quot;koehlmn&quot; syuzeit=&quot;7/10/2015 12:10:56 PM&quot; root=&quot;/BBOOK/DATAPROVIDER[./META/PROPS/ID='FINEXP']/DATA&quot; colcount=&quot;3&quot; rowcount=&quot;11&quot; url=&quot;&quot; dynamizeds=&quot;SAP Disclosure Management - Production&quot; dynamizedstype=&quot;9&quot; refreshds=&quot;&quot; viewtype=&quot;1&quot;&gt;&lt;QUERY reftype=&quot;ABS&quot; elmntsel=&quot;TABLE&quot; bbk=&quot;2743&quot; bbkdesc=&quot;2014 Annual Accounts/EU Annual Accounts/DC - Finance costs (xlsx)&quot; datapro=&quot;FINEXP&quot; infos=&quot;&quot; iscomment=&quot;0&quot;&gt;&lt;SELECT&gt;/BBOOK/DATAPROVIDER[./META/PROPS/ID='FINEXP']/DATA/ROW&lt;/SELECT&gt;&lt;FILTERS&gt;&lt;FILTER&gt;&lt;/FILTER&gt;&lt;/FILTERS&gt;&lt;/QUERY&gt;&lt;/QUERIES&gt;&lt;/OBJECT&gt;"/>
    <w:docVar w:name="BIP_META_DOC_TBL00061" w:val="&lt;OBJECT&gt;&lt;META&gt;&lt;ID&gt;&lt;/ID&gt;&lt;NAME&gt;DOC_TBL0006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6/11/2014 13:07:26&lt;/DYNAMIZEDON&gt;&lt;LASTUPDATEDBY&gt;koehlmn&lt;/LASTUPDATEDBY&gt;&lt;LASTUPDATEDON&gt;7/10/2015 12:12:04 PM&lt;/LASTUPDATEDON&gt;&lt;UTC&gt;1&lt;/UTC&gt;&lt;/UPDATE&gt;&lt;QUERIES bbk=&quot;2743&quot; bbkdesc=&quot;2014 Annual Accounts/EU Annual Accounts/DC - Finance costs (xlsx)&quot; datapro=&quot;NLFL&quot; tdatapro=&quot;NLFL&quot; author=&quot;&quot; modtime=&quot;7/10/2015 12:10:56 PM&quot; moduser=&quot;koehlmn&quot; rolluptime=&quot;&quot; syuser=&quot;koehlmn&quot; syuzeit=&quot;7/10/2015 12:10:56 PM&quot; root=&quot;/BBOOK/DATAPROVIDER[./META/PROPS/ID='NLFL']/DATA&quot; colcount=&quot;3&quot; rowcount=&quot;3&quot; url=&quot;&quot; dynamizeds=&quot;SAP Disclosure Management - Production&quot; dynamizedstype=&quot;9&quot; refreshds=&quot;&quot; viewtype=&quot;1&quot;&gt;&lt;QUERY reftype=&quot;ABS&quot; elmntsel=&quot;TABLE&quot; bbk=&quot;2743&quot; bbkdesc=&quot;2014 Annual Accounts/EU Annual Accounts/DC - Finance costs (xlsx)&quot; datapro=&quot;NLFL&quot; infos=&quot;&quot; iscomment=&quot;0&quot;&gt;&lt;SELECT&gt;/BBOOK/DATAPROVIDER[./META/PROPS/ID='NLFL']/DATA/ROW&lt;/SELECT&gt;&lt;FILTERS&gt;&lt;FILTER&gt;&lt;/FILTER&gt;&lt;/FILTERS&gt;&lt;/QUERY&gt;&lt;/QUERIES&gt;&lt;/OBJECT&gt;"/>
    <w:docVar w:name="BIP_META_DOC_TBL00062" w:val="&lt;OBJECT&gt;&lt;META&gt;&lt;ID&gt;&lt;/ID&gt;&lt;NAME&gt;DOC_TBL0006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koehlmn&lt;/DYNAMIZEDBY&gt;&lt;DYNAMIZEDON&gt;25/03/2015 12:36:52&lt;/DYNAMIZEDON&gt;&lt;LASTUPDATEDBY&gt;koehlmn&lt;/LASTUPDATEDBY&gt;&lt;LASTUPDATEDON&gt;7/13/2015 4:40:24 PM&lt;/LASTUPDATEDON&gt;&lt;UTC&gt;1&lt;/UTC&gt;&lt;/UPDATE&gt;&lt;QUERIES bbk=&quot;2744&quot; bbkdesc=&quot;2014 Annual Accounts/EU Annual Accounts/DC - Other expenses (xlsx)&quot; datapro=&quot;OE&quot; tdatapro=&quot;OE&quot; author=&quot;&quot; modtime=&quot;7/13/2015 4:40:07 PM&quot; moduser=&quot;koehlmn&quot; rolluptime=&quot;&quot; syuser=&quot;koehlmn&quot; syuzeit=&quot;7/13/2015 4:40:07 PM&quot; root=&quot;/BBOOK/DATAPROVIDER[./META/PROPS/ID='OE']/DATA&quot; colcount=&quot;4&quot; rowcount=&quot;8&quot; url=&quot;&quot; dynamizeds=&quot;SAP Disclosure Management - Production&quot; dynamizedstype=&quot;9&quot; refreshds=&quot;&quot; viewtype=&quot;1&quot;&gt;&lt;QUERY reftype=&quot;ABS&quot; elmntsel=&quot;TABLE&quot; bbk=&quot;2744&quot; bbkdesc=&quot;2014 Annual Accounts/EU Annual Accounts/DC - Other expenses (xlsx)&quot; datapro=&quot;OE&quot; infos=&quot;&quot; iscomment=&quot;0&quot;&gt;&lt;SELECT&gt;/BBOOK/DATAPROVIDER[./META/PROPS/ID='OE']/DATA/ROW&lt;/SELECT&gt;&lt;FILTERS&gt;&lt;FILTER&gt;&lt;/FILTER&gt;&lt;/FILTERS&gt;&lt;/QUERY&gt;&lt;/QUERIES&gt;&lt;/OBJECT&gt;"/>
    <w:docVar w:name="BIP_META_DOC_TBL00063" w:val="&lt;OBJECT&gt;&lt;META&gt;&lt;ID&gt;&lt;/ID&gt;&lt;NAME&gt;DOC_TBL0006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9/11/2014 13:06:06&lt;/DYNAMIZEDON&gt;&lt;LASTUPDATEDBY&gt;koehlmn&lt;/LASTUPDATEDBY&gt;&lt;LASTUPDATEDON&gt;7/9/2015 3:44:15 PM&lt;/LASTUPDATEDON&gt;&lt;UTC&gt;1&lt;/UTC&gt;&lt;/UPDATE&gt;&lt;QUERIES bbk=&quot;2746&quot; bbkdesc=&quot;2014 Annual Accounts/EU Annual Accounts/DC - Research and Development costs (xlsx)&quot; datapro=&quot;RESCHDEV&quot; tdatapro=&quot;RESCHDEV&quot; author=&quot;&quot; modtime=&quot;7/9/2015 10:19:34 AM&quot; moduser=&quot;servela&quot; rolluptime=&quot;&quot; syuser=&quot;servela&quot; syuzeit=&quot;7/9/2015 10:19:34 AM&quot; root=&quot;/BBOOK/DATAPROVIDER[./META/PROPS/ID='RESCHDEV']/DATA&quot; colcount=&quot;3&quot; rowcount=&quot;5&quot; url=&quot;&quot; dynamizeds=&quot;SAP Disclosure Management - Production&quot; dynamizedstype=&quot;9&quot; refreshds=&quot;&quot; viewtype=&quot;1&quot;&gt;&lt;QUERY reftype=&quot;ABS&quot; elmntsel=&quot;TABLE&quot; bbk=&quot;2746&quot; bbkdesc=&quot;2014 Annual Accounts/EU Annual Accounts/DC - Research and Development costs (xlsx)&quot; datapro=&quot;RESCHDEV&quot; infos=&quot;&quot; iscomment=&quot;0&quot;&gt;&lt;SELECT&gt;/BBOOK/DATAPROVIDER[./META/PROPS/ID='RESCHDEV']/DATA/ROW&lt;/SELECT&gt;&lt;FILTERS&gt;&lt;FILTER&gt;&lt;/FILTER&gt;&lt;/FILTERS&gt;&lt;/QUERY&gt;&lt;/QUERIES&gt;&lt;/OBJECT&gt;"/>
    <w:docVar w:name="BIP_META_DOC_TBL00064" w:val="&lt;OBJECT&gt;&lt;META&gt;&lt;ID&gt;&lt;/ID&gt;&lt;NAME&gt;DOC_TBL0006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0.5.25&lt;/DATE&gt;&lt;DYNAMIZEDBY&gt;vignoal&lt;/DYNAMIZEDBY&gt;&lt;DYNAMIZEDON&gt;19/11/2014 13:05:17&lt;/DYNAMIZEDON&gt;&lt;LASTUPDATEDBY&gt;koehlmn&lt;/LASTUPDATEDBY&gt;&lt;LASTUPDATEDON&gt;7/13/2015 11:51:27 AM&lt;/LASTUPDATEDON&gt;&lt;UTC&gt;1&lt;/UTC&gt;&lt;/UPDATE&gt;&lt;QUERIES bbk=&quot;2745&quot; bbkdesc=&quot;2014 Annual Accounts/EU Annual Accounts/DC - Property plant and equipment related expenses (xlsx)&quot; datapro=&quot;PPERE&quot; tdatapro=&quot;PPERE&quot; author=&quot;&quot; modtime=&quot;7/13/2015 11:50:11 AM&quot; moduser=&quot;koehlmn&quot; rolluptime=&quot;&quot; syuser=&quot;koehlmn&quot; syuzeit=&quot;7/13/2015 11:50:11 AM&quot; root=&quot;/BBOOK/DATAPROVIDER[./META/PROPS/ID='PPERE']/DATA&quot; colcount=&quot;5&quot; rowcount=&quot;6&quot; url=&quot;&quot; dynamizeds=&quot;SAP Disclosure Management - Production&quot; dynamizedstype=&quot;9&quot; refreshds=&quot;&quot; viewtype=&quot;1&quot;&gt;&lt;QUERY reftype=&quot;ABS&quot; elmntsel=&quot;TABLE&quot; bbk=&quot;2745&quot; bbkdesc=&quot;2014 Annual Accounts/EU Annual Accounts/DC - Property plant and equipment related expenses (xlsx)&quot; datapro=&quot;PPERE&quot; infos=&quot;&quot; iscomment=&quot;0&quot;&gt;&lt;SELECT&gt;/BBOOK/DATAPROVIDER[./META/PROPS/ID='PPERE']/DATA/ROW&lt;/SELECT&gt;&lt;FILTERS&gt;&lt;FILTER&gt;&lt;/FILTER&gt;&lt;/FILTERS&gt;&lt;/QUERY&gt;&lt;/QUERIES&gt;&lt;/OBJECT&gt;"/>
    <w:docVar w:name="BIP_META_DOC_TBL00065" w:val="&lt;OBJECT&gt;&lt;META&gt;&lt;ID&gt;&lt;/ID&gt;&lt;NAME&gt;DOC_TBL0006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koehlmn&lt;/DYNAMIZEDBY&gt;&lt;DYNAMIZEDON&gt;17/03/2015 16:32:14&lt;/DYNAMIZEDON&gt;&lt;LASTUPDATEDBY&gt;koehlmn&lt;/LASTUPDATEDBY&gt;&lt;LASTUPDATEDON&gt;7/10/2015 4:18:06 PM&lt;/LASTUPDATEDON&gt;&lt;UTC&gt;1&lt;/UTC&gt;&lt;/UPDATE&gt;&lt;QUERIES bbk=&quot;2751&quot; bbkdesc=&quot;2014 Annual Accounts/EU Annual Accounts/DC - Segment reporting by Multi Financial Framework Headings (xlsx)&quot; datapro=&quot;SRMFH&quot; tdatapro=&quot;SRMFH&quot; author=&quot;&quot; modtime=&quot;7/10/2015 4:17:06 PM&quot; moduser=&quot;koehlmn&quot; rolluptime=&quot;&quot; syuser=&quot;koehlmn&quot; syuzeit=&quot;7/10/2015 4:17:06 PM&quot; root=&quot;/BBOOK/DATAPROVIDER[./META/PROPS/ID='SRMFH']/DATA&quot; colcount=&quot;8&quot; rowcount=&quot;30&quot; url=&quot;&quot; dynamizeds=&quot;SAP Disclosure Management - Production&quot; dynamizedstype=&quot;9&quot; refreshds=&quot;&quot; viewtype=&quot;1&quot;&gt;&lt;QUERY reftype=&quot;ABS&quot; elmntsel=&quot;TABLE&quot; bbk=&quot;2751&quot; bbkdesc=&quot;2014 Annual Accounts/EU Annual Accounts/DC - Segment reporting by Multi Financial Framework Headings (xlsx)&quot; datapro=&quot;SRMFH&quot; infos=&quot;&quot; iscomment=&quot;0&quot;&gt;&lt;SELECT&gt;/BBOOK/DATAPROVIDER[./META/PROPS/ID='SRMFH']/DATA/ROW&lt;/SELECT&gt;&lt;FILTERS&gt;&lt;FILTER&gt;&lt;/FILTER&gt;&lt;/FILTERS&gt;&lt;/QUERY&gt;&lt;/QUERIES&gt;&lt;/OBJECT&gt;"/>
    <w:docVar w:name="BIP_META_DOC_TBL00066" w:val="&lt;OBJECT&gt;&lt;META&gt;&lt;ID&gt;&lt;/ID&gt;&lt;NAME&gt;DOC_TBL0006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09/03/2015 13:17:42&lt;/DYNAMIZEDON&gt;&lt;LASTUPDATEDBY&gt;koehlmn&lt;/LASTUPDATEDBY&gt;&lt;LASTUPDATEDON&gt;7/13/2015 1:40:45 PM&lt;/LASTUPDATEDON&gt;&lt;UTC&gt;1&lt;/UTC&gt;&lt;/UPDATE&gt;&lt;QUERIES bbk=&quot;3528&quot; bbkdesc=&quot;2014 Annual Accounts/EU Annual Accounts/DC - Reclassification of 2013 figures (xlsx)&quot; datapro=&quot;RECLASSREV2013&quot; tdatapro=&quot;RECLASSREV2013&quot; author=&quot;&quot; modtime=&quot;7/13/2015 1:39:48 PM&quot; moduser=&quot;koehlmn&quot; rolluptime=&quot;&quot; syuser=&quot;koehlmn&quot; syuzeit=&quot;7/13/2015 1:39:48 PM&quot; root=&quot;/BBOOK/DATAPROVIDER[./META/PROPS/ID='RECLASSREV2013']/DATA&quot; colcount=&quot;14&quot; rowcount=&quot;17&quot; url=&quot;&quot; dynamizeds=&quot;SAP Disclosure Management - Production&quot; dynamizedstype=&quot;9&quot; refreshds=&quot;&quot; viewtype=&quot;1&quot;&gt;&lt;QUERY reftype=&quot;ABS&quot; elmntsel=&quot;TABLE&quot; bbk=&quot;3528&quot; bbkdesc=&quot;2014 Annual Accounts/EU Annual Accounts/DC - Reclassification of 2013 figures (xlsx)&quot; datapro=&quot;RECLASSREV2013&quot; infos=&quot;&quot; iscomment=&quot;0&quot;&gt;&lt;SELECT&gt;/BBOOK/DATAPROVIDER[./META/PROPS/ID='RECLASSREV2013']/DATA/ROW&lt;/SELECT&gt;&lt;FILTERS&gt;&lt;FILTER&gt;&lt;/FILTER&gt;&lt;/FILTERS&gt;&lt;/QUERY&gt;&lt;/QUERIES&gt;&lt;/OBJECT&gt;"/>
    <w:docVar w:name="BIP_META_DOC_TBL00067" w:val="&lt;OBJECT&gt;&lt;META&gt;&lt;ID&gt;&lt;/ID&gt;&lt;NAME&gt;DOC_TBL0006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koehlmn&lt;/DYNAMIZEDBY&gt;&lt;DYNAMIZEDON&gt;16/03/2015 09:58:41&lt;/DYNAMIZEDON&gt;&lt;LASTUPDATEDBY&gt;koehlmn&lt;/LASTUPDATEDBY&gt;&lt;LASTUPDATEDON&gt;7/13/2015 1:40:48 PM&lt;/LASTUPDATEDON&gt;&lt;UTC&gt;1&lt;/UTC&gt;&lt;/UPDATE&gt;&lt;QUERIES bbk=&quot;3528&quot; bbkdesc=&quot;2014 Annual Accounts/EU Annual Accounts/DC - Reclassification of 2013 figures (xlsx)&quot; datapro=&quot;RECLASSEXP2013&quot; tdatapro=&quot;RECLASSEXP2013&quot; author=&quot;&quot; modtime=&quot;7/13/2015 1:39:48 PM&quot; moduser=&quot;koehlmn&quot; rolluptime=&quot;&quot; syuser=&quot;koehlmn&quot; syuzeit=&quot;7/13/2015 1:39:48 PM&quot; root=&quot;/BBOOK/DATAPROVIDER[./META/PROPS/ID='RECLASSEXP2013']/DATA&quot; colcount=&quot;14&quot; rowcount=&quot;20&quot; url=&quot;&quot; dynamizeds=&quot;SAP Disclosure Management - Production&quot; dynamizedstype=&quot;9&quot; refreshds=&quot;&quot; viewtype=&quot;1&quot;&gt;&lt;QUERY reftype=&quot;ABS&quot; elmntsel=&quot;TABLE&quot; bbk=&quot;3528&quot; bbkdesc=&quot;2014 Annual Accounts/EU Annual Accounts/DC - Reclassification of 2013 figures (xlsx)&quot; datapro=&quot;RECLASSEXP2013&quot; infos=&quot;&quot; iscomment=&quot;0&quot;&gt;&lt;SELECT&gt;/BBOOK/DATAPROVIDER[./META/PROPS/ID='RECLASSEXP2013']/DATA/ROW&lt;/SELECT&gt;&lt;FILTERS&gt;&lt;FILTER&gt;&lt;/FILTER&gt;&lt;/FILTERS&gt;&lt;/QUERY&gt;&lt;/QUERIES&gt;&lt;/OBJECT&gt;"/>
    <w:docVar w:name="BIP_META_DOC_TBL00068" w:val="&lt;OBJECT&gt;&lt;META&gt;&lt;ID&gt;&lt;/ID&gt;&lt;NAME&gt;DOC_TBL0006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0.5.25&lt;/DATE&gt;&lt;DYNAMIZEDBY&gt;vignoal&lt;/DYNAMIZEDBY&gt;&lt;DYNAMIZEDON&gt;19/11/2014 14:06:41&lt;/DYNAMIZEDON&gt;&lt;LASTUPDATEDBY&gt;servela&lt;/LASTUPDATEDBY&gt;&lt;LASTUPDATEDON&gt;7/9/2015 10:19:58 AM&lt;/LASTUPDATEDON&gt;&lt;UTC&gt;1&lt;/UTC&gt;&lt;/UPDATE&gt;&lt;QUERIES bbk=&quot;2752&quot; bbkdesc=&quot;2014 Annual Accounts/EU Annual Accounts/DC - Contingent assets (xlsx)&quot; datapro=&quot;CA&quot; tdatapro=&quot;CA&quot; author=&quot;&quot; modtime=&quot;7/8/2015 1:50:55 PM&quot; moduser=&quot;servela&quot; rolluptime=&quot;&quot; syuser=&quot;servela&quot; syuzeit=&quot;7/8/2015 1:50:55 PM&quot; root=&quot;/BBOOK/DATAPROVIDER[./META/PROPS/ID='CA']/DATA&quot; colcount=&quot;3&quot; rowcount=&quot;7&quot; url=&quot;&quot; dynamizeds=&quot;SAP Disclosure Management - Production&quot; dynamizedstype=&quot;9&quot; refreshds=&quot;&quot; viewtype=&quot;1&quot;&gt;&lt;QUERY reftype=&quot;ABS&quot; elmntsel=&quot;TABLE&quot; bbk=&quot;2752&quot; bbkdesc=&quot;2014 Annual Accounts/EU Annual Accounts/DC - Contingent assets (xlsx)&quot; datapro=&quot;CA&quot; infos=&quot;&quot; iscomment=&quot;0&quot;&gt;&lt;SELECT&gt;/BBOOK/DATAPROVIDER[./META/PROPS/ID='CA']/DATA/ROW&lt;/SELECT&gt;&lt;FILTERS&gt;&lt;FILTER&gt;&lt;/FILTER&gt;&lt;/FILTERS&gt;&lt;/QUERY&gt;&lt;/QUERIES&gt;&lt;/OBJECT&gt;"/>
    <w:docVar w:name="BIP_META_DOC_TBL00069" w:val="&lt;OBJECT&gt;&lt;META&gt;&lt;ID&gt;&lt;/ID&gt;&lt;NAME&gt;DOC_TBL0006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04/02/2015 08:42:55&lt;/DYNAMIZEDON&gt;&lt;LASTUPDATEDBY&gt;koehlmn&lt;/LASTUPDATEDBY&gt;&lt;LASTUPDATEDON&gt;7/10/2015 2:53:16 PM&lt;/LASTUPDATEDON&gt;&lt;UTC&gt;1&lt;/UTC&gt;&lt;/UPDATE&gt;&lt;QUERIES bbk=&quot;2753&quot; bbkdesc=&quot;2014 Annual Accounts/EU Annual Accounts/DC - Contingent liabilities (xlsx)&quot; datapro=&quot;CL&quot; tdatapro=&quot;CL&quot; author=&quot;&quot; modtime=&quot;7/10/2015 2:52:12 PM&quot; moduser=&quot;koehlmn&quot; rolluptime=&quot;&quot; syuser=&quot;koehlmn&quot; syuzeit=&quot;7/10/2015 2:52:12 PM&quot; root=&quot;/BBOOK/DATAPROVIDER[./META/PROPS/ID='CL']/DATA&quot; colcount=&quot;4&quot; rowcount=&quot;9&quot; url=&quot;&quot; dynamizeds=&quot;SAP Disclosure Management - Production&quot; dynamizedstype=&quot;9&quot; refreshds=&quot;&quot; viewtype=&quot;1&quot;&gt;&lt;QUERY reftype=&quot;ABS&quot; elmntsel=&quot;TABLE&quot; bbk=&quot;2753&quot; bbkdesc=&quot;2014 Annual Accounts/EU Annual Accounts/DC - Contingent liabilities (xlsx)&quot; datapro=&quot;CL&quot; infos=&quot;&quot; iscomment=&quot;0&quot;&gt;&lt;SELECT&gt;/BBOOK/DATAPROVIDER[./META/PROPS/ID='CL']/DATA/ROW&lt;/SELECT&gt;&lt;FILTERS&gt;&lt;FILTER&gt;&lt;/FILTER&gt;&lt;/FILTERS&gt;&lt;/QUERY&gt;&lt;/QUERIES&gt;&lt;/OBJECT&gt;"/>
    <w:docVar w:name="BIP_META_DOC_TBL00070" w:val="&lt;OBJECT&gt;&lt;META&gt;&lt;ID&gt;&lt;/ID&gt;&lt;NAME&gt;DOC_TBL0007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5/03/2015 09:32:24&lt;/DYNAMIZEDON&gt;&lt;LASTUPDATEDBY&gt;servela&lt;/LASTUPDATEDBY&gt;&lt;LASTUPDATEDON&gt;7/9/2015 10:20:12 AM&lt;/LASTUPDATEDON&gt;&lt;UTC&gt;1&lt;/UTC&gt;&lt;/UPDATE&gt;&lt;QUERIES bbk=&quot;2753&quot; bbkdesc=&quot;2014 Annual Accounts/EU Annual Accounts/DC - Contingent liabilities (xlsx)&quot; datapro=&quot;GUAR&quot; tdatapro=&quot;GUAR&quot; author=&quot;&quot; modtime=&quot;7/8/2015 1:51:29 PM&quot; moduser=&quot;servela&quot; rolluptime=&quot;&quot; syuser=&quot;servela&quot; syuzeit=&quot;7/8/2015 1:51:29 PM&quot; root=&quot;/BBOOK/DATAPROVIDER[./META/PROPS/ID='GUAR']/DATA&quot; colcount=&quot;3&quot; rowcount=&quot;10&quot; url=&quot;&quot; dynamizeds=&quot;SAP Disclosure Management - Production&quot; dynamizedstype=&quot;9&quot; refreshds=&quot;&quot; viewtype=&quot;1&quot;&gt;&lt;QUERY reftype=&quot;ABS&quot; elmntsel=&quot;TABLE&quot; bbk=&quot;2753&quot; bbkdesc=&quot;2014 Annual Accounts/EU Annual Accounts/DC - Contingent liabilities (xlsx)&quot; datapro=&quot;GUAR&quot; infos=&quot;&quot; iscomment=&quot;0&quot;&gt;&lt;SELECT&gt;/BBOOK/DATAPROVIDER[./META/PROPS/ID='GUAR']/DATA/ROW&lt;/SELECT&gt;&lt;FILTERS&gt;&lt;FILTER&gt;&lt;/FILTER&gt;&lt;/FILTERS&gt;&lt;/QUERY&gt;&lt;/QUERIES&gt;&lt;/OBJECT&gt;"/>
    <w:docVar w:name="BIP_META_DOC_TBL00071" w:val="&lt;OBJECT&gt;&lt;META&gt;&lt;ID&gt;&lt;/ID&gt;&lt;NAME&gt;DOC_TBL0007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9/11/2014 14:31:08&lt;/DYNAMIZEDON&gt;&lt;LASTUPDATEDBY&gt;koehlmn&lt;/LASTUPDATEDBY&gt;&lt;LASTUPDATEDON&gt;7/10/2015 1:24:35 PM&lt;/LASTUPDATEDON&gt;&lt;UTC&gt;1&lt;/UTC&gt;&lt;/UPDATE&gt;&lt;QUERIES bbk=&quot;2758&quot; bbkdesc=&quot;2014 Annual Accounts/EU Annual Accounts/DC - Outstanding commitments not yet expensed (xlsx)&quot; datapro=&quot;OCNYE&quot; tdatapro=&quot;OCNYE&quot; author=&quot;&quot; modtime=&quot;7/10/2015 1:23:38 PM&quot; moduser=&quot;koehlmn&quot; rolluptime=&quot;&quot; syuser=&quot;koehlmn&quot; syuzeit=&quot;7/10/2015 1:23:38 PM&quot; root=&quot;/BBOOK/DATAPROVIDER[./META/PROPS/ID='OCNYE']/DATA&quot; colcount=&quot;3&quot; rowcount=&quot;3&quot; url=&quot;&quot; dynamizeds=&quot;SAP Disclosure Management - Production&quot; dynamizedstype=&quot;9&quot; refreshds=&quot;&quot; viewtype=&quot;1&quot;&gt;&lt;QUERY reftype=&quot;ABS&quot; elmntsel=&quot;TABLE&quot; bbk=&quot;2758&quot; bbkdesc=&quot;2014 Annual Accounts/EU Annual Accounts/DC - Outstanding commitments not yet expensed (xlsx)&quot; datapro=&quot;OCNYE&quot; infos=&quot;&quot; iscomment=&quot;0&quot;&gt;&lt;SELECT&gt;/BBOOK/DATAPROVIDER[./META/PROPS/ID='OCNYE']/DATA/ROW&lt;/SELECT&gt;&lt;FILTERS&gt;&lt;FILTER&gt;&lt;/FILTER&gt;&lt;/FILTERS&gt;&lt;/QUERY&gt;&lt;/QUERIES&gt;&lt;/OBJECT&gt;"/>
    <w:docVar w:name="BIP_META_DOC_TBL00072" w:val="&lt;OBJECT&gt;&lt;META&gt;&lt;ID&gt;&lt;/ID&gt;&lt;NAME&gt;DOC_TBL0007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9/11/2014 14:31:59&lt;/DYNAMIZEDON&gt;&lt;LASTUPDATEDBY&gt;koehlmn&lt;/LASTUPDATEDBY&gt;&lt;LASTUPDATEDON&gt;7/10/2015 1:26:22 PM&lt;/LASTUPDATEDON&gt;&lt;UTC&gt;1&lt;/UTC&gt;&lt;/UPDATE&gt;&lt;QUERIES bbk=&quot;2759&quot; bbkdesc=&quot;2014 Annual Accounts/EU Annual Accounts/DC - Significant legal commitments (xlsx)&quot; datapro=&quot;LEGCOM&quot; tdatapro=&quot;LEGCOM&quot; author=&quot;&quot; modtime=&quot;7/10/2015 1:26:06 PM&quot; moduser=&quot;koehlmn&quot; rolluptime=&quot;&quot; syuser=&quot;koehlmn&quot; syuzeit=&quot;7/10/2015 1:26:06 PM&quot; root=&quot;/BBOOK/DATAPROVIDER[./META/PROPS/ID='LEGCOM']/DATA&quot; colcount=&quot;3&quot; rowcount=&quot;10&quot; url=&quot;&quot; dynamizeds=&quot;SAP Disclosure Management - Production&quot; dynamizedstype=&quot;9&quot; refreshds=&quot;&quot; viewtype=&quot;1&quot;&gt;&lt;QUERY reftype=&quot;ABS&quot; elmntsel=&quot;TABLE&quot; bbk=&quot;2759&quot; bbkdesc=&quot;2014 Annual Accounts/EU Annual Accounts/DC - Significant legal commitments (xlsx)&quot; datapro=&quot;LEGCOM&quot; infos=&quot;&quot; iscomment=&quot;0&quot;&gt;&lt;SELECT&gt;/BBOOK/DATAPROVIDER[./META/PROPS/ID='LEGCOM']/DATA/ROW&lt;/SELECT&gt;&lt;FILTERS&gt;&lt;FILTER&gt;&lt;/FILTER&gt;&lt;/FILTERS&gt;&lt;/QUERY&gt;&lt;/QUERIES&gt;&lt;/OBJECT&gt;"/>
    <w:docVar w:name="BIP_META_DOC_TBL00073" w:val="&lt;OBJECT&gt;&lt;META&gt;&lt;ID&gt;&lt;/ID&gt;&lt;NAME&gt;DOC_TBL0007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3/01/2015 10:26:40&lt;/DYNAMIZEDON&gt;&lt;LASTUPDATEDBY&gt;servela&lt;/LASTUPDATEDBY&gt;&lt;LASTUPDATEDON&gt;7/9/2015 10:20:30 AM&lt;/LASTUPDATEDON&gt;&lt;UTC&gt;1&lt;/UTC&gt;&lt;/UPDATE&gt;&lt;QUERIES bbk=&quot;2531&quot; bbkdesc=&quot;2014 Annual Accounts/EC Annual Accounts/DC - Significant legal commitments (xlsx)&quot; datapro=&quot;STRUCAC&quot; tdatapro=&quot;STRUCAC&quot; author=&quot;&quot; modtime=&quot;7/9/2015 9:29:39 AM&quot; moduser=&quot;bularmi&quot; rolluptime=&quot;&quot; syuser=&quot;bularmi&quot; syuzeit=&quot;7/9/2015 9:29:39 AM&quot; root=&quot;/BBOOK/DATAPROVIDER[./META/PROPS/ID='STRUCAC']/DATA&quot; colcount=&quot;7&quot; rowcount=&quot;15&quot; url=&quot;&quot; dynamizeds=&quot;SAP Disclosure Management - Production&quot; dynamizedstype=&quot;9&quot; refreshds=&quot;&quot; viewtype=&quot;1&quot;&gt;&lt;QUERY reftype=&quot;ABS&quot; elmntsel=&quot;TABLE&quot; bbk=&quot;2531&quot; bbkdesc=&quot;2014 Annual Accounts/EC Annual Accounts/DC - Significant legal commitments (xlsx)&quot; datapro=&quot;STRUCAC&quot; infos=&quot;&quot; iscomment=&quot;0&quot;&gt;&lt;SELECT&gt;/BBOOK/DATAPROVIDER[./META/PROPS/ID='STRUCAC']/DATA/ROW&lt;/SELECT&gt;&lt;FILTERS&gt;&lt;FILTER&gt;&lt;/FILTER&gt;&lt;/FILTERS&gt;&lt;/QUERY&gt;&lt;/QUERIES&gt;&lt;/OBJECT&gt;"/>
    <w:docVar w:name="BIP_META_DOC_TBL00074" w:val="&lt;OBJECT&gt;&lt;META&gt;&lt;ID&gt;&lt;/ID&gt;&lt;NAME&gt;DOC_TBL0007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30/03/2015 11:43:52&lt;/DYNAMIZEDON&gt;&lt;LASTUPDATEDBY&gt;vignoal&lt;/LASTUPDATEDBY&gt;&lt;LASTUPDATEDON&gt;7/14/2015 12:41:00 PM&lt;/LASTUPDATEDON&gt;&lt;UTC&gt;1&lt;/UTC&gt;&lt;/UPDATE&gt;&lt;QUERIES bbk=&quot;2760&quot; bbkdesc=&quot;2014 Annual Accounts/EU Annual Accounts/DC - Protection of the EU budget (xlsx)&quot; datapro=&quot;FINCOR&quot; tdatapro=&quot;FINCOR&quot; author=&quot;&quot; modtime=&quot;3/27/2015 2:03:41 PM&quot; moduser=&quot;koehlmn&quot; rolluptime=&quot;&quot; syuser=&quot;koehlmn&quot; syuzeit=&quot;3/27/2015 2:03:41 PM&quot; root=&quot;/DATA&quot; colcount=&quot;5&quot; rowcount=&quot;17&quot; url=&quot;&quot; dynamizeds=&quot;SAP Disclosure Management - Production&quot; dynamizedstype=&quot;9&quot; refreshds=&quot;&quot; viewtype=&quot;1&quot;&gt;&lt;QUERY reftype=&quot;ABS&quot; elmntsel=&quot;TABLE&quot; bbk=&quot;2760&quot; bbkdesc=&quot;2014 Annual Accounts/EU Annual Accounts/DC - Protection of the EU budget (xlsx)&quot; datapro=&quot;FINCOR&quot; infos=&quot;&quot; iscomment=&quot;0&quot;&gt;&lt;SELECT&gt;/BBOOK/DATAPROVIDER[./META/PROPS/ID='FINCOR']/DATA/ROW&lt;/SELECT&gt;&lt;FILTERS&gt;&lt;FILTER&gt;&lt;/FILTER&gt;&lt;/FILTERS&gt;&lt;/QUERY&gt;&lt;/QUERIES&gt;&lt;/OBJECT&gt;"/>
    <w:docVar w:name="BIP_META_DOC_TBL00075" w:val="&lt;OBJECT&gt;&lt;META&gt;&lt;ID&gt;&lt;/ID&gt;&lt;NAME&gt;DOC_TBL0007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30/03/2015 11:46:47&lt;/DYNAMIZEDON&gt;&lt;LASTUPDATEDBY&gt;vignoal&lt;/LASTUPDATEDBY&gt;&lt;LASTUPDATEDON&gt;7/14/2015 12:41:01 PM&lt;/LASTUPDATEDON&gt;&lt;UTC&gt;1&lt;/UTC&gt;&lt;/UPDATE&gt;&lt;QUERIES bbk=&quot;2760&quot; bbkdesc=&quot;2014 Annual Accounts/EU Annual Accounts/DC - Protection of the EU budget (xlsx)&quot; datapro=&quot;FINCOR2&quot; tdatapro=&quot;FINCOR2&quot; author=&quot;&quot; modtime=&quot;7/14/2015 12:28:40 PM&quot; moduser=&quot;niyam&quot; rolluptime=&quot;&quot; syuser=&quot;niyam&quot; syuzeit=&quot;7/14/2015 12:28:40 PM&quot; root=&quot;/BBOOK/DATAPROVIDER[./META/PROPS/ID='FINCOR2']/DATA&quot; colcount=&quot;5&quot; rowcount=&quot;17&quot; url=&quot;&quot; dynamizeds=&quot;SAP Disclosure Management - Production&quot; dynamizedstype=&quot;9&quot; refreshds=&quot;&quot; viewtype=&quot;1&quot;&gt;&lt;QUERY reftype=&quot;ABS&quot; elmntsel=&quot;TABLE&quot; bbk=&quot;2760&quot; bbkdesc=&quot;2014 Annual Accounts/EU Annual Accounts/DC - Protection of the EU budget (xlsx)&quot; datapro=&quot;FINCOR2&quot; infos=&quot;&quot; iscomment=&quot;0&quot;&gt;&lt;SELECT&gt;/BBOOK/DATAPROVIDER[./META/PROPS/ID='FINCOR2']/DATA/ROW&lt;/SELECT&gt;&lt;FILTERS&gt;&lt;FILTER&gt;&lt;/FILTER&gt;&lt;/FILTERS&gt;&lt;/QUERY&gt;&lt;/QUERIES&gt;&lt;/OBJECT&gt;"/>
    <w:docVar w:name="BIP_META_DOC_TBL00076" w:val="&lt;OBJECT&gt;&lt;META&gt;&lt;ID&gt;&lt;/ID&gt;&lt;NAME&gt;DOC_TBL0007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4/07/2015 12:38:31&lt;/DYNAMIZEDON&gt;&lt;LASTUPDATEDBY&gt;vignoal&lt;/LASTUPDATEDBY&gt;&lt;LASTUPDATEDON&gt;7/14/2015 12:41:58 PM&lt;/LASTUPDATEDON&gt;&lt;UTC&gt;1&lt;/UTC&gt;&lt;/UPDATE&gt;&lt;QUERIES bbk=&quot;2760&quot; bbkdesc=&quot;2014 Annual Accounts/EU Annual Accounts/DC - Protection of the EU budget (xlsx)&quot; datapro=&quot;FINCOR5&quot; tdatapro=&quot;FINCOR5&quot; author=&quot;&quot; modtime=&quot;7/14/2015 12:41:32 PM&quot; moduser=&quot;niyam&quot; rolluptime=&quot;&quot; syuser=&quot;niyam&quot; syuzeit=&quot;7/14/2015 12:41:32 PM&quot; root=&quot;/BBOOK/DATAPROVIDER[./META/PROPS/ID='FINCOR5']/DATA&quot; colcount=&quot;9&quot; rowcount=&quot;9&quot; url=&quot;&quot; dynamizeds=&quot;SAP Disclosure Management - Production&quot; dynamizedstype=&quot;9&quot; refreshds=&quot;&quot; viewtype=&quot;1&quot;&gt;&lt;QUERY reftype=&quot;ABS&quot; elmntsel=&quot;TABLE&quot; bbk=&quot;2760&quot; bbkdesc=&quot;2014 Annual Accounts/EU Annual Accounts/DC - Protection of the EU budget (xlsx)&quot; datapro=&quot;FINCOR5&quot; infos=&quot;&quot; iscomment=&quot;0&quot;&gt;&lt;SELECT&gt;/BBOOK/DATAPROVIDER[./META/PROPS/ID='FINCOR5']/DATA/ROW&lt;/SELECT&gt;&lt;FILTERS&gt;&lt;FILTER&gt;&lt;/FILTER&gt;&lt;/FILTERS&gt;&lt;/QUERY&gt;&lt;/QUERIES&gt;&lt;/OBJECT&gt;"/>
    <w:docVar w:name="BIP_META_DOC_TBL00077" w:val="&lt;OBJECT&gt;&lt;META&gt;&lt;ID&gt;&lt;/ID&gt;&lt;NAME&gt;DOC_TBL0007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4/11/2014 08:32:06&lt;/DYNAMIZEDON&gt;&lt;LASTUPDATEDBY&gt;vignoal&lt;/LASTUPDATEDBY&gt;&lt;LASTUPDATEDON&gt;7/14/2015 12:40:58 PM&lt;/LASTUPDATEDON&gt;&lt;UTC&gt;1&lt;/UTC&gt;&lt;/UPDATE&gt;&lt;QUERIES bbk=&quot;2760&quot; bbkdesc=&quot;2014 Annual Accounts/EU Annual Accounts/DC - Protection of the EU budget (xlsx)&quot; datapro=&quot;FINCOR6&quot; tdatapro=&quot;FINCOR6&quot; author=&quot;&quot; modtime=&quot;7/14/2015 12:28:40 PM&quot; moduser=&quot;niyam&quot; rolluptime=&quot;&quot; syuser=&quot;niyam&quot; syuzeit=&quot;7/14/2015 12:28:40 PM&quot; root=&quot;/BBOOK/DATAPROVIDER[./META/PROPS/ID='FINCOR6']/DATA&quot; colcount=&quot;3&quot; rowcount=&quot;15&quot; url=&quot;&quot; dynamizeds=&quot;SAP Disclosure Management - Production&quot; dynamizedstype=&quot;9&quot; refreshds=&quot;&quot; viewtype=&quot;1&quot;&gt;&lt;QUERY reftype=&quot;ABS&quot; elmntsel=&quot;TABLE&quot; bbk=&quot;2760&quot; bbkdesc=&quot;2014 Annual Accounts/EU Annual Accounts/DC - Protection of the EU budget (xlsx)&quot; datapro=&quot;FINCOR6&quot; infos=&quot;&quot; iscomment=&quot;0&quot;&gt;&lt;SELECT&gt;/BBOOK/DATAPROVIDER[./META/PROPS/ID='FINCOR6']/DATA/ROW&lt;/SELECT&gt;&lt;FILTERS&gt;&lt;FILTER&gt;&lt;/FILTER&gt;&lt;/FILTERS&gt;&lt;/QUERY&gt;&lt;/QUERIES&gt;&lt;/OBJECT&gt;"/>
    <w:docVar w:name="BIP_META_DOC_TBL00078" w:val="&lt;OBJECT&gt;&lt;META&gt;&lt;ID&gt;&lt;/ID&gt;&lt;NAME&gt;DOC_TBL0007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6/03/2015 13:51:32&lt;/DYNAMIZEDON&gt;&lt;LASTUPDATEDBY&gt;koehlmn&lt;/LASTUPDATEDBY&gt;&lt;LASTUPDATEDON&gt;7/10/2015 1:38:03 PM&lt;/LASTUPDATEDON&gt;&lt;UTC&gt;1&lt;/UTC&gt;&lt;/UPDATE&gt;&lt;QUERIES bbk=&quot;2700&quot; bbkdesc=&quot;2014 Annual Accounts/EU Annual Accounts/DC - Reconciliation by classes of the carrying amounts and fair value (xlsx)&quot; datapro=&quot;CARRAM2&quot; tdatapro=&quot;CARRAM2&quot; author=&quot;&quot; modtime=&quot;7/10/2015 1:36:10 PM&quot; moduser=&quot;koehlmn&quot; rolluptime=&quot;&quot; syuser=&quot;koehlmn&quot; syuzeit=&quot;7/10/2015 1:36:10 PM&quot; root=&quot;/BBOOK/DATAPROVIDER[./META/PROPS/ID='CARRAM2']/DATA&quot; colcount=&quot;5&quot; rowcount=&quot;12&quot; url=&quot;&quot; dynamizeds=&quot;SAP Disclosure Management - Production&quot; dynamizedstype=&quot;9&quot; refreshds=&quot;&quot; viewtype=&quot;1&quot;&gt;&lt;QUERY reftype=&quot;ABS&quot; elmntsel=&quot;TABLE&quot; bbk=&quot;2700&quot; bbkdesc=&quot;2014 Annual Accounts/EU Annual Accounts/DC - Reconciliation by classes of the carrying amounts and fair value (xlsx)&quot; datapro=&quot;CARRAM2&quot; infos=&quot;&quot; iscomment=&quot;0&quot;&gt;&lt;SELECT&gt;/BBOOK/DATAPROVIDER[./META/PROPS/ID='CARRAM2']/DATA/ROW&lt;/SELECT&gt;&lt;FILTERS&gt;&lt;FILTER&gt;&lt;/FILTER&gt;&lt;/FILTERS&gt;&lt;/QUERY&gt;&lt;/QUERIES&gt;&lt;/OBJECT&gt;"/>
    <w:docVar w:name="BIP_META_DOC_TBL00079" w:val="&lt;OBJECT&gt;&lt;META&gt;&lt;ID&gt;&lt;/ID&gt;&lt;NAME&gt;DOC_TBL0007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koehlmn&lt;/DYNAMIZEDBY&gt;&lt;DYNAMIZEDON&gt;3/30/2015 6:52:24 AM&lt;/DYNAMIZEDON&gt;&lt;LASTUPDATEDBY&gt;koehlmn&lt;/LASTUPDATEDBY&gt;&lt;LASTUPDATEDON&gt;7/10/2015 1:38:05 PM&lt;/LASTUPDATEDON&gt;&lt;UTC&gt;1&lt;/UTC&gt;&lt;/UPDATE&gt;&lt;QUERIES bbk=&quot;2721&quot; bbkdesc=&quot;2014 Annual Accounts/EU Annual Accounts/DC - Carrying amounts and fair value (xlsx)&quot; datapro=&quot;CARRAM1&quot; tdatapro=&quot;CARRAM1&quot; author=&quot;&quot; modtime=&quot;3/11/2015 9:28:43 AM&quot; moduser=&quot;servela&quot; rolluptime=&quot;&quot; syuser=&quot;servela&quot; syuzeit=&quot;3/11/2015 9:28:43 AM&quot; root=&quot;/DATA&quot; colcount=&quot;5&quot; rowcount=&quot;10&quot; url=&quot;&quot; dynamizeds=&quot;SAP Disclosure Management - Production&quot; dynamizedstype=&quot;9&quot; refreshds=&quot;&quot; viewtype=&quot;1&quot;&gt;&lt;QUERY reftype=&quot;ABS&quot; elmntsel=&quot;TABLE&quot; bbk=&quot;2721&quot; bbkdesc=&quot;2014 Annual Accounts/EU Annual Accounts/DC - Carrying amounts and fair value (xlsx)&quot; datapro=&quot;CARRAM1&quot; infos=&quot;&quot; iscomment=&quot;0&quot;&gt;&lt;SELECT&gt;/BBOOK/DATAPROVIDER[./META/PROPS/ID='CARRAM1']/DATA/ROW&lt;/SELECT&gt;&lt;FILTERS&gt;&lt;FILTER&gt;&lt;/FILTER&gt;&lt;/FILTERS&gt;&lt;/QUERY&gt;&lt;/QUERIES&gt;&lt;/OBJECT&gt;"/>
    <w:docVar w:name="BIP_META_DOC_TBL00080" w:val="&lt;OBJECT&gt;&lt;META&gt;&lt;ID&gt;&lt;/ID&gt;&lt;NAME&gt;DOC_TBL0008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koehlmn&lt;/DYNAMIZEDBY&gt;&lt;DYNAMIZEDON&gt;17/03/2015 16:46:05&lt;/DYNAMIZEDON&gt;&lt;LASTUPDATEDBY&gt;koehlmn&lt;/LASTUPDATEDBY&gt;&lt;LASTUPDATEDON&gt;7/13/2015 11:55:09 AM&lt;/LASTUPDATEDON&gt;&lt;UTC&gt;1&lt;/UTC&gt;&lt;/UPDATE&gt;&lt;QUERIES bbk=&quot;2765&quot; bbkdesc=&quot;2014 Annual Accounts/EU Annual Accounts/DC - Exposure of the EC to currency risk at year end (xlsx)&quot; datapro=&quot;CR&quot; tdatapro=&quot;CR&quot; author=&quot;&quot; modtime=&quot;7/13/2015 11:54:42 AM&quot; moduser=&quot;koehlmn&quot; rolluptime=&quot;&quot; syuser=&quot;koehlmn&quot; syuzeit=&quot;7/13/2015 11:54:42 AM&quot; root=&quot;/BBOOK/DATAPROVIDER[./META/PROPS/ID='CR']/DATA&quot; colcount=&quot;16&quot; rowcount=&quot;13&quot; url=&quot;&quot; dynamizeds=&quot;SAP Disclosure Management - Production&quot; dynamizedstype=&quot;9&quot; refreshds=&quot;&quot; viewtype=&quot;1&quot;&gt;&lt;QUERY reftype=&quot;ABS&quot; elmntsel=&quot;TABLE&quot; bbk=&quot;2765&quot; bbkdesc=&quot;2014 Annual Accounts/EU Annual Accounts/DC - Exposure of the EC to currency risk at year end (xlsx)&quot; datapro=&quot;CR&quot; infos=&quot;&quot; iscomment=&quot;0&quot;&gt;&lt;SELECT&gt;/BBOOK/DATAPROVIDER[./META/PROPS/ID='CR']/DATA/ROW&lt;/SELECT&gt;&lt;FILTERS&gt;&lt;FILTER&gt;&lt;/FILTER&gt;&lt;/FILTERS&gt;&lt;/QUERY&gt;&lt;/QUERIES&gt;&lt;/OBJECT&gt;"/>
    <w:docVar w:name="BIP_META_DOC_TBL00081" w:val="&lt;OBJECT&gt;&lt;META&gt;&lt;ID&gt;&lt;/ID&gt;&lt;NAME&gt;DOC_TBL0008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0/11/2014 09:00:35&lt;/DYNAMIZEDON&gt;&lt;LASTUPDATEDBY&gt;servela&lt;/LASTUPDATEDBY&gt;&lt;LASTUPDATEDON&gt;7/9/2015 10:21:30 AM&lt;/LASTUPDATEDON&gt;&lt;UTC&gt;1&lt;/UTC&gt;&lt;/UPDATE&gt;&lt;QUERIES bbk=&quot;2765&quot; bbkdesc=&quot;2014 Annual Accounts/EU Annual Accounts/DC - Exposure of the EC to currency risk at year end (xlsx)&quot; datapro=&quot;SDS&quot; tdatapro=&quot;SDS&quot; author=&quot;&quot; modtime=&quot;7/9/2015 9:12:50 AM&quot; moduser=&quot;koehlmn&quot; rolluptime=&quot;&quot; syuser=&quot;koehlmn&quot; syuzeit=&quot;7/9/2015 9:12:50 AM&quot; root=&quot;/BBOOK/DATAPROVIDER[./META/PROPS/ID='SDS']/DATA&quot; colcount=&quot;6&quot; rowcount=&quot;5&quot; url=&quot;&quot; dynamizeds=&quot;SAP Disclosure Management - Production&quot; dynamizedstype=&quot;9&quot; refreshds=&quot;&quot; viewtype=&quot;1&quot;&gt;&lt;QUERY reftype=&quot;ABS&quot; elmntsel=&quot;TABLE&quot; bbk=&quot;2765&quot; bbkdesc=&quot;2014 Annual Accounts/EU Annual Accounts/DC - Exposure of the EC to currency risk at year end (xlsx)&quot; datapro=&quot;SDS&quot; infos=&quot;&quot; iscomment=&quot;0&quot;&gt;&lt;SELECT&gt;/BBOOK/DATAPROVIDER[./META/PROPS/ID='SDS']/DATA/ROW&lt;/SELECT&gt;&lt;FILTERS&gt;&lt;FILTER&gt;&lt;/FILTER&gt;&lt;/FILTERS&gt;&lt;/QUERY&gt;&lt;/QUERIES&gt;&lt;/OBJECT&gt;"/>
    <w:docVar w:name="BIP_META_DOC_TBL00082" w:val="&lt;OBJECT&gt;&lt;META&gt;&lt;ID&gt;&lt;/ID&gt;&lt;NAME&gt;DOC_TBL0008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0/11/2014 09:01:06&lt;/DYNAMIZEDON&gt;&lt;LASTUPDATEDBY&gt;servela&lt;/LASTUPDATEDBY&gt;&lt;LASTUPDATEDON&gt;7/9/2015 10:21:30 AM&lt;/LASTUPDATEDON&gt;&lt;UTC&gt;1&lt;/UTC&gt;&lt;/UPDATE&gt;&lt;QUERIES bbk=&quot;2765&quot; bbkdesc=&quot;2014 Annual Accounts/EU Annual Accounts/DC - Exposure of the EC to currency risk at year end (xlsx)&quot; datapro=&quot;NAS&quot; tdatapro=&quot;NAS&quot; author=&quot;&quot; modtime=&quot;7/9/2015 9:12:50 AM&quot; moduser=&quot;koehlmn&quot; rolluptime=&quot;&quot; syuser=&quot;koehlmn&quot; syuzeit=&quot;7/9/2015 9:12:50 AM&quot; root=&quot;/BBOOK/DATAPROVIDER[./META/PROPS/ID='NAS']/DATA&quot; colcount=&quot;6&quot; rowcount=&quot;5&quot; url=&quot;&quot; dynamizeds=&quot;SAP Disclosure Management - Production&quot; dynamizedstype=&quot;9&quot; refreshds=&quot;&quot; viewtype=&quot;1&quot;&gt;&lt;QUERY reftype=&quot;ABS&quot; elmntsel=&quot;TABLE&quot; bbk=&quot;2765&quot; bbkdesc=&quot;2014 Annual Accounts/EU Annual Accounts/DC - Exposure of the EC to currency risk at year end (xlsx)&quot; datapro=&quot;NAS&quot; infos=&quot;&quot; iscomment=&quot;0&quot;&gt;&lt;SELECT&gt;/BBOOK/DATAPROVIDER[./META/PROPS/ID='NAS']/DATA/ROW&lt;/SELECT&gt;&lt;FILTERS&gt;&lt;FILTER&gt;&lt;/FILTER&gt;&lt;/FILTERS&gt;&lt;/QUERY&gt;&lt;/QUERIES&gt;&lt;/OBJECT&gt;"/>
    <w:docVar w:name="BIP_META_DOC_TBL00083" w:val="&lt;OBJECT&gt;&lt;META&gt;&lt;ID&gt;&lt;/ID&gt;&lt;NAME&gt;DOC_TBL0008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0/11/2014 09:01:36&lt;/DYNAMIZEDON&gt;&lt;LASTUPDATEDBY&gt;servela&lt;/LASTUPDATEDBY&gt;&lt;LASTUPDATEDON&gt;7/9/2015 10:21:30 AM&lt;/LASTUPDATEDON&gt;&lt;UTC&gt;1&lt;/UTC&gt;&lt;/UPDATE&gt;&lt;QUERIES bbk=&quot;2765&quot; bbkdesc=&quot;2014 Annual Accounts/EU Annual Accounts/DC - Exposure of the EC to currency risk at year end (xlsx)&quot; datapro=&quot;SDW&quot; tdatapro=&quot;SDW&quot; author=&quot;&quot; modtime=&quot;7/9/2015 9:12:50 AM&quot; moduser=&quot;koehlmn&quot; rolluptime=&quot;&quot; syuser=&quot;koehlmn&quot; syuzeit=&quot;7/9/2015 9:12:50 AM&quot; root=&quot;/BBOOK/DATAPROVIDER[./META/PROPS/ID='SDW']/DATA&quot; colcount=&quot;6&quot; rowcount=&quot;5&quot; url=&quot;&quot; dynamizeds=&quot;SAP Disclosure Management - Production&quot; dynamizedstype=&quot;9&quot; refreshds=&quot;&quot; viewtype=&quot;1&quot;&gt;&lt;QUERY reftype=&quot;ABS&quot; elmntsel=&quot;TABLE&quot; bbk=&quot;2765&quot; bbkdesc=&quot;2014 Annual Accounts/EU Annual Accounts/DC - Exposure of the EC to currency risk at year end (xlsx)&quot; datapro=&quot;SDW&quot; infos=&quot;&quot; iscomment=&quot;0&quot;&gt;&lt;SELECT&gt;/BBOOK/DATAPROVIDER[./META/PROPS/ID='SDW']/DATA/ROW&lt;/SELECT&gt;&lt;FILTERS&gt;&lt;FILTER&gt;&lt;/FILTER&gt;&lt;/FILTERS&gt;&lt;/QUERY&gt;&lt;/QUERIES&gt;&lt;/OBJECT&gt;"/>
    <w:docVar w:name="BIP_META_DOC_TBL00084" w:val="&lt;OBJECT&gt;&lt;META&gt;&lt;ID&gt;&lt;/ID&gt;&lt;NAME&gt;DOC_TBL0008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0/11/2014 09:02:13&lt;/DYNAMIZEDON&gt;&lt;LASTUPDATEDBY&gt;servela&lt;/LASTUPDATEDBY&gt;&lt;LASTUPDATEDON&gt;7/9/2015 10:21:30 AM&lt;/LASTUPDATEDON&gt;&lt;UTC&gt;1&lt;/UTC&gt;&lt;/UPDATE&gt;&lt;QUERIES bbk=&quot;2765&quot; bbkdesc=&quot;2014 Annual Accounts/EU Annual Accounts/DC - Exposure of the EC to currency risk at year end (xlsx)&quot; datapro=&quot;NAW&quot; tdatapro=&quot;NAW&quot; author=&quot;&quot; modtime=&quot;7/9/2015 9:12:50 AM&quot; moduser=&quot;koehlmn&quot; rolluptime=&quot;&quot; syuser=&quot;koehlmn&quot; syuzeit=&quot;7/9/2015 9:12:50 AM&quot; root=&quot;/BBOOK/DATAPROVIDER[./META/PROPS/ID='NAW']/DATA&quot; colcount=&quot;6&quot; rowcount=&quot;5&quot; url=&quot;&quot; dynamizeds=&quot;SAP Disclosure Management - Production&quot; dynamizedstype=&quot;9&quot; refreshds=&quot;&quot; viewtype=&quot;1&quot;&gt;&lt;QUERY reftype=&quot;ABS&quot; elmntsel=&quot;TABLE&quot; bbk=&quot;2765&quot; bbkdesc=&quot;2014 Annual Accounts/EU Annual Accounts/DC - Exposure of the EC to currency risk at year end (xlsx)&quot; datapro=&quot;NAW&quot; infos=&quot;&quot; iscomment=&quot;0&quot;&gt;&lt;SELECT&gt;/BBOOK/DATAPROVIDER[./META/PROPS/ID='NAW']/DATA/ROW&lt;/SELECT&gt;&lt;FILTERS&gt;&lt;FILTER&gt;&lt;/FILTER&gt;&lt;/FILTERS&gt;&lt;/QUERY&gt;&lt;/QUERIES&gt;&lt;/OBJECT&gt;"/>
    <w:docVar w:name="BIP_META_DOC_TBL00085" w:val="&lt;OBJECT&gt;&lt;META&gt;&lt;ID&gt;&lt;/ID&gt;&lt;NAME&gt;DOC_TBL0008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2/18/2014 2:28:51 PM&lt;/DYNAMIZEDON&gt;&lt;LASTUPDATEDBY&gt;servela&lt;/LASTUPDATEDBY&gt;&lt;LASTUPDATEDON&gt;7/9/2015 10:21:44 AM&lt;/LASTUPDATEDON&gt;&lt;UTC&gt;1&lt;/UTC&gt;&lt;/UPDATE&gt;&lt;QUERIES bbk=&quot;2766&quot; bbkdesc=&quot;2014 Annual Accounts/EU Annual Accounts/DC - Interest rate risk (xlsx)&quot; datapro=&quot;IRR&quot; tdatapro=&quot;IRR&quot; author=&quot;&quot; modtime=&quot;7/8/2015 1:55:24 PM&quot; moduser=&quot;servela&quot; rolluptime=&quot;&quot; syuser=&quot;servela&quot; syuzeit=&quot;7/8/2015 1:55:24 PM&quot; root=&quot;/BBOOK/DATAPROVIDER[./META/PROPS/ID='IRR']/DATA&quot; colcount=&quot;3&quot; rowcount=&quot;6&quot; url=&quot;&quot; dynamizeds=&quot;SAP Disclosure Management - Production&quot; dynamizedstype=&quot;9&quot; refreshds=&quot;&quot; viewtype=&quot;1&quot;&gt;&lt;QUERY reftype=&quot;ABS&quot; elmntsel=&quot;TABLE&quot; bbk=&quot;2766&quot; bbkdesc=&quot;2014 Annual Accounts/EU Annual Accounts/DC - Interest rate risk (xlsx)&quot; datapro=&quot;IRR&quot; infos=&quot;&quot; iscomment=&quot;0&quot;&gt;&lt;SELECT&gt;/BBOOK/DATAPROVIDER[./META/PROPS/ID='IRR']/DATA/ROW&lt;/SELECT&gt;&lt;FILTERS&gt;&lt;FILTER&gt;&lt;/FILTER&gt;&lt;/FILTERS&gt;&lt;/QUERY&gt;&lt;/QUERIES&gt;&lt;/OBJECT&gt;"/>
    <w:docVar w:name="BIP_META_DOC_TBL00086" w:val="&lt;OBJECT&gt;&lt;META&gt;&lt;ID&gt;&lt;/ID&gt;&lt;NAME&gt;DOC_TBL0008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0/11/2014 09:13:44&lt;/DYNAMIZEDON&gt;&lt;LASTUPDATEDBY&gt;koehlmn&lt;/LASTUPDATEDBY&gt;&lt;LASTUPDATEDON&gt;7/10/2015 1:53:08 PM&lt;/LASTUPDATEDON&gt;&lt;UTC&gt;1&lt;/UTC&gt;&lt;/UPDATE&gt;&lt;QUERIES bbk=&quot;2767&quot; bbkdesc=&quot;2014 Annual Accounts/EU Annual Accounts/DC - Credit risk (xlsx)&quot; datapro=&quot;CDTR&quot; tdatapro=&quot;CDTR&quot; author=&quot;&quot; modtime=&quot;7/10/2015 1:52:36 PM&quot; moduser=&quot;koehlmn&quot; rolluptime=&quot;&quot; syuser=&quot;koehlmn&quot; syuzeit=&quot;7/10/2015 1:52:36 PM&quot; root=&quot;/BBOOK/DATAPROVIDER[./META/PROPS/ID='CDTR']/DATA&quot; colcount=&quot;6&quot; rowcount=&quot;9&quot; url=&quot;&quot; dynamizeds=&quot;SAP Disclosure Management - Production&quot; dynamizedstype=&quot;9&quot; refreshds=&quot;&quot; viewtype=&quot;1&quot;&gt;&lt;QUERY reftype=&quot;ABS&quot; elmntsel=&quot;TABLE&quot; bbk=&quot;2767&quot; bbkdesc=&quot;2014 Annual Accounts/EU Annual Accounts/DC - Credit risk (xlsx)&quot; datapro=&quot;CDTR&quot; infos=&quot;&quot; iscomment=&quot;0&quot;&gt;&lt;SELECT&gt;/BBOOK/DATAPROVIDER[./META/PROPS/ID='CDTR']/DATA/ROW&lt;/SELECT&gt;&lt;FILTERS&gt;&lt;FILTER&gt;&lt;/FILTER&gt;&lt;/FILTERS&gt;&lt;/QUERY&gt;&lt;/QUERIES&gt;&lt;/OBJECT&gt;"/>
    <w:docVar w:name="BIP_META_DOC_TBL00087" w:val="&lt;OBJECT&gt;&lt;META&gt;&lt;ID&gt;&lt;/ID&gt;&lt;NAME&gt;DOC_TBL0008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6/11/2014 13:16:20&lt;/DYNAMIZEDON&gt;&lt;LASTUPDATEDBY&gt;koehlmn&lt;/LASTUPDATEDBY&gt;&lt;LASTUPDATEDON&gt;7/14/2015 8:13:34 AM&lt;/LASTUPDATEDON&gt;&lt;UTC&gt;1&lt;/UTC&gt;&lt;/UPDATE&gt;&lt;QUERIES bbk=&quot;2767&quot; bbkdesc=&quot;2014 Annual Accounts/EU Annual Accounts/DC - Credit risk (xlsx)&quot; datapro=&quot;FARC&quot; tdatapro=&quot;FARC&quot; author=&quot;&quot; modtime=&quot;7/14/2015 8:12:40 AM&quot; moduser=&quot;koehlmn&quot; rolluptime=&quot;&quot; syuser=&quot;koehlmn&quot; syuzeit=&quot;7/14/2015 8:12:40 AM&quot; root=&quot;/BBOOK/DATAPROVIDER[./META/PROPS/ID='FARC']/DATA&quot; colcount=&quot;9&quot; rowcount=&quot;14&quot; url=&quot;&quot; dynamizeds=&quot;SAP Disclosure Management - Production&quot; dynamizedstype=&quot;9&quot; refreshds=&quot;&quot; viewtype=&quot;1&quot;&gt;&lt;QUERY reftype=&quot;ABS&quot; elmntsel=&quot;TABLE&quot; bbk=&quot;2767&quot; bbkdesc=&quot;2014 Annual Accounts/EU Annual Accounts/DC - Credit risk (xlsx)&quot; datapro=&quot;FARC&quot; infos=&quot;&quot; iscomment=&quot;0&quot;&gt;&lt;SELECT&gt;/BBOOK/DATAPROVIDER[./META/PROPS/ID='FARC']/DATA/ROW&lt;/SELECT&gt;&lt;FILTERS&gt;&lt;FILTER&gt;&lt;/FILTER&gt;&lt;/FILTERS&gt;&lt;/QUERY&gt;&lt;/QUERIES&gt;&lt;/OBJECT&gt;"/>
    <w:docVar w:name="BIP_META_DOC_TBL00088" w:val="&lt;OBJECT&gt;&lt;META&gt;&lt;ID&gt;&lt;/ID&gt;&lt;NAME&gt;DOC_TBL0008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4/07/2015 09:27:13&lt;/DYNAMIZEDON&gt;&lt;LASTUPDATEDBY&gt;vignoal&lt;/LASTUPDATEDBY&gt;&lt;LASTUPDATEDON&gt;14/07/2015 09:27:13&lt;/LASTUPDATEDON&gt;&lt;UTC&gt;1&lt;/UTC&gt;&lt;/UPDATE&gt;&lt;QUERIES bbk=&quot;2768&quot; bbkdesc=&quot;2014 Annual Accounts/EU Annual Accounts/DC - Maturity analysis of financial liabilities (xlsx)&quot; datapro=&quot;LR&quot; tdatapro=&quot;LR&quot; author=&quot;&quot; modtime=&quot;7/10/2015 2:11:45 PM&quot; moduser=&quot;koehlmn&quot; rolluptime=&quot;&quot; syuser=&quot;koehlmn&quot; syuzeit=&quot;7/10/2015 2:11:45 PM&quot; root=&quot;/BBOOK/DATAPROVIDER[./META/PROPS/ID='LR']/DATA&quot; colcount=&quot;5&quot; rowcount=&quot;12&quot; url=&quot;&quot; dynamizeds=&quot;SAP Disclosure Management - Production&quot; dynamizedstype=&quot;9&quot; refreshds=&quot;&quot; viewtype=&quot;1&quot;&gt;&lt;QUERY reftype=&quot;ABS&quot; elmntsel=&quot;TABLE&quot; bbk=&quot;2768&quot; bbkdesc=&quot;2014 Annual Accounts/EU Annual Accounts/DC - Maturity analysis of financial liabilities (xlsx)&quot; datapro=&quot;LR&quot; infos=&quot;&quot; iscomment=&quot;0&quot;&gt;&lt;SELECT&gt;/BBOOK/DATAPROVIDER[./META/PROPS/ID='LR']/DATA/ROW&lt;/SELECT&gt;&lt;FILTERS&gt;&lt;FILTER&gt;&lt;/FILTER&gt;&lt;/FILTERS&gt;&lt;/QUERY&gt;&lt;/QUERIES&gt;&lt;/OBJECT&gt;"/>
    <w:docVar w:name="BIP_META_DOC_TBL00089" w:val="&lt;OBJECT&gt;&lt;META&gt;&lt;ID&gt;&lt;/ID&gt;&lt;NAME&gt;DOC_TBL0008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4/11/2014 08:55:33&lt;/DYNAMIZEDON&gt;&lt;LASTUPDATEDBY&gt;servela&lt;/LASTUPDATEDBY&gt;&lt;LASTUPDATEDON&gt;7/9/2015 10:22:22 AM&lt;/LASTUPDATEDON&gt;&lt;UTC&gt;1&lt;/UTC&gt;&lt;/UPDATE&gt;&lt;QUERIES bbk=&quot;2774&quot; bbkdesc=&quot;2014 Annual Accounts/EU Annual Accounts/DC - Related party disclosures (xlsx)&quot; datapro=&quot;KM&quot; tdatapro=&quot;KM&quot; author=&quot;&quot; modtime=&quot;7/8/2015 1:57:17 PM&quot; moduser=&quot;servela&quot; rolluptime=&quot;&quot; syuser=&quot;servela&quot; syuzeit=&quot;7/8/2015 1:57:17 PM&quot; root=&quot;/BBOOK/DATAPROVIDER[./META/PROPS/ID='KM']/DATA&quot; colcount=&quot;6&quot; rowcount=&quot;45&quot; url=&quot;&quot; dynamizeds=&quot;SAP Disclosure Management - Production&quot; dynamizedstype=&quot;9&quot; refreshds=&quot;&quot; viewtype=&quot;1&quot;&gt;&lt;QUERY reftype=&quot;ABS&quot; elmntsel=&quot;TABLE&quot; bbk=&quot;2774&quot; bbkdesc=&quot;2014 Annual Accounts/EU Annual Accounts/DC - Related party disclosures (xlsx)&quot; datapro=&quot;KM&quot; infos=&quot;&quot; iscomment=&quot;0&quot;&gt;&lt;SELECT&gt;/BBOOK/DATAPROVIDER[./META/PROPS/ID='KM']/DATA/ROW&lt;/SELECT&gt;&lt;FILTERS&gt;&lt;FILTER&gt;&lt;/FILTER&gt;&lt;/FILTERS&gt;&lt;/QUERY&gt;&lt;/QUERIES&gt;&lt;/OBJECT&gt;"/>
    <w:docVar w:name="BIP_META_DOC_TBL00090" w:val="&lt;OBJECT&gt;&lt;META&gt;&lt;ID&gt;&lt;/ID&gt;&lt;NAME&gt;DOC_TBL0009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9/11/2014 13:20:48&lt;/DYNAMIZEDON&gt;&lt;LASTUPDATEDBY&gt;vignoal&lt;/LASTUPDATEDBY&gt;&lt;LASTUPDATEDON&gt;7/14/2015 9:15:28 AM&lt;/LASTUPDATEDON&gt;&lt;UTC&gt;1&lt;/UTC&gt;&lt;/UPDATE&gt;&lt;QUERIES bbk=&quot;2740&quot; bbkdesc=&quot;2014 Annual Accounts/EU Annual Accounts/DC - Scope of consolidation EU (xlsx)&quot; datapro=&quot;CONSO&quot; tdatapro=&quot;CONSO&quot; author=&quot;&quot; modtime=&quot;3/26/2015 12:16:12 PM&quot; moduser=&quot;koehlmn&quot; rolluptime=&quot;&quot; syuser=&quot;koehlmn&quot; syuzeit=&quot;3/26/2015 12:16:12 PM&quot; root=&quot;/BBOOK/DATAPROVIDER[./META/PROPS/ID='CONSO']/DATA&quot; colcount=&quot;2&quot; rowcount=&quot;46&quot; url=&quot;&quot; dynamizeds=&quot;SAP Disclosure Management - Production&quot; dynamizedstype=&quot;9&quot; refreshds=&quot;&quot; viewtype=&quot;1&quot;&gt;&lt;QUERY reftype=&quot;ABS&quot; elmntsel=&quot;TABLE&quot; bbk=&quot;2740&quot; bbkdesc=&quot;2014 Annual Accounts/EU Annual Accounts/DC - Scope of consolidation EU (xlsx)&quot; datapro=&quot;CONSO&quot; infos=&quot;&quot; iscomment=&quot;0&quot;&gt;&lt;SELECT&gt;/BBOOK/DATAPROVIDER[./META/PROPS/ID='CONSO']/DATA/ROW&lt;/SELECT&gt;&lt;FILTERS&gt;&lt;FILTER&gt;&lt;/FILTER&gt;&lt;/FILTERS&gt;&lt;/QUERY&gt;&lt;/QUERIES&gt;&lt;/OBJECT&gt;"/>
    <w:docVar w:name="BIP_META_DOC_TBL00091" w:val="&lt;OBJECT&gt;&lt;META&gt;&lt;ID&gt;&lt;/ID&gt;&lt;NAME&gt;DOC_TBL0009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30/03/2015 10:13:42&lt;/DYNAMIZEDON&gt;&lt;LASTUPDATEDBY&gt;servela&lt;/LASTUPDATEDBY&gt;&lt;LASTUPDATEDON&gt;7/9/2015 10:22:41 AM&lt;/LASTUPDATEDON&gt;&lt;UTC&gt;1&lt;/UTC&gt;&lt;/UPDATE&gt;&lt;QUERIES bbk=&quot;3466&quot; bbkdesc=&quot;2014 Annual Accounts/EU Annual Accounts/DC - Result of implementation of the EU budget (xlsx)&quot; datapro=&quot;BIP_BudgetResult&quot; tdatapro=&quot;BIP_BudgetResult&quot; author=&quot;&quot; modtime=&quot;3/30/2015 9:27:29 AM&quot; moduser=&quot;koehlmn&quot; rolluptime=&quot;&quot; syuser=&quot;koehlmn&quot; syuzeit=&quot;3/30/2015 9:27:29 AM&quot; root=&quot;/DATA&quot; colcount=&quot;4&quot; rowcount=&quot;9&quot; url=&quot;&quot; dynamizeds=&quot;SAP Disclosure Management - Production&quot; dynamizedstype=&quot;9&quot; refreshds=&quot;&quot; viewtype=&quot;1&quot;&gt;&lt;QUERY reftype=&quot;ABS&quot; elmntsel=&quot;TABLE&quot; bbk=&quot;3466&quot; bbkdesc=&quot;2014 Annual Accounts/EU Annual Accounts/DC - Result of implementation of the EU budget (xlsx)&quot; datapro=&quot;BIP_BudgetResult&quot; infos=&quot;&quot; iscomment=&quot;0&quot;&gt;&lt;SELECT&gt;/BBOOK/DATAPROVIDER[./META/PROPS/ID='BIP_BudgetResult']/DATA/ROW&lt;/SELECT&gt;&lt;FILTERS&gt;&lt;FILTER&gt;&lt;/FILTER&gt;&lt;/FILTERS&gt;&lt;/QUERY&gt;&lt;/QUERIES&gt;&lt;/OBJECT&gt;"/>
    <w:docVar w:name="BIP_META_DOC_TBL00092" w:val="&lt;OBJECT&gt;&lt;META&gt;&lt;ID&gt;&lt;/ID&gt;&lt;NAME&gt;DOC_TBL0009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60&lt;/FLCID&gt;&lt;RELATION&gt;&lt;/RELATION&gt;&lt;LINKED&gt;&lt;/LINKED&gt;&lt;SVALUE&gt;&lt;/SVALUE&gt;&lt;INFO&gt;&lt;/INFO&gt;&lt;/META&gt;&lt;UPDATE&gt;&lt;DATE&gt;10.1.0.36&lt;/DATE&gt;&lt;DYNAMIZEDBY&gt;vignoal&lt;/DYNAMIZEDBY&gt;&lt;DYNAMIZEDON&gt;23/03/2015 09:33:34&lt;/DYNAMIZEDON&gt;&lt;LASTUPDATEDBY&gt;ghyssbr&lt;/LASTUPDATEDBY&gt;&lt;LASTUPDATEDON&gt;7/10/2015 9:23:01 AM&lt;/LASTUPDATEDON&gt;&lt;UTC&gt;1&lt;/UTC&gt;&lt;/UPDATE&gt;&lt;QUERIES bbk=&quot;3466&quot; bbkdesc=&quot;2014 Annual Accounts/EU Annual Accounts/DC - Result of implementation of the EU budget (xlsx)&quot; datapro=&quot;BIP_Reconciliation&quot; tdatapro=&quot;BIP_Reconciliation&quot; author=&quot;&quot; modtime=&quot;2/24/2015 1:48:41 PM&quot; moduser=&quot;vignale&quot; rolluptime=&quot;&quot; syuser=&quot;vignale&quot; syuzeit=&quot;2/24/2015 1:48:41 PM&quot; root=&quot;/DATA&quot; colcount=&quot;3&quot; rowcount=&quot;20&quot; url=&quot;&quot; dynamizeds=&quot;SAP Disclosure Management - Production&quot; dynamizedstype=&quot;9&quot; refreshds=&quot;&quot; viewtype=&quot;1&quot;&gt;&lt;QUERY reftype=&quot;ABS&quot; elmntsel=&quot;TABLE&quot; bbk=&quot;3466&quot; bbkdesc=&quot;2014 Annual Accounts/EU Annual Accounts/DC - Result of implementation of the EU budget (xlsx)&quot; datapro=&quot;BIP_Reconciliation&quot; infos=&quot;&quot; iscomment=&quot;0&quot;&gt;&lt;SELECT&gt;/BBOOK/DATAPROVIDER[./META/PROPS/ID='BIP_Reconciliation']/DATA/ROW&lt;/SELECT&gt;&lt;FILTERS&gt;&lt;FILTER&gt;&lt;/FILTER&gt;&lt;/FILTERS&gt;&lt;/QUERY&gt;&lt;/QUERIES&gt;&lt;/OBJECT&gt;"/>
    <w:docVar w:name="BIP_META_DOC_TBL00093" w:val="&lt;OBJECT&gt;&lt;META&gt;&lt;ID&gt;&lt;/ID&gt;&lt;NAME&gt;DOC_TBL0009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8/01/2015 15:14:35&lt;/DYNAMIZEDON&gt;&lt;LASTUPDATEDBY&gt;servela&lt;/LASTUPDATEDBY&gt;&lt;LASTUPDATEDON&gt;7/9/2015 10:22:53 AM&lt;/LASTUPDATEDON&gt;&lt;UTC&gt;1&lt;/UTC&gt;&lt;/UPDATE&gt;&lt;QUERIES bbk=&quot;3466&quot; bbkdesc=&quot;2014 Annual Accounts/EU Annual Accounts/DC - Result of implementation of the EU budget (xlsx)&quot; datapro=&quot;BIP_Revenue&quot; tdatapro=&quot;BIP_Revenue&quot; author=&quot;&quot; modtime=&quot;7/8/2015 1:58:02 PM&quot; moduser=&quot;servela&quot; rolluptime=&quot;&quot; syuser=&quot;servela&quot; syuzeit=&quot;7/8/2015 1:58:02 PM&quot; root=&quot;/BBOOK/DATAPROVIDER[./META/PROPS/ID='BIP_Revenue']/DATA&quot; colcount=&quot;6&quot; rowcount=&quot;14&quot; url=&quot;&quot; dynamizeds=&quot;SAP Disclosure Management - Production&quot; dynamizedstype=&quot;9&quot; refreshds=&quot;&quot; viewtype=&quot;1&quot;&gt;&lt;QUERY reftype=&quot;ABS&quot; elmntsel=&quot;TABLE&quot; bbk=&quot;3466&quot; bbkdesc=&quot;2014 Annual Accounts/EU Annual Accounts/DC - Result of implementation of the EU budget (xlsx)&quot; datapro=&quot;BIP_Revenue&quot; infos=&quot;&quot; iscomment=&quot;0&quot;&gt;&lt;SELECT&gt;/BBOOK/DATAPROVIDER[./META/PROPS/ID='BIP_Revenue']/DATA/ROW&lt;/SELECT&gt;&lt;FILTERS&gt;&lt;FILTER&gt;&lt;/FILTER&gt;&lt;/FILTERS&gt;&lt;/QUERY&gt;&lt;/QUERIES&gt;&lt;/OBJECT&gt;"/>
    <w:docVar w:name="BIP_META_DOC_TBL00094" w:val="&lt;OBJECT&gt;&lt;META&gt;&lt;ID&gt;&lt;/ID&gt;&lt;NAME&gt;DOC_TBL0009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8/01/2015 15:49:32&lt;/DYNAMIZEDON&gt;&lt;LASTUPDATEDBY&gt;servela&lt;/LASTUPDATEDBY&gt;&lt;LASTUPDATEDON&gt;7/9/2015 10:23:01 AM&lt;/LASTUPDATEDON&gt;&lt;UTC&gt;1&lt;/UTC&gt;&lt;/UPDATE&gt;&lt;QUERIES bbk=&quot;3466&quot; bbkdesc=&quot;2014 Annual Accounts/EU Annual Accounts/DC - Result of implementation of the EU budget (xlsx)&quot; datapro=&quot;BIP_CommitmentsFWH&quot; tdatapro=&quot;BIP_CommitmentsFWH&quot; author=&quot;&quot; modtime=&quot;7/8/2015 1:58:02 PM&quot; moduser=&quot;servela&quot; rolluptime=&quot;&quot; syuser=&quot;servela&quot; syuzeit=&quot;7/8/2015 1:58:02 PM&quot; root=&quot;/BBOOK/DATAPROVIDER[./META/PROPS/ID='BIP_CommitmentsFWH']/DATA&quot; colcount=&quot;8&quot; rowcount=&quot;15&quot; url=&quot;&quot; dynamizeds=&quot;SAP Disclosure Management - Production&quot; dynamizedstype=&quot;9&quot; refreshds=&quot;&quot; viewtype=&quot;1&quot;&gt;&lt;QUERY reftype=&quot;ABS&quot; elmntsel=&quot;TABLE&quot; bbk=&quot;3466&quot; bbkdesc=&quot;2014 Annual Accounts/EU Annual Accounts/DC - Result of implementation of the EU budget (xlsx)&quot; datapro=&quot;BIP_CommitmentsFWH&quot; infos=&quot;&quot; iscomment=&quot;0&quot;&gt;&lt;SELECT&gt;/BBOOK/DATAPROVIDER[./META/PROPS/ID='BIP_CommitmentsFWH']/DATA/ROW&lt;/SELECT&gt;&lt;FILTERS&gt;&lt;FILTER&gt;&lt;/FILTER&gt;&lt;/FILTERS&gt;&lt;/QUERY&gt;&lt;/QUERIES&gt;&lt;/OBJECT&gt;"/>
    <w:docVar w:name="BIP_META_DOC_TBL00095" w:val="&lt;OBJECT&gt;&lt;META&gt;&lt;ID&gt;&lt;/ID&gt;&lt;NAME&gt;DOC_TBL0009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8/01/2015 16:00:02&lt;/DYNAMIZEDON&gt;&lt;LASTUPDATEDBY&gt;servela&lt;/LASTUPDATEDBY&gt;&lt;LASTUPDATEDON&gt;7/9/2015 10:23:01 AM&lt;/LASTUPDATEDON&gt;&lt;UTC&gt;1&lt;/UTC&gt;&lt;/UPDATE&gt;&lt;QUERIES bbk=&quot;3466&quot; bbkdesc=&quot;2014 Annual Accounts/EU Annual Accounts/DC - Result of implementation of the EU budget (xlsx)&quot; datapro=&quot;BIP_ExpenditureFWH&quot; tdatapro=&quot;BIP_ExpenditureFWH&quot; author=&quot;&quot; modtime=&quot;7/8/2015 1:58:02 PM&quot; moduser=&quot;servela&quot; rolluptime=&quot;&quot; syuser=&quot;servela&quot; syuzeit=&quot;7/8/2015 1:58:02 PM&quot; root=&quot;/BBOOK/DATAPROVIDER[./META/PROPS/ID='BIP_ExpenditureFWH']/DATA&quot; colcount=&quot;8&quot; rowcount=&quot;15&quot; url=&quot;&quot; dynamizeds=&quot;SAP Disclosure Management - Production&quot; dynamizedstype=&quot;9&quot; refreshds=&quot;&quot; viewtype=&quot;1&quot;&gt;&lt;QUERY reftype=&quot;ABS&quot; elmntsel=&quot;TABLE&quot; bbk=&quot;3466&quot; bbkdesc=&quot;2014 Annual Accounts/EU Annual Accounts/DC - Result of implementation of the EU budget (xlsx)&quot; datapro=&quot;BIP_ExpenditureFWH&quot; infos=&quot;&quot; iscomment=&quot;0&quot;&gt;&lt;SELECT&gt;/BBOOK/DATAPROVIDER[./META/PROPS/ID='BIP_ExpenditureFWH']/DATA/ROW&lt;/SELECT&gt;&lt;FILTERS&gt;&lt;FILTER&gt;&lt;/FILTER&gt;&lt;/FILTERS&gt;&lt;/QUERY&gt;&lt;/QUERIES&gt;&lt;/OBJECT&gt;"/>
    <w:docVar w:name="BIP_META_DOC_TBL00096" w:val="&lt;OBJECT&gt;&lt;META&gt;&lt;ID&gt;&lt;/ID&gt;&lt;NAME&gt;DOC_TBL0009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02/07/2015 15:01:54&lt;/DYNAMIZEDON&gt;&lt;LASTUPDATEDBY&gt;servela&lt;/LASTUPDATEDBY&gt;&lt;LASTUPDATEDON&gt;7/9/2015 10:23:09 AM&lt;/LASTUPDATEDON&gt;&lt;UTC&gt;1&lt;/UTC&gt;&lt;/UPDATE&gt;&lt;QUERIES bbk=&quot;3474&quot; bbkdesc=&quot;2014 Annual Accounts/EU Annual Accounts/DC - Implementation of EU budget expenditure (xlsx)&quot; datapro=&quot;BIP_FinancialFWK20142020&quot; tdatapro=&quot;BIP_FinancialFWK20142020&quot; author=&quot;&quot; modtime=&quot;7/9/2015 10:05:37 AM&quot; moduser=&quot;servela&quot; rolluptime=&quot;&quot; syuser=&quot;servela&quot; syuzeit=&quot;7/9/2015 10:05:37 AM&quot; root=&quot;/BBOOK/DATAPROVIDER[./META/PROPS/ID='BIP_FinancialFWK20142020']/DATA&quot; colcount=&quot;9&quot; rowcount=&quot;17&quot; url=&quot;&quot; dynamizeds=&quot;SAP Disclosure Management - Production&quot; dynamizedstype=&quot;9&quot; refreshds=&quot;&quot; viewtype=&quot;1&quot;&gt;&lt;QUERY reftype=&quot;ABS&quot; elmntsel=&quot;TABLE&quot; bbk=&quot;3474&quot; bbkdesc=&quot;2014 Annual Accounts/EU Annual Accounts/DC - Implementation of EU budget expenditure (xlsx)&quot; datapro=&quot;BIP_FinancialFWK20142020&quot; infos=&quot;&quot; iscomment=&quot;0&quot;&gt;&lt;SELECT&gt;/BBOOK/DATAPROVIDER[./META/PROPS/ID='BIP_FinancialFWK20142020']/DATA/ROW&lt;/SELECT&gt;&lt;FILTERS&gt;&lt;FILTER&gt;&lt;/FILTER&gt;&lt;/FILTERS&gt;&lt;/QUERY&gt;&lt;/QUERIES&gt;&lt;/OBJECT&gt;"/>
    <w:docVar w:name="BIP_META_DOC_TBL00097" w:val="&lt;OBJECT&gt;&lt;META&gt;&lt;ID&gt;&lt;/ID&gt;&lt;NAME&gt;DOC_TBL0009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7/3/2015 8:33:31 AM&lt;/DYNAMIZEDON&gt;&lt;LASTUPDATEDBY&gt;servela&lt;/LASTUPDATEDBY&gt;&lt;LASTUPDATEDON&gt;7/9/2015 10:23:15 AM&lt;/LASTUPDATEDON&gt;&lt;UTC&gt;1&lt;/UTC&gt;&lt;/UPDATE&gt;&lt;QUERIES bbk=&quot;3472&quot; bbkdesc=&quot;2014 Annual Accounts/EU Annual Accounts/DC - Implementation of EU budget revenue (xlsx)&quot; datapro=&quot;BIP_ImplRevenue3&quot; tdatapro=&quot;BIP_ImplRevenue3&quot; author=&quot;&quot; modtime=&quot;7/8/2015 1:58:46 PM&quot; moduser=&quot;servela&quot; rolluptime=&quot;&quot; syuser=&quot;servela&quot; syuzeit=&quot;7/8/2015 1:58:46 PM&quot; root=&quot;/BBOOK/DATAPROVIDER[./META/PROPS/ID='BIP_ImplRevenue3']/DATA&quot; colcount=&quot;12&quot; rowcount=&quot;11&quot; url=&quot;&quot; dynamizeds=&quot;SAP Disclosure Management - Production&quot; dynamizedstype=&quot;9&quot; refreshds=&quot;&quot; viewtype=&quot;1&quot;&gt;&lt;QUERY reftype=&quot;ABS&quot; elmntsel=&quot;TABLE&quot; bbk=&quot;3472&quot; bbkdesc=&quot;2014 Annual Accounts/EU Annual Accounts/DC - Implementation of EU budget revenue (xlsx)&quot; datapro=&quot;BIP_ImplRevenue3&quot; infos=&quot;&quot; iscomment=&quot;0&quot;&gt;&lt;SELECT&gt;/BBOOK/DATAPROVIDER[./META/PROPS/ID='BIP_ImplRevenue3']/DATA/ROW&lt;/SELECT&gt;&lt;FILTERS&gt;&lt;FILTER&gt;&lt;/FILTER&gt;&lt;/FILTERS&gt;&lt;/QUERY&gt;&lt;/QUERIES&gt;&lt;/OBJECT&gt;"/>
    <w:docVar w:name="BIP_META_DOC_TBL00098" w:val="&lt;OBJECT&gt;&lt;META&gt;&lt;ID&gt;&lt;/ID&gt;&lt;NAME&gt;DOC_TBL0009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29/01/2015 07:49:49&lt;/DYNAMIZEDON&gt;&lt;LASTUPDATEDBY&gt;servela&lt;/LASTUPDATEDBY&gt;&lt;LASTUPDATEDON&gt;7/9/2015 10:23:15 AM&lt;/LASTUPDATEDON&gt;&lt;UTC&gt;1&lt;/UTC&gt;&lt;/UPDATE&gt;&lt;QUERIES bbk=&quot;3472&quot; bbkdesc=&quot;2014 Annual Accounts/EU Annual Accounts/DC - Implementation of EU budget revenue (xlsx)&quot; datapro=&quot;BIP_ImplRevenue1&quot; tdatapro=&quot;BIP_ImplRevenue1&quot; author=&quot;&quot; modtime=&quot;7/8/2015 1:58:46 PM&quot; moduser=&quot;servela&quot; rolluptime=&quot;&quot; syuser=&quot;servela&quot; syuzeit=&quot;7/8/2015 1:58:46 PM&quot; root=&quot;/BBOOK/DATAPROVIDER[./META/PROPS/ID='BIP_ImplRevenue1']/DATA&quot; colcount=&quot;12&quot; rowcount=&quot;12&quot; url=&quot;&quot; dynamizeds=&quot;SAP Disclosure Management - Production&quot; dynamizedstype=&quot;9&quot; refreshds=&quot;&quot; viewtype=&quot;1&quot;&gt;&lt;QUERY reftype=&quot;ABS&quot; elmntsel=&quot;TABLE&quot; bbk=&quot;3472&quot; bbkdesc=&quot;2014 Annual Accounts/EU Annual Accounts/DC - Implementation of EU budget revenue (xlsx)&quot; datapro=&quot;BIP_ImplRevenue1&quot; infos=&quot;&quot; iscomment=&quot;0&quot;&gt;&lt;SELECT&gt;/BBOOK/DATAPROVIDER[./META/PROPS/ID='BIP_ImplRevenue1']/DATA/ROW&lt;/SELECT&gt;&lt;FILTERS&gt;&lt;FILTER&gt;&lt;/FILTER&gt;&lt;/FILTERS&gt;&lt;/QUERY&gt;&lt;/QUERIES&gt;&lt;/OBJECT&gt;"/>
    <w:docVar w:name="BIP_META_DOC_TBL00099" w:val="&lt;OBJECT&gt;&lt;META&gt;&lt;ID&gt;&lt;/ID&gt;&lt;NAME&gt;DOC_TBL0009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7/3/2015 8:32:42 AM&lt;/DYNAMIZEDON&gt;&lt;LASTUPDATEDBY&gt;servela&lt;/LASTUPDATEDBY&gt;&lt;LASTUPDATEDON&gt;7/9/2015 10:23:15 AM&lt;/LASTUPDATEDON&gt;&lt;UTC&gt;1&lt;/UTC&gt;&lt;/UPDATE&gt;&lt;QUERIES bbk=&quot;3472&quot; bbkdesc=&quot;2014 Annual Accounts/EU Annual Accounts/DC - Implementation of EU budget revenue (xlsx)&quot; datapro=&quot;BIP_ImplRevenue2&quot; tdatapro=&quot;BIP_ImplRevenue2&quot; author=&quot;&quot; modtime=&quot;7/8/2015 1:58:46 PM&quot; moduser=&quot;servela&quot; rolluptime=&quot;&quot; syuser=&quot;servela&quot; syuzeit=&quot;7/8/2015 1:58:46 PM&quot; root=&quot;/BBOOK/DATAPROVIDER[./META/PROPS/ID='BIP_ImplRevenue2']/DATA&quot; colcount=&quot;12&quot; rowcount=&quot;10&quot; url=&quot;&quot; dynamizeds=&quot;SAP Disclosure Management - Production&quot; dynamizedstype=&quot;9&quot; refreshds=&quot;&quot; viewtype=&quot;1&quot;&gt;&lt;QUERY reftype=&quot;ABS&quot; elmntsel=&quot;TABLE&quot; bbk=&quot;3472&quot; bbkdesc=&quot;2014 Annual Accounts/EU Annual Accounts/DC - Implementation of EU budget revenue (xlsx)&quot; datapro=&quot;BIP_ImplRevenue2&quot; infos=&quot;&quot; iscomment=&quot;0&quot;&gt;&lt;SELECT&gt;/BBOOK/DATAPROVIDER[./META/PROPS/ID='BIP_ImplRevenue2']/DATA/ROW&lt;/SELECT&gt;&lt;FILTERS&gt;&lt;FILTER&gt;&lt;/FILTER&gt;&lt;/FILTERS&gt;&lt;/QUERY&gt;&lt;/QUERIES&gt;&lt;/OBJECT&gt;"/>
    <w:docVar w:name="BIP_META_DOC_TBL00100" w:val="&lt;OBJECT&gt;&lt;META&gt;&lt;ID&gt;&lt;/ID&gt;&lt;NAME&gt;DOC_TBL0010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9/01/2015 10:12:55&lt;/DYNAMIZEDON&gt;&lt;LASTUPDATEDBY&gt;servela&lt;/LASTUPDATEDBY&gt;&lt;LASTUPDATEDON&gt;7/9/2015 10:23:23 AM&lt;/LASTUPDATEDON&gt;&lt;UTC&gt;1&lt;/UTC&gt;&lt;/UPDATE&gt;&lt;QUERIES bbk=&quot;3474&quot; bbkdesc=&quot;2014 Annual Accounts/EU Annual Accounts/DC - Implementation of EU budget expenditure (xlsx)&quot; datapro=&quot;BIP_BreakdownChangesCommitmentsFWH&quot; tdatapro=&quot;BIP_BreakdownChangesCommitmentsFWH&quot; author=&quot;&quot; modtime=&quot;7/9/2015 10:05:37 AM&quot; moduser=&quot;servela&quot; rolluptime=&quot;&quot; syuser=&quot;servela&quot; syuzeit=&quot;7/9/2015 10:05:37 AM&quot; root=&quot;/BBOOK/DATAPROVIDER[./META/PROPS/ID='BIP_BreakdownChangesCommitmentsFWH']/DATA&quot; colcount=&quot;14&quot; rowcount=&quot;18&quot; url=&quot;&quot; dynamizeds=&quot;SAP Disclosure Management - Production&quot; dynamizedstype=&quot;9&quot; refreshds=&quot;&quot; viewtype=&quot;1&quot;&gt;&lt;QUERY reftype=&quot;ABS&quot; elmntsel=&quot;TABLE&quot; bbk=&quot;3474&quot; bbkdesc=&quot;2014 Annual Accounts/EU Annual Accounts/DC - Implementation of EU budget expenditure (xlsx)&quot; datapro=&quot;BIP_BreakdownChangesCommitmentsFWH&quot; infos=&quot;&quot; iscomment=&quot;0&quot;&gt;&lt;SELECT&gt;/BBOOK/DATAPROVIDER[./META/PROPS/ID='BIP_BreakdownChangesCommitmentsFWH']/DATA/ROW&lt;/SELECT&gt;&lt;FILTERS&gt;&lt;FILTER&gt;&lt;/FILTER&gt;&lt;/FILTERS&gt;&lt;/QUERY&gt;&lt;/QUERIES&gt;&lt;/OBJECT&gt;"/>
    <w:docVar w:name="BIP_META_DOC_TBL00101" w:val="&lt;OBJECT&gt;&lt;META&gt;&lt;ID&gt;&lt;/ID&gt;&lt;NAME&gt;DOC_TBL0010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29/01/2015 11:10:28&lt;/DYNAMIZEDON&gt;&lt;LASTUPDATEDBY&gt;servela&lt;/LASTUPDATEDBY&gt;&lt;LASTUPDATEDON&gt;7/9/2015 10:23:31 AM&lt;/LASTUPDATEDON&gt;&lt;UTC&gt;1&lt;/UTC&gt;&lt;/UPDATE&gt;&lt;QUERIES bbk=&quot;3474&quot; bbkdesc=&quot;2014 Annual Accounts/EU Annual Accounts/DC - Implementation of EU budget expenditure (xlsx)&quot; datapro=&quot;BIP_CommitmentsFWH&quot; tdatapro=&quot;BIP_CommitmentsFWH&quot; author=&quot;&quot; modtime=&quot;7/9/2015 10:05:37 AM&quot; moduser=&quot;servela&quot; rolluptime=&quot;&quot; syuser=&quot;servela&quot; syuzeit=&quot;7/9/2015 10:05:37 AM&quot; root=&quot;/BBOOK/DATAPROVIDER[./META/PROPS/ID='BIP_CommitmentsFWH']/DATA&quot; colcount=&quot;17&quot; rowcount=&quot;17&quot; url=&quot;&quot; dynamizeds=&quot;SAP Disclosure Management - Production&quot; dynamizedstype=&quot;9&quot; refreshds=&quot;&quot; viewtype=&quot;1&quot;&gt;&lt;QUERY reftype=&quot;ABS&quot; elmntsel=&quot;TABLE&quot; bbk=&quot;3474&quot; bbkdesc=&quot;2014 Annual Accounts/EU Annual Accounts/DC - Implementation of EU budget expenditure (xlsx)&quot; datapro=&quot;BIP_CommitmentsFWH&quot; infos=&quot;&quot; iscomment=&quot;0&quot;&gt;&lt;SELECT&gt;/BBOOK/DATAPROVIDER[./META/PROPS/ID='BIP_CommitmentsFWH']/DATA/ROW&lt;/SELECT&gt;&lt;FILTERS&gt;&lt;FILTER&gt;&lt;/FILTER&gt;&lt;/FILTERS&gt;&lt;/QUERY&gt;&lt;/QUERIES&gt;&lt;/OBJECT&gt;"/>
    <w:docVar w:name="BIP_META_DOC_TBL00102" w:val="&lt;OBJECT&gt;&lt;META&gt;&lt;ID&gt;&lt;/ID&gt;&lt;NAME&gt;DOC_TBL0010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29/01/2015 14:30:20&lt;/DYNAMIZEDON&gt;&lt;LASTUPDATEDBY&gt;servela&lt;/LASTUPDATEDBY&gt;&lt;LASTUPDATEDON&gt;7/9/2015 10:23:40 AM&lt;/LASTUPDATEDON&gt;&lt;UTC&gt;1&lt;/UTC&gt;&lt;/UPDATE&gt;&lt;QUERIES bbk=&quot;3474&quot; bbkdesc=&quot;2014 Annual Accounts/EU Annual Accounts/DC - Implementation of EU budget expenditure (xlsx)&quot; datapro=&quot;BIP_ImplPaymentsFWH&quot; tdatapro=&quot;BIP_ImplPaymentsFWH&quot; author=&quot;&quot; modtime=&quot;7/9/2015 10:05:37 AM&quot; moduser=&quot;servela&quot; rolluptime=&quot;&quot; syuser=&quot;servela&quot; syuzeit=&quot;7/9/2015 10:05:37 AM&quot; root=&quot;/BBOOK/DATAPROVIDER[./META/PROPS/ID='BIP_ImplPaymentsFWH']/DATA&quot; colcount=&quot;18&quot; rowcount=&quot;17&quot; url=&quot;&quot; dynamizeds=&quot;SAP Disclosure Management - Production&quot; dynamizedstype=&quot;9&quot; refreshds=&quot;&quot; viewtype=&quot;1&quot;&gt;&lt;QUERY reftype=&quot;ABS&quot; elmntsel=&quot;TABLE&quot; bbk=&quot;3474&quot; bbkdesc=&quot;2014 Annual Accounts/EU Annual Accounts/DC - Implementation of EU budget expenditure (xlsx)&quot; datapro=&quot;BIP_ImplPaymentsFWH&quot; infos=&quot;&quot; iscomment=&quot;0&quot;&gt;&lt;SELECT&gt;/BBOOK/DATAPROVIDER[./META/PROPS/ID='BIP_ImplPaymentsFWH']/DATA/ROW&lt;/SELECT&gt;&lt;FILTERS&gt;&lt;FILTER&gt;&lt;/FILTER&gt;&lt;/FILTERS&gt;&lt;/QUERY&gt;&lt;/QUERIES&gt;&lt;/OBJECT&gt;"/>
    <w:docVar w:name="BIP_META_DOC_TBL00103" w:val="&lt;OBJECT&gt;&lt;META&gt;&lt;ID&gt;&lt;/ID&gt;&lt;NAME&gt;DOC_TBL0010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9/01/2015 14:36:10&lt;/DYNAMIZEDON&gt;&lt;LASTUPDATEDBY&gt;servela&lt;/LASTUPDATEDBY&gt;&lt;LASTUPDATEDON&gt;7/9/2015 10:23:50 AM&lt;/LASTUPDATEDON&gt;&lt;UTC&gt;1&lt;/UTC&gt;&lt;/UPDATE&gt;&lt;QUERIES bbk=&quot;3474&quot; bbkdesc=&quot;2014 Annual Accounts/EU Annual Accounts/DC - Implementation of EU budget expenditure (xlsx)&quot; datapro=&quot;BIP_MovCommitmentsOutstanding&quot; tdatapro=&quot;BIP_MovCommitmentsOutstanding&quot; author=&quot;&quot; modtime=&quot;7/9/2015 10:05:37 AM&quot; moduser=&quot;servela&quot; rolluptime=&quot;&quot; syuser=&quot;servela&quot; syuzeit=&quot;7/9/2015 10:05:37 AM&quot; root=&quot;/BBOOK/DATAPROVIDER[./META/PROPS/ID='BIP_MovCommitmentsOutstanding']/DATA&quot; colcount=&quot;11&quot; rowcount=&quot;16&quot; url=&quot;&quot; dynamizeds=&quot;SAP Disclosure Management - Production&quot; dynamizedstype=&quot;9&quot; refreshds=&quot;&quot; viewtype=&quot;1&quot;&gt;&lt;QUERY reftype=&quot;ABS&quot; elmntsel=&quot;TABLE&quot; bbk=&quot;3474&quot; bbkdesc=&quot;2014 Annual Accounts/EU Annual Accounts/DC - Implementation of EU budget expenditure (xlsx)&quot; datapro=&quot;BIP_MovCommitmentsOutstanding&quot; infos=&quot;&quot; iscomment=&quot;0&quot;&gt;&lt;SELECT&gt;/BBOOK/DATAPROVIDER[./META/PROPS/ID='BIP_MovCommitmentsOutstanding']/DATA/ROW&lt;/SELECT&gt;&lt;FILTERS&gt;&lt;FILTER&gt;&lt;/FILTER&gt;&lt;/FILTERS&gt;&lt;/QUERY&gt;&lt;/QUERIES&gt;&lt;/OBJECT&gt;"/>
    <w:docVar w:name="BIP_META_DOC_TBL00104" w:val="&lt;OBJECT&gt;&lt;META&gt;&lt;ID&gt;&lt;/ID&gt;&lt;NAME&gt;DOC_TBL0010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7/8/2015 8:00:40 AM&lt;/DYNAMIZEDON&gt;&lt;LASTUPDATEDBY&gt;servela&lt;/LASTUPDATEDBY&gt;&lt;LASTUPDATEDON&gt;7/9/2015 10:23:58 AM&lt;/LASTUPDATEDON&gt;&lt;UTC&gt;1&lt;/UTC&gt;&lt;/UPDATE&gt;&lt;QUERIES bbk=&quot;3474&quot; bbkdesc=&quot;2014 Annual Accounts/EU Annual Accounts/DC - Implementation of EU budget expenditure (xlsx)&quot; datapro=&quot;BIP_BreakdownRALYearOrigin&quot; tdatapro=&quot;BIP_BreakdownRALYearOrigin&quot; author=&quot;&quot; modtime=&quot;7/9/2015 10:05:37 AM&quot; moduser=&quot;servela&quot; rolluptime=&quot;&quot; syuser=&quot;servela&quot; syuzeit=&quot;7/9/2015 10:05:37 AM&quot; root=&quot;/BBOOK/DATAPROVIDER[./META/PROPS/ID='BIP_BreakdownRALYearOrigin']/DATA&quot; colcount=&quot;11&quot; rowcount=&quot;15&quot; url=&quot;&quot; dynamizeds=&quot;SAP Disclosure Management - Production&quot; dynamizedstype=&quot;9&quot; refreshds=&quot;&quot; viewtype=&quot;1&quot;&gt;&lt;QUERY reftype=&quot;ABS&quot; elmntsel=&quot;TABLE&quot; bbk=&quot;3474&quot; bbkdesc=&quot;2014 Annual Accounts/EU Annual Accounts/DC - Implementation of EU budget expenditure (xlsx)&quot; datapro=&quot;BIP_BreakdownRALYearOrigin&quot; infos=&quot;&quot; iscomment=&quot;0&quot;&gt;&lt;SELECT&gt;/BBOOK/DATAPROVIDER[./META/PROPS/ID='BIP_BreakdownRALYearOrigin']/DATA/ROW&lt;/SELECT&gt;&lt;FILTERS&gt;&lt;FILTER&gt;&lt;/FILTER&gt;&lt;/FILTERS&gt;&lt;/QUERY&gt;&lt;/QUERIES&gt;&lt;/OBJECT&gt;"/>
    <w:docVar w:name="BIP_META_DOC_TBL00105" w:val="&lt;OBJECT&gt;&lt;META&gt;&lt;ID&gt;&lt;/ID&gt;&lt;NAME&gt;DOC_TBL0010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5/03/2015 16:37:49&lt;/DYNAMIZEDON&gt;&lt;LASTUPDATEDBY&gt;servela&lt;/LASTUPDATEDBY&gt;&lt;LASTUPDATEDON&gt;7/9/2015 10:24:06 AM&lt;/LASTUPDATEDON&gt;&lt;UTC&gt;1&lt;/UTC&gt;&lt;/UPDATE&gt;&lt;QUERIES bbk=&quot;3474&quot; bbkdesc=&quot;2014 Annual Accounts/EU Annual Accounts/DC - Implementation of EU budget expenditure (xlsx)&quot; datapro=&quot;BIP_BreakdownChangesCommitmentsPolArea&quot; tdatapro=&quot;BIP_BreakdownChangesCommitmentsPolArea&quot; author=&quot;&quot; modtime=&quot;7/9/2015 10:05:37 AM&quot; moduser=&quot;servela&quot; rolluptime=&quot;&quot; syuser=&quot;servela&quot; syuzeit=&quot;7/9/2015 10:05:37 AM&quot; root=&quot;/BBOOK/DATAPROVIDER[./META/PROPS/ID='BIP_BreakdownChangesCommitmentsPolArea']/DATA&quot; colcount=&quot;14&quot; rowcount=&quot;42&quot; url=&quot;&quot; dynamizeds=&quot;SAP Disclosure Management - Production&quot; dynamizedstype=&quot;9&quot; refreshds=&quot;&quot; viewtype=&quot;1&quot;&gt;&lt;QUERY reftype=&quot;ABS&quot; elmntsel=&quot;TABLE&quot; bbk=&quot;3474&quot; bbkdesc=&quot;2014 Annual Accounts/EU Annual Accounts/DC - Implementation of EU budget expenditure (xlsx)&quot; datapro=&quot;BIP_BreakdownChangesCommitmentsPolArea&quot; infos=&quot;&quot; iscomment=&quot;0&quot;&gt;&lt;SELECT&gt;/BBOOK/DATAPROVIDER[./META/PROPS/ID='BIP_BreakdownChangesCommitmentsPolArea']/DATA/ROW&lt;/SELECT&gt;&lt;FILTERS&gt;&lt;FILTER&gt;&lt;/FILTER&gt;&lt;/FILTERS&gt;&lt;/QUERY&gt;&lt;/QUERIES&gt;&lt;/OBJECT&gt;"/>
    <w:docVar w:name="BIP_META_DOC_TBL00106" w:val="&lt;OBJECT&gt;&lt;META&gt;&lt;ID&gt;&lt;/ID&gt;&lt;NAME&gt;DOC_TBL0010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5/02/2015 08:17:03&lt;/DYNAMIZEDON&gt;&lt;LASTUPDATEDBY&gt;servela&lt;/LASTUPDATEDBY&gt;&lt;LASTUPDATEDON&gt;7/9/2015 10:24:13 AM&lt;/LASTUPDATEDON&gt;&lt;UTC&gt;1&lt;/UTC&gt;&lt;/UPDATE&gt;&lt;QUERIES bbk=&quot;3466&quot; bbkdesc=&quot;2014 Annual Accounts/EU Annual Accounts/DC - Result of implementation of the EU budget (xlsx)&quot; datapro=&quot;BIP_CommitmentsPolArea&quot; tdatapro=&quot;BIP_CommitmentsPolArea&quot; author=&quot;&quot; modtime=&quot;7/8/2015 1:58:02 PM&quot; moduser=&quot;servela&quot; rolluptime=&quot;&quot; syuser=&quot;servela&quot; syuzeit=&quot;7/8/2015 1:58:02 PM&quot; root=&quot;/BBOOK/DATAPROVIDER[./META/PROPS/ID='BIP_CommitmentsPolArea']/DATA&quot; colcount=&quot;8&quot; rowcount=&quot;39&quot; url=&quot;&quot; dynamizeds=&quot;SAP Disclosure Management - Production&quot; dynamizedstype=&quot;9&quot; refreshds=&quot;&quot; viewtype=&quot;1&quot;&gt;&lt;QUERY reftype=&quot;ABS&quot; elmntsel=&quot;TABLE&quot; bbk=&quot;3466&quot; bbkdesc=&quot;2014 Annual Accounts/EU Annual Accounts/DC - Result of implementation of the EU budget (xlsx)&quot; datapro=&quot;BIP_CommitmentsPolArea&quot; infos=&quot;&quot; iscomment=&quot;0&quot;&gt;&lt;SELECT&gt;/BBOOK/DATAPROVIDER[./META/PROPS/ID='BIP_CommitmentsPolArea']/DATA/ROW&lt;/SELECT&gt;&lt;FILTERS&gt;&lt;FILTER&gt;&lt;/FILTER&gt;&lt;/FILTERS&gt;&lt;/QUERY&gt;&lt;/QUERIES&gt;&lt;/OBJECT&gt;"/>
    <w:docVar w:name="BIP_META_DOC_TBL00107" w:val="&lt;OBJECT&gt;&lt;META&gt;&lt;ID&gt;&lt;/ID&gt;&lt;NAME&gt;DOC_TBL0010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5/03/2015 10:13:11&lt;/DYNAMIZEDON&gt;&lt;LASTUPDATEDBY&gt;servela&lt;/LASTUPDATEDBY&gt;&lt;LASTUPDATEDON&gt;7/9/2015 10:24:21 AM&lt;/LASTUPDATEDON&gt;&lt;UTC&gt;1&lt;/UTC&gt;&lt;/UPDATE&gt;&lt;QUERIES bbk=&quot;3474&quot; bbkdesc=&quot;2014 Annual Accounts/EU Annual Accounts/DC - Implementation of EU budget expenditure (xlsx)&quot; datapro=&quot;BIP_ImplCommitmentPolArea&quot; tdatapro=&quot;BIP_ImplCommitmentPolArea&quot; author=&quot;&quot; modtime=&quot;7/9/2015 10:05:37 AM&quot; moduser=&quot;servela&quot; rolluptime=&quot;&quot; syuser=&quot;servela&quot; syuzeit=&quot;7/9/2015 10:05:37 AM&quot; root=&quot;/BBOOK/DATAPROVIDER[./META/PROPS/ID='BIP_ImplCommitmentPolArea']/DATA&quot; colcount=&quot;17&quot; rowcount=&quot;41&quot; url=&quot;&quot; dynamizeds=&quot;SAP Disclosure Management - Production&quot; dynamizedstype=&quot;9&quot; refreshds=&quot;&quot; viewtype=&quot;1&quot;&gt;&lt;QUERY reftype=&quot;ABS&quot; elmntsel=&quot;TABLE&quot; bbk=&quot;3474&quot; bbkdesc=&quot;2014 Annual Accounts/EU Annual Accounts/DC - Implementation of EU budget expenditure (xlsx)&quot; datapro=&quot;BIP_ImplCommitmentPolArea&quot; infos=&quot;&quot; iscomment=&quot;0&quot;&gt;&lt;SELECT&gt;/BBOOK/DATAPROVIDER[./META/PROPS/ID='BIP_ImplCommitmentPolArea']/DATA/ROW&lt;/SELECT&gt;&lt;FILTERS&gt;&lt;FILTER&gt;&lt;/FILTER&gt;&lt;/FILTERS&gt;&lt;/QUERY&gt;&lt;/QUERIES&gt;&lt;/OBJECT&gt;"/>
    <w:docVar w:name="BIP_META_DOC_TBL00108" w:val="&lt;OBJECT&gt;&lt;META&gt;&lt;ID&gt;&lt;/ID&gt;&lt;NAME&gt;DOC_TBL0010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5/02/2015 08:19:52&lt;/DYNAMIZEDON&gt;&lt;LASTUPDATEDBY&gt;servela&lt;/LASTUPDATEDBY&gt;&lt;LASTUPDATEDON&gt;7/9/2015 10:24:28 AM&lt;/LASTUPDATEDON&gt;&lt;UTC&gt;1&lt;/UTC&gt;&lt;/UPDATE&gt;&lt;QUERIES bbk=&quot;3466&quot; bbkdesc=&quot;2014 Annual Accounts/EU Annual Accounts/DC - Result of implementation of the EU budget (xlsx)&quot; datapro=&quot;BIP_ExpenditurePolArea&quot; tdatapro=&quot;BIP_ExpenditurePolArea&quot; author=&quot;&quot; modtime=&quot;7/8/2015 1:58:02 PM&quot; moduser=&quot;servela&quot; rolluptime=&quot;&quot; syuser=&quot;servela&quot; syuzeit=&quot;7/8/2015 1:58:02 PM&quot; root=&quot;/BBOOK/DATAPROVIDER[./META/PROPS/ID='BIP_ExpenditurePolArea']/DATA&quot; colcount=&quot;8&quot; rowcount=&quot;39&quot; url=&quot;&quot; dynamizeds=&quot;SAP Disclosure Management - Production&quot; dynamizedstype=&quot;9&quot; refreshds=&quot;&quot; viewtype=&quot;1&quot;&gt;&lt;QUERY reftype=&quot;ABS&quot; elmntsel=&quot;TABLE&quot; bbk=&quot;3466&quot; bbkdesc=&quot;2014 Annual Accounts/EU Annual Accounts/DC - Result of implementation of the EU budget (xlsx)&quot; datapro=&quot;BIP_ExpenditurePolArea&quot; infos=&quot;&quot; iscomment=&quot;0&quot;&gt;&lt;SELECT&gt;/BBOOK/DATAPROVIDER[./META/PROPS/ID='BIP_ExpenditurePolArea']/DATA/ROW&lt;/SELECT&gt;&lt;FILTERS&gt;&lt;FILTER&gt;&lt;/FILTER&gt;&lt;/FILTERS&gt;&lt;/QUERY&gt;&lt;/QUERIES&gt;&lt;/OBJECT&gt;"/>
    <w:docVar w:name="BIP_META_DOC_TBL00109" w:val="&lt;OBJECT&gt;&lt;META&gt;&lt;ID&gt;&lt;/ID&gt;&lt;NAME&gt;DOC_TBL0010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5/03/2015 16:39:00&lt;/DYNAMIZEDON&gt;&lt;LASTUPDATEDBY&gt;servela&lt;/LASTUPDATEDBY&gt;&lt;LASTUPDATEDON&gt;7/9/2015 10:24:36 AM&lt;/LASTUPDATEDON&gt;&lt;UTC&gt;1&lt;/UTC&gt;&lt;/UPDATE&gt;&lt;QUERIES bbk=&quot;3474&quot; bbkdesc=&quot;2014 Annual Accounts/EU Annual Accounts/DC - Implementation of EU budget expenditure (xlsx)&quot; datapro=&quot;BIP_ImplPaymentPolArea&quot; tdatapro=&quot;BIP_ImplPaymentPolArea&quot; author=&quot;&quot; modtime=&quot;7/9/2015 10:05:37 AM&quot; moduser=&quot;servela&quot; rolluptime=&quot;&quot; syuser=&quot;servela&quot; syuzeit=&quot;7/9/2015 10:05:37 AM&quot; root=&quot;/BBOOK/DATAPROVIDER[./META/PROPS/ID='BIP_ImplPaymentPolArea']/DATA&quot; colcount=&quot;18&quot; rowcount=&quot;41&quot; url=&quot;&quot; dynamizeds=&quot;SAP Disclosure Management - Production&quot; dynamizedstype=&quot;9&quot; refreshds=&quot;&quot; viewtype=&quot;1&quot;&gt;&lt;QUERY reftype=&quot;ABS&quot; elmntsel=&quot;TABLE&quot; bbk=&quot;3474&quot; bbkdesc=&quot;2014 Annual Accounts/EU Annual Accounts/DC - Implementation of EU budget expenditure (xlsx)&quot; datapro=&quot;BIP_ImplPaymentPolArea&quot; infos=&quot;&quot; iscomment=&quot;0&quot;&gt;&lt;SELECT&gt;/BBOOK/DATAPROVIDER[./META/PROPS/ID='BIP_ImplPaymentPolArea']/DATA/ROW&lt;/SELECT&gt;&lt;FILTERS&gt;&lt;FILTER&gt;&lt;/FILTER&gt;&lt;/FILTERS&gt;&lt;/QUERY&gt;&lt;/QUERIES&gt;&lt;/OBJECT&gt;"/>
    <w:docVar w:name="BIP_META_DOC_TBL00110" w:val="&lt;OBJECT&gt;&lt;META&gt;&lt;ID&gt;&lt;/ID&gt;&lt;NAME&gt;DOC_TBL0011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5/03/2015 16:40:25&lt;/DYNAMIZEDON&gt;&lt;LASTUPDATEDBY&gt;servela&lt;/LASTUPDATEDBY&gt;&lt;LASTUPDATEDON&gt;7/9/2015 10:24:45 AM&lt;/LASTUPDATEDON&gt;&lt;UTC&gt;1&lt;/UTC&gt;&lt;/UPDATE&gt;&lt;QUERIES bbk=&quot;3474&quot; bbkdesc=&quot;2014 Annual Accounts/EU Annual Accounts/DC - Implementation of EU budget expenditure (xlsx)&quot; datapro=&quot;BIP_MovementsRALPolArea&quot; tdatapro=&quot;BIP_MovementsRALPolArea&quot; author=&quot;&quot; modtime=&quot;7/9/2015 10:05:37 AM&quot; moduser=&quot;servela&quot; rolluptime=&quot;&quot; syuser=&quot;servela&quot; syuzeit=&quot;7/9/2015 10:05:37 AM&quot; root=&quot;/BBOOK/DATAPROVIDER[./META/PROPS/ID='BIP_MovementsRALPolArea']/DATA&quot; colcount=&quot;11&quot; rowcount=&quot;40&quot; url=&quot;&quot; dynamizeds=&quot;SAP Disclosure Management - Production&quot; dynamizedstype=&quot;9&quot; refreshds=&quot;&quot; viewtype=&quot;1&quot;&gt;&lt;QUERY reftype=&quot;ABS&quot; elmntsel=&quot;TABLE&quot; bbk=&quot;3474&quot; bbkdesc=&quot;2014 Annual Accounts/EU Annual Accounts/DC - Implementation of EU budget expenditure (xlsx)&quot; datapro=&quot;BIP_MovementsRALPolArea&quot; infos=&quot;&quot; iscomment=&quot;0&quot;&gt;&lt;SELECT&gt;/BBOOK/DATAPROVIDER[./META/PROPS/ID='BIP_MovementsRALPolArea']/DATA/ROW&lt;/SELECT&gt;&lt;FILTERS&gt;&lt;FILTER&gt;&lt;/FILTER&gt;&lt;/FILTERS&gt;&lt;/QUERY&gt;&lt;/QUERIES&gt;&lt;/OBJECT&gt;"/>
    <w:docVar w:name="BIP_META_DOC_TBL00111" w:val="&lt;OBJECT&gt;&lt;META&gt;&lt;ID&gt;&lt;/ID&gt;&lt;NAME&gt;DOC_TBL0011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25/03/2015 16:41:29&lt;/DYNAMIZEDON&gt;&lt;LASTUPDATEDBY&gt;servela&lt;/LASTUPDATEDBY&gt;&lt;LASTUPDATEDON&gt;7/9/2015 10:24:53 AM&lt;/LASTUPDATEDON&gt;&lt;UTC&gt;1&lt;/UTC&gt;&lt;/UPDATE&gt;&lt;QUERIES bbk=&quot;3474&quot; bbkdesc=&quot;2014 Annual Accounts/EU Annual Accounts/DC - Implementation of EU budget expenditure (xlsx)&quot; datapro=&quot;BIP_BreakdownRALYearOriginPolArea&quot; tdatapro=&quot;BIP_BreakdownRALYearOriginPolArea&quot; author=&quot;&quot; modtime=&quot;7/9/2015 10:05:37 AM&quot; moduser=&quot;servela&quot; rolluptime=&quot;&quot; syuser=&quot;servela&quot; syuzeit=&quot;7/9/2015 10:05:37 AM&quot; root=&quot;/BBOOK/DATAPROVIDER[./META/PROPS/ID='BIP_BreakdownRALYearOriginPolArea']/DATA&quot; colcount=&quot;11&quot; rowcount=&quot;39&quot; url=&quot;&quot; dynamizeds=&quot;SAP Disclosure Management - Production&quot; dynamizedstype=&quot;9&quot; refreshds=&quot;&quot; viewtype=&quot;1&quot;&gt;&lt;QUERY reftype=&quot;ABS&quot; elmntsel=&quot;TABLE&quot; bbk=&quot;3474&quot; bbkdesc=&quot;2014 Annual Accounts/EU Annual Accounts/DC - Implementation of EU budget expenditure (xlsx)&quot; datapro=&quot;BIP_BreakdownRALYearOriginPolArea&quot; infos=&quot;&quot; iscomment=&quot;0&quot;&gt;&lt;SELECT&gt;/BBOOK/DATAPROVIDER[./META/PROPS/ID='BIP_BreakdownRALYearOriginPolArea']/DATA/ROW&lt;/SELECT&gt;&lt;FILTERS&gt;&lt;FILTER&gt;&lt;/FILTER&gt;&lt;/FILTERS&gt;&lt;/QUERY&gt;&lt;/QUERIES&gt;&lt;/OBJECT&gt;"/>
    <w:docVar w:name="BIP_META_DOC_TBL00112" w:val="&lt;OBJECT&gt;&lt;META&gt;&lt;ID&gt;&lt;/ID&gt;&lt;NAME&gt;DOC_TBL0011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02/02/2015 08:11:26&lt;/DYNAMIZEDON&gt;&lt;LASTUPDATEDBY&gt;servela&lt;/LASTUPDATEDBY&gt;&lt;LASTUPDATEDON&gt;7/9/2015 10:25:00 AM&lt;/LASTUPDATEDON&gt;&lt;UTC&gt;1&lt;/UTC&gt;&lt;/UPDATE&gt;&lt;QUERIES bbk=&quot;3476&quot; bbkdesc=&quot;2014 Annual Accounts/EU Annual Accounts/DC - Institutions and agencies (xlsx)&quot; datapro=&quot;BIP_ImplBudgetRevInstit&quot; tdatapro=&quot;BIP_ImplBudgetRevInstit&quot; author=&quot;&quot; modtime=&quot;7/9/2015 9:57:11 AM&quot; moduser=&quot;servela&quot; rolluptime=&quot;&quot; syuser=&quot;servela&quot; syuzeit=&quot;7/9/2015 9:57:11 AM&quot; root=&quot;/BBOOK/DATAPROVIDER[./META/PROPS/ID='BIP_ImplBudgetRevInstit']/DATA&quot; colcount=&quot;11&quot; rowcount=&quot;14&quot; url=&quot;&quot; dynamizeds=&quot;SAP Disclosure Management - Production&quot; dynamizedstype=&quot;9&quot; refreshds=&quot;&quot; viewtype=&quot;1&quot;&gt;&lt;QUERY reftype=&quot;ABS&quot; elmntsel=&quot;TABLE&quot; bbk=&quot;3476&quot; bbkdesc=&quot;2014 Annual Accounts/EU Annual Accounts/DC - Institutions and agencies (xlsx)&quot; datapro=&quot;BIP_ImplBudgetRevInstit&quot; infos=&quot;&quot; iscomment=&quot;0&quot;&gt;&lt;SELECT&gt;/BBOOK/DATAPROVIDER[./META/PROPS/ID='BIP_ImplBudgetRevInstit']/DATA/ROW&lt;/SELECT&gt;&lt;FILTERS&gt;&lt;FILTER&gt;&lt;/FILTER&gt;&lt;/FILTERS&gt;&lt;/QUERY&gt;&lt;/QUERIES&gt;&lt;/OBJECT&gt;"/>
    <w:docVar w:name="BIP_META_DOC_TBL00113" w:val="&lt;OBJECT&gt;&lt;META&gt;&lt;ID&gt;&lt;/ID&gt;&lt;NAME&gt;DOC_TBL0011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02/02/2015 08:17:00&lt;/DYNAMIZEDON&gt;&lt;LASTUPDATEDBY&gt;servela&lt;/LASTUPDATEDBY&gt;&lt;LASTUPDATEDON&gt;7/9/2015 10:25:06 AM&lt;/LASTUPDATEDON&gt;&lt;UTC&gt;1&lt;/UTC&gt;&lt;/UPDATE&gt;&lt;QUERIES bbk=&quot;3476&quot; bbkdesc=&quot;2014 Annual Accounts/EU Annual Accounts/DC - Institutions and agencies (xlsx)&quot; datapro=&quot;BIP_ImplComPayApprBYInst&quot; tdatapro=&quot;BIP_ImplComPayApprBYInst&quot; author=&quot;&quot; modtime=&quot;7/9/2015 9:57:11 AM&quot; moduser=&quot;servela&quot; rolluptime=&quot;&quot; syuser=&quot;servela&quot; syuzeit=&quot;7/9/2015 9:57:11 AM&quot; root=&quot;/BBOOK/DATAPROVIDER[./META/PROPS/ID='BIP_ImplComPayApprBYInst']/DATA&quot; colcount=&quot;16&quot; rowcount=&quot;15&quot; url=&quot;&quot; dynamizeds=&quot;SAP Disclosure Management - Production&quot; dynamizedstype=&quot;9&quot; refreshds=&quot;&quot; viewtype=&quot;1&quot;&gt;&lt;QUERY reftype=&quot;ABS&quot; elmntsel=&quot;TABLE&quot; bbk=&quot;3476&quot; bbkdesc=&quot;2014 Annual Accounts/EU Annual Accounts/DC - Institutions and agencies (xlsx)&quot; datapro=&quot;BIP_ImplComPayApprBYInst&quot; infos=&quot;&quot; iscomment=&quot;0&quot;&gt;&lt;SELECT&gt;/BBOOK/DATAPROVIDER[./META/PROPS/ID='BIP_ImplComPayApprBYInst']/DATA/ROW&lt;/SELECT&gt;&lt;FILTERS&gt;&lt;FILTER&gt;&lt;/FILTER&gt;&lt;/FILTERS&gt;&lt;/QUERY&gt;&lt;/QUERIES&gt;&lt;/OBJECT&gt;"/>
    <w:docVar w:name="BIP_META_DOC_TBL00114" w:val="&lt;OBJECT&gt;&lt;META&gt;&lt;ID&gt;&lt;/ID&gt;&lt;NAME&gt;DOC_TBL0011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02/02/2015 08:19:21&lt;/DYNAMIZEDON&gt;&lt;LASTUPDATEDBY&gt;servela&lt;/LASTUPDATEDBY&gt;&lt;LASTUPDATEDON&gt;7/9/2015 10:25:06 AM&lt;/LASTUPDATEDON&gt;&lt;UTC&gt;1&lt;/UTC&gt;&lt;/UPDATE&gt;&lt;QUERIES bbk=&quot;3476&quot; bbkdesc=&quot;2014 Annual Accounts/EU Annual Accounts/DC - Institutions and agencies (xlsx)&quot; datapro=&quot;BIP_ImplComPayApprBYInst2&quot; tdatapro=&quot;BIP_ImplComPayApprBYInst2&quot; author=&quot;&quot; modtime=&quot;7/9/2015 9:57:11 AM&quot; moduser=&quot;servela&quot; rolluptime=&quot;&quot; syuser=&quot;servela&quot; syuzeit=&quot;7/9/2015 9:57:11 AM&quot; root=&quot;/BBOOK/DATAPROVIDER[./META/PROPS/ID='BIP_ImplComPayApprBYInst2']/DATA&quot; colcount=&quot;17&quot; rowcount=&quot;15&quot; url=&quot;&quot; dynamizeds=&quot;SAP Disclosure Management - Production&quot; dynamizedstype=&quot;9&quot; refreshds=&quot;&quot; viewtype=&quot;1&quot;&gt;&lt;QUERY reftype=&quot;ABS&quot; elmntsel=&quot;TABLE&quot; bbk=&quot;3476&quot; bbkdesc=&quot;2014 Annual Accounts/EU Annual Accounts/DC - Institutions and agencies (xlsx)&quot; datapro=&quot;BIP_ImplComPayApprBYInst2&quot; infos=&quot;&quot; iscomment=&quot;0&quot;&gt;&lt;SELECT&gt;/BBOOK/DATAPROVIDER[./META/PROPS/ID='BIP_ImplComPayApprBYInst2']/DATA/ROW&lt;/SELECT&gt;&lt;FILTERS&gt;&lt;FILTER&gt;&lt;/FILTER&gt;&lt;/FILTERS&gt;&lt;/QUERY&gt;&lt;/QUERIES&gt;&lt;/OBJECT&gt;"/>
    <w:docVar w:name="BIP_META_DOC_TBL00115" w:val="&lt;OBJECT&gt;&lt;META&gt;&lt;ID&gt;&lt;/ID&gt;&lt;NAME&gt;DOC_TBL0011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02/02/2015 08:22:49&lt;/DYNAMIZEDON&gt;&lt;LASTUPDATEDBY&gt;servela&lt;/LASTUPDATEDBY&gt;&lt;LASTUPDATEDON&gt;7/9/2015 10:25:13 AM&lt;/LASTUPDATEDON&gt;&lt;UTC&gt;1&lt;/UTC&gt;&lt;/UPDATE&gt;&lt;QUERIES bbk=&quot;3476&quot; bbkdesc=&quot;2014 Annual Accounts/EU Annual Accounts/DC - Institutions and agencies (xlsx)&quot; datapro=&quot;BIP_AgenIncome&quot; tdatapro=&quot;BIP_AgenIncome&quot; author=&quot;&quot; modtime=&quot;7/9/2015 9:57:11 AM&quot; moduser=&quot;servela&quot; rolluptime=&quot;&quot; syuser=&quot;servela&quot; syuzeit=&quot;7/9/2015 9:57:11 AM&quot; root=&quot;/BBOOK/DATAPROVIDER[./META/PROPS/ID='BIP_AgenIncome']/DATA&quot; colcount=&quot;6&quot; rowcount=&quot;43&quot; url=&quot;&quot; dynamizeds=&quot;SAP Disclosure Management - Production&quot; dynamizedstype=&quot;9&quot; refreshds=&quot;&quot; viewtype=&quot;1&quot;&gt;&lt;QUERY reftype=&quot;ABS&quot; elmntsel=&quot;TABLE&quot; bbk=&quot;3476&quot; bbkdesc=&quot;2014 Annual Accounts/EU Annual Accounts/DC - Institutions and agencies (xlsx)&quot; datapro=&quot;BIP_AgenIncome&quot; infos=&quot;&quot; iscomment=&quot;0&quot;&gt;&lt;SELECT&gt;/BBOOK/DATAPROVIDER[./META/PROPS/ID='BIP_AgenIncome']/DATA/ROW&lt;/SELECT&gt;&lt;FILTERS&gt;&lt;FILTER&gt;&lt;/FILTER&gt;&lt;/FILTERS&gt;&lt;/QUERY&gt;&lt;/QUERIES&gt;&lt;/OBJECT&gt;"/>
    <w:docVar w:name="BIP_META_DOC_TBL00116" w:val="&lt;OBJECT&gt;&lt;META&gt;&lt;ID&gt;&lt;/ID&gt;&lt;NAME&gt;DOC_TBL0011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7/8/2015 1:22:55 PM&lt;/DYNAMIZEDON&gt;&lt;LASTUPDATEDBY&gt;servela&lt;/LASTUPDATEDBY&gt;&lt;LASTUPDATEDON&gt;7/9/2015 10:25:13 AM&lt;/LASTUPDATEDON&gt;&lt;UTC&gt;1&lt;/UTC&gt;&lt;/UPDATE&gt;&lt;QUERIES bbk=&quot;3476&quot; bbkdesc=&quot;2014 Annual Accounts/EU Annual Accounts/DC - Institutions and agencies (xlsx)&quot; datapro=&quot;BIP_AgenIncome2&quot; tdatapro=&quot;BIP_AgenIncome2&quot; author=&quot;&quot; modtime=&quot;7/9/2015 9:57:11 AM&quot; moduser=&quot;servela&quot; rolluptime=&quot;&quot; syuser=&quot;servela&quot; syuzeit=&quot;7/9/2015 9:57:11 AM&quot; root=&quot;/BBOOK/DATAPROVIDER[./META/PROPS/ID='BIP_AgenIncome2']/DATA&quot; colcount=&quot;5&quot; rowcount=&quot;6&quot; url=&quot;&quot; dynamizeds=&quot;SAP Disclosure Management - Production&quot; dynamizedstype=&quot;9&quot; refreshds=&quot;&quot; viewtype=&quot;1&quot;&gt;&lt;QUERY reftype=&quot;ABS&quot; elmntsel=&quot;TABLE&quot; bbk=&quot;3476&quot; bbkdesc=&quot;2014 Annual Accounts/EU Annual Accounts/DC - Institutions and agencies (xlsx)&quot; datapro=&quot;BIP_AgenIncome2&quot; infos=&quot;&quot; iscomment=&quot;0&quot;&gt;&lt;SELECT&gt;/BBOOK/DATAPROVIDER[./META/PROPS/ID='BIP_AgenIncome2']/DATA/ROW&lt;/SELECT&gt;&lt;FILTERS&gt;&lt;FILTER&gt;&lt;/FILTER&gt;&lt;/FILTERS&gt;&lt;/QUERY&gt;&lt;/QUERIES&gt;&lt;/OBJECT&gt;"/>
    <w:docVar w:name="BIP_META_DOC_TBL00117" w:val="&lt;OBJECT&gt;&lt;META&gt;&lt;ID&gt;&lt;/ID&gt;&lt;NAME&gt;DOC_TBL0011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7/03/2015 15:50:48&lt;/DYNAMIZEDON&gt;&lt;LASTUPDATEDBY&gt;servela&lt;/LASTUPDATEDBY&gt;&lt;LASTUPDATEDON&gt;7/9/2015 10:25:20 AM&lt;/LASTUPDATEDON&gt;&lt;UTC&gt;1&lt;/UTC&gt;&lt;/UPDATE&gt;&lt;QUERIES bbk=&quot;3476&quot; bbkdesc=&quot;2014 Annual Accounts/EU Annual Accounts/DC - Institutions and agencies (xlsx)&quot; datapro=&quot;BIP_ComPayApprBYAgen&quot; tdatapro=&quot;BIP_ComPayApprBYAgen&quot; author=&quot;&quot; modtime=&quot;7/9/2015 9:57:11 AM&quot; moduser=&quot;servela&quot; rolluptime=&quot;&quot; syuser=&quot;servela&quot; syuzeit=&quot;7/9/2015 9:57:11 AM&quot; root=&quot;/BBOOK/DATAPROVIDER[./META/PROPS/ID='BIP_ComPayApprBYAgen']/DATA&quot; colcount=&quot;7&quot; rowcount=&quot;44&quot; url=&quot;&quot; dynamizeds=&quot;SAP Disclosure Management - Production&quot; dynamizedstype=&quot;9&quot; refreshds=&quot;&quot; viewtype=&quot;1&quot;&gt;&lt;QUERY reftype=&quot;ABS&quot; elmntsel=&quot;TABLE&quot; bbk=&quot;3476&quot; bbkdesc=&quot;2014 Annual Accounts/EU Annual Accounts/DC - Institutions and agencies (xlsx)&quot; datapro=&quot;BIP_ComPayApprBYAgen&quot; infos=&quot;&quot; iscomment=&quot;0&quot;&gt;&lt;SELECT&gt;/BBOOK/DATAPROVIDER[./META/PROPS/ID='BIP_ComPayApprBYAgen']/DATA/ROW&lt;/SELECT&gt;&lt;FILTERS&gt;&lt;FILTER&gt;&lt;/FILTER&gt;&lt;/FILTERS&gt;&lt;/QUERY&gt;&lt;/QUERIES&gt;&lt;/OBJECT&gt;"/>
    <w:docVar w:name="BIP_META_DOC_TBL00118" w:val="&lt;OBJECT&gt;&lt;META&gt;&lt;ID&gt;&lt;/ID&gt;&lt;NAME&gt;DOC_TBL0011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02/02/2015 08:32:35&lt;/DYNAMIZEDON&gt;&lt;LASTUPDATEDBY&gt;servela&lt;/LASTUPDATEDBY&gt;&lt;LASTUPDATEDON&gt;7/9/2015 10:25:20 AM&lt;/LASTUPDATEDON&gt;&lt;UTC&gt;1&lt;/UTC&gt;&lt;/UPDATE&gt;&lt;QUERIES bbk=&quot;3476&quot; bbkdesc=&quot;2014 Annual Accounts/EU Annual Accounts/DC - Institutions and agencies (xlsx)&quot; datapro=&quot;BIP_ComPayApprBYAgen2&quot; tdatapro=&quot;BIP_ComPayApprBYAgen2&quot; author=&quot;&quot; modtime=&quot;7/9/2015 9:57:11 AM&quot; moduser=&quot;servela&quot; rolluptime=&quot;&quot; syuser=&quot;servela&quot; syuzeit=&quot;7/9/2015 9:57:11 AM&quot; root=&quot;/BBOOK/DATAPROVIDER[./META/PROPS/ID='BIP_ComPayApprBYAgen2']/DATA&quot; colcount=&quot;7&quot; rowcount=&quot;7&quot; url=&quot;&quot; dynamizeds=&quot;SAP Disclosure Management - Production&quot; dynamizedstype=&quot;9&quot; refreshds=&quot;&quot; viewtype=&quot;1&quot;&gt;&lt;QUERY reftype=&quot;ABS&quot; elmntsel=&quot;TABLE&quot; bbk=&quot;3476&quot; bbkdesc=&quot;2014 Annual Accounts/EU Annual Accounts/DC - Institutions and agencies (xlsx)&quot; datapro=&quot;BIP_ComPayApprBYAgen2&quot; infos=&quot;&quot; iscomment=&quot;0&quot;&gt;&lt;SELECT&gt;/BBOOK/DATAPROVIDER[./META/PROPS/ID='BIP_ComPayApprBYAgen2']/DATA/ROW&lt;/SELECT&gt;&lt;FILTERS&gt;&lt;FILTER&gt;&lt;/FILTER&gt;&lt;/FILTERS&gt;&lt;/QUERY&gt;&lt;/QUERIES&gt;&lt;/OBJECT&gt;"/>
    <w:docVar w:name="BIP_META_DOC_TBL00119" w:val="&lt;OBJECT&gt;&lt;META&gt;&lt;ID&gt;&lt;/ID&gt;&lt;NAME&gt;DOC_TBL0011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02/02/2015 08:35:10&lt;/DYNAMIZEDON&gt;&lt;LASTUPDATEDBY&gt;servela&lt;/LASTUPDATEDBY&gt;&lt;LASTUPDATEDON&gt;7/9/2015 10:25:27 AM&lt;/LASTUPDATEDON&gt;&lt;UTC&gt;1&lt;/UTC&gt;&lt;/UPDATE&gt;&lt;QUERIES bbk=&quot;3476&quot; bbkdesc=&quot;2014 Annual Accounts/EU Annual Accounts/DC - Institutions and agencies (xlsx)&quot; datapro=&quot;BIP_BudgResult&quot; tdatapro=&quot;BIP_BudgResult&quot; author=&quot;&quot; modtime=&quot;7/9/2015 9:57:11 AM&quot; moduser=&quot;servela&quot; rolluptime=&quot;&quot; syuser=&quot;servela&quot; syuzeit=&quot;7/9/2015 9:57:11 AM&quot; root=&quot;/BBOOK/DATAPROVIDER[./META/PROPS/ID='BIP_BudgResult']/DATA&quot; colcount=&quot;5&quot; rowcount=&quot;10&quot; url=&quot;&quot; dynamizeds=&quot;SAP Disclosure Management - Production&quot; dynamizedstype=&quot;9&quot; refreshds=&quot;&quot; viewtype=&quot;1&quot;&gt;&lt;QUERY reftype=&quot;ABS&quot; elmntsel=&quot;TABLE&quot; bbk=&quot;3476&quot; bbkdesc=&quot;2014 Annual Accounts/EU Annual Accounts/DC - Institutions and agencies (xlsx)&quot; datapro=&quot;BIP_BudgResult&quot; infos=&quot;&quot; iscomment=&quot;0&quot;&gt;&lt;SELECT&gt;/BBOOK/DATAPROVIDER[./META/PROPS/ID='BIP_BudgResult']/DATA/ROW&lt;/SELECT&gt;&lt;FILTERS&gt;&lt;FILTER&gt;&lt;/FILTER&gt;&lt;/FILTERS&gt;&lt;/QUERY&gt;&lt;/QUERIES&gt;&lt;/OBJECT&gt;"/>
    <w:docVar w:name="BIP_VARIABLES" w:val="&lt;BBOOKS&gt;&lt;BBOOK bbname=&quot;DefaultVariables&quot;&gt;&lt;VARIABLES /&gt;&lt;/BBOOK&gt;&lt;BBOOK bbname=&quot;11&quot; bbdesc=&quot;2013 Annual Accounts/EU Annual Accounts/Trial Balance ECCS (xlsx)&quot; dsname=&quot;SAP Disclosure Management - Production&quot;&gt;&lt;VARIABLES&gt;&lt;/VARIABLES&gt;&lt;/BBOOK&gt;&lt;BBOOK bbname=&quot;21&quot; bbdesc=&quot;2013 Annual Accounts/EU Annual Accounts/Cashflow statement calculation (xlsx)&quot; dsname=&quot;SAP Disclosure Management - Production&quot;&gt;&lt;VARIABLES /&gt;&lt;/BBOOK&gt;&lt;BBOOK bbname=&quot;25&quot; bbdesc=&quot;2013 Annual Accounts/EU Annual Accounts/Statement of changes (xlsx)&quot; dsname=&quot;SAP Disclosure Management - Production&quot;&gt;&lt;VARIABLES /&gt;&lt;/BBOOK&gt;&lt;BBOOK bbname=&quot;14&quot; bbdesc=&quot;2013 Annual Accounts/EU Annual Accounts/Currency (xlsx)&quot; dsname=&quot;SAP Disclosre Management - Production&quot;&gt;&lt;VARIABLES /&gt;&lt;/BBOOK&gt;&lt;BBOOK bbname=&quot;17&quot; bbdesc=&quot;2013 Annual Accounts/EU Annual Accounts/Upload DeprecRates (xlsx)&quot; dsname=&quot;SAP Disclosre Management - Production&quot;&gt;&lt;VARIABLES /&gt;&lt;/BBOOK&gt;&lt;BBOOK bbname=&quot;20&quot; bbdesc=&quot;2013 Annual Accounts/EU Annual Accounts/Manual Table (xlsx)&quot; dsname=&quot;SAP Disclosre Management - Production&quot;&gt;&lt;VARIABLES /&gt;&lt;/BBOOK&gt;&lt;BBOOK bbname=&quot;18&quot; bbdesc=&quot;2013 Annual Accounts/EU Annual Accounts/DeprecRates upload (xlsx)&quot; dsname=&quot;SAP Disclosre Management - Production&quot;&gt;&lt;VARIABLES /&gt;&lt;/BBOOK&gt;&lt;BBOOK bbname=&quot;27&quot; bbdesc=&quot;2013 Annual Accounts/EU Annual Accounts/Upload Intangible FA 2012 (xlsx)&quot; dsname=&quot;SAP Disclosre Management - Production&quot;&gt;&lt;VARIABLES /&gt;&lt;/BBOOK&gt;&lt;BBOOK bbname=&quot;16&quot; bbdesc=&quot;2013 Annual Accounts/EU Annual Accounts/Assets (xlsx)&quot; dsname=&quot;SAP Disclosure Management - Production&quot;&gt;&lt;VARIABLES /&gt;&lt;/BBOOK&gt;&lt;BBOOK bbname=&quot;30&quot; bbdesc=&quot;2013 Annual Accounts/EU Annual Accounts/PPE 2012 (xlsx)&quot; dsname=&quot;SAP Disclosre Management - Production&quot;&gt;&lt;VARIABLES /&gt;&lt;/BBOOK&gt;&lt;BBOOK bbname=&quot;31&quot; bbdesc=&quot;2013 Annual Accounts/EU Annual Accounts/Finance Lease (xlsx)&quot; dsname=&quot;SAP Disclosre Management - Production&quot;&gt;&lt;VARIABLES /&gt;&lt;/BBOOK&gt;&lt;BBOOK bbname=&quot;64&quot; bbdesc=&quot;2013 Annual Accounts/EU Annual Accounts/MT_Silvie Deckers (xlsx)&quot; dsname=&quot;SAP Disclosre Management - Production&quot;&gt;&lt;VARIABLES /&gt;&lt;/BBOOK&gt;&lt;BBOOK bbname=&quot;69&quot; bbdesc=&quot;2013 Annual Accounts/EU Annual Accounts/Participations in joint ventures (xlsx)&quot; dsname=&quot;SAP Disclosure Management - Production&quot;&gt;&lt;VARIABLES /&gt;&lt;/BBOOK&gt;&lt;BBOOK bbname=&quot;197&quot; bbdesc=&quot;2013 Annual Accounts/EU Annual Accounts/Non current AFS financial assets (xlsx)&quot; dsname=&quot;SAP Disclosure Management - Production&quot;&gt;&lt;VARIABLES /&gt;&lt;/BBOOK&gt;&lt;BBOOK bbname=&quot;68&quot; bbdesc=&quot;2013 Annual Accounts/EU Annual Accounts/Non current financial assets (xlsx)&quot; dsname=&quot;SAP Disclosure Management - Production&quot;&gt;&lt;VARIABLES /&gt;&lt;/BBOOK&gt;&lt;BBOOK bbname=&quot;163&quot; bbdesc=&quot;2013 Annual Accounts/EU Annual Accounts/Receivables from Member States (xlsx)&quot; dsname=&quot;SAP Disclosure Management - Production&quot;&gt;&lt;VARIABLES /&gt;&lt;/BBOOK&gt;&lt;BBOOK bbname=&quot;200&quot; bbdesc=&quot;2013 Annual Accounts/EU Annual Accounts/MT_Valentina (xlsx)&quot; dsname=&quot;SAP Disclosure Management - Production&quot;&gt;&lt;VARIABLES /&gt;&lt;/BBOOK&gt;&lt;BBOOK bbname=&quot;133&quot; bbdesc=&quot;2013 Annual Accounts/EU Annual Accounts/MT_Annika Oerbom (xlsx)&quot; dsname=&quot;SAP Disclosure Management - Production&quot;&gt;&lt;VARIABLES /&gt;&lt;/BBOOK&gt;&lt;BBOOK bbname=&quot;155&quot; bbdesc=&quot;2013 Annual Accounts/EU Annual Accounts/Notes to financial performance (xlsx)&quot; dsname=&quot;SAP Disclosure Management - Production&quot;&gt;&lt;VARIABLES /&gt;&lt;/BBOOK&gt;&lt;BBOOK bbname=&quot;33&quot; bbdesc=&quot;2013 Annual Accounts/EU Annual Accounts/Upload Fin Lease 2nd part PY (xlsx)&quot; dsname=&quot;SAP Disclosure Management - Production&quot;&gt;&lt;VARIABLES /&gt;&lt;/BBOOK&gt;&lt;BBOOK bbname=&quot;156&quot; bbdesc=&quot;2013 Annual Accounts/EU Annual Accounts/Segment reporting calculation (xlsx)&quot; dsname=&quot;SAP Disclosure Management - Production&quot;&gt;&lt;VARIABLES /&gt;&lt;/BBOOK&gt;&lt;BBOOK bbname=&quot;202&quot; bbdesc=&quot;2013 Annual Accounts/EU Annual Accounts/CONTINGENT ASSETS AND LIABILITIES AND OTHER SIGN DISCL (xlsx)&quot; dsname=&quot;SAP Disclosure Management - Production&quot;&gt;&lt;VARIABLES /&gt;&lt;/BBOOK&gt;&lt;BBOOK bbname=&quot;203&quot; bbdesc=&quot;2013 Annual Accounts/EU Annual Accounts/PROTECTION OF THE EU BUDGET_NOTE 6 (xlsx)&quot; dsname=&quot;SAP Disclosure Management - Production&quot;&gt;&lt;VARIABLES /&gt;&lt;/BBOOK&gt;&lt;BBOOK bbname=&quot;204&quot; bbdesc=&quot;2013 Annual Accounts/EU Annual Accounts/FIN SUPPORT MECHANISMS (xlsx)&quot; dsname=&quot;SAP Disclosure Management - Production&quot;&gt;&lt;VARIABLES /&gt;&lt;/BBOOK&gt;&lt;BBOOK bbname=&quot;205&quot; bbdesc=&quot;2013 Annual Accounts/EU Annual Accounts/REL PARTY DISCLOSURES (xlsx)&quot; dsname=&quot;SAP Disclosure Management - Production&quot;&gt;&lt;VARIABLES /&gt;&lt;/BBOOK&gt;&lt;BBOOK bbname=&quot;173&quot; bbdesc=&quot;2013 Annual Accounts/EU Annual Accounts/Upload BO reports 2 (xlsx)&quot; dsname=&quot;SAP Disclosure Management - Production&quot;&gt;&lt;VARIABLES /&gt;&lt;/BBOOK&gt;&lt;BBOOK bbname=&quot;162&quot; bbdesc=&quot;2013 Annual Accounts/EU Annual Accounts/Upload BO reports (xlsx)&quot; dsname=&quot;SAP Disclosure Management - Production&quot;&gt;&lt;VARIABLES /&gt;&lt;/BBOOK&gt;&lt;BBOOK bbname=&quot;381&quot; bbdesc=&quot;2013 Annual Accounts/EC Annual Accounts/Trial Balance ECCS (xlsx)&quot; dsname=&quot;SAP Disclosure Management - Production&quot;&gt;&lt;VARIABLES /&gt;&lt;/BBOOK&gt;&lt;BBOOK bbname=&quot;408&quot; bbdesc=&quot;2013 Annual Accounts/EC Annual Accounts/DC - Balance Sheet (xlsx)&quot; dsname=&quot;SAP Disclosure Management - Production&quot;&gt;&lt;VARIABLES /&gt;&lt;/BBOOK&gt;&lt;BBOOK bbname=&quot;429&quot; bbdesc=&quot;2013 Annual Accounts/EC Annual Accounts/DC - Balance Sheet (xls)&quot; dsname=&quot;SAP Disclosure Management - Production&quot;&gt;&lt;VARIABLES /&gt;&lt;/BBOOK&gt;&lt;BBOOK bbname=&quot;550&quot; bbdesc=&quot;2013 Annual Accounts/EC Annual Accounts/DC - Balance Sheet (xlsx)&quot; dsname=&quot;SAP Disclosure Management - Production&quot;&gt;&lt;VARIABLES /&gt;&lt;/BBOOK&gt;&lt;BBOOK bbname=&quot;411&quot; bbdesc=&quot;2013 Annual Accounts/EC Annual Accounts/DC - Statement of Financial Performance (xlsx)&quot; dsname=&quot;SAP Disclosure Management - Production&quot;&gt;&lt;VARIABLES /&gt;&lt;/BBOOK&gt;&lt;BBOOK bbname=&quot;432&quot; bbdesc=&quot;2013 Annual Accounts/EC Annual Accounts/DC - Statement of Fin. Performance (xls)&quot; dsname=&quot;SAP Disclosure Management - Production&quot;&gt;&lt;VARIABLES /&gt;&lt;/BBOOK&gt;&lt;BBOOK bbname=&quot;552&quot; bbdesc=&quot;2013 Annual Accounts/EC Annual Accounts/DC - Statement of Financial Performance (xlsx)&quot; dsname=&quot;SAP Disclosure Management - Production&quot;&gt;&lt;VARIABLES /&gt;&lt;/BBOOK&gt;&lt;BBOOK bbname=&quot;236&quot; bbdesc=&quot;2013 Annual Accounts/EC Annual Accounts/Cashflow statement calculation (xlsx)&quot; dsname=&quot;SAP Disclosure Management - Production&quot;&gt;&lt;VARIABLES /&gt;&lt;/BBOOK&gt;&lt;BBOOK bbname=&quot;215&quot; bbdesc=&quot;2013 Annual Accounts/EC Annual Accounts/Assets (xlsx)&quot; dsname=&quot;SAP Disclosure Management - Production&quot;&gt;&lt;VARIABLES /&gt;&lt;/BBOOK&gt;&lt;BBOOK bbname=&quot;412&quot; bbdesc=&quot;2013 Annual Accounts/EC Annual Accounts/DC - Cashflow Statement (xlsx)&quot; dsname=&quot;SAP Disclosure Management - Production&quot;&gt;&lt;VARIABLES /&gt;&lt;/BBOOK&gt;&lt;BBOOK bbname=&quot;433&quot; bbdesc=&quot;2013 Annual Accounts/EC Annual Accounts/DC - Cashflow (xls)&quot; dsname=&quot;SAP Disclosure Management - Production&quot;&gt;&lt;VARIABLES /&gt;&lt;/BBOOK&gt;&lt;BBOOK bbname=&quot;551&quot; bbdesc=&quot;2013 Annual Accounts/EC Annual Accounts/DC CF calculation (xlsx)&quot; dsname=&quot;SAP Disclosure Management - Production&quot;&gt;&lt;VARIABLES /&gt;&lt;/BBOOK&gt;&lt;BBOOK bbname=&quot;606&quot; bbdesc=&quot;2013 Annual Accounts/EC Annual Accounts/DC - Cashflow statement automated (xlsx)&quot; dsname=&quot;SAP Disclosure Management - Production&quot;&gt;&lt;VARIABLES /&gt;&lt;/BBOOK&gt;&lt;BBOOK bbname=&quot;371&quot; bbdesc=&quot;2013 Annual Accounts/EU Annual Accounts/Statement of changes (xlsx)&quot; dsname=&quot;SAP Disclosure Management - Production&quot;&gt;&lt;VARIABLES /&gt;&lt;/BBOOK&gt;&lt;BBOOK bbname=&quot;428&quot; bbdesc=&quot;2013 Annual Accounts/EC Annual Accounts/DC - Statement of changes in net assets (xls)&quot; dsname=&quot;SAP Disclosure Management - Production&quot;&gt;&lt;VARIABLES /&gt;&lt;/BBOOK&gt;&lt;BBOOK bbname=&quot;553&quot; bbdesc=&quot;2013 Annual Accounts/EC Annual Accounts/DC - Statement of changes in net assets (xlsx)&quot; dsname=&quot;SAP Disclosure Management - Production&quot;&gt;&lt;VARIABLES /&gt;&lt;/BBOOK&gt;&lt;BBOOK bbname=&quot;251&quot; bbdesc=&quot;2013 Annual Accounts/EU Annual Accounts/Currency (xlsx)&quot; dsname=&quot;SAP Disclosre Management - Production&quot;&gt;&lt;VARIABLES /&gt;&lt;/BBOOK&gt;&lt;BBOOK bbname=&quot;388&quot; bbdesc=&quot;2013 Annual Accounts/EU Annual Accounts/Upload DeprecRates (xlsx)&quot; dsname=&quot;SAP Disclosre Management - Production&quot;&gt;&lt;VARIABLES /&gt;&lt;/BBOOK&gt;&lt;BBOOK bbname=&quot;309&quot; bbdesc=&quot;2013 Annual Accounts/EU Annual Accounts/Manual Table (xlsx)&quot; dsname=&quot;SAP Disclosre Management - Production&quot;&gt;&lt;VARIABLES /&gt;&lt;/BBOOK&gt;&lt;BBOOK bbname=&quot;440&quot; bbdesc=&quot;2013 Annual Accounts/EC Annual Accounts/DC - Significant Accounting Policies (xls)&quot; dsname=&quot;SAP Disclosure Management - Production&quot;&gt;&lt;VARIABLES /&gt;&lt;/BBOOK&gt;&lt;BBOOK bbname=&quot;557&quot; bbdesc=&quot;2013 Annual Accounts/EC Annual Accounts/DC - Significant accounting pol. - currency  table (xlsx)&quot; dsname=&quot;SAP Disclosure Management - Production&quot;&gt;&lt;VARIABLES /&gt;&lt;/BBOOK&gt;&lt;BBOOK bbname=&quot;267&quot; bbdesc=&quot;2013 Annual Accounts/EU Annual Accounts/DeprecRates upload (xlsx)&quot; dsname=&quot;SAP Disclosre Management - Production&quot;&gt;&lt;VARIABLES /&gt;&lt;/BBOOK&gt;&lt;BBOOK bbname=&quot;533&quot; bbdesc=&quot;2013 Annual Accounts/EC Annual Accounts/DC - Intangible fixed assets and PPE 2013 (xlsx)&quot; dsname=&quot;SAP Disclosure Management - Production&quot;&gt;&lt;VARIABLES /&gt;&lt;/BBOOK&gt;&lt;BBOOK bbname=&quot;342&quot; bbdesc=&quot;2013 Annual Accounts/EU Annual Accounts/PPE 2012 (xlsx)&quot; dsname=&quot;SAP Disclosre Management - Production&quot;&gt;&lt;VARIABLES /&gt;&lt;/BBOOK&gt;&lt;BBOOK bbname=&quot;279&quot; bbdesc=&quot;2013 Annual Accounts/EU Annual Accounts/Finance Lease (xlsx)&quot; dsname=&quot;SAP Disclosre Management - Production&quot;&gt;&lt;VARIABLES /&gt;&lt;/BBOOK&gt;&lt;BBOOK bbname=&quot;314&quot; bbdesc=&quot;2013 Annual Accounts/EU Annual Accounts/MT_Silvie Deckers (xlsx)&quot; dsname=&quot;SAP Disclosre Management - Production&quot;&gt;&lt;VARIABLES /&gt;&lt;/BBOOK&gt;&lt;BBOOK bbname=&quot;338&quot; bbdesc=&quot;2013 Annual Accounts/EU Annual Accounts/Participations in joint ventures (xlsx)&quot; dsname=&quot;SAP Disclosure Management - Production&quot;&gt;&lt;VARIABLES /&gt;&lt;/BBOOK&gt;&lt;BBOOK bbname=&quot;535&quot; bbdesc=&quot;2013 Annual Accounts/EC Annual Accounts/DC - Investments accounted for using the equity method new (xlsx)&quot; dsname=&quot;SAP Disclosure Management - Production&quot;&gt;&lt;VARIABLES /&gt;&lt;/BBOOK&gt;&lt;BBOOK bbname=&quot;316&quot; bbdesc=&quot;2013 Annual Accounts/EU Annual Accounts/Non current AFS financial assets (xlsx)&quot; dsname=&quot;SAP Disclosure Management - Production&quot;&gt;&lt;VARIABLES /&gt;&lt;/BBOOK&gt;&lt;BBOOK bbname=&quot;457&quot; bbdesc=&quot;2013 Annual Accounts/EC Annual Accounts/DC - Non current financial assets (xlsx)&quot; dsname=&quot;SAP Disclosure Management - Production&quot;&gt;&lt;VARIABLES /&gt;&lt;/BBOOK&gt;&lt;BBOOK bbname=&quot;458&quot; bbdesc=&quot;2013 Annual Accounts/EC Annual Accounts/DC - Non current receivables and recoverables (xlsx)&quot; dsname=&quot;SAP Disclosure Management - Production&quot;&gt;&lt;VARIABLES /&gt;&lt;/BBOOK&gt;&lt;BBOOK bbname=&quot;459&quot; bbdesc=&quot;2013 Annual Accounts/EC Annual Accounts/DC - Non current prefinancing (xlsx)&quot; dsname=&quot;SAP Disclosure Management - Production&quot;&gt;&lt;VARIABLES /&gt;&lt;/BBOOK&gt;&lt;BBOOK bbname=&quot;491&quot; bbdesc=&quot;2013 Annual Accounts/EC Annual Accounts/DC - Inventories (xlsx)&quot; dsname=&quot;SAP Disclosure Management - Production&quot;&gt;&lt;VARIABLES /&gt;&lt;/BBOOK&gt;&lt;BBOOK bbname=&quot;492&quot; bbdesc=&quot;2013 Annual Accounts/EC Annual Accounts/DC - Current financial assets (xlsx)&quot; dsname=&quot;SAP Disclosure Management - Production&quot;&gt;&lt;VARIABLES /&gt;&lt;/BBOOK&gt;&lt;BBOOK bbname=&quot;352&quot; bbdesc=&quot;2013 Annual Accounts/EC Annual Accounts/Receivables from Member States (xlsx)&quot; dsname=&quot;SAP Disclosure Management - Production&quot;&gt;&lt;VARIABLES /&gt;&lt;/BBOOK&gt;&lt;BBOOK bbname=&quot;315&quot; bbdesc=&quot;2013 Annual Accounts/EU Annual Accounts/MT_Valentina (xlsx)&quot; dsname=&quot;SAP Disclosure Management - Production&quot;&gt;&lt;VARIABLES /&gt;&lt;/BBOOK&gt;&lt;BBOOK bbname=&quot;493&quot; bbdesc=&quot;2013 Annual Accounts/EC Annual Accounts/DC - Current receivables and recoverables (xlsx)&quot; dsname=&quot;SAP Disclosure Management - Production&quot;&gt;&lt;VARIABLES /&gt;&lt;/BBOOK&gt;&lt;BBOOK bbname=&quot;494&quot; bbdesc=&quot;2013 Annual Accounts/EC Annual Accounts/DC - Current pre-financing (xlsx)&quot; dsname=&quot;SAP Disclosure Management - Production&quot;&gt;&lt;VARIABLES /&gt;&lt;/BBOOK&gt;&lt;BBOOK bbname=&quot;495&quot; bbdesc=&quot;2013 Annual Accounts/EC Annual Accounts/DC - Cash and cash equivalents (xlsx)&quot; dsname=&quot;SAP Disclosure Management - Production&quot;&gt;&lt;VARIABLES /&gt;&lt;/BBOOK&gt;&lt;BBOOK bbname=&quot;313&quot; bbdesc=&quot;2013 Annual Accounts/EU Annual Accounts/MT_Annika Oerbom (xlsx)&quot; dsname=&quot;SAP Disclosure Management - Production&quot;&gt;&lt;VARIABLES /&gt;&lt;/BBOOK&gt;&lt;BBOOK bbname=&quot;497&quot; bbdesc=&quot;2013 Annual Accounts/EC Annual Accounts/DC - Pension and other employee benefits (xlsx)&quot; dsname=&quot;SAP Disclosure Management - Production&quot;&gt;&lt;VARIABLES /&gt;&lt;/BBOOK&gt;&lt;BBOOK bbname=&quot;498&quot; bbdesc=&quot;2013 Annual Accounts/EC Annual Accounts/DC - Non-current provisions (xlsx)&quot; dsname=&quot;SAP Disclosure Management - Production&quot;&gt;&lt;VARIABLES /&gt;&lt;/BBOOK&gt;&lt;BBOOK bbname=&quot;503&quot; bbdesc=&quot;2013 Annual Accounts/EC Annual Accounts/DC - Current provisions (xlsx)&quot; dsname=&quot;SAP Disclosure Management - Production&quot;&gt;&lt;VARIABLES /&gt;&lt;/BBOOK&gt;&lt;BBOOK bbname=&quot;499&quot; bbdesc=&quot;2013 Annual Accounts/EC Annual Accounts/DC - Non-current financial liabilities (xlsx)&quot; dsname=&quot;SAP Disclosure Management - Production&quot;&gt;&lt;VARIABLES /&gt;&lt;/BBOOK&gt;&lt;BBOOK bbname=&quot;500&quot; bbdesc=&quot;2013 Annual Accounts/EC Annual Accounts/DC - Other non-current liabilities (xlsx)&quot; dsname=&quot;SAP Disclosure Management - Production&quot;&gt;&lt;VARIABLES /&gt;&lt;/BBOOK&gt;&lt;BBOOK bbname=&quot;505&quot; bbdesc=&quot;2013 Annual Accounts/EC Annual Accounts/DC - Payables (xlsx)&quot; dsname=&quot;SAP Disclosure Management - Production&quot;&gt;&lt;VARIABLES /&gt;&lt;/BBOOK&gt;&lt;BBOOK bbname=&quot;507&quot; bbdesc=&quot;2013 Annual Accounts/EC Annual Accounts/DC - Reserves (xlsx)&quot; dsname=&quot;SAP Disclosure Management - Production&quot;&gt;&lt;VARIABLES /&gt;&lt;/BBOOK&gt;&lt;BBOOK bbname=&quot;508&quot; bbdesc=&quot;2013 Annual Accounts/EC Annual Accounts/DC - Amounts to be called from member states (xlsx)&quot; dsname=&quot;SAP Disclosure Management - Production&quot;&gt;&lt;VARIABLES /&gt;&lt;/BBOOK&gt;&lt;BBOOK bbname=&quot;326&quot; bbdesc=&quot;2013 Annual Accounts/EC Annual Accounts/Notes to financial performance (xlsx)&quot; dsname=&quot;SAP Disclosure Management - Production&quot;&gt;&lt;VARIABLES /&gt;&lt;/BBOOK&gt;&lt;BBOOK bbname=&quot;424&quot; bbdesc=&quot;2013 Annual Accounts/EC Annual Accounts/DC - Financial revenue (xlsx)&quot; dsname=&quot;SAP Disclosure Management - Production&quot;&gt;&lt;VARIABLES /&gt;&lt;/BBOOK&gt;&lt;BBOOK bbname=&quot;445&quot; bbdesc=&quot;2013 Annual Accounts/EC Annual Accounts/DC - Financial revenue (xls)&quot; dsname=&quot;SAP Disclosure Management - Production&quot;&gt;&lt;VARIABLES /&gt;&lt;/BBOOK&gt;&lt;BBOOK bbname=&quot;524&quot; bbdesc=&quot;2013 Annual Accounts/EC Annual Accounts/DC - Financial revenue (xlsx)&quot; dsname=&quot;SAP Disclosure Management - Production&quot;&gt;&lt;VARIABLES /&gt;&lt;/BBOOK&gt;&lt;BBOOK bbname=&quot;419&quot; bbdesc=&quot;2013 Annual Accounts/EC Annual Accounts/DC - Own resource and contributions revenue (xlsx)&quot; dsname=&quot;SAP Disclosure Management - Production&quot;&gt;&lt;VARIABLES /&gt;&lt;/BBOOK&gt;&lt;BBOOK bbname=&quot;436&quot; bbdesc=&quot;2013 Annual Accounts/EC Annual Accounts/DC - Own resource and contributions revenue (xls)&quot; dsname=&quot;SAP Disclosure Management - Production&quot;&gt;&lt;VARIABLES /&gt;&lt;/BBOOK&gt;&lt;BBOOK bbname=&quot;520&quot; bbdesc=&quot;2013 Annual Accounts/EC Annual Accounts/DC - Own resource and contributions revenue (xlsx)&quot; dsname=&quot;SAP Disclosure Management - Production&quot;&gt;&lt;VARIABLES /&gt;&lt;/BBOOK&gt;&lt;BBOOK bbname=&quot;415&quot; bbdesc=&quot;2013 Annual Accounts/EC Annual Accounts/DC - Other operating revenue (xlsx)&quot; dsname=&quot;SAP Disclosure Management - Production&quot;&gt;&lt;VARIABLES /&gt;&lt;/BBOOK&gt;&lt;BBOOK bbname=&quot;439&quot; bbdesc=&quot;2013 Annual Accounts/EC Annual Accounts/DC - Other operating revenue (xls)&quot; dsname=&quot;SAP Disclosure Management - Production&quot;&gt;&lt;VARIABLES /&gt;&lt;/BBOOK&gt;&lt;BBOOK bbname=&quot;521&quot; bbdesc=&quot;2013 Annual Accounts/EC Annual Accounts/DC - Other operating revenue (xlsx)&quot; dsname=&quot;SAP Disclosure Management - Production&quot;&gt;&lt;VARIABLES /&gt;&lt;/BBOOK&gt;&lt;BBOOK bbname=&quot;420&quot; bbdesc=&quot;2013 Annual Accounts/EC Annual Accounts/DC - Administrative expenses (xlsx)&quot; dsname=&quot;SAP Disclosure Management - Production&quot;&gt;&lt;VARIABLES /&gt;&lt;/BBOOK&gt;&lt;BBOOK bbname=&quot;442&quot; bbdesc=&quot;2013 Annual Accounts/EC Annual Accounts/DC - Administrative expenses (xls)&quot; dsname=&quot;SAP Disclosure Management - Production&quot;&gt;&lt;VARIABLES /&gt;&lt;/BBOOK&gt;&lt;BBOOK bbname=&quot;522&quot; bbdesc=&quot;2013 Annual Accounts/EC Annual Accounts/DC - Administrative expenses (xlsx)&quot; dsname=&quot;SAP Disclosure Management - Production&quot;&gt;&lt;VARIABLES /&gt;&lt;/BBOOK&gt;&lt;BBOOK bbname=&quot;423&quot; bbdesc=&quot;2013 Annual Accounts/EC Annual Accounts/DC - Operating expenses (xlsx)&quot; dsname=&quot;SAP Disclosure Management - Production&quot;&gt;&lt;VARIABLES /&gt;&lt;/BBOOK&gt;&lt;BBOOK bbname=&quot;443&quot; bbdesc=&quot;2013 Annual Accounts/EC Annual Accounts/DC - Operating expenses (xls)&quot; dsname=&quot;SAP Disclosure Management - Production&quot;&gt;&lt;VARIABLES /&gt;&lt;/BBOOK&gt;&lt;BBOOK bbname=&quot;523&quot; bbdesc=&quot;2013 Annual Accounts/EC Annual Accounts/DC - Operating expenses (xlsx)&quot; dsname=&quot;SAP Disclosure Management - Production&quot;&gt;&lt;VARIABLES /&gt;&lt;/BBOOK&gt;&lt;BBOOK bbname=&quot;425&quot; bbdesc=&quot;2013 Annual Accounts/EC Annual Accounts/DC - Financial expenses (xlsx)&quot; dsname=&quot;SAP Disclosure Management - Production&quot;&gt;&lt;VARIABLES /&gt;&lt;/BBOOK&gt;&lt;BBOOK bbname=&quot;447&quot; bbdesc=&quot;2013 Annual Accounts/EC Annual Accounts/DC - Financial expenses (xls)&quot; dsname=&quot;SAP Disclosure Management - Production&quot;&gt;&lt;VARIABLES /&gt;&lt;/BBOOK&gt;&lt;BBOOK bbname=&quot;525&quot; bbdesc=&quot;2013 Annual Accounts/EC Annual Accounts/DC - Financial expenses (xlsx)&quot; dsname=&quot;SAP Disclosure Management - Production&quot;&gt;&lt;VARIABLES /&gt;&lt;/BBOOK&gt;&lt;BBOOK bbname=&quot;366&quot; bbdesc=&quot;2013 Annual Accounts/EU Annual Accounts/Segment reporting calculation (xlsx)&quot; dsname=&quot;SAP Disclosure Management - Production&quot;&gt;&lt;VARIABLES /&gt;&lt;/BBOOK&gt;&lt;BBOOK bbname=&quot;594&quot; bbdesc=&quot;2013 Annual Accounts/EC Annual Accounts/DC - Segment reporting (xlsx)&quot; dsname=&quot;SAP Disclosure Management - Production&quot;&gt;&lt;VARIABLES /&gt;&lt;/BBOOK&gt;&lt;BBOOK bbname=&quot;245&quot; bbdesc=&quot;2013 Annual Accounts/EU Annual Accounts/CONTINGENT ASSETS AND LIABILITIES AND OTHER SIGN DISCL (xlsx)&quot; dsname=&quot;SAP Disclosure Management - Production&quot;&gt;&lt;VARIABLES /&gt;&lt;/BBOOK&gt;&lt;BBOOK bbname=&quot;514&quot; bbdesc=&quot;2013 Annual Accounts/EC Annual Accounts/DC - Contingent assets (xlsx)&quot; dsname=&quot;SAP Disclosure Management - Production&quot;&gt;&lt;VARIABLES /&gt;&lt;/BBOOK&gt;&lt;BBOOK bbname=&quot;515&quot; bbdesc=&quot;2013 Annual Accounts/EC Annual Accounts/DC - Contingent liabilities (xlsx)&quot; dsname=&quot;SAP Disclosure Management - Production&quot;&gt;&lt;VARIABLES /&gt;&lt;/BBOOK&gt;&lt;BBOOK bbname=&quot;516&quot; bbdesc=&quot;2013 Annual Accounts/EC Annual Accounts/DC - Guarantees given (xlsx)&quot; dsname=&quot;SAP Disclosure Management - Production&quot;&gt;&lt;VARIABLES /&gt;&lt;/BBOOK&gt;&lt;BBOOK bbname=&quot;517&quot; bbdesc=&quot;2013 Annual Accounts/EC Annual Accounts/DC - Other significant disclosures (xlsx)&quot; dsname=&quot;SAP Disclosure Management - Production&quot;&gt;&lt;VARIABLES /&gt;&lt;/BBOOK&gt;&lt;BBOOK bbname=&quot;518&quot; bbdesc=&quot;2013 Annual Accounts/EC Annual Accounts/DC - Significant legal commitments (xlsx)&quot; dsname=&quot;SAP Disclosure Management - Production&quot;&gt;&lt;VARIABLES /&gt;&lt;/BBOOK&gt;&lt;BBOOK bbname=&quot;657&quot; bbdesc=&quot;2013 Annual Accounts/EU Annual Accounts/DC - Result of implementation of the EU budget (xlsx)&quot; dsname=&quot;SAP Disclosure Management - Production&quot;&gt;&lt;VARIABLES /&gt;&lt;/BBOOK&gt;&lt;BBOOK bbname=&quot;207&quot; bbdesc=&quot;2013 Annual Accounts/EU Annual Accounts/SCOPE OF CONSO_NOTE 11 (xlsx)&quot; dsname=&quot;SAP Disclosure Management - Production&quot;&gt;&lt;VARIABLES /&gt;&lt;/BBOOK&gt;&lt;BBOOK bbname=&quot;664&quot; bbdesc=&quot;2013 Annual Accounts/EU Annual Accounts/DC - Implementation of EU budget revenue (xlsx)&quot; dsname=&quot;SAP Disclosure Management - Production&quot;&gt;&lt;VARIABLES /&gt;&lt;/BBOOK&gt;&lt;BBOOK bbname=&quot;2691&quot; bbdesc=&quot;2014 Annual Accounts/EU Annual Accounts/DC - Balance Sheet (xlsx)&quot; dsname=&quot;SAP Disclosure Management - Production&quot;&gt;&lt;VARIABLES /&gt;&lt;/BBOOK&gt;&lt;BBOOK bbname=&quot;2692&quot; bbdesc=&quot;2014 Annual Accounts/EU Annual Accounts/DC - Statement of Financial Performance (xlsx)&quot; dsname=&quot;SAP Disclosure Management - Production&quot;&gt;&lt;VARIABLES /&gt;&lt;/BBOOK&gt;&lt;BBOOK bbname=&quot;2693&quot; bbdesc=&quot;2014 Annual Accounts/EU Annual Accounts/DC - Cashflow statement (xlsx)&quot; dsname=&quot;SAP Disclosure Management - Production&quot;&gt;&lt;VARIABLES /&gt;&lt;/BBOOK&gt;&lt;BBOOK bbname=&quot;2694&quot; bbdesc=&quot;2014 Annual Accounts/EU Annual Accounts/DC - Statement of changes in net assets (xlsx)&quot; dsname=&quot;SAP Disclosure Management - Production&quot;&gt;&lt;VARIABLES /&gt;&lt;/BBOOK&gt;&lt;BBOOK bbname=&quot;3133&quot; bbdesc=&quot;2014 Annual Accounts/EU Annual Accounts/DC - Statment of changes in net assets EU (xlsx)&quot; dsname=&quot;SAP Disclosure Management - Production&quot;&gt;&lt;VARIABLES /&gt;&lt;/BBOOK&gt;&lt;BBOOK bbname=&quot;2695&quot; bbdesc=&quot;2014 Annual Accounts/EU Annual Accounts/DC - DeprecRates (xlsx)&quot; dsname=&quot;SAP Disclosure Management - Production&quot;&gt;&lt;VARIABLES /&gt;&lt;/BBOOK&gt;&lt;BBOOK bbname=&quot;2769&quot; bbdesc=&quot;2014 Annual Accounts/EU Annual Accounts/DC - Currency table (xlsx)&quot; dsname=&quot;SAP Disclosure Management - Production&quot;&gt;&lt;VARIABLES /&gt;&lt;/BBOOK&gt;&lt;BBOOK bbname=&quot;3030&quot; bbdesc=&quot;2014 Annual Accounts/EU Annual Accounts/DC - DeprecRates (xlsx)&quot; dsname=&quot;SAP Disclosure Management - Production&quot;&gt;&lt;VARIABLES /&gt;&lt;/BBOOK&gt;&lt;BBOOK bbname=&quot;3029&quot; bbdesc=&quot;2014 Annual Accounts/EU Annual Accounts/DC - Currency table (xlsx)&quot; dsname=&quot;SAP Disclosure Management - Production&quot;&gt;&lt;VARIABLES /&gt;&lt;/BBOOK&gt;&lt;BBOOK bbname=&quot;2670&quot; bbdesc=&quot;2014 Annual Accounts/EU Annual Accounts/DC - Intangible assets (xlsx)&quot; dsname=&quot;SAP Disclosure Management - Production&quot;&gt;&lt;VARIABLES /&gt;&lt;/BBOOK&gt;&lt;BBOOK bbname=&quot;2680&quot; bbdesc=&quot;2014 Annual Accounts/EU Annual Accounts/DC - Available for sale financial assets (xlsx)&quot; dsname=&quot;SAP Disclosure Management - Production&quot;&gt;&lt;VARIABLES /&gt;&lt;/BBOOK&gt;&lt;BBOOK bbname=&quot;2696&quot; bbdesc=&quot;2014 Annual Accounts/EU Annual Accounts/DC - Intangible assets (xlsx)&quot; dsname=&quot;SAP Disclosure Management - Production&quot;&gt;&lt;VARIABLES /&gt;&lt;/BBOOK&gt;&lt;BBOOK bbname=&quot;3098&quot; bbdesc=&quot;2014 Annual Accounts/EU Annual Accounts/DC - Intangible fixed assets (xlsx)&quot; dsname=&quot;SAP Disclosure Management - Production&quot;&gt;&lt;VARIABLES /&gt;&lt;/BBOOK&gt;&lt;BBOOK bbname=&quot;2697&quot; bbdesc=&quot;2014 Annual Accounts/EU Annual Accounts/DC - Property plant and equipment (xlsx)&quot; dsname=&quot;SAP Disclosure Management - Production&quot;&gt;&lt;VARIABLES /&gt;&lt;/BBOOK&gt;&lt;BBOOK bbname=&quot;3136&quot; bbdesc=&quot;2014 Annual Accounts/EU Annual Accounts/DC - PPE (xlsx)&quot; dsname=&quot;SAP Disclosure Management - Production&quot;&gt;&lt;VARIABLES /&gt;&lt;/BBOOK&gt;&lt;BBOOK bbname=&quot;2672&quot; bbdesc=&quot;2014 Annual Accounts/EU Annual Accounts/DC - Investments accounted for using the equity method (xlsx)&quot; dsname=&quot;SAP Disclosure Management - Production&quot;&gt;&lt;VARIABLES /&gt;&lt;/BBOOK&gt;&lt;BBOOK bbname=&quot;2698&quot; bbdesc=&quot;2014 Annual Accounts/EU Annual Accounts/DC - Investments accounted for using the equity method (xlsx)&quot; dsname=&quot;SAP Disclosure Management - Production&quot;&gt;&lt;VARIABLES /&gt;&lt;/BBOOK&gt;&lt;BBOOK bbname=&quot;2534&quot; bbdesc=&quot;2014 Annual Accounts/EC Annual Accounts/DC - Investments accounted for using the equity method new (xlsx)&quot; dsname=&quot;SAP Disclosure Management - Production&quot;&gt;&lt;VARIABLES /&gt;&lt;/BBOOK&gt;&lt;BBOOK bbname=&quot;2678&quot; bbdesc=&quot;2014 Annual Accounts/EU Annual Accounts/DC - Financial assets (xlsx)&quot; dsname=&quot;SAP Disclosure Management - Production&quot;&gt;&lt;VARIABLES /&gt;&lt;/BBOOK&gt;&lt;BBOOK bbname=&quot;2699&quot; bbdesc=&quot;2014 Annual Accounts/EU Annual Accounts/DC - Financial assets (xlsx)&quot; dsname=&quot;SAP Disclosure Management - Production&quot;&gt;&lt;VARIABLES /&gt;&lt;/BBOOK&gt;&lt;BBOOK bbname=&quot;2674&quot; bbdesc=&quot;2014 Annual Accounts/EU Annual Accounts/DC - Carrying amounts attribuable to the Commission (xlsx)&quot; dsname=&quot;SAP Disclosure Management - Production&quot;&gt;&lt;VARIABLES /&gt;&lt;/BBOOK&gt;&lt;BBOOK bbname=&quot;2676&quot; bbdesc=&quot;2014 Annual Accounts/EU Annual Accounts/DC - Carrying amounts attribuable to the Comm (xlsx)&quot; dsname=&quot;SAP Disclosure Management - Production&quot;&gt;&lt;VARIABLES /&gt;&lt;/BBOOK&gt;&lt;BBOOK bbname=&quot;2679&quot; bbdesc=&quot;2014 Annual Accounts/EU Annual Accounts/DC - Reco by classes of the carrying amounts and fair value of fin assets (xlsx)&quot; dsname=&quot;SAP Disclosure Management - Production&quot;&gt;&lt;VARIABLES /&gt;&lt;/BBOOK&gt;&lt;BBOOK bbname=&quot;2700&quot; bbdesc=&quot;2014 Annual Accounts/EU Annual Accounts/DC - Reconciliation by classes of the carrying amounts and fair value (xlsx)&quot; dsname=&quot;SAP Disclosure Management - Production&quot;&gt;&lt;VARIABLES /&gt;&lt;/BBOOK&gt;&lt;BBOOK bbname=&quot;2701&quot; bbdesc=&quot;2014 Annual Accounts/EU Annual Accounts/DC - Fair value hierarchy of available for sale financial assets (xlsx)&quot; dsname=&quot;SAP Disclosure Management - Production&quot;&gt;&lt;VARIABLES /&gt;&lt;/BBOOK&gt;&lt;BBOOK bbname=&quot;2682&quot; bbdesc=&quot;2014 Annual Accounts/EU Annual Accounts/DC - EBRD (xlsx)&quot; dsname=&quot;SAP Disclosure Management - Production&quot;&gt;&lt;VARIABLES /&gt;&lt;/BBOOK&gt;&lt;BBOOK bbname=&quot;2707&quot; bbdesc=&quot;2014 Annual Accounts/EU Annual Accounts/DC - European Bank for Reconstruction and Development (xlsx)&quot; dsname=&quot;SAP Disclosure Management - Production&quot;&gt;&lt;VARIABLES /&gt;&lt;/BBOOK&gt;&lt;BBOOK bbname=&quot;2683&quot; bbdesc=&quot;2014 Annual Accounts/EU Annual Accounts/DC - Loans (xlsx)&quot; dsname=&quot;SAP Disclosure Management - Production&quot;&gt;&lt;VARIABLES /&gt;&lt;/BBOOK&gt;&lt;BBOOK bbname=&quot;2684&quot; bbdesc=&quot;2014 Annual Accounts/EU Annual Accounts/DC - Loans granted from borrowed funds (xlsx)&quot; dsname=&quot;SAP Disclosure Management - Production&quot;&gt;&lt;VARIABLES /&gt;&lt;/BBOOK&gt;&lt;BBOOK bbname=&quot;2702&quot; bbdesc=&quot;2014 Annual Accounts/EU Annual Accounts/DC - Loans granted from borrowed funds LINKED TO EC (without ECSC Column) (xlsx)&quot; dsname=&quot;SAP Disclosure Management - Production&quot;&gt;&lt;VARIABLES /&gt;&lt;/BBOOK&gt;&lt;BBOOK bbname=&quot;2771&quot; bbdesc=&quot;2014 Annual Accounts/EU Annual Accounts/DC - Loans granted from borrowed funds LINKED TO EC (xlsx)&quot; dsname=&quot;SAP Disclosure Management - Production&quot;&gt;&lt;VARIABLES /&gt;&lt;/BBOOK&gt;&lt;BBOOK bbname=&quot;2561&quot; bbdesc=&quot;2014 Annual Accounts/EC Annual Accounts/DC - Fair value movements of available for sale financial assets (xlsx)&quot; dsname=&quot;SAP Disclosure Management - Production&quot;&gt;&lt;VARIABLES /&gt;&lt;/BBOOK&gt;&lt;BBOOK bbname=&quot;2431&quot; bbdesc=&quot;2014 Annual Accounts/EC Annual Accounts/DC - Fair value hierarchy of available for sale financial assets (xlsx)&quot; dsname=&quot;SAP Disclosure Management - Production&quot;&gt;&lt;VARIABLES /&gt;&lt;/BBOOK&gt;&lt;BBOOK bbname=&quot;2535&quot; bbdesc=&quot;2014 Annual Accounts/EC Annual Accounts/DC - Financial assets (xlsx)&quot; dsname=&quot;SAP Disclosure Management - Production&quot;&gt;&lt;VARIABLES /&gt;&lt;/BBOOK&gt;&lt;BBOOK bbname=&quot;2764&quot; bbdesc=&quot;2014 Annual Accounts/EU Annual Accounts/DC - Financial Support Mechanisms (xlsx)&quot; dsname=&quot;SAP Disclosure Management - Production&quot;&gt;&lt;VARIABLES /&gt;&lt;/BBOOK&gt;&lt;BBOOK bbname=&quot;2708&quot; bbdesc=&quot;2014 Annual Accounts/EU Annual Accounts/DC - Pre-financing (xlsx)&quot; dsname=&quot;SAP Disclosure Management - Production&quot;&gt;&lt;VARIABLES /&gt;&lt;/BBOOK&gt;&lt;BBOOK bbname=&quot;2709&quot; bbdesc=&quot;2014 Annual Accounts/EU Annual Accounts/DC - Pre-financing detailed (xlsx)&quot; dsname=&quot;SAP Disclosure Management - Production&quot;&gt;&lt;VARIABLES /&gt;&lt;/BBOOK&gt;&lt;BBOOK bbname=&quot;2536&quot; bbdesc=&quot;2014 Annual Accounts/EC Annual Accounts/DC - Pre-financing (xlsx)&quot; dsname=&quot;SAP Disclosure Management - Production&quot;&gt;&lt;VARIABLES /&gt;&lt;/BBOOK&gt;&lt;BBOOK bbname=&quot;2710&quot; bbdesc=&quot;2014 Annual Accounts/EU Annual Accounts/DC - Exchange receivables and Non-exchange recoverables (xlsx)&quot; dsname=&quot;SAP Disclosure Management - Production&quot;&gt;&lt;VARIABLES /&gt;&lt;/BBOOK&gt;&lt;BBOOK bbname=&quot;2711&quot; bbdesc=&quot;2014 Annual Accounts/EU Annual Accounts/DC - Recoverables from Member States (xlsx)&quot; dsname=&quot;SAP Disclosure Management - Production&quot;&gt;&lt;VARIABLES /&gt;&lt;/BBOOK&gt;&lt;BBOOK bbname=&quot;2713&quot; bbdesc=&quot;2014 Annual Accounts/EU Annual Accounts/DC - Accrued income and Deferred charges (xlsx)&quot; dsname=&quot;SAP Disclosure Management - Production&quot;&gt;&lt;VARIABLES /&gt;&lt;/BBOOK&gt;&lt;BBOOK bbname=&quot;2714&quot; bbdesc=&quot;2014 Annual Accounts/EU Annual Accounts/DC - Inventories (xlsx)&quot; dsname=&quot;SAP Disclosure Management - Production&quot;&gt;&lt;VARIABLES /&gt;&lt;/BBOOK&gt;&lt;BBOOK bbname=&quot;2715&quot; bbdesc=&quot;2014 Annual Accounts/EU Annual Accounts/DC - Cash and cash equivalents (xlsx)&quot; dsname=&quot;SAP Disclosure Management - Production&quot;&gt;&lt;VARIABLES /&gt;&lt;/BBOOK&gt;&lt;BBOOK bbname=&quot;2716&quot; bbdesc=&quot;2014 Annual Accounts/EU Annual Accounts/DC - Pension and other employee benefits (xlsx)&quot; dsname=&quot;SAP Disclosure Management - Production&quot;&gt;&lt;VARIABLES /&gt;&lt;/BBOOK&gt;&lt;BBOOK bbname=&quot;2539&quot; bbdesc=&quot;2014 Annual Accounts/EC Annual Accounts/DC - Pension and other employee benefits (xlsx)&quot; dsname=&quot;SAP Disclosure Management - Production&quot;&gt;&lt;VARIABLES /&gt;&lt;/BBOOK&gt;&lt;BBOOK bbname=&quot;2728&quot; bbdesc=&quot;2014 Annual Accounts/EU Annual Accounts/DC - Accrued charges and Deferred income (xlsx)&quot; dsname=&quot;SAP Disclosure Management - Production&quot;&gt;&lt;VARIABLES /&gt;&lt;/BBOOK&gt;&lt;BBOOK bbname=&quot;2719&quot; bbdesc=&quot;2014 Annual Accounts/EU Annual Accounts/DC - Provisions (xlsx)&quot; dsname=&quot;SAP Disclosure Management - Production&quot;&gt;&lt;VARIABLES /&gt;&lt;/BBOOK&gt;&lt;BBOOK bbname=&quot;2720&quot; bbdesc=&quot;2014 Annual Accounts/EU Annual Accounts/DC - Financial liabilities (xlsx)&quot; dsname=&quot;SAP Disclosure Management - Production&quot;&gt;&lt;VARIABLES /&gt;&lt;/BBOOK&gt;&lt;BBOOK bbname=&quot;2721&quot; bbdesc=&quot;2014 Annual Accounts/EU Annual Accounts/DC - Carrying amounts and fair value (xlsx)&quot; dsname=&quot;SAP Disclosure Management - Production&quot;&gt;&lt;VARIABLES /&gt;&lt;/BBOOK&gt;&lt;BBOOK bbname=&quot;2722&quot; bbdesc=&quot;2014 Annual Accounts/EU Annual Accounts/DC - Borrowings (xlsx)&quot; dsname=&quot;SAP Disclosure Management - Production&quot;&gt;&lt;VARIABLES /&gt;&lt;/BBOOK&gt;&lt;BBOOK bbname=&quot;2723&quot; bbdesc=&quot;2014 Annual Accounts/EU Annual Accounts/DC - Borrowings by Financial instruments LINKED TO EU (without ECSC Column) (xlsx)&quot; dsname=&quot;SAP Disclosure Management - Production&quot;&gt;&lt;VARIABLES /&gt;&lt;/BBOOK&gt;&lt;BBOOK bbname=&quot;2725&quot; bbdesc=&quot;2014 Annual Accounts/EU Annual Accounts/DC - Other financial liabilities (xlsx)&quot; dsname=&quot;SAP Disclosure Management - Production&quot;&gt;&lt;VARIABLES /&gt;&lt;/BBOOK&gt;&lt;BBOOK bbname=&quot;2726&quot; bbdesc=&quot;2014 Annual Accounts/EU Annual Accounts/DC - Finance Lease liabilities (xlsx)&quot; dsname=&quot;SAP Disclosure Management - Production&quot;&gt;&lt;VARIABLES /&gt;&lt;/BBOOK&gt;&lt;BBOOK bbname=&quot;2772&quot; bbdesc=&quot;2014 Annual Accounts/EU Annual Accounts/DC - Borrowings by Financial instruments (xlsx)&quot; dsname=&quot;SAP Disclosure Management - Production&quot;&gt;&lt;VARIABLES /&gt;&lt;/BBOOK&gt;&lt;BBOOK bbname=&quot;2542&quot; bbdesc=&quot;2014 Annual Accounts/EC Annual Accounts/DC - Borrowings (xlsx)&quot; dsname=&quot;SAP Disclosure Management - Production&quot;&gt;&lt;VARIABLES /&gt;&lt;/BBOOK&gt;&lt;BBOOK bbname=&quot;2727&quot; bbdesc=&quot;2014 Annual Accounts/EU Annual Accounts/DC - Payables (xlsx)&quot; dsname=&quot;SAP Disclosure Management - Production&quot;&gt;&lt;VARIABLES /&gt;&lt;/BBOOK&gt;&lt;BBOOK bbname=&quot;2458&quot; bbdesc=&quot;2014 Annual Accounts/EC Annual Accounts/DC - Payables (xlsx)&quot; dsname=&quot;SAP Disclosure Management - Production&quot;&gt;&lt;VARIABLES /&gt;&lt;/BBOOK&gt;&lt;BBOOK bbname=&quot;2729&quot; bbdesc=&quot;2014 Annual Accounts/EU Annual Accounts/DC - Reserves (xlsx)&quot; dsname=&quot;SAP Disclosure Management - Production&quot;&gt;&lt;VARIABLES /&gt;&lt;/BBOOK&gt;&lt;BBOOK bbname=&quot;2730&quot; bbdesc=&quot;2014 Annual Accounts/EU Annual Accounts/DC - Fair value movements of available for sale financial assets (xlsx)&quot; dsname=&quot;SAP Disclosure Management - Production&quot;&gt;&lt;VARIABLES /&gt;&lt;/BBOOK&gt;&lt;BBOOK bbname=&quot;2731&quot; bbdesc=&quot;2014 Annual Accounts/EU Annual Accounts/DC - Amounts to be called from member states (xlsx)&quot; dsname=&quot;SAP Disclosure Management - Production&quot;&gt;&lt;VARIABLES /&gt;&lt;/BBOOK&gt;&lt;BBOOK bbname=&quot;2548&quot; bbdesc=&quot;2014 Annual Accounts/EC Annual Accounts/DC - Traditional own resources (xlsx)&quot; dsname=&quot;SAP Disclosure Management - Production&quot;&gt;&lt;VARIABLES /&gt;&lt;/BBOOK&gt;&lt;BBOOK bbname=&quot;2732&quot; bbdesc=&quot;2014 Annual Accounts/EU Annual Accounts/DC - Traditional own resources (xlsx)&quot; dsname=&quot;SAP Disclosure Management - Production&quot;&gt;&lt;VARIABLES /&gt;&lt;/BBOOK&gt;&lt;BBOOK bbname=&quot;2549&quot; bbdesc=&quot;2014 Annual Accounts/EC Annual Accounts/DC - Recovery of expenses (xlsx)&quot; dsname=&quot;SAP Disclosure Management - Production&quot;&gt;&lt;VARIABLES /&gt;&lt;/BBOOK&gt;&lt;BBOOK bbname=&quot;2733&quot; bbdesc=&quot;2014 Annual Accounts/EU Annual Accounts/DC - Recovery of expenses (xlsx)&quot; dsname=&quot;SAP Disclosure Management - Production&quot;&gt;&lt;VARIABLES /&gt;&lt;/BBOOK&gt;&lt;BBOOK bbname=&quot;2485&quot; bbdesc=&quot;2014 Annual Accounts/EC Annual Accounts/DC - Other non-exchange revenue (xlsx)&quot; dsname=&quot;SAP Disclosure Management - Production&quot;&gt;&lt;VARIABLES /&gt;&lt;/BBOOK&gt;&lt;BBOOK bbname=&quot;2734&quot; bbdesc=&quot;2014 Annual Accounts/EU Annual Accounts/DC - Other non-exchange revenue (xlsx)&quot; dsname=&quot;SAP Disclosure Management - Production&quot;&gt;&lt;VARIABLES /&gt;&lt;/BBOOK&gt;&lt;BBOOK bbname=&quot;2735&quot; bbdesc=&quot;2014 Annual Accounts/EU Annual Accounts/DC - Financial income (xlsx)&quot; dsname=&quot;SAP Disclosure Management - Production&quot;&gt;&lt;VARIABLES /&gt;&lt;/BBOOK&gt;&lt;BBOOK bbname=&quot;2736&quot; bbdesc=&quot;2014 Annual Accounts/EU Annual Accounts/DC - Other exchange revenue (xlsx)&quot; dsname=&quot;SAP Disclosure Management - Production&quot;&gt;&lt;VARIABLES /&gt;&lt;/BBOOK&gt;&lt;BBOOK bbname=&quot;2737&quot; bbdesc=&quot;2014 Annual Accounts/EU Annual Accounts/DC - Shared Direct and Indirect Management (xlsx)&quot; dsname=&quot;SAP Disclosure Management - Production&quot;&gt;&lt;VARIABLES /&gt;&lt;/BBOOK&gt;&lt;BBOOK bbname=&quot;2489&quot; bbdesc=&quot;2014 Annual Accounts/EC Annual Accounts/DC - Shared Direct and Indirect Management (xlsx)&quot; dsname=&quot;SAP Disclosure Management - Production&quot;&gt;&lt;VARIABLES /&gt;&lt;/BBOOK&gt;&lt;BBOOK bbname=&quot;2741&quot; bbdesc=&quot;2014 Annual Accounts/EU Annual Accounts/DC - Staff and Pension costs (xlsx)&quot; dsname=&quot;SAP Disclosure Management - Production&quot;&gt;&lt;VARIABLES /&gt;&lt;/BBOOK&gt;&lt;BBOOK bbname=&quot;2743&quot; bbdesc=&quot;2014 Annual Accounts/EU Annual Accounts/DC - Finance costs (xlsx)&quot; dsname=&quot;SAP Disclosure Management - Production&quot;&gt;&lt;VARIABLES /&gt;&lt;/BBOOK&gt;&lt;BBOOK bbname=&quot;2744&quot; bbdesc=&quot;2014 Annual Accounts/EU Annual Accounts/DC - Other expenses (xlsx)&quot; dsname=&quot;SAP Disclosure Management - Production&quot;&gt;&lt;VARIABLES /&gt;&lt;/BBOOK&gt;&lt;BBOOK bbname=&quot;2745&quot; bbdesc=&quot;2014 Annual Accounts/EU Annual Accounts/DC - Property plant and equipment related expenses (xlsx)&quot; dsname=&quot;SAP Disclosure Management - Production&quot;&gt;&lt;VARIABLES /&gt;&lt;/BBOOK&gt;&lt;BBOOK bbname=&quot;2746&quot; bbdesc=&quot;2014 Annual Accounts/EU Annual Accounts/DC - Research and Development costs (xlsx)&quot; dsname=&quot;SAP Disclosure Management - Production&quot;&gt;&lt;VARIABLES /&gt;&lt;/BBOOK&gt;&lt;BBOOK bbname=&quot;2751&quot; bbdesc=&quot;2014 Annual Accounts/EU Annual Accounts/DC - Segment reporting by Multi Financial Framework Headings (xlsx)&quot; dsname=&quot;SAP Disclosure Management - Production&quot;&gt;&lt;VARIABLES /&gt;&lt;/BBOOK&gt;&lt;BBOOK bbname=&quot;3528&quot; bbdesc=&quot;2014 Annual Accounts/EU Annual Accounts/DC - Reclassification of 2013 figures (xlsx)&quot; dsname=&quot;SAP Disclosure Management - Production&quot;&gt;&lt;VARIABLES /&gt;&lt;/BBOOK&gt;&lt;BBOOK bbname=&quot;2752&quot; bbdesc=&quot;2014 Annual Accounts/EU Annual Accounts/DC - Contingent assets (xlsx)&quot; dsname=&quot;SAP Disclosure Management - Production&quot;&gt;&lt;VARIABLES /&gt;&lt;/BBOOK&gt;&lt;BBOOK bbname=&quot;2753&quot; bbdesc=&quot;2014 Annual Accounts/EU Annual Accounts/DC - Contingent liabilities (xlsx)&quot; dsname=&quot;SAP Disclosure Management - Production&quot;&gt;&lt;VARIABLES /&gt;&lt;/BBOOK&gt;&lt;BBOOK bbname=&quot;2754&quot; bbdesc=&quot;2014 Annual Accounts/EU Annual Accounts/DC - Guarantees given (xlsx)&quot; dsname=&quot;SAP Disclosure Management - Production&quot;&gt;&lt;VARIABLES /&gt;&lt;/BBOOK&gt;&lt;BBOOK bbname=&quot;2529&quot; bbdesc=&quot;2014 Annual Accounts/EC Annual Accounts/DC - Guarantees given (xlsx)&quot; dsname=&quot;SAP Disclosure Management - Production&quot;&gt;&lt;VARIABLES /&gt;&lt;/BBOOK&gt;&lt;BBOOK bbname=&quot;2758&quot; bbdesc=&quot;2014 Annual Accounts/EU Annual Accounts/DC - Outstanding commitments not yet expensed (xlsx)&quot; dsname=&quot;SAP Disclosure Management - Production&quot;&gt;&lt;VARIABLES /&gt;&lt;/BBOOK&gt;&lt;BBOOK bbname=&quot;2759&quot; bbdesc=&quot;2014 Annual Accounts/EU Annual Accounts/DC - Significant legal commitments (xlsx)&quot; dsname=&quot;SAP Disclosure Management - Production&quot;&gt;&lt;VARIABLES /&gt;&lt;/BBOOK&gt;&lt;BBOOK bbname=&quot;2531&quot; bbdesc=&quot;2014 Annual Accounts/EC Annual Accounts/DC - Significant legal commitments (xlsx)&quot; dsname=&quot;SAP Disclosure Management - Production&quot;&gt;&lt;VARIABLES /&gt;&lt;/BBOOK&gt;&lt;BBOOK bbname=&quot;2760&quot; bbdesc=&quot;2014 Annual Accounts/EU Annual Accounts/DC - Protection of the EU budget (xlsx)&quot; dsname=&quot;SAP Disclosure Management - Production&quot;&gt;&lt;VARIABLES /&gt;&lt;/BBOOK&gt;&lt;BBOOK bbname=&quot;2765&quot; bbdesc=&quot;2014 Annual Accounts/EU Annual Accounts/DC - Exposure of the EC to currency risk at year end (xlsx)&quot; dsname=&quot;SAP Disclosure Management - Production&quot;&gt;&lt;VARIABLES /&gt;&lt;/BBOOK&gt;&lt;BBOOK bbname=&quot;2766&quot; bbdesc=&quot;2014 Annual Accounts/EU Annual Accounts/DC - Interest rate risk (xlsx)&quot; dsname=&quot;SAP Disclosure Management - Production&quot;&gt;&lt;VARIABLES /&gt;&lt;/BBOOK&gt;&lt;BBOOK bbname=&quot;2767&quot; bbdesc=&quot;2014 Annual Accounts/EU Annual Accounts/DC - Credit risk (xlsx)&quot; dsname=&quot;SAP Disclosure Management - Production&quot;&gt;&lt;VARIABLES /&gt;&lt;/BBOOK&gt;&lt;BBOOK bbname=&quot;2768&quot; bbdesc=&quot;2014 Annual Accounts/EU Annual Accounts/DC - Maturity analysis of financial liabilities (xlsx)&quot; dsname=&quot;SAP Disclosure Management - Production&quot;&gt;&lt;VARIABLES /&gt;&lt;/BBOOK&gt;&lt;BBOOK bbname=&quot;2774&quot; bbdesc=&quot;2014 Annual Accounts/EU Annual Accounts/DC - Related party disclosures (xlsx)&quot; dsname=&quot;SAP Disclosure Management - Production&quot;&gt;&lt;VARIABLES /&gt;&lt;/BBOOK&gt;&lt;BBOOK bbname=&quot;2135&quot; bbdesc=&quot;2014 Annual Accounts/EDF Annual Accounts/DC - Balance sheet of the eighth ninth 10th and 11th EDF (xlsx)&quot; dsname=&quot;SAP Disclosure Management - Production&quot;&gt;&lt;VARIABLES /&gt;&lt;/BBOOK&gt;&lt;BBOOK bbname=&quot;2293&quot; bbdesc=&quot;2014 Annual Accounts/EDF Annual Accounts/DC - Aggregated balance sheet (xlsx)&quot; dsname=&quot;SAP Disclosure Management - Production&quot;&gt;&lt;VARIABLES /&gt;&lt;/BBOOK&gt;&lt;BBOOK bbname=&quot;2740&quot; bbdesc=&quot;2014 Annual Accounts/EU Annual Accounts/DC - Scope of consolidation EU (xlsx)&quot; dsname=&quot;SAP Disclosure Management - Production&quot;&gt;&lt;VARIABLES /&gt;&lt;/BBOOK&gt;&lt;BBOOK bbname=&quot;883&quot; bbdesc=&quot;2013 Annual Accounts/EU Annual Accounts/DC - Balance Sheet (xlsx)&quot; dsname=&quot;SAP Disclosure Management - Production&quot;&gt;&lt;VARIABLES /&gt;&lt;/BBOOK&gt;&lt;BBOOK bbname=&quot;862&quot; bbdesc=&quot;2013 Annual Accounts/EC Annual Accounts/DC - Result of implentation of the EU budget (xlsx)&quot; dsname=&quot;SAP Disclosure Management - Production&quot;&gt;&lt;VARIABLES /&gt;&lt;/BBOOK&gt;&lt;BBOOK bbname=&quot;869&quot; bbdesc=&quot;2013 Annual Accounts/EC Annual Accounts/DC - Implementation of EU budget revenue (xlsx)&quot; dsname=&quot;SAP Disclosure Management - Production&quot;&gt;&lt;VARIABLES /&gt;&lt;/BBOOK&gt;&lt;BBOOK bbname=&quot;871&quot; bbdesc=&quot;2013 Annual Accounts/EC Annual Accounts/DC - Implementation of EU budget expenditure (xlsx)&quot; dsname=&quot;SAP Disclosure Management - Production&quot;&gt;&lt;VARIABLES /&gt;&lt;/BBOOK&gt;&lt;BBOOK bbname=&quot;666&quot; bbdesc=&quot;2013 Annual Accounts/EU Annual Accounts/DC - Implementation of EU budget expenditure (xlsx)&quot; dsname=&quot;SAP Disclosure Management - Production&quot;&gt;&lt;VARIABLES /&gt;&lt;/BBOOK&gt;&lt;BBOOK bbname=&quot;534&quot; bbdesc=&quot;2013 Annual Accounts/EC Annual Accounts/DC - Finance Lease PPE (xlsx)&quot; dsname=&quot;SAP Disclosure Management - Production&quot;&gt;&lt;VARIABLES /&gt;&lt;/BBOOK&gt;&lt;BBOOK bbname=&quot;910&quot; bbdesc=&quot;2013 Annual Accounts/EC Annual Accounts/DC - Operating lease (xlsx)&quot; dsname=&quot;SAP Disclosure Management - Production&quot;&gt;&lt;VARIABLES /&gt;&lt;/BBOOK&gt;&lt;BBOOK bbname=&quot;1218&quot; bbdesc=&quot;2013 Annual Accounts/EU Annual Accounts/DC - Non current financial liabilities (xlsx)&quot; dsname=&quot;SAP Disclosure Management - Production&quot;&gt;&lt;VARIABLES /&gt;&lt;/BBOOK&gt;&lt;BBOOK bbname=&quot;886&quot; bbdesc=&quot;2013 Annual Accounts/EU Annual Accounts/Upload Trial Balance ECCS 2013 (xlsx)&quot; dsname=&quot;SAP Disclosure Management - Production&quot;&gt;&lt;VARIABLES /&gt;&lt;/BBOOK&gt;&lt;BBOOK bbname=&quot;1247&quot; bbdesc=&quot;2013 Annual Accounts/EU Annual Accounts/DC - Member states receivables EU (xlsx)&quot; dsname=&quot;SAP Disclosure Management - Production&quot;&gt;&lt;VARIABLES /&gt;&lt;/BBOOK&gt;&lt;BBOOK bbname=&quot;1011&quot; bbdesc=&quot;2013 Annual Accounts/EEAS Annual Accounts/DC - Payables (xlsx)&quot; dsname=&quot;SAP Disclosure Management - Production&quot;&gt;&lt;VARIABLES /&gt;&lt;/BBOOK&gt;&lt;BBOOK bbname=&quot;884&quot; bbdesc=&quot;2013 Annual Accounts/EU Annual Accounts/DC - Statement of financial performance (xlsx)&quot; dsname=&quot;SAP Disclosure Management - Production&quot;&gt;&lt;VARIABLES /&gt;&lt;/BBOOK&gt;&lt;BBOOK bbname=&quot;1252&quot; bbdesc=&quot;2013 Annual Accounts/EU Annual Accounts/DC - Institutions and agencies (xlsx)&quot; dsname=&quot;SAP Disclosure Management - Production&quot;&gt;&lt;VARIABLES /&gt;&lt;/BBOOK&gt;&lt;BBOOK bbname=&quot;3466&quot; bbdesc=&quot;2014 Annual Accounts/EU Annual Accounts/DC - Result of implementation of the EU budget (xlsx)&quot; dsname=&quot;SAP Disclosure Management - Production&quot;&gt;&lt;VARIABLES /&gt;&lt;/BBOOK&gt;&lt;BBOOK bbname=&quot;3474&quot; bbdesc=&quot;2014 Annual Accounts/EU Annual Accounts/DC - Implementation of EU budget expenditure (xlsx)&quot; dsname=&quot;SAP Disclosure Management - Production&quot;&gt;&lt;VARIABLES /&gt;&lt;/BBOOK&gt;&lt;BBOOK bbname=&quot;3472&quot; bbdesc=&quot;2014 Annual Accounts/EU Annual Accounts/DC - Implementation of EU budget revenue (xlsx)&quot; dsname=&quot;SAP Disclosure Management - Production&quot;&gt;&lt;VARIABLES /&gt;&lt;/BBOOK&gt;&lt;BBOOK bbname=&quot;3476&quot; bbdesc=&quot;2014 Annual Accounts/EU Annual Accounts/DC - Institutions and agencies (xlsx)&quot; dsname=&quot;SAP Disclosure Management - Production&quot;&gt;&lt;VARIABLES /&gt;&lt;/BBOOK&gt;&lt;/BBOOKS&gt;"/>
    <w:docVar w:name="COVERPAGE_EXISTS" w:val="True"/>
    <w:docVar w:name="DM_WB_C2597_METADATA" w:val="&lt;ChapterMetadata&gt;&lt;ChapterId&gt;2597&lt;/ChapterId&gt;&lt;ChapterName&gt;Cover and first page&lt;/ChapterName&gt;&lt;ChapterNoOfPages&gt;-1&lt;/ChapterNoOfPages&gt;&lt;ChapterVersion&gt;5&lt;/ChapterVersion&gt;&lt;/ChapterMetadata&gt;"/>
    <w:docVar w:name="DM_WB_C2598_METADATA" w:val="&lt;ChapterMetadata&gt;&lt;ChapterId&gt;2598&lt;/ChapterId&gt;&lt;ChapterName&gt;Table of contents (1)&lt;/ChapterName&gt;&lt;ChapterNoOfPages&gt;-1&lt;/ChapterNoOfPages&gt;&lt;ChapterVersion&gt;5&lt;/ChapterVersion&gt;&lt;/ChapterMetadata&gt;"/>
    <w:docVar w:name="DM_WB_C2599_METADATA" w:val="&lt;ChapterMetadata&gt;&lt;ChapterId&gt;2599&lt;/ChapterId&gt;&lt;ChapterName&gt;Consolidated financial statements and explanatory notes&lt;/ChapterName&gt;&lt;ChapterNoOfPages&gt;-1&lt;/ChapterNoOfPages&gt;&lt;ChapterVersion&gt;5&lt;/ChapterVersion&gt;&lt;/ChapterMetadata&gt;"/>
    <w:docVar w:name="DM_WB_C2600_METADATA" w:val="&lt;ChapterMetadata&gt;&lt;ChapterId&gt;2600&lt;/ChapterId&gt;&lt;ChapterName&gt;Notes to the financial statements&lt;/ChapterName&gt;&lt;ChapterNoOfPages&gt;-1&lt;/ChapterNoOfPages&gt;&lt;ChapterVersion&gt;3&lt;/ChapterVersion&gt;&lt;/ChapterMetadata&gt;"/>
    <w:docVar w:name="DM_WB_C2601_METADATA" w:val="&lt;ChapterMetadata&gt;&lt;ChapterId&gt;2601&lt;/ChapterId&gt;&lt;ChapterName&gt;Significant accounting policies&lt;/ChapterName&gt;&lt;ChapterNoOfPages&gt;-1&lt;/ChapterNoOfPages&gt;&lt;ChapterVersion&gt;81&lt;/ChapterVersion&gt;&lt;/ChapterMetadata&gt;"/>
    <w:docVar w:name="DM_WB_C2602_METADATA" w:val="&lt;ChapterMetadata&gt;&lt;ChapterId&gt;2602&lt;/ChapterId&gt;&lt;ChapterName&gt;Notes to the balance sheet&lt;/ChapterName&gt;&lt;ChapterNoOfPages&gt;-1&lt;/ChapterNoOfPages&gt;&lt;ChapterVersion&gt;4&lt;/ChapterVersion&gt;&lt;/ChapterMetadata&gt;"/>
    <w:docVar w:name="DM_WB_C2603_METADATA" w:val="&lt;ChapterMetadata&gt;&lt;ChapterId&gt;2603&lt;/ChapterId&gt;&lt;ChapterName&gt;Notes to the statement of financial performance&lt;/ChapterName&gt;&lt;ChapterNoOfPages&gt;-1&lt;/ChapterNoOfPages&gt;&lt;ChapterVersion&gt;5&lt;/ChapterVersion&gt;&lt;/ChapterMetadata&gt;"/>
    <w:docVar w:name="DM_WB_C2604_METADATA" w:val="&lt;ChapterMetadata&gt;&lt;ChapterId&gt;2604&lt;/ChapterId&gt;&lt;ChapterName&gt;Notes to the cashflow statement&lt;/ChapterName&gt;&lt;ChapterNoOfPages&gt;-1&lt;/ChapterNoOfPages&gt;&lt;ChapterVersion&gt;6&lt;/ChapterVersion&gt;&lt;/ChapterMetadata&gt;"/>
    <w:docVar w:name="DM_WB_C2605_METADATA" w:val="&lt;ChapterMetadata&gt;&lt;ChapterId&gt;2605&lt;/ChapterId&gt;&lt;ChapterName&gt;Contingent assets and liabilities and other significant disclosures&lt;/ChapterName&gt;&lt;ChapterNoOfPages&gt;-1&lt;/ChapterNoOfPages&gt;&lt;ChapterVersion&gt;4&lt;/ChapterVersion&gt;&lt;/ChapterMetadata&gt;"/>
    <w:docVar w:name="DM_WB_C2606_METADATA" w:val="&lt;ChapterMetadata&gt;&lt;ChapterId&gt;2606&lt;/ChapterId&gt;&lt;ChapterName&gt;Protection of the EU Budget&lt;/ChapterName&gt;&lt;ChapterNoOfPages&gt;-1&lt;/ChapterNoOfPages&gt;&lt;ChapterVersion&gt;64&lt;/ChapterVersion&gt;&lt;/ChapterMetadata&gt;"/>
    <w:docVar w:name="DM_WB_C2608_METADATA" w:val="&lt;ChapterMetadata&gt;&lt;ChapterId&gt;2608&lt;/ChapterId&gt;&lt;ChapterName&gt;Financial risk management&lt;/ChapterName&gt;&lt;ChapterNoOfPages&gt;-1&lt;/ChapterNoOfPages&gt;&lt;ChapterVersion&gt;21&lt;/ChapterVersion&gt;&lt;/ChapterMetadata&gt;"/>
    <w:docVar w:name="DM_WB_C2609_METADATA" w:val="&lt;ChapterMetadata&gt;&lt;ChapterId&gt;2609&lt;/ChapterId&gt;&lt;ChapterName&gt;Related party disclosures&lt;/ChapterName&gt;&lt;ChapterNoOfPages&gt;-1&lt;/ChapterNoOfPages&gt;&lt;ChapterVersion&gt;23&lt;/ChapterVersion&gt;&lt;/ChapterMetadata&gt;"/>
    <w:docVar w:name="DM_WB_C2610_METADATA" w:val="&lt;ChapterMetadata&gt;&lt;ChapterId&gt;2610&lt;/ChapterId&gt;&lt;ChapterName&gt;Events after balance sheet date&lt;/ChapterName&gt;&lt;ChapterNoOfPages&gt;-1&lt;/ChapterNoOfPages&gt;&lt;ChapterVersion&gt;5&lt;/ChapterVersion&gt;&lt;/ChapterMetadata&gt;"/>
    <w:docVar w:name="DM_WB_C2612_METADATA" w:val="&lt;ChapterMetadata&gt;&lt;ChapterId&gt;2612&lt;/ChapterId&gt;&lt;ChapterName&gt;Financial statements discussion document&lt;/ChapterName&gt;&lt;ChapterNoOfPages&gt;-1&lt;/ChapterNoOfPages&gt;&lt;ChapterVersion&gt;168&lt;/ChapterVersion&gt;&lt;/ChapterMetadata&gt;"/>
    <w:docVar w:name="DM_WB_C2613_METADATA" w:val="&lt;ChapterMetadata&gt;&lt;ChapterId&gt;2613&lt;/ChapterId&gt;&lt;ChapterName&gt;Table of contents (2)&lt;/ChapterName&gt;&lt;ChapterNoOfPages&gt;-1&lt;/ChapterNoOfPages&gt;&lt;ChapterVersion&gt;5&lt;/ChapterVersion&gt;&lt;/ChapterMetadata&gt;"/>
    <w:docVar w:name="DM_WB_C2614_METADATA" w:val="&lt;ChapterMetadata&gt;&lt;ChapterId&gt;2614&lt;/ChapterId&gt;&lt;ChapterName&gt;Balance sheet&lt;/ChapterName&gt;&lt;ChapterNoOfPages&gt;-1&lt;/ChapterNoOfPages&gt;&lt;ChapterVersion&gt;32&lt;/ChapterVersion&gt;&lt;/ChapterMetadata&gt;"/>
    <w:docVar w:name="DM_WB_C2615_METADATA" w:val="&lt;ChapterMetadata&gt;&lt;ChapterId&gt;2615&lt;/ChapterId&gt;&lt;ChapterName&gt;Statement of financial performance&lt;/ChapterName&gt;&lt;ChapterNoOfPages&gt;-1&lt;/ChapterNoOfPages&gt;&lt;ChapterVersion&gt;51&lt;/ChapterVersion&gt;&lt;/ChapterMetadata&gt;"/>
    <w:docVar w:name="DM_WB_C2616_METADATA" w:val="&lt;ChapterMetadata&gt;&lt;ChapterId&gt;2616&lt;/ChapterId&gt;&lt;ChapterName&gt;Cashflow statement&lt;/ChapterName&gt;&lt;ChapterNoOfPages&gt;-1&lt;/ChapterNoOfPages&gt;&lt;ChapterVersion&gt;26&lt;/ChapterVersion&gt;&lt;/ChapterMetadata&gt;"/>
    <w:docVar w:name="DM_WB_C2617_METADATA" w:val="&lt;ChapterMetadata&gt;&lt;ChapterId&gt;2617&lt;/ChapterId&gt;&lt;ChapterName&gt;Statement of changes in net assets&lt;/ChapterName&gt;&lt;ChapterNoOfPages&gt;-1&lt;/ChapterNoOfPages&gt;&lt;ChapterVersion&gt;20&lt;/ChapterVersion&gt;&lt;/ChapterMetadata&gt;"/>
    <w:docVar w:name="DM_WB_C2622_METADATA" w:val="&lt;ChapterMetadata&gt;&lt;ChapterId&gt;2622&lt;/ChapterId&gt;&lt;ChapterName&gt;Assets&lt;/ChapterName&gt;&lt;ChapterNoOfPages&gt;-1&lt;/ChapterNoOfPages&gt;&lt;ChapterVersion&gt;5&lt;/ChapterVersion&gt;&lt;/ChapterMetadata&gt;"/>
    <w:docVar w:name="DM_WB_C2623_METADATA" w:val="&lt;ChapterMetadata&gt;&lt;ChapterId&gt;2623&lt;/ChapterId&gt;&lt;ChapterName&gt;Intangible assets&lt;/ChapterName&gt;&lt;ChapterNoOfPages&gt;-1&lt;/ChapterNoOfPages&gt;&lt;ChapterVersion&gt;26&lt;/ChapterVersion&gt;&lt;/ChapterMetadata&gt;"/>
    <w:docVar w:name="DM_WB_C2624_METADATA" w:val="&lt;ChapterMetadata&gt;&lt;ChapterId&gt;2624&lt;/ChapterId&gt;&lt;ChapterName&gt;Property plant and equipment TEXT&lt;/ChapterName&gt;&lt;ChapterNoOfPages&gt;-1&lt;/ChapterNoOfPages&gt;&lt;ChapterVersion&gt;22&lt;/ChapterVersion&gt;&lt;/ChapterMetadata&gt;"/>
    <w:docVar w:name="DM_WB_C2625_METADATA" w:val="&lt;ChapterMetadata&gt;&lt;ChapterId&gt;2625&lt;/ChapterId&gt;&lt;ChapterName&gt;Investments accounted for using the equity method&lt;/ChapterName&gt;&lt;ChapterNoOfPages&gt;-1&lt;/ChapterNoOfPages&gt;&lt;ChapterVersion&gt;45&lt;/ChapterVersion&gt;&lt;/ChapterMetadata&gt;"/>
    <w:docVar w:name="DM_WB_C2626_METADATA" w:val="&lt;ChapterMetadata&gt;&lt;ChapterId&gt;2626&lt;/ChapterId&gt;&lt;ChapterName&gt;Financial assets&lt;/ChapterName&gt;&lt;ChapterNoOfPages&gt;-1&lt;/ChapterNoOfPages&gt;&lt;ChapterVersion&gt;88&lt;/ChapterVersion&gt;&lt;/ChapterMetadata&gt;"/>
    <w:docVar w:name="DM_WB_C2627_METADATA" w:val="&lt;ChapterMetadata&gt;&lt;ChapterId&gt;2627&lt;/ChapterId&gt;&lt;ChapterName&gt;Pre-financing&lt;/ChapterName&gt;&lt;ChapterNoOfPages&gt;-1&lt;/ChapterNoOfPages&gt;&lt;ChapterVersion&gt;81&lt;/ChapterVersion&gt;&lt;/ChapterMetadata&gt;"/>
    <w:docVar w:name="DM_WB_C2628_METADATA" w:val="&lt;ChapterMetadata&gt;&lt;ChapterId&gt;2628&lt;/ChapterId&gt;&lt;ChapterName&gt;Exchange receivables and non-exchange recoverables&lt;/ChapterName&gt;&lt;ChapterNoOfPages&gt;-1&lt;/ChapterNoOfPages&gt;&lt;ChapterVersion&gt;68&lt;/ChapterVersion&gt;&lt;/ChapterMetadata&gt;"/>
    <w:docVar w:name="DM_WB_C2629_METADATA" w:val="&lt;ChapterMetadata&gt;&lt;ChapterId&gt;2629&lt;/ChapterId&gt;&lt;ChapterName&gt;Inventories&lt;/ChapterName&gt;&lt;ChapterNoOfPages&gt;-1&lt;/ChapterNoOfPages&gt;&lt;ChapterVersion&gt;15&lt;/ChapterVersion&gt;&lt;/ChapterMetadata&gt;"/>
    <w:docVar w:name="DM_WB_C2630_METADATA" w:val="&lt;ChapterMetadata&gt;&lt;ChapterId&gt;2630&lt;/ChapterId&gt;&lt;ChapterName&gt;Cash and cash equivalents&lt;/ChapterName&gt;&lt;ChapterNoOfPages&gt;-1&lt;/ChapterNoOfPages&gt;&lt;ChapterVersion&gt;35&lt;/ChapterVersion&gt;&lt;/ChapterMetadata&gt;"/>
    <w:docVar w:name="DM_WB_C2631_METADATA" w:val="&lt;ChapterMetadata&gt;&lt;ChapterId&gt;2631&lt;/ChapterId&gt;&lt;ChapterName&gt;Liabilities&lt;/ChapterName&gt;&lt;ChapterNoOfPages&gt;-1&lt;/ChapterNoOfPages&gt;&lt;ChapterVersion&gt;5&lt;/ChapterVersion&gt;&lt;/ChapterMetadata&gt;"/>
    <w:docVar w:name="DM_WB_C2632_METADATA" w:val="&lt;ChapterMetadata&gt;&lt;ChapterId&gt;2632&lt;/ChapterId&gt;&lt;ChapterName&gt;Pension and other employee benefits&lt;/ChapterName&gt;&lt;ChapterNoOfPages&gt;-1&lt;/ChapterNoOfPages&gt;&lt;ChapterVersion&gt;57&lt;/ChapterVersion&gt;&lt;/ChapterMetadata&gt;"/>
    <w:docVar w:name="DM_WB_C2633_METADATA" w:val="&lt;ChapterMetadata&gt;&lt;ChapterId&gt;2633&lt;/ChapterId&gt;&lt;ChapterName&gt;Provisions&lt;/ChapterName&gt;&lt;ChapterNoOfPages&gt;-1&lt;/ChapterNoOfPages&gt;&lt;ChapterVersion&gt;36&lt;/ChapterVersion&gt;&lt;/ChapterMetadata&gt;"/>
    <w:docVar w:name="DM_WB_C2634_METADATA" w:val="&lt;ChapterMetadata&gt;&lt;ChapterId&gt;2634&lt;/ChapterId&gt;&lt;ChapterName&gt;Financial liabilities&lt;/ChapterName&gt;&lt;ChapterNoOfPages&gt;-1&lt;/ChapterNoOfPages&gt;&lt;ChapterVersion&gt;50&lt;/ChapterVersion&gt;&lt;/ChapterMetadata&gt;"/>
    <w:docVar w:name="DM_WB_C2635_METADATA" w:val="&lt;ChapterMetadata&gt;&lt;ChapterId&gt;2635&lt;/ChapterId&gt;&lt;ChapterName&gt;Payables&lt;/ChapterName&gt;&lt;ChapterNoOfPages&gt;-1&lt;/ChapterNoOfPages&gt;&lt;ChapterVersion&gt;54&lt;/ChapterVersion&gt;&lt;/ChapterMetadata&gt;"/>
    <w:docVar w:name="DM_WB_C2636_METADATA" w:val="&lt;ChapterMetadata&gt;&lt;ChapterId&gt;2636&lt;/ChapterId&gt;&lt;ChapterName&gt;Accrued charges and deferred income&lt;/ChapterName&gt;&lt;ChapterNoOfPages&gt;-1&lt;/ChapterNoOfPages&gt;&lt;ChapterVersion&gt;24&lt;/ChapterVersion&gt;&lt;/ChapterMetadata&gt;"/>
    <w:docVar w:name="DM_WB_C2637_METADATA" w:val="&lt;ChapterMetadata&gt;&lt;ChapterId&gt;2637&lt;/ChapterId&gt;&lt;ChapterName&gt;Net assets - Reserves&lt;/ChapterName&gt;&lt;ChapterNoOfPages&gt;-1&lt;/ChapterNoOfPages&gt;&lt;ChapterVersion&gt;30&lt;/ChapterVersion&gt;&lt;/ChapterMetadata&gt;"/>
    <w:docVar w:name="DM_WB_C2638_METADATA" w:val="&lt;ChapterMetadata&gt;&lt;ChapterId&gt;2638&lt;/ChapterId&gt;&lt;ChapterName&gt;Net assets - Amounts to be called from member states&lt;/ChapterName&gt;&lt;ChapterNoOfPages&gt;-1&lt;/ChapterNoOfPages&gt;&lt;ChapterVersion&gt;22&lt;/ChapterVersion&gt;&lt;/ChapterMetadata&gt;"/>
    <w:docVar w:name="DM_WB_C2639_METADATA" w:val="&lt;ChapterMetadata&gt;&lt;ChapterId&gt;2639&lt;/ChapterId&gt;&lt;ChapterName&gt;Reclassification of 2013 figures&lt;/ChapterName&gt;&lt;ChapterNoOfPages&gt;-1&lt;/ChapterNoOfPages&gt;&lt;ChapterVersion&gt;35&lt;/ChapterVersion&gt;&lt;/ChapterMetadata&gt;"/>
    <w:docVar w:name="DM_WB_C2640_METADATA" w:val="&lt;ChapterMetadata&gt;&lt;ChapterId&gt;2640&lt;/ChapterId&gt;&lt;ChapterName&gt;Non-exchange revenue TAXES&lt;/ChapterName&gt;&lt;ChapterNoOfPages&gt;-1&lt;/ChapterNoOfPages&gt;&lt;ChapterVersion&gt;8&lt;/ChapterVersion&gt;&lt;/ChapterMetadata&gt;"/>
    <w:docVar w:name="DM_WB_C2641_METADATA" w:val="&lt;ChapterMetadata&gt;&lt;ChapterId&gt;2641&lt;/ChapterId&gt;&lt;ChapterName&gt;GNI resources revenue&lt;/ChapterName&gt;&lt;ChapterNoOfPages&gt;-1&lt;/ChapterNoOfPages&gt;&lt;ChapterVersion&gt;10&lt;/ChapterVersion&gt;&lt;/ChapterMetadata&gt;"/>
    <w:docVar w:name="DM_WB_C2642_METADATA" w:val="&lt;ChapterMetadata&gt;&lt;ChapterId&gt;2642&lt;/ChapterId&gt;&lt;ChapterName&gt;Traditional own resources&lt;/ChapterName&gt;&lt;ChapterNoOfPages&gt;-1&lt;/ChapterNoOfPages&gt;&lt;ChapterVersion&gt;26&lt;/ChapterVersion&gt;&lt;/ChapterMetadata&gt;"/>
    <w:docVar w:name="DM_WB_C2643_METADATA" w:val="&lt;ChapterMetadata&gt;&lt;ChapterId&gt;2643&lt;/ChapterId&gt;&lt;ChapterName&gt;VAT resources&lt;/ChapterName&gt;&lt;ChapterNoOfPages&gt;-1&lt;/ChapterNoOfPages&gt;&lt;ChapterVersion&gt;15&lt;/ChapterVersion&gt;&lt;/ChapterMetadata&gt;"/>
    <w:docVar w:name="DM_WB_C2644_METADATA" w:val="&lt;ChapterMetadata&gt;&lt;ChapterId&gt;2644&lt;/ChapterId&gt;&lt;ChapterName&gt;Non-exchange revenue TRANSFERS&lt;/ChapterName&gt;&lt;ChapterNoOfPages&gt;-1&lt;/ChapterNoOfPages&gt;&lt;ChapterVersion&gt;6&lt;/ChapterVersion&gt;&lt;/ChapterMetadata&gt;"/>
    <w:docVar w:name="DM_WB_C2645_METADATA" w:val="&lt;ChapterMetadata&gt;&lt;ChapterId&gt;2645&lt;/ChapterId&gt;&lt;ChapterName&gt;Fines&lt;/ChapterName&gt;&lt;ChapterNoOfPages&gt;-1&lt;/ChapterNoOfPages&gt;&lt;ChapterVersion&gt;10&lt;/ChapterVersion&gt;&lt;/ChapterMetadata&gt;"/>
    <w:docVar w:name="DM_WB_C2646_METADATA" w:val="&lt;ChapterMetadata&gt;&lt;ChapterId&gt;2646&lt;/ChapterId&gt;&lt;ChapterName&gt;Recovery of expenses&lt;/ChapterName&gt;&lt;ChapterNoOfPages&gt;-1&lt;/ChapterNoOfPages&gt;&lt;ChapterVersion&gt;31&lt;/ChapterVersion&gt;&lt;/ChapterMetadata&gt;"/>
    <w:docVar w:name="DM_WB_C2647_METADATA" w:val="&lt;ChapterMetadata&gt;&lt;ChapterId&gt;2647&lt;/ChapterId&gt;&lt;ChapterName&gt;Other non-exchange revenue&lt;/ChapterName&gt;&lt;ChapterNoOfPages&gt;-1&lt;/ChapterNoOfPages&gt;&lt;ChapterVersion&gt;38&lt;/ChapterVersion&gt;&lt;/ChapterMetadata&gt;"/>
    <w:docVar w:name="DM_WB_C2648_METADATA" w:val="&lt;ChapterMetadata&gt;&lt;ChapterId&gt;2648&lt;/ChapterId&gt;&lt;ChapterName&gt;Exchange revenue&lt;/ChapterName&gt;&lt;ChapterNoOfPages&gt;-1&lt;/ChapterNoOfPages&gt;&lt;ChapterVersion&gt;5&lt;/ChapterVersion&gt;&lt;/ChapterMetadata&gt;"/>
    <w:docVar w:name="DM_WB_C2649_METADATA" w:val="&lt;ChapterMetadata&gt;&lt;ChapterId&gt;2649&lt;/ChapterId&gt;&lt;ChapterName&gt;Financial income&lt;/ChapterName&gt;&lt;ChapterNoOfPages&gt;-1&lt;/ChapterNoOfPages&gt;&lt;ChapterVersion&gt;28&lt;/ChapterVersion&gt;&lt;/ChapterMetadata&gt;"/>
    <w:docVar w:name="DM_WB_C2650_METADATA" w:val="&lt;ChapterMetadata&gt;&lt;ChapterId&gt;2650&lt;/ChapterId&gt;&lt;ChapterName&gt;Other exchange revenue&lt;/ChapterName&gt;&lt;ChapterNoOfPages&gt;-1&lt;/ChapterNoOfPages&gt;&lt;ChapterVersion&gt;30&lt;/ChapterVersion&gt;&lt;/ChapterMetadata&gt;"/>
    <w:docVar w:name="DM_WB_C2651_METADATA" w:val="&lt;ChapterMetadata&gt;&lt;ChapterId&gt;2651&lt;/ChapterId&gt;&lt;ChapterName&gt;Expenses - Transfer payments and subsidies by management mode&lt;/ChapterName&gt;&lt;ChapterNoOfPages&gt;-1&lt;/ChapterNoOfPages&gt;&lt;ChapterVersion&gt;6&lt;/ChapterVersion&gt;&lt;/ChapterMetadata&gt;"/>
    <w:docVar w:name="DM_WB_C2652_METADATA" w:val="&lt;ChapterMetadata&gt;&lt;ChapterId&gt;2652&lt;/ChapterId&gt;&lt;ChapterName&gt;Shared management&lt;/ChapterName&gt;&lt;ChapterNoOfPages&gt;-1&lt;/ChapterNoOfPages&gt;&lt;ChapterVersion&gt;31&lt;/ChapterVersion&gt;&lt;/ChapterMetadata&gt;"/>
    <w:docVar w:name="DM_WB_C2653_METADATA" w:val="&lt;ChapterMetadata&gt;&lt;ChapterId&gt;2653&lt;/ChapterId&gt;&lt;ChapterName&gt;Direct management&lt;/ChapterName&gt;&lt;ChapterNoOfPages&gt;-1&lt;/ChapterNoOfPages&gt;&lt;ChapterVersion&gt;24&lt;/ChapterVersion&gt;&lt;/ChapterMetadata&gt;"/>
    <w:docVar w:name="DM_WB_C2654_METADATA" w:val="&lt;ChapterMetadata&gt;&lt;ChapterId&gt;2654&lt;/ChapterId&gt;&lt;ChapterName&gt;Indirect management&lt;/ChapterName&gt;&lt;ChapterNoOfPages&gt;-1&lt;/ChapterNoOfPages&gt;&lt;ChapterVersion&gt;19&lt;/ChapterVersion&gt;&lt;/ChapterMetadata&gt;"/>
    <w:docVar w:name="DM_WB_C2655_METADATA" w:val="&lt;ChapterMetadata&gt;&lt;ChapterId&gt;2655&lt;/ChapterId&gt;&lt;ChapterName&gt;Staff and pension costs&lt;/ChapterName&gt;&lt;ChapterNoOfPages&gt;-1&lt;/ChapterNoOfPages&gt;&lt;ChapterVersion&gt;20&lt;/ChapterVersion&gt;&lt;/ChapterMetadata&gt;"/>
    <w:docVar w:name="DM_WB_C2656_METADATA" w:val="&lt;ChapterMetadata&gt;&lt;ChapterId&gt;2656&lt;/ChapterId&gt;&lt;ChapterName&gt;Changes in employee benefits actuarial assumptions&lt;/ChapterName&gt;&lt;ChapterNoOfPages&gt;-1&lt;/ChapterNoOfPages&gt;&lt;ChapterVersion&gt;13&lt;/ChapterVersion&gt;&lt;/ChapterMetadata&gt;"/>
    <w:docVar w:name="DM_WB_C2657_METADATA" w:val="&lt;ChapterMetadata&gt;&lt;ChapterId&gt;2657&lt;/ChapterId&gt;&lt;ChapterName&gt;Finance costs&lt;/ChapterName&gt;&lt;ChapterNoOfPages&gt;-1&lt;/ChapterNoOfPages&gt;&lt;ChapterVersion&gt;31&lt;/ChapterVersion&gt;&lt;/ChapterMetadata&gt;"/>
    <w:docVar w:name="DM_WB_C2658_METADATA" w:val="&lt;ChapterMetadata&gt;&lt;ChapterId&gt;2658&lt;/ChapterId&gt;&lt;ChapterName&gt;Share of net deficit of joint ventures and associates&lt;/ChapterName&gt;&lt;ChapterNoOfPages&gt;-1&lt;/ChapterNoOfPages&gt;&lt;ChapterVersion&gt;6&lt;/ChapterVersion&gt;&lt;/ChapterMetadata&gt;"/>
    <w:docVar w:name="DM_WB_C2659_METADATA" w:val="&lt;ChapterMetadata&gt;&lt;ChapterId&gt;2659&lt;/ChapterId&gt;&lt;ChapterName&gt;Other expenses&lt;/ChapterName&gt;&lt;ChapterNoOfPages&gt;-1&lt;/ChapterNoOfPages&gt;&lt;ChapterVersion&gt;39&lt;/ChapterVersion&gt;&lt;/ChapterMetadata&gt;"/>
    <w:docVar w:name="DM_WB_C2660_METADATA" w:val="&lt;ChapterMetadata&gt;&lt;ChapterId&gt;2660&lt;/ChapterId&gt;&lt;ChapterName&gt;Segment reporting by multi financial framework headings&lt;/ChapterName&gt;&lt;ChapterNoOfPages&gt;-1&lt;/ChapterNoOfPages&gt;&lt;ChapterVersion&gt;35&lt;/ChapterVersion&gt;&lt;/ChapterMetadata&gt;"/>
    <w:docVar w:name="DM_WB_C2661_METADATA" w:val="&lt;ChapterMetadata&gt;&lt;ChapterId&gt;2661&lt;/ChapterId&gt;&lt;ChapterName&gt;Contingent assets&lt;/ChapterName&gt;&lt;ChapterNoOfPages&gt;-1&lt;/ChapterNoOfPages&gt;&lt;ChapterVersion&gt;16&lt;/ChapterVersion&gt;&lt;/ChapterMetadata&gt;"/>
    <w:docVar w:name="DM_WB_C2662_METADATA" w:val="&lt;ChapterMetadata&gt;&lt;ChapterId&gt;2662&lt;/ChapterId&gt;&lt;ChapterName&gt;Contingent liabilities&lt;/ChapterName&gt;&lt;ChapterNoOfPages&gt;-1&lt;/ChapterNoOfPages&gt;&lt;ChapterVersion&gt;35&lt;/ChapterVersion&gt;&lt;/ChapterMetadata&gt;"/>
    <w:docVar w:name="DM_WB_C2663_METADATA" w:val="&lt;ChapterMetadata&gt;&lt;ChapterId&gt;2663&lt;/ChapterId&gt;&lt;ChapterName&gt;Other significant disclosures&lt;/ChapterName&gt;&lt;ChapterNoOfPages&gt;-1&lt;/ChapterNoOfPages&gt;&lt;ChapterVersion&gt;38&lt;/ChapterVersion&gt;&lt;/ChapterMetadata&gt;"/>
    <w:docVar w:name="DM_WB_C2664_METADATA" w:val="&lt;ChapterMetadata&gt;&lt;ChapterId&gt;2664&lt;/ChapterId&gt;&lt;ChapterName&gt;Currency risks&lt;/ChapterName&gt;&lt;ChapterNoOfPages&gt;-1&lt;/ChapterNoOfPages&gt;&lt;ChapterVersion&gt;29&lt;/ChapterVersion&gt;&lt;/ChapterMetadata&gt;"/>
    <w:docVar w:name="DM_WB_C2665_METADATA" w:val="&lt;ChapterMetadata&gt;&lt;ChapterId&gt;2665&lt;/ChapterId&gt;&lt;ChapterName&gt;Interest rate risk&lt;/ChapterName&gt;&lt;ChapterNoOfPages&gt;-1&lt;/ChapterNoOfPages&gt;&lt;ChapterVersion&gt;27&lt;/ChapterVersion&gt;&lt;/ChapterMetadata&gt;"/>
    <w:docVar w:name="DM_WB_C2666_METADATA" w:val="&lt;ChapterMetadata&gt;&lt;ChapterId&gt;2666&lt;/ChapterId&gt;&lt;ChapterName&gt;Credit risk&lt;/ChapterName&gt;&lt;ChapterNoOfPages&gt;-1&lt;/ChapterNoOfPages&gt;&lt;ChapterVersion&gt;39&lt;/ChapterVersion&gt;&lt;/ChapterMetadata&gt;"/>
    <w:docVar w:name="DM_WB_C2667_METADATA" w:val="&lt;ChapterMetadata&gt;&lt;ChapterId&gt;2667&lt;/ChapterId&gt;&lt;ChapterName&gt;Liquidity risk&lt;/ChapterName&gt;&lt;ChapterNoOfPages&gt;-1&lt;/ChapterNoOfPages&gt;&lt;ChapterVersion&gt;30&lt;/ChapterVersion&gt;&lt;/ChapterMetadata&gt;"/>
    <w:docVar w:name="DM_WB_C2686_METADATA" w:val="&lt;ChapterMetadata&gt;&lt;ChapterId&gt;2686&lt;/ChapterId&gt;&lt;ChapterName&gt;Note accompanying the consolidated accounts&lt;/ChapterName&gt;&lt;ChapterNoOfPages&gt;-1&lt;/ChapterNoOfPages&gt;&lt;ChapterVersion&gt;3&lt;/ChapterVersion&gt;&lt;/ChapterMetadata&gt;"/>
    <w:docVar w:name="DM_WB_C2738_METADATA" w:val="&lt;ChapterMetadata&gt;&lt;ChapterId&gt;2738&lt;/ChapterId&gt;&lt;ChapterName&gt;Scope of consolidation&lt;/ChapterName&gt;&lt;ChapterNoOfPages&gt;-1&lt;/ChapterNoOfPages&gt;&lt;ChapterVersion&gt;21&lt;/ChapterVersion&gt;&lt;/ChapterMetadata&gt;"/>
    <w:docVar w:name="DM_WB_C3425_METADATA" w:val="&lt;ChapterMetadata&gt;&lt;ChapterId&gt;3425&lt;/ChapterId&gt;&lt;ChapterName&gt;Table of Content 3&lt;/ChapterName&gt;&lt;ChapterNoOfPages&gt;-1&lt;/ChapterNoOfPages&gt;&lt;ChapterVersion&gt;5&lt;/ChapterVersion&gt;&lt;/ChapterMetadata&gt;"/>
    <w:docVar w:name="DM_WB_C3427_METADATA" w:val="&lt;ChapterMetadata&gt;&lt;ChapterId&gt;3427&lt;/ChapterId&gt;&lt;ChapterName&gt;Notes to the aggregated reports on the implementation of the budget&lt;/ChapterName&gt;&lt;ChapterNoOfPages&gt;-1&lt;/ChapterNoOfPages&gt;&lt;ChapterVersion&gt;36&lt;/ChapterVersion&gt;&lt;/ChapterMetadata&gt;"/>
    <w:docVar w:name="DM_WB_C3428_METADATA" w:val="&lt;ChapterMetadata&gt;&lt;ChapterId&gt;3428&lt;/ChapterId&gt;&lt;ChapterName&gt;EU Budget result&lt;/ChapterName&gt;&lt;ChapterNoOfPages&gt;-1&lt;/ChapterNoOfPages&gt;&lt;ChapterVersion&gt;13&lt;/ChapterVersion&gt;&lt;/ChapterMetadata&gt;"/>
    <w:docVar w:name="DM_WB_C3429_METADATA" w:val="&lt;ChapterMetadata&gt;&lt;ChapterId&gt;3429&lt;/ChapterId&gt;&lt;ChapterName&gt;Reconciliation of Economic result with Budget result&lt;/ChapterName&gt;&lt;ChapterNoOfPages&gt;-1&lt;/ChapterNoOfPages&gt;&lt;ChapterVersion&gt;12&lt;/ChapterVersion&gt;&lt;/ChapterMetadata&gt;"/>
    <w:docVar w:name="DM_WB_C3431_METADATA" w:val="&lt;ChapterMetadata&gt;&lt;ChapterId&gt;3431&lt;/ChapterId&gt;&lt;ChapterName&gt;Statement of comparison of budget and actual amounts - Budget revenue&lt;/ChapterName&gt;&lt;ChapterNoOfPages&gt;-1&lt;/ChapterNoOfPages&gt;&lt;ChapterVersion&gt;14&lt;/ChapterVersion&gt;&lt;/ChapterMetadata&gt;"/>
    <w:docVar w:name="DM_WB_C3432_METADATA" w:val="&lt;ChapterMetadata&gt;&lt;ChapterId&gt;3432&lt;/ChapterId&gt;&lt;ChapterName&gt;Implementation of EU budget revenue&lt;/ChapterName&gt;&lt;ChapterNoOfPages&gt;-1&lt;/ChapterNoOfPages&gt;&lt;ChapterVersion&gt;2&lt;/ChapterVersion&gt;&lt;/ChapterMetadata&gt;"/>
    <w:docVar w:name="DM_WB_C3433_METADATA" w:val="&lt;ChapterMetadata&gt;&lt;ChapterId&gt;3433&lt;/ChapterId&gt;&lt;ChapterName&gt;Summary of implementation of budget revenue&lt;/ChapterName&gt;&lt;ChapterNoOfPages&gt;-1&lt;/ChapterNoOfPages&gt;&lt;ChapterVersion&gt;16&lt;/ChapterVersion&gt;&lt;/ChapterMetadata&gt;"/>
    <w:docVar w:name="DM_WB_C3435_METADATA" w:val="&lt;ChapterMetadata&gt;&lt;ChapterId&gt;3435&lt;/ChapterId&gt;&lt;ChapterName&gt;Implementation of EU budget expenditure&lt;/ChapterName&gt;&lt;ChapterNoOfPages&gt;-1&lt;/ChapterNoOfPages&gt;&lt;ChapterVersion&gt;2&lt;/ChapterVersion&gt;&lt;/ChapterMetadata&gt;"/>
    <w:docVar w:name="DM_WB_C3436_METADATA" w:val="&lt;ChapterMetadata&gt;&lt;ChapterId&gt;3436&lt;/ChapterId&gt;&lt;ChapterName&gt;MFF - BD and changes in Comm and Paym appropriations&lt;/ChapterName&gt;&lt;ChapterNoOfPages&gt;-1&lt;/ChapterNoOfPages&gt;&lt;ChapterVersion&gt;13&lt;/ChapterVersion&gt;&lt;/ChapterMetadata&gt;"/>
    <w:docVar w:name="DM_WB_C3437_METADATA" w:val="&lt;ChapterMetadata&gt;&lt;ChapterId&gt;3437&lt;/ChapterId&gt;&lt;ChapterName&gt;MFF - Implementation of Comm appropriations&lt;/ChapterName&gt;&lt;ChapterNoOfPages&gt;-1&lt;/ChapterNoOfPages&gt;&lt;ChapterVersion&gt;12&lt;/ChapterVersion&gt;&lt;/ChapterMetadata&gt;"/>
    <w:docVar w:name="DM_WB_C3438_METADATA" w:val="&lt;ChapterMetadata&gt;&lt;ChapterId&gt;3438&lt;/ChapterId&gt;&lt;ChapterName&gt;MFF - Implementation of Paym appropriations&lt;/ChapterName&gt;&lt;ChapterNoOfPages&gt;-1&lt;/ChapterNoOfPages&gt;&lt;ChapterVersion&gt;12&lt;/ChapterVersion&gt;&lt;/ChapterMetadata&gt;"/>
    <w:docVar w:name="DM_WB_C3439_METADATA" w:val="&lt;ChapterMetadata&gt;&lt;ChapterId&gt;3439&lt;/ChapterId&gt;&lt;ChapterName&gt;MFF - Movements in commitments outstanding (RAL)&lt;/ChapterName&gt;&lt;ChapterNoOfPages&gt;-1&lt;/ChapterNoOfPages&gt;&lt;ChapterVersion&gt;11&lt;/ChapterVersion&gt;&lt;/ChapterMetadata&gt;"/>
    <w:docVar w:name="DM_WB_C3440_METADATA" w:val="&lt;ChapterMetadata&gt;&lt;ChapterId&gt;3440&lt;/ChapterId&gt;&lt;ChapterName&gt;MFF - BD of Commitments outstanding by year of origin&lt;/ChapterName&gt;&lt;ChapterNoOfPages&gt;-1&lt;/ChapterNoOfPages&gt;&lt;ChapterVersion&gt;12&lt;/ChapterVersion&gt;&lt;/ChapterMetadata&gt;"/>
    <w:docVar w:name="DM_WB_C3441_METADATA" w:val="&lt;ChapterMetadata&gt;&lt;ChapterId&gt;3441&lt;/ChapterId&gt;&lt;ChapterName&gt;Policy area - BD and changes in commitments and payments appropriations&lt;/ChapterName&gt;&lt;ChapterNoOfPages&gt;-1&lt;/ChapterNoOfPages&gt;&lt;ChapterVersion&gt;14&lt;/ChapterVersion&gt;&lt;/ChapterMetadata&gt;"/>
    <w:docVar w:name="DM_WB_C3442_METADATA" w:val="&lt;ChapterMetadata&gt;&lt;ChapterId&gt;3442&lt;/ChapterId&gt;&lt;ChapterName&gt;Policy area - Implementation of Comm appropriations&lt;/ChapterName&gt;&lt;ChapterNoOfPages&gt;-1&lt;/ChapterNoOfPages&gt;&lt;ChapterVersion&gt;14&lt;/ChapterVersion&gt;&lt;/ChapterMetadata&gt;"/>
    <w:docVar w:name="DM_WB_C3443_METADATA" w:val="&lt;ChapterMetadata&gt;&lt;ChapterId&gt;3443&lt;/ChapterId&gt;&lt;ChapterName&gt;Policy area - Implementation of Paym appropriations&lt;/ChapterName&gt;&lt;ChapterNoOfPages&gt;-1&lt;/ChapterNoOfPages&gt;&lt;ChapterVersion&gt;12&lt;/ChapterVersion&gt;&lt;/ChapterMetadata&gt;"/>
    <w:docVar w:name="DM_WB_C3444_METADATA" w:val="&lt;ChapterMetadata&gt;&lt;ChapterId&gt;3444&lt;/ChapterId&gt;&lt;ChapterName&gt;Policy area - Movements in Comm outstanding&lt;/ChapterName&gt;&lt;ChapterNoOfPages&gt;-1&lt;/ChapterNoOfPages&gt;&lt;ChapterVersion&gt;11&lt;/ChapterVersion&gt;&lt;/ChapterMetadata&gt;"/>
    <w:docVar w:name="DM_WB_C3445_METADATA" w:val="&lt;ChapterMetadata&gt;&lt;ChapterId&gt;3445&lt;/ChapterId&gt;&lt;ChapterName&gt;Policy area - BD of comm outstanding by year of origin&lt;/ChapterName&gt;&lt;ChapterNoOfPages&gt;-1&lt;/ChapterNoOfPages&gt;&lt;ChapterVersion&gt;11&lt;/ChapterVersion&gt;&lt;/ChapterMetadata&gt;"/>
    <w:docVar w:name="DM_WB_C3448_METADATA" w:val="&lt;ChapterMetadata&gt;&lt;ChapterId&gt;3448&lt;/ChapterId&gt;&lt;ChapterName&gt;EU Institutions and agencies&lt;/ChapterName&gt;&lt;ChapterNoOfPages&gt;-1&lt;/ChapterNoOfPages&gt;&lt;ChapterVersion&gt;2&lt;/ChapterVersion&gt;&lt;/ChapterMetadata&gt;"/>
    <w:docVar w:name="DM_WB_C3449_METADATA" w:val="&lt;ChapterMetadata&gt;&lt;ChapterId&gt;3449&lt;/ChapterId&gt;&lt;ChapterName&gt;Institutions - Summary of implementation of budget revenue&lt;/ChapterName&gt;&lt;ChapterNoOfPages&gt;-1&lt;/ChapterNoOfPages&gt;&lt;ChapterVersion&gt;15&lt;/ChapterVersion&gt;&lt;/ChapterMetadata&gt;"/>
    <w:docVar w:name="DM_WB_C3450_METADATA" w:val="&lt;ChapterMetadata&gt;&lt;ChapterId&gt;3450&lt;/ChapterId&gt;&lt;ChapterName&gt;Institutions - Implementation of Comm and payment appropriations&lt;/ChapterName&gt;&lt;ChapterNoOfPages&gt;-1&lt;/ChapterNoOfPages&gt;&lt;ChapterVersion&gt;14&lt;/ChapterVersion&gt;&lt;/ChapterMetadata&gt;"/>
    <w:docVar w:name="DM_WB_C3451_METADATA" w:val="&lt;ChapterMetadata&gt;&lt;ChapterId&gt;3451&lt;/ChapterId&gt;&lt;ChapterName&gt;Commitment and payment appropr by agency&lt;/ChapterName&gt;&lt;ChapterNoOfPages&gt;-1&lt;/ChapterNoOfPages&gt;&lt;ChapterVersion&gt;14&lt;/ChapterVersion&gt;&lt;/ChapterMetadata&gt;"/>
    <w:docVar w:name="DM_WB_C3452_METADATA" w:val="&lt;ChapterMetadata&gt;&lt;ChapterId&gt;3452&lt;/ChapterId&gt;&lt;ChapterName&gt;Agencies income - budget forecasts entitlements and amounts received&lt;/ChapterName&gt;&lt;ChapterNoOfPages&gt;-1&lt;/ChapterNoOfPages&gt;&lt;ChapterVersion&gt;13&lt;/ChapterVersion&gt;&lt;/ChapterMetadata&gt;"/>
    <w:docVar w:name="DM_WB_C3453_METADATA" w:val="&lt;ChapterMetadata&gt;&lt;ChapterId&gt;3453&lt;/ChapterId&gt;&lt;ChapterName&gt;EU budget result including agencies&lt;/ChapterName&gt;&lt;ChapterNoOfPages&gt;-1&lt;/ChapterNoOfPages&gt;&lt;ChapterVersion&gt;13&lt;/ChapterVersion&gt;&lt;/ChapterMetadata&gt;"/>
    <w:docVar w:name="DM_WB_C3455_METADATA" w:val="&lt;ChapterMetadata&gt;&lt;ChapterId&gt;3455&lt;/ChapterId&gt;&lt;ChapterName&gt;Aggregated reports on the implementation of the budget and explanatory notes 2014&lt;/ChapterName&gt;&lt;ChapterNoOfPages&gt;-1&lt;/ChapterNoOfPages&gt;&lt;ChapterVersion&gt;3&lt;/ChapterVersion&gt;&lt;/ChapterMetadata&gt;"/>
    <w:docVar w:name="DM_WB_C3457_METADATA" w:val="&lt;ChapterMetadata&gt;&lt;ChapterId&gt;3457&lt;/ChapterId&gt;&lt;ChapterName&gt;Statement of comparison of budget and actual amounts - Budget expenditure&lt;/ChapterName&gt;&lt;ChapterNoOfPages&gt;-1&lt;/ChapterNoOfPages&gt;&lt;ChapterVersion&gt;15&lt;/ChapterVersion&gt;&lt;/ChapterMetadata&gt;"/>
    <w:docVar w:name="DM_WB_C3458_METADATA" w:val="&lt;ChapterMetadata&gt;&lt;ChapterId&gt;3458&lt;/ChapterId&gt;&lt;ChapterName&gt;Notes to the EU budget result&lt;/ChapterName&gt;&lt;ChapterNoOfPages&gt;-1&lt;/ChapterNoOfPages&gt;&lt;ChapterVersion&gt;12&lt;/ChapterVersion&gt;&lt;/ChapterMetadata&gt;"/>
    <w:docVar w:name="DM_WB_C3459_METADATA" w:val="&lt;ChapterMetadata&gt;&lt;ChapterId&gt;3459&lt;/ChapterId&gt;&lt;ChapterName&gt;Notes to the reconciliation of economic result with budget result&lt;/ChapterName&gt;&lt;ChapterNoOfPages&gt;-1&lt;/ChapterNoOfPages&gt;&lt;ChapterVersion&gt;6&lt;/ChapterVersion&gt;&lt;/ChapterMetadata&gt;"/>
    <w:docVar w:name="DM_WB_C3461_METADATA" w:val="&lt;ChapterMetadata&gt;&lt;ChapterId&gt;3461&lt;/ChapterId&gt;&lt;ChapterName&gt;Revenue implementation text&lt;/ChapterName&gt;&lt;ChapterNoOfPages&gt;-1&lt;/ChapterNoOfPages&gt;&lt;ChapterVersion&gt;16&lt;/ChapterVersion&gt;&lt;/ChapterMetadata&gt;"/>
    <w:docVar w:name="DM_WB_C3462_METADATA" w:val="&lt;ChapterMetadata&gt;&lt;ChapterId&gt;3462&lt;/ChapterId&gt;&lt;ChapterName&gt;Policy area - Comparison of budget and actual commitments&lt;/ChapterName&gt;&lt;ChapterNoOfPages&gt;-1&lt;/ChapterNoOfPages&gt;&lt;ChapterVersion&gt;15&lt;/ChapterVersion&gt;&lt;/ChapterMetadata&gt;"/>
    <w:docVar w:name="DM_WB_C3463_METADATA" w:val="&lt;ChapterMetadata&gt;&lt;ChapterId&gt;3463&lt;/ChapterId&gt;&lt;ChapterName&gt;Policy area - Comparison of budget and actual payments&lt;/ChapterName&gt;&lt;ChapterNoOfPages&gt;-1&lt;/ChapterNoOfPages&gt;&lt;ChapterVersion&gt;13&lt;/ChapterVersion&gt;&lt;/ChapterMetadata&gt;"/>
    <w:docVar w:name="DM_WB_C3464_METADATA" w:val="&lt;ChapterMetadata&gt;&lt;ChapterId&gt;3464&lt;/ChapterId&gt;&lt;ChapterName&gt;Implementation of 2014 expenditure&lt;/ChapterName&gt;&lt;ChapterNoOfPages&gt;-1&lt;/ChapterNoOfPages&gt;&lt;ChapterVersion&gt;10&lt;/ChapterVersion&gt;&lt;/ChapterMetadata&gt;"/>
    <w:docVar w:name="DM_WB_C3505_METADATA" w:val="&lt;ChapterMetadata&gt;&lt;ChapterId&gt;3505&lt;/ChapterId&gt;&lt;ChapterName&gt;Property plant and equipment TABLE&lt;/ChapterName&gt;&lt;ChapterNoOfPages&gt;-1&lt;/ChapterNoOfPages&gt;&lt;ChapterVersion&gt;23&lt;/ChapterVersion&gt;&lt;/ChapterMetadata&gt;"/>
    <w:docVar w:name="DM_WB_C3527_METADATA" w:val="&lt;ChapterMetadata&gt;&lt;ChapterId&gt;3527&lt;/ChapterId&gt;&lt;ChapterName&gt;Currency risks - text&lt;/ChapterName&gt;&lt;ChapterNoOfPages&gt;-1&lt;/ChapterNoOfPages&gt;&lt;ChapterVersion&gt;18&lt;/ChapterVersion&gt;&lt;/ChapterMetadata&gt;"/>
    <w:docVar w:name="DM_WB_C3534_METADATA" w:val="&lt;ChapterMetadata&gt;&lt;ChapterId&gt;3534&lt;/ChapterId&gt;&lt;ChapterName&gt;Reconciliation of carrying amount and fair value of financial instruments&lt;/ChapterName&gt;&lt;ChapterNoOfPages&gt;-1&lt;/ChapterNoOfPages&gt;&lt;ChapterVersion&gt;20&lt;/ChapterVersion&gt;&lt;/ChapterMetadata&gt;"/>
    <w:docVar w:name="DM_WB_C3883_METADATA" w:val="&lt;ChapterMetadata&gt;&lt;ChapterId&gt;3883&lt;/ChapterId&gt;&lt;ChapterName&gt;Significant accounting policies - Title&lt;/ChapterName&gt;&lt;ChapterNoOfPages&gt;-1&lt;/ChapterNoOfPages&gt;&lt;ChapterVersion&gt;3&lt;/ChapterVersion&gt;&lt;/ChapterMetadata&gt;"/>
    <w:docVar w:name="doc_tbl00002_1_1" w:val="|@|1|2057"/>
    <w:docVar w:name="doc_tbl00004_1_1" w:val="|@|1|2057"/>
    <w:docVar w:name="doc_tbl00006_1_1" w:val="Type of asset|@|1|2057"/>
    <w:docVar w:name="doc_tbl00021_1_1" w:val="|@|1|2057"/>
    <w:docVar w:name="doc_tbl00032_1_1" w:val="|@|1|2057"/>
    <w:docVar w:name="doc_tbl00092_1_1" w:val="|@|1|2057"/>
    <w:docVar w:name="doc_tbl00093_1_1" w:val="|@|1|2057"/>
    <w:docVar w:name="doc_tbl00094_1_1" w:val="|@|1|2057"/>
    <w:docVar w:name="DocStatus" w:val="Green"/>
    <w:docVar w:name="LW_CONFIDENCE" w:val=" "/>
    <w:docVar w:name="LW_CONST_RESTREINT_UE" w:val="RESTREINT UE/EU RESTRICTED"/>
    <w:docVar w:name="LW_CORRIGENDUM" w:val="&lt;UNUSED&gt;"/>
    <w:docVar w:name="LW_COVERPAGE_GUID" w:val="695C096672D141B6BD9C5F8B403CDCF9"/>
    <w:docVar w:name="LW_CROSSREFERENCE" w:val="&lt;UNUSED&gt;"/>
    <w:docVar w:name="LW_DocType" w:val="NORMAL"/>
    <w:docVar w:name="LW_EMISSION" w:val="23.7.2015"/>
    <w:docVar w:name="LW_EMISSION_ISODATE" w:val="2015-07-23"/>
    <w:docVar w:name="LW_EMISSION_LOCATION" w:val="BRX"/>
    <w:docVar w:name="LW_EMISSION_PREFIX" w:val="Brussels, "/>
    <w:docVar w:name="LW_EMISSION_SUFFIX" w:val=" "/>
    <w:docVar w:name="LW_ID_DOCTYPE_NONLW" w:val="CP-009"/>
    <w:docVar w:name="LW_LANGUE" w:val="EN"/>
    <w:docVar w:name="LW_MARKING" w:val="&lt;UNUSED&g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15) 377"/>
    <w:docVar w:name="LW_REF.INTERNE" w:val="&lt;UNUSED&gt;"/>
    <w:docVar w:name="LW_SOUS.TITRE.OBJ.CP" w:val="&lt;UNUSED&gt;"/>
    <w:docVar w:name="LW_SUPERTITRE" w:val="&lt;UNUSED&gt;"/>
    <w:docVar w:name="LW_TITRE.OBJ.CP" w:val="CONSOLIDATED ANNUAL ACCOUNTS OF THE EUROPEAN UNION 2014"/>
    <w:docVar w:name="LW_TYPE.DOC.CP" w:val="COMMUNICATION FROM THE COMMISSION"/>
    <w:docVar w:name="LW_TYPE.DOC.CP.USERTEXT" w:val="TO THE EUROPEAN PARLIAMENT, THE COUNCIL AND THE COURT OF AUDITORS "/>
  </w:docVars>
  <w:rsids>
    <w:rsidRoot w:val="00E7728E"/>
    <w:rsid w:val="00101459"/>
    <w:rsid w:val="001075AF"/>
    <w:rsid w:val="00116387"/>
    <w:rsid w:val="0012099B"/>
    <w:rsid w:val="00186ABB"/>
    <w:rsid w:val="001A159C"/>
    <w:rsid w:val="001A472B"/>
    <w:rsid w:val="001A62AA"/>
    <w:rsid w:val="001C635F"/>
    <w:rsid w:val="002959CC"/>
    <w:rsid w:val="002A6B91"/>
    <w:rsid w:val="002F240A"/>
    <w:rsid w:val="00386B0F"/>
    <w:rsid w:val="003A3A39"/>
    <w:rsid w:val="004F7F0A"/>
    <w:rsid w:val="005A36C4"/>
    <w:rsid w:val="005F66D3"/>
    <w:rsid w:val="006868FC"/>
    <w:rsid w:val="006D12DB"/>
    <w:rsid w:val="0072577F"/>
    <w:rsid w:val="00762493"/>
    <w:rsid w:val="007C0B3B"/>
    <w:rsid w:val="007C0DF8"/>
    <w:rsid w:val="00823FE4"/>
    <w:rsid w:val="00875458"/>
    <w:rsid w:val="008A7D59"/>
    <w:rsid w:val="008C16AE"/>
    <w:rsid w:val="00923D12"/>
    <w:rsid w:val="00945E7C"/>
    <w:rsid w:val="009E7428"/>
    <w:rsid w:val="009F48DE"/>
    <w:rsid w:val="009F6ABD"/>
    <w:rsid w:val="00A675FE"/>
    <w:rsid w:val="00AD31D6"/>
    <w:rsid w:val="00B82250"/>
    <w:rsid w:val="00BB1B4E"/>
    <w:rsid w:val="00BD5073"/>
    <w:rsid w:val="00C21E0C"/>
    <w:rsid w:val="00C36EFA"/>
    <w:rsid w:val="00C47120"/>
    <w:rsid w:val="00D64639"/>
    <w:rsid w:val="00DE1FA9"/>
    <w:rsid w:val="00E7728E"/>
    <w:rsid w:val="00E77B23"/>
    <w:rsid w:val="00E8741F"/>
    <w:rsid w:val="00F12CBE"/>
    <w:rsid w:val="00F1765A"/>
    <w:rsid w:val="00F32A23"/>
    <w:rsid w:val="00F50689"/>
    <w:rsid w:val="00F738EA"/>
    <w:rsid w:val="00F818AC"/>
    <w:rsid w:val="00FF6C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colormenu v:ext="edit" fillcolor="none [131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link w:val="CoverPageChar"/>
    <w:qFormat/>
    <w:rsid w:val="00522083"/>
    <w:pPr>
      <w:spacing w:before="240" w:after="720" w:line="360" w:lineRule="auto"/>
      <w:ind w:left="2268"/>
    </w:pPr>
    <w:rPr>
      <w:rFonts w:ascii="Verdana" w:hAnsi="Verdana"/>
      <w:color w:val="016794"/>
      <w:sz w:val="52"/>
      <w:szCs w:val="52"/>
    </w:rPr>
  </w:style>
  <w:style w:type="paragraph" w:customStyle="1" w:styleId="HEADERTABLE">
    <w:name w:val="HEADER_TABLE"/>
    <w:basedOn w:val="Normal"/>
    <w:qFormat/>
    <w:rsid w:val="00F35B1B"/>
    <w:pPr>
      <w:spacing w:after="240"/>
    </w:pPr>
    <w:rPr>
      <w:rFonts w:ascii="Verdana" w:hAnsi="Verdana"/>
      <w:b/>
      <w:color w:val="016794"/>
      <w:sz w:val="28"/>
      <w:szCs w:val="28"/>
    </w:rPr>
  </w:style>
  <w:style w:type="paragraph" w:customStyle="1" w:styleId="Textstand-alone">
    <w:name w:val="Text_stand-alone"/>
    <w:basedOn w:val="Normal"/>
    <w:qFormat/>
    <w:rsid w:val="00F35B1B"/>
    <w:pPr>
      <w:spacing w:before="240" w:after="240"/>
      <w:jc w:val="both"/>
    </w:pPr>
    <w:rPr>
      <w:rFonts w:ascii="Verdana" w:hAnsi="Verdana"/>
      <w:noProof/>
      <w:sz w:val="18"/>
      <w:szCs w:val="18"/>
      <w:lang w:eastAsia="en-US"/>
    </w:rPr>
  </w:style>
  <w:style w:type="paragraph" w:customStyle="1" w:styleId="FIRSTCHAPTERPAGE">
    <w:name w:val="FIRST_CHAPTER_PAGE"/>
    <w:basedOn w:val="Normal"/>
    <w:qFormat/>
    <w:rsid w:val="00C61F02"/>
    <w:pPr>
      <w:spacing w:before="240" w:after="720"/>
    </w:pPr>
    <w:rPr>
      <w:rFonts w:ascii="Verdana" w:hAnsi="Verdana"/>
      <w:b/>
      <w:color w:val="016794"/>
      <w:sz w:val="40"/>
      <w:szCs w:val="40"/>
    </w:rPr>
  </w:style>
  <w:style w:type="paragraph" w:customStyle="1" w:styleId="HEADER1Part4">
    <w:name w:val="HEADER 1_Part 4"/>
    <w:basedOn w:val="HEADER1Part3"/>
    <w:qFormat/>
    <w:rsid w:val="00632F43"/>
    <w:pPr>
      <w:numPr>
        <w:numId w:val="1"/>
      </w:numPr>
    </w:pPr>
  </w:style>
  <w:style w:type="paragraph" w:customStyle="1" w:styleId="HEADER2Part4">
    <w:name w:val="HEADER 2_Part 4"/>
    <w:basedOn w:val="HEADER2Part3"/>
    <w:qFormat/>
    <w:rsid w:val="0039477C"/>
    <w:pPr>
      <w:numPr>
        <w:numId w:val="1"/>
      </w:numPr>
    </w:pPr>
  </w:style>
  <w:style w:type="paragraph" w:customStyle="1" w:styleId="HEADER2Part3">
    <w:name w:val="HEADER 2_Part 3"/>
    <w:basedOn w:val="Normal"/>
    <w:qFormat/>
    <w:rsid w:val="00C61F02"/>
    <w:pPr>
      <w:numPr>
        <w:ilvl w:val="1"/>
        <w:numId w:val="2"/>
      </w:numPr>
      <w:tabs>
        <w:tab w:val="left" w:pos="907"/>
      </w:tabs>
      <w:spacing w:before="360" w:after="360"/>
    </w:pPr>
    <w:rPr>
      <w:rFonts w:ascii="Verdana" w:hAnsi="Verdana"/>
      <w:b/>
      <w:noProof/>
      <w:color w:val="016794"/>
      <w:sz w:val="28"/>
      <w:szCs w:val="30"/>
    </w:rPr>
  </w:style>
  <w:style w:type="paragraph" w:customStyle="1" w:styleId="HEADER1Part3">
    <w:name w:val="HEADER 1_Part 3"/>
    <w:basedOn w:val="Normal"/>
    <w:qFormat/>
    <w:rsid w:val="00C61F02"/>
    <w:pPr>
      <w:numPr>
        <w:numId w:val="2"/>
      </w:numPr>
      <w:tabs>
        <w:tab w:val="left" w:pos="907"/>
      </w:tabs>
      <w:spacing w:after="240"/>
    </w:pPr>
    <w:rPr>
      <w:rFonts w:ascii="Verdana" w:hAnsi="Verdana"/>
      <w:b/>
      <w:color w:val="016794"/>
      <w:sz w:val="32"/>
      <w:szCs w:val="32"/>
    </w:rPr>
  </w:style>
  <w:style w:type="paragraph" w:customStyle="1" w:styleId="HEADER3Part3">
    <w:name w:val="HEADER 3_Part 3"/>
    <w:basedOn w:val="HEADER3Part1"/>
    <w:qFormat/>
    <w:rsid w:val="00C61F02"/>
    <w:pPr>
      <w:numPr>
        <w:numId w:val="2"/>
      </w:numPr>
    </w:pPr>
  </w:style>
  <w:style w:type="paragraph" w:customStyle="1" w:styleId="HEADER3Part1">
    <w:name w:val="HEADER 3_Part 1"/>
    <w:basedOn w:val="Normal"/>
    <w:qFormat/>
    <w:rsid w:val="00C61F02"/>
    <w:pPr>
      <w:numPr>
        <w:ilvl w:val="2"/>
        <w:numId w:val="3"/>
      </w:numPr>
      <w:tabs>
        <w:tab w:val="left" w:pos="907"/>
      </w:tabs>
      <w:spacing w:before="360" w:after="360"/>
    </w:pPr>
    <w:rPr>
      <w:rFonts w:ascii="Verdana" w:hAnsi="Verdana"/>
      <w:color w:val="016794"/>
      <w:sz w:val="20"/>
      <w:szCs w:val="20"/>
    </w:rPr>
  </w:style>
  <w:style w:type="paragraph" w:customStyle="1" w:styleId="HEADER1Part1">
    <w:name w:val="HEADER 1_Part 1"/>
    <w:basedOn w:val="HEADER1Part3"/>
    <w:qFormat/>
    <w:rsid w:val="00C61F02"/>
    <w:pPr>
      <w:numPr>
        <w:numId w:val="3"/>
      </w:numPr>
      <w:jc w:val="both"/>
    </w:pPr>
  </w:style>
  <w:style w:type="paragraph" w:customStyle="1" w:styleId="HEADER2Part1">
    <w:name w:val="HEADER 2 _Part 1"/>
    <w:basedOn w:val="Normal"/>
    <w:qFormat/>
    <w:rsid w:val="00C61F02"/>
    <w:pPr>
      <w:numPr>
        <w:ilvl w:val="1"/>
        <w:numId w:val="3"/>
      </w:numPr>
      <w:tabs>
        <w:tab w:val="left" w:pos="907"/>
      </w:tabs>
      <w:spacing w:before="360" w:after="360"/>
    </w:pPr>
    <w:rPr>
      <w:rFonts w:ascii="Verdana" w:hAnsi="Verdana"/>
      <w:b/>
      <w:color w:val="016794"/>
      <w:sz w:val="28"/>
    </w:rPr>
  </w:style>
  <w:style w:type="paragraph" w:customStyle="1" w:styleId="HEADER4Part1">
    <w:name w:val="HEADER 4_Part 1"/>
    <w:basedOn w:val="HEADER3Part1"/>
    <w:qFormat/>
    <w:rsid w:val="00C61F02"/>
    <w:pPr>
      <w:numPr>
        <w:ilvl w:val="3"/>
      </w:numPr>
    </w:pPr>
    <w:rPr>
      <w:sz w:val="18"/>
      <w:szCs w:val="18"/>
    </w:rPr>
  </w:style>
  <w:style w:type="paragraph" w:customStyle="1" w:styleId="HEADER3Part4">
    <w:name w:val="HEADER 3_Part 4"/>
    <w:basedOn w:val="HEADER3Part3"/>
    <w:qFormat/>
    <w:rsid w:val="0039477C"/>
    <w:pPr>
      <w:numPr>
        <w:numId w:val="1"/>
      </w:numPr>
    </w:pPr>
  </w:style>
  <w:style w:type="paragraph" w:customStyle="1" w:styleId="HEADER4Part4">
    <w:name w:val="HEADER 4_Part 4"/>
    <w:basedOn w:val="HEADER3Part2"/>
    <w:qFormat/>
    <w:rsid w:val="0039477C"/>
    <w:pPr>
      <w:numPr>
        <w:ilvl w:val="3"/>
        <w:numId w:val="1"/>
      </w:numPr>
    </w:pPr>
  </w:style>
  <w:style w:type="paragraph" w:customStyle="1" w:styleId="HEADER3Part2">
    <w:name w:val="HEADER 3_Part 2"/>
    <w:basedOn w:val="HEADER3Part1"/>
    <w:qFormat/>
    <w:rsid w:val="00C61F02"/>
    <w:pPr>
      <w:numPr>
        <w:numId w:val="13"/>
      </w:numPr>
      <w:tabs>
        <w:tab w:val="clear" w:pos="907"/>
      </w:tabs>
    </w:pPr>
  </w:style>
  <w:style w:type="paragraph" w:customStyle="1" w:styleId="DGTextstand-alone">
    <w:name w:val="DG_Text_stand-alone"/>
    <w:link w:val="DGTextstand-aloneChar"/>
    <w:rsid w:val="00385E47"/>
    <w:pPr>
      <w:spacing w:before="240" w:after="240"/>
      <w:jc w:val="both"/>
    </w:pPr>
    <w:rPr>
      <w:rFonts w:ascii="Verdana" w:hAnsi="Verdana"/>
      <w:noProof/>
      <w:sz w:val="18"/>
      <w:szCs w:val="18"/>
      <w:lang w:eastAsia="en-US"/>
    </w:rPr>
  </w:style>
  <w:style w:type="character" w:customStyle="1" w:styleId="DGTextstand-aloneChar">
    <w:name w:val="DG_Text_stand-alone Char"/>
    <w:link w:val="DGTextstand-alone"/>
    <w:rsid w:val="00385E47"/>
    <w:rPr>
      <w:rFonts w:ascii="Verdana" w:eastAsia="Times New Roman" w:hAnsi="Verdana"/>
      <w:noProof/>
      <w:sz w:val="18"/>
      <w:szCs w:val="18"/>
      <w:lang w:eastAsia="en-US"/>
    </w:rPr>
  </w:style>
  <w:style w:type="paragraph" w:customStyle="1" w:styleId="HEADER5">
    <w:name w:val="HEADER 5"/>
    <w:basedOn w:val="Normal"/>
    <w:qFormat/>
    <w:rsid w:val="00C61F02"/>
    <w:rPr>
      <w:rFonts w:ascii="Verdana" w:hAnsi="Verdana"/>
      <w:b/>
      <w:color w:val="016794"/>
      <w:sz w:val="18"/>
      <w:szCs w:val="18"/>
    </w:rPr>
  </w:style>
  <w:style w:type="paragraph" w:customStyle="1" w:styleId="Text8pItalicLeft">
    <w:name w:val="Text_8p_Italic_Left"/>
    <w:qFormat/>
    <w:rsid w:val="00C61F02"/>
    <w:pPr>
      <w:pBdr>
        <w:top w:val="nil"/>
        <w:left w:val="nil"/>
        <w:bottom w:val="nil"/>
        <w:right w:val="nil"/>
        <w:between w:val="nil"/>
        <w:bar w:val="nil"/>
      </w:pBdr>
    </w:pPr>
    <w:rPr>
      <w:rFonts w:ascii="Verdana" w:hAnsi="Verdana"/>
      <w:bCs/>
      <w:i/>
      <w:noProof/>
      <w:sz w:val="16"/>
      <w:bdr w:val="nil"/>
      <w:lang w:eastAsia="en-US"/>
    </w:rPr>
  </w:style>
  <w:style w:type="paragraph" w:customStyle="1" w:styleId="Text8pItalicRight025EUR">
    <w:name w:val="Text_8p_Italic_Right_0.25_EUR"/>
    <w:qFormat/>
    <w:rsid w:val="00C61F02"/>
    <w:pPr>
      <w:pBdr>
        <w:top w:val="nil"/>
        <w:left w:val="nil"/>
        <w:bottom w:val="nil"/>
        <w:right w:val="nil"/>
        <w:between w:val="nil"/>
        <w:bar w:val="nil"/>
      </w:pBdr>
      <w:ind w:right="142"/>
      <w:jc w:val="right"/>
    </w:pPr>
    <w:rPr>
      <w:rFonts w:ascii="Verdana" w:hAnsi="Verdana"/>
      <w:i/>
      <w:noProof/>
      <w:sz w:val="16"/>
      <w:szCs w:val="18"/>
      <w:bdr w:val="nil"/>
      <w:lang w:eastAsia="en-US"/>
    </w:rPr>
  </w:style>
  <w:style w:type="paragraph" w:customStyle="1" w:styleId="Heading10pNormalLeft">
    <w:name w:val="Heading_10p_Normal_Left"/>
    <w:qFormat/>
    <w:rsid w:val="00C61F02"/>
    <w:pPr>
      <w:pBdr>
        <w:top w:val="nil"/>
        <w:left w:val="nil"/>
        <w:bottom w:val="nil"/>
        <w:right w:val="nil"/>
        <w:between w:val="nil"/>
        <w:bar w:val="nil"/>
      </w:pBdr>
    </w:pPr>
    <w:rPr>
      <w:rFonts w:ascii="Verdana" w:hAnsi="Verdana"/>
      <w:noProof/>
      <w:color w:val="FFFFFF"/>
      <w:szCs w:val="30"/>
      <w:bdr w:val="nil"/>
      <w:lang w:eastAsia="en-US"/>
    </w:rPr>
  </w:style>
  <w:style w:type="paragraph" w:customStyle="1" w:styleId="Heading10pNormalRight025">
    <w:name w:val="Heading_10p_Normal_Right_0.25"/>
    <w:qFormat/>
    <w:rsid w:val="00C61F02"/>
    <w:pPr>
      <w:pBdr>
        <w:top w:val="nil"/>
        <w:left w:val="nil"/>
        <w:bottom w:val="nil"/>
        <w:right w:val="nil"/>
        <w:between w:val="nil"/>
        <w:bar w:val="nil"/>
      </w:pBdr>
      <w:ind w:right="142"/>
      <w:jc w:val="right"/>
    </w:pPr>
    <w:rPr>
      <w:rFonts w:ascii="Verdana" w:hAnsi="Verdana"/>
      <w:noProof/>
      <w:color w:val="FFFFFF"/>
      <w:szCs w:val="30"/>
      <w:bdr w:val="nil"/>
      <w:lang w:eastAsia="en-US"/>
    </w:rPr>
  </w:style>
  <w:style w:type="paragraph" w:customStyle="1" w:styleId="Text9pBoldLeft">
    <w:name w:val="Text_9p_Bold_Left"/>
    <w:qFormat/>
    <w:rsid w:val="00C61F02"/>
    <w:pPr>
      <w:pBdr>
        <w:top w:val="nil"/>
        <w:left w:val="nil"/>
        <w:bottom w:val="nil"/>
        <w:right w:val="nil"/>
        <w:between w:val="nil"/>
        <w:bar w:val="nil"/>
      </w:pBdr>
    </w:pPr>
    <w:rPr>
      <w:rFonts w:ascii="Verdana" w:hAnsi="Verdana"/>
      <w:b/>
      <w:noProof/>
      <w:sz w:val="18"/>
      <w:szCs w:val="18"/>
      <w:bdr w:val="nil"/>
      <w:lang w:eastAsia="en-US"/>
    </w:rPr>
  </w:style>
  <w:style w:type="paragraph" w:customStyle="1" w:styleId="Figures9pBoldRight025">
    <w:name w:val="Figures_9p_Bold_Right_0.25"/>
    <w:qFormat/>
    <w:rsid w:val="00C61F02"/>
    <w:pPr>
      <w:pBdr>
        <w:top w:val="nil"/>
        <w:left w:val="nil"/>
        <w:bottom w:val="nil"/>
        <w:right w:val="nil"/>
        <w:between w:val="nil"/>
        <w:bar w:val="nil"/>
      </w:pBdr>
      <w:ind w:right="142"/>
      <w:jc w:val="right"/>
    </w:pPr>
    <w:rPr>
      <w:rFonts w:ascii="Verdana" w:hAnsi="Verdana"/>
      <w:b/>
      <w:noProof/>
      <w:sz w:val="18"/>
      <w:szCs w:val="18"/>
      <w:bdr w:val="nil"/>
      <w:lang w:eastAsia="en-US"/>
    </w:rPr>
  </w:style>
  <w:style w:type="paragraph" w:customStyle="1" w:styleId="Text9pItalicLeft">
    <w:name w:val="Text_9p_Italic_Left"/>
    <w:qFormat/>
    <w:rsid w:val="00C61F02"/>
    <w:pPr>
      <w:pBdr>
        <w:top w:val="nil"/>
        <w:left w:val="nil"/>
        <w:bottom w:val="nil"/>
        <w:right w:val="nil"/>
        <w:between w:val="nil"/>
        <w:bar w:val="nil"/>
      </w:pBdr>
    </w:pPr>
    <w:rPr>
      <w:rFonts w:ascii="Verdana" w:hAnsi="Verdana"/>
      <w:i/>
      <w:noProof/>
      <w:sz w:val="18"/>
      <w:szCs w:val="18"/>
      <w:bdr w:val="nil"/>
      <w:lang w:eastAsia="en-US"/>
    </w:rPr>
  </w:style>
  <w:style w:type="paragraph" w:customStyle="1" w:styleId="Figures9pItalicRight025">
    <w:name w:val="Figures_9p_Italic_Right_0.25"/>
    <w:qFormat/>
    <w:rsid w:val="00C61F02"/>
    <w:pPr>
      <w:pBdr>
        <w:top w:val="nil"/>
        <w:left w:val="nil"/>
        <w:bottom w:val="nil"/>
        <w:right w:val="nil"/>
        <w:between w:val="nil"/>
        <w:bar w:val="nil"/>
      </w:pBdr>
      <w:ind w:right="142"/>
      <w:jc w:val="right"/>
    </w:pPr>
    <w:rPr>
      <w:rFonts w:ascii="Verdana" w:hAnsi="Verdana"/>
      <w:i/>
      <w:noProof/>
      <w:sz w:val="18"/>
      <w:szCs w:val="18"/>
      <w:bdr w:val="nil"/>
      <w:lang w:eastAsia="en-US"/>
    </w:rPr>
  </w:style>
  <w:style w:type="paragraph" w:customStyle="1" w:styleId="Heading9pNormalCentered">
    <w:name w:val="Heading_9p_Normal_Centered"/>
    <w:qFormat/>
    <w:rsid w:val="00C61F02"/>
    <w:pPr>
      <w:jc w:val="center"/>
    </w:pPr>
    <w:rPr>
      <w:rFonts w:ascii="Verdana" w:hAnsi="Verdana" w:cs="Calibri"/>
      <w:bCs/>
      <w:color w:val="FFFFFF"/>
      <w:sz w:val="18"/>
      <w:szCs w:val="22"/>
    </w:rPr>
  </w:style>
  <w:style w:type="paragraph" w:customStyle="1" w:styleId="Heading9pNormalRight01">
    <w:name w:val="Heading_9p_Normal_Right_0.1"/>
    <w:basedOn w:val="Heading9pNormalRight025"/>
    <w:qFormat/>
    <w:rsid w:val="00C61F02"/>
    <w:pPr>
      <w:ind w:right="57"/>
    </w:pPr>
  </w:style>
  <w:style w:type="paragraph" w:customStyle="1" w:styleId="Heading9pNormalRight025">
    <w:name w:val="Heading_9p_Normal_Right_0.25"/>
    <w:basedOn w:val="Heading9pNormalCentered"/>
    <w:qFormat/>
    <w:rsid w:val="00C61F02"/>
    <w:pPr>
      <w:pBdr>
        <w:top w:val="nil"/>
        <w:left w:val="nil"/>
        <w:bottom w:val="nil"/>
        <w:right w:val="nil"/>
        <w:between w:val="nil"/>
        <w:bar w:val="nil"/>
      </w:pBdr>
      <w:ind w:right="142"/>
      <w:jc w:val="right"/>
    </w:pPr>
    <w:rPr>
      <w:bdr w:val="nil"/>
    </w:rPr>
  </w:style>
  <w:style w:type="paragraph" w:customStyle="1" w:styleId="Figures9pItalicBoldRight025">
    <w:name w:val="Figures_9p_ItalicBold_Right_0.25"/>
    <w:qFormat/>
    <w:rsid w:val="00C61F02"/>
    <w:pPr>
      <w:ind w:right="142"/>
      <w:jc w:val="right"/>
    </w:pPr>
    <w:rPr>
      <w:rFonts w:ascii="Verdana" w:hAnsi="Verdana"/>
      <w:b/>
      <w:i/>
      <w:noProof/>
      <w:sz w:val="18"/>
      <w:szCs w:val="18"/>
      <w:lang w:eastAsia="en-US"/>
    </w:rPr>
  </w:style>
  <w:style w:type="paragraph" w:styleId="NormalWeb">
    <w:name w:val="Normal (Web)"/>
    <w:basedOn w:val="Normal"/>
    <w:uiPriority w:val="99"/>
    <w:semiHidden/>
    <w:unhideWhenUsed/>
    <w:rsid w:val="00273170"/>
    <w:pPr>
      <w:spacing w:before="100" w:beforeAutospacing="1" w:after="100" w:afterAutospacing="1"/>
    </w:pPr>
    <w:rPr>
      <w:rFonts w:eastAsiaTheme="minorEastAsia"/>
    </w:rPr>
  </w:style>
  <w:style w:type="paragraph" w:styleId="Header">
    <w:name w:val="header"/>
    <w:basedOn w:val="Normal"/>
    <w:link w:val="HeaderChar"/>
    <w:rsid w:val="00C61F02"/>
    <w:pPr>
      <w:tabs>
        <w:tab w:val="center" w:pos="4677"/>
        <w:tab w:val="right" w:pos="9355"/>
      </w:tabs>
    </w:pPr>
  </w:style>
  <w:style w:type="character" w:customStyle="1" w:styleId="HeaderChar">
    <w:name w:val="Header Char"/>
    <w:link w:val="Header"/>
    <w:rsid w:val="00C61F02"/>
    <w:rPr>
      <w:rFonts w:ascii="Times New Roman" w:eastAsia="Times New Roman" w:hAnsi="Times New Roman"/>
      <w:sz w:val="24"/>
      <w:szCs w:val="24"/>
    </w:rPr>
  </w:style>
  <w:style w:type="paragraph" w:styleId="Footer">
    <w:name w:val="footer"/>
    <w:basedOn w:val="Normal"/>
    <w:link w:val="FooterChar"/>
    <w:uiPriority w:val="99"/>
    <w:rsid w:val="00C61F02"/>
    <w:pPr>
      <w:tabs>
        <w:tab w:val="center" w:pos="4677"/>
        <w:tab w:val="right" w:pos="9355"/>
      </w:tabs>
    </w:pPr>
  </w:style>
  <w:style w:type="character" w:customStyle="1" w:styleId="FooterChar">
    <w:name w:val="Footer Char"/>
    <w:link w:val="Footer"/>
    <w:uiPriority w:val="99"/>
    <w:rsid w:val="00C61F02"/>
    <w:rPr>
      <w:rFonts w:ascii="Times New Roman" w:eastAsia="Times New Roman" w:hAnsi="Times New Roman"/>
      <w:sz w:val="24"/>
      <w:szCs w:val="24"/>
    </w:rPr>
  </w:style>
  <w:style w:type="paragraph" w:customStyle="1" w:styleId="HEADERTITLE">
    <w:name w:val="HEADER_TITLE"/>
    <w:basedOn w:val="Textstand-alone"/>
    <w:qFormat/>
    <w:rsid w:val="00C96E76"/>
    <w:pPr>
      <w:tabs>
        <w:tab w:val="left" w:pos="907"/>
      </w:tabs>
      <w:spacing w:before="0"/>
      <w:jc w:val="left"/>
    </w:pPr>
    <w:rPr>
      <w:b/>
      <w:color w:val="016794"/>
      <w:sz w:val="28"/>
    </w:rPr>
  </w:style>
  <w:style w:type="paragraph" w:customStyle="1" w:styleId="SignatureRightItalic">
    <w:name w:val="Signature_Right + Italic"/>
    <w:basedOn w:val="Normal"/>
    <w:qFormat/>
    <w:rsid w:val="00C96E76"/>
    <w:pPr>
      <w:spacing w:before="240"/>
      <w:ind w:left="4394" w:right="1128"/>
      <w:jc w:val="center"/>
    </w:pPr>
    <w:rPr>
      <w:rFonts w:ascii="Verdana" w:hAnsi="Verdana"/>
      <w:i/>
      <w:sz w:val="18"/>
      <w:szCs w:val="18"/>
    </w:rPr>
  </w:style>
  <w:style w:type="paragraph" w:customStyle="1" w:styleId="SignatureRight">
    <w:name w:val="Signature_Right"/>
    <w:basedOn w:val="SignatureRightItalic"/>
    <w:qFormat/>
    <w:rsid w:val="00C96E76"/>
    <w:rPr>
      <w:i w:val="0"/>
    </w:rPr>
  </w:style>
  <w:style w:type="paragraph" w:customStyle="1" w:styleId="SignatureRightBold">
    <w:name w:val="Signature_Right Bold"/>
    <w:basedOn w:val="SignatureRight"/>
    <w:qFormat/>
    <w:rsid w:val="00C96E76"/>
    <w:pPr>
      <w:spacing w:before="120" w:after="120"/>
    </w:pPr>
    <w:rPr>
      <w:b/>
    </w:rPr>
  </w:style>
  <w:style w:type="paragraph" w:customStyle="1" w:styleId="SignatureRightItalic0">
    <w:name w:val="Signature_Right Italic"/>
    <w:basedOn w:val="SignatureRightBold"/>
    <w:qFormat/>
    <w:rsid w:val="00C96E76"/>
    <w:rPr>
      <w:b w:val="0"/>
      <w:i/>
    </w:rPr>
  </w:style>
  <w:style w:type="paragraph" w:customStyle="1" w:styleId="FinancialYear">
    <w:name w:val="Financial_Year"/>
    <w:basedOn w:val="Normal"/>
    <w:qFormat/>
    <w:rsid w:val="00FA483B"/>
    <w:pPr>
      <w:jc w:val="right"/>
    </w:pPr>
    <w:rPr>
      <w:rFonts w:ascii="Verdana" w:hAnsi="Verdana"/>
      <w:color w:val="016794"/>
      <w:sz w:val="22"/>
      <w:szCs w:val="22"/>
    </w:rPr>
  </w:style>
  <w:style w:type="paragraph" w:customStyle="1" w:styleId="TOPHEADERNOTE">
    <w:name w:val="TOPHEADER_NOTE"/>
    <w:basedOn w:val="Normal"/>
    <w:qFormat/>
    <w:rsid w:val="00FA483B"/>
    <w:rPr>
      <w:rFonts w:ascii="Verdana" w:hAnsi="Verdana"/>
      <w:i/>
      <w:color w:val="016794"/>
      <w:sz w:val="18"/>
    </w:rPr>
  </w:style>
  <w:style w:type="paragraph" w:customStyle="1" w:styleId="HEADERTITLE1">
    <w:name w:val="HEADER_TITLE_1"/>
    <w:basedOn w:val="Textstand-alone"/>
    <w:qFormat/>
    <w:rsid w:val="00C41DCC"/>
    <w:pPr>
      <w:tabs>
        <w:tab w:val="left" w:pos="907"/>
      </w:tabs>
      <w:spacing w:before="0"/>
      <w:jc w:val="left"/>
    </w:pPr>
    <w:rPr>
      <w:b/>
      <w:color w:val="016794"/>
      <w:sz w:val="28"/>
    </w:rPr>
  </w:style>
  <w:style w:type="paragraph" w:customStyle="1" w:styleId="Text9pItalicCentered">
    <w:name w:val="Text_9p_Italic_Centered"/>
    <w:qFormat/>
    <w:rsid w:val="004962AB"/>
    <w:pPr>
      <w:pBdr>
        <w:top w:val="nil"/>
        <w:left w:val="nil"/>
        <w:bottom w:val="nil"/>
        <w:right w:val="nil"/>
        <w:between w:val="nil"/>
        <w:bar w:val="nil"/>
      </w:pBdr>
      <w:jc w:val="center"/>
    </w:pPr>
    <w:rPr>
      <w:rFonts w:ascii="Verdana" w:eastAsia="Calibri" w:hAnsi="Verdana"/>
      <w:i/>
      <w:noProof/>
      <w:sz w:val="18"/>
      <w:szCs w:val="18"/>
      <w:bdr w:val="nil"/>
      <w:lang w:eastAsia="en-US"/>
    </w:rPr>
  </w:style>
  <w:style w:type="paragraph" w:customStyle="1" w:styleId="Text9pItalicLeft3p">
    <w:name w:val="Text_9p_Italic_Left_3p"/>
    <w:basedOn w:val="Text9pItalicLeft"/>
    <w:qFormat/>
    <w:rsid w:val="007540AA"/>
    <w:pPr>
      <w:spacing w:after="60"/>
    </w:pPr>
  </w:style>
  <w:style w:type="paragraph" w:customStyle="1" w:styleId="FIRSTCHAPTERPAGE1">
    <w:name w:val="FIRST CHAPTER_PAGE_1"/>
    <w:basedOn w:val="Textstand-alone"/>
    <w:qFormat/>
    <w:rsid w:val="00A5463E"/>
    <w:pPr>
      <w:tabs>
        <w:tab w:val="left" w:pos="907"/>
      </w:tabs>
      <w:spacing w:after="720"/>
      <w:jc w:val="left"/>
    </w:pPr>
    <w:rPr>
      <w:b/>
      <w:color w:val="016794"/>
      <w:sz w:val="40"/>
    </w:rPr>
  </w:style>
  <w:style w:type="paragraph" w:customStyle="1" w:styleId="HEADER1Part2">
    <w:name w:val="HEADER 1_Part 2"/>
    <w:basedOn w:val="Normal"/>
    <w:qFormat/>
    <w:rsid w:val="00F9658A"/>
    <w:pPr>
      <w:numPr>
        <w:numId w:val="13"/>
      </w:numPr>
      <w:tabs>
        <w:tab w:val="left" w:pos="907"/>
      </w:tabs>
      <w:spacing w:after="240"/>
      <w:jc w:val="both"/>
    </w:pPr>
    <w:rPr>
      <w:rFonts w:ascii="Verdana" w:hAnsi="Verdana"/>
      <w:b/>
      <w:color w:val="016794"/>
      <w:sz w:val="32"/>
      <w:szCs w:val="32"/>
    </w:rPr>
  </w:style>
  <w:style w:type="paragraph" w:customStyle="1" w:styleId="HEADER2Part2">
    <w:name w:val="HEADER 2_Part 2"/>
    <w:basedOn w:val="Normal"/>
    <w:qFormat/>
    <w:rsid w:val="00F9658A"/>
    <w:pPr>
      <w:numPr>
        <w:ilvl w:val="1"/>
        <w:numId w:val="13"/>
      </w:numPr>
      <w:tabs>
        <w:tab w:val="left" w:pos="907"/>
      </w:tabs>
      <w:spacing w:before="360" w:after="360"/>
    </w:pPr>
    <w:rPr>
      <w:rFonts w:ascii="Verdana" w:hAnsi="Verdana"/>
      <w:b/>
      <w:color w:val="016794"/>
      <w:sz w:val="28"/>
      <w:szCs w:val="28"/>
    </w:rPr>
  </w:style>
  <w:style w:type="paragraph" w:customStyle="1" w:styleId="HEADER4Part2">
    <w:name w:val="HEADER 4_Part 2"/>
    <w:basedOn w:val="HEADER4Part1"/>
    <w:qFormat/>
    <w:rsid w:val="00F9658A"/>
    <w:pPr>
      <w:numPr>
        <w:numId w:val="13"/>
      </w:numPr>
    </w:pPr>
  </w:style>
  <w:style w:type="paragraph" w:customStyle="1" w:styleId="Text9pBoldLeft025">
    <w:name w:val="Text_9p_Bold_Left_0.25"/>
    <w:qFormat/>
    <w:rsid w:val="00EC6DE6"/>
    <w:pPr>
      <w:pBdr>
        <w:top w:val="nil"/>
        <w:left w:val="nil"/>
        <w:bottom w:val="nil"/>
        <w:right w:val="nil"/>
        <w:between w:val="nil"/>
        <w:bar w:val="nil"/>
      </w:pBdr>
      <w:ind w:left="142"/>
    </w:pPr>
    <w:rPr>
      <w:rFonts w:ascii="Verdana" w:eastAsia="Calibri" w:hAnsi="Verdana"/>
      <w:b/>
      <w:noProof/>
      <w:sz w:val="18"/>
      <w:szCs w:val="18"/>
      <w:bdr w:val="nil"/>
      <w:lang w:eastAsia="en-US"/>
    </w:rPr>
  </w:style>
  <w:style w:type="paragraph" w:customStyle="1" w:styleId="Figures9pItalicCentered">
    <w:name w:val="Figures_9p_Italic_Centered"/>
    <w:qFormat/>
    <w:rsid w:val="00EC6DE6"/>
    <w:pPr>
      <w:pBdr>
        <w:top w:val="nil"/>
        <w:left w:val="nil"/>
        <w:bottom w:val="nil"/>
        <w:right w:val="nil"/>
        <w:between w:val="nil"/>
        <w:bar w:val="nil"/>
      </w:pBdr>
      <w:jc w:val="center"/>
    </w:pPr>
    <w:rPr>
      <w:rFonts w:ascii="Verdana" w:eastAsia="Calibri" w:hAnsi="Verdana"/>
      <w:i/>
      <w:noProof/>
      <w:sz w:val="18"/>
      <w:szCs w:val="18"/>
      <w:bdr w:val="nil"/>
      <w:lang w:eastAsia="en-US"/>
    </w:rPr>
  </w:style>
  <w:style w:type="paragraph" w:customStyle="1" w:styleId="TextSubtitlenumberingRCItalic">
    <w:name w:val="Text_Subtitle_(numbering RC Italic)"/>
    <w:basedOn w:val="Normal"/>
    <w:qFormat/>
    <w:rsid w:val="00D033B9"/>
    <w:pPr>
      <w:numPr>
        <w:numId w:val="14"/>
      </w:numPr>
      <w:ind w:left="357" w:hanging="357"/>
    </w:pPr>
    <w:rPr>
      <w:rFonts w:ascii="Verdana" w:hAnsi="Verdana"/>
      <w:i/>
      <w:sz w:val="18"/>
      <w:szCs w:val="18"/>
    </w:rPr>
  </w:style>
  <w:style w:type="paragraph" w:customStyle="1" w:styleId="Textstand-alonebulletpointJustified">
    <w:name w:val="Text_stand-alone_bullet point + Justified"/>
    <w:basedOn w:val="Normal"/>
    <w:qFormat/>
    <w:rsid w:val="007C0DE0"/>
    <w:pPr>
      <w:numPr>
        <w:numId w:val="15"/>
      </w:numPr>
      <w:spacing w:after="240"/>
      <w:ind w:left="357" w:hanging="357"/>
      <w:contextualSpacing/>
      <w:jc w:val="both"/>
    </w:pPr>
    <w:rPr>
      <w:rFonts w:ascii="Verdana" w:hAnsi="Verdana"/>
      <w:sz w:val="18"/>
    </w:rPr>
  </w:style>
  <w:style w:type="paragraph" w:customStyle="1" w:styleId="Textstand-alonenumberingRCIndentJustified">
    <w:name w:val="Text_stand-alone_numbering RC Indent + Justified"/>
    <w:basedOn w:val="Normal"/>
    <w:qFormat/>
    <w:rsid w:val="007C0DE0"/>
    <w:pPr>
      <w:numPr>
        <w:numId w:val="16"/>
      </w:numPr>
      <w:ind w:left="357" w:hanging="357"/>
    </w:pPr>
    <w:rPr>
      <w:rFonts w:ascii="Verdana" w:hAnsi="Verdana"/>
      <w:sz w:val="18"/>
      <w:szCs w:val="18"/>
    </w:rPr>
  </w:style>
  <w:style w:type="paragraph" w:customStyle="1" w:styleId="TextSubtitleItalicnumberinglettera">
    <w:name w:val="Text_Subtitle Italic numbering letter (a)"/>
    <w:basedOn w:val="Normal"/>
    <w:qFormat/>
    <w:rsid w:val="007C0DE0"/>
    <w:pPr>
      <w:numPr>
        <w:numId w:val="17"/>
      </w:numPr>
    </w:pPr>
    <w:rPr>
      <w:rFonts w:ascii="Verdana" w:hAnsi="Verdana"/>
      <w:i/>
      <w:sz w:val="18"/>
      <w:szCs w:val="18"/>
    </w:rPr>
  </w:style>
  <w:style w:type="paragraph" w:customStyle="1" w:styleId="Heading7pNormalRight01">
    <w:name w:val="Heading_7p_Normal_Right_0.1"/>
    <w:qFormat/>
    <w:rsid w:val="003C74F7"/>
    <w:pPr>
      <w:pBdr>
        <w:top w:val="nil"/>
        <w:left w:val="nil"/>
        <w:bottom w:val="nil"/>
        <w:right w:val="nil"/>
        <w:between w:val="nil"/>
        <w:bar w:val="nil"/>
      </w:pBdr>
      <w:ind w:right="57"/>
      <w:jc w:val="right"/>
    </w:pPr>
    <w:rPr>
      <w:rFonts w:ascii="Verdana" w:hAnsi="Verdana" w:cs="Calibri"/>
      <w:bCs/>
      <w:color w:val="FFFFFF"/>
      <w:sz w:val="14"/>
      <w:szCs w:val="22"/>
      <w:bdr w:val="nil"/>
    </w:rPr>
  </w:style>
  <w:style w:type="paragraph" w:customStyle="1" w:styleId="Heading7pNormalRight025">
    <w:name w:val="Heading_7p_Normal_Right_0.25"/>
    <w:basedOn w:val="Heading7pNormalRight01"/>
    <w:qFormat/>
    <w:rsid w:val="003C74F7"/>
    <w:pPr>
      <w:ind w:right="142"/>
    </w:pPr>
  </w:style>
  <w:style w:type="paragraph" w:customStyle="1" w:styleId="Text7pItalicLeft">
    <w:name w:val="Text_7p_Italic_Left"/>
    <w:qFormat/>
    <w:rsid w:val="003C74F7"/>
    <w:pPr>
      <w:pBdr>
        <w:top w:val="nil"/>
        <w:left w:val="nil"/>
        <w:bottom w:val="nil"/>
        <w:right w:val="nil"/>
        <w:between w:val="nil"/>
        <w:bar w:val="nil"/>
      </w:pBdr>
    </w:pPr>
    <w:rPr>
      <w:rFonts w:ascii="Verdana" w:eastAsia="Calibri" w:hAnsi="Verdana"/>
      <w:bCs/>
      <w:i/>
      <w:noProof/>
      <w:sz w:val="14"/>
      <w:bdr w:val="nil"/>
      <w:lang w:eastAsia="en-US"/>
    </w:rPr>
  </w:style>
  <w:style w:type="paragraph" w:customStyle="1" w:styleId="Figures7pItalicRight025">
    <w:name w:val="Figures_7p_Italic_Right_0.25"/>
    <w:basedOn w:val="Figures8pItalicRight025"/>
    <w:qFormat/>
    <w:rsid w:val="003C74F7"/>
    <w:rPr>
      <w:sz w:val="14"/>
    </w:rPr>
  </w:style>
  <w:style w:type="paragraph" w:customStyle="1" w:styleId="Figures8pItalicRight025">
    <w:name w:val="Figures_8p_Italic_Right_0.25"/>
    <w:qFormat/>
    <w:rsid w:val="003C74F7"/>
    <w:pPr>
      <w:pBdr>
        <w:top w:val="nil"/>
        <w:left w:val="nil"/>
        <w:bottom w:val="nil"/>
        <w:right w:val="nil"/>
        <w:between w:val="nil"/>
        <w:bar w:val="nil"/>
      </w:pBdr>
      <w:ind w:right="142"/>
      <w:jc w:val="right"/>
    </w:pPr>
    <w:rPr>
      <w:rFonts w:ascii="Verdana" w:eastAsia="Calibri" w:hAnsi="Verdana"/>
      <w:i/>
      <w:noProof/>
      <w:sz w:val="16"/>
      <w:szCs w:val="18"/>
      <w:bdr w:val="nil"/>
      <w:lang w:eastAsia="en-US"/>
    </w:rPr>
  </w:style>
  <w:style w:type="paragraph" w:customStyle="1" w:styleId="Text7pBoldLeft">
    <w:name w:val="Text_7p_Bold_Left"/>
    <w:qFormat/>
    <w:rsid w:val="003C74F7"/>
    <w:pPr>
      <w:pBdr>
        <w:top w:val="nil"/>
        <w:left w:val="nil"/>
        <w:bottom w:val="nil"/>
        <w:right w:val="nil"/>
        <w:between w:val="nil"/>
        <w:bar w:val="nil"/>
      </w:pBdr>
    </w:pPr>
    <w:rPr>
      <w:rFonts w:ascii="Verdana" w:eastAsia="Calibri" w:hAnsi="Verdana"/>
      <w:b/>
      <w:noProof/>
      <w:sz w:val="14"/>
      <w:szCs w:val="18"/>
      <w:bdr w:val="nil"/>
      <w:lang w:eastAsia="en-US"/>
    </w:rPr>
  </w:style>
  <w:style w:type="paragraph" w:customStyle="1" w:styleId="Figures7pBoldRight025">
    <w:name w:val="Figures_7p_Bold_Right_0.25"/>
    <w:qFormat/>
    <w:rsid w:val="003C74F7"/>
    <w:pPr>
      <w:pBdr>
        <w:top w:val="nil"/>
        <w:left w:val="nil"/>
        <w:bottom w:val="nil"/>
        <w:right w:val="nil"/>
        <w:between w:val="nil"/>
        <w:bar w:val="nil"/>
      </w:pBdr>
      <w:ind w:right="142"/>
      <w:jc w:val="right"/>
    </w:pPr>
    <w:rPr>
      <w:rFonts w:ascii="Verdana" w:eastAsia="Calibri" w:hAnsi="Verdana"/>
      <w:b/>
      <w:noProof/>
      <w:sz w:val="14"/>
      <w:szCs w:val="18"/>
      <w:bdr w:val="nil"/>
      <w:lang w:eastAsia="en-US"/>
    </w:rPr>
  </w:style>
  <w:style w:type="paragraph" w:customStyle="1" w:styleId="Heading10pNormalCentered">
    <w:name w:val="Heading_10p_Normal_Centered"/>
    <w:qFormat/>
    <w:rsid w:val="003C74F7"/>
    <w:pPr>
      <w:pBdr>
        <w:top w:val="nil"/>
        <w:left w:val="nil"/>
        <w:bottom w:val="nil"/>
        <w:right w:val="nil"/>
        <w:between w:val="nil"/>
        <w:bar w:val="nil"/>
      </w:pBdr>
      <w:jc w:val="center"/>
    </w:pPr>
    <w:rPr>
      <w:rFonts w:ascii="Verdana" w:eastAsia="Calibri" w:hAnsi="Verdana"/>
      <w:noProof/>
      <w:color w:val="FFFFFF"/>
      <w:szCs w:val="30"/>
      <w:bdr w:val="nil"/>
      <w:lang w:eastAsia="en-US"/>
    </w:rPr>
  </w:style>
  <w:style w:type="paragraph" w:customStyle="1" w:styleId="Heading9pNormalLeft">
    <w:name w:val="Heading_9p_Normal_Left"/>
    <w:basedOn w:val="Heading9pNormalCentered"/>
    <w:qFormat/>
    <w:rsid w:val="0066275A"/>
    <w:pPr>
      <w:jc w:val="left"/>
    </w:pPr>
  </w:style>
  <w:style w:type="paragraph" w:customStyle="1" w:styleId="Text9pNormalLeft">
    <w:name w:val="Text_9p_Normal_Left"/>
    <w:basedOn w:val="Text9pItalicLeft"/>
    <w:qFormat/>
    <w:rsid w:val="00C357FF"/>
    <w:rPr>
      <w:i w:val="0"/>
    </w:rPr>
  </w:style>
  <w:style w:type="paragraph" w:customStyle="1" w:styleId="Heading8pNormalRight025">
    <w:name w:val="Heading_8p_Normal_Right_0.25"/>
    <w:basedOn w:val="Heading10pNormalRight025"/>
    <w:qFormat/>
    <w:rsid w:val="00263A32"/>
    <w:rPr>
      <w:sz w:val="16"/>
    </w:rPr>
  </w:style>
  <w:style w:type="paragraph" w:customStyle="1" w:styleId="Text8pBoldLeft">
    <w:name w:val="Text_8p_Bold_Left"/>
    <w:qFormat/>
    <w:rsid w:val="00263A32"/>
    <w:rPr>
      <w:rFonts w:ascii="Verdana" w:eastAsia="Calibri" w:hAnsi="Verdana"/>
      <w:b/>
      <w:bCs/>
      <w:noProof/>
      <w:sz w:val="16"/>
      <w:lang w:eastAsia="en-US"/>
    </w:rPr>
  </w:style>
  <w:style w:type="paragraph" w:customStyle="1" w:styleId="Figures8pBoldRight025">
    <w:name w:val="Figures_8p_Bold_Right_0.25"/>
    <w:qFormat/>
    <w:rsid w:val="00263A32"/>
    <w:pPr>
      <w:ind w:right="142"/>
      <w:jc w:val="right"/>
    </w:pPr>
    <w:rPr>
      <w:rFonts w:ascii="Verdana" w:eastAsia="Calibri" w:hAnsi="Verdana"/>
      <w:b/>
      <w:bCs/>
      <w:noProof/>
      <w:sz w:val="16"/>
      <w:lang w:eastAsia="en-US"/>
    </w:rPr>
  </w:style>
  <w:style w:type="paragraph" w:customStyle="1" w:styleId="Text7pItalicRight025">
    <w:name w:val="Text_7p_Italic_Right_0.25"/>
    <w:basedOn w:val="Text8pItalicRight025EUR"/>
    <w:qFormat/>
    <w:rsid w:val="0059539A"/>
    <w:rPr>
      <w:sz w:val="14"/>
    </w:rPr>
  </w:style>
  <w:style w:type="paragraph" w:customStyle="1" w:styleId="Heading7pNormalCentered">
    <w:name w:val="Heading_7p_Normal_Centered"/>
    <w:basedOn w:val="Heading8pNormalCentered"/>
    <w:qFormat/>
    <w:rsid w:val="0059539A"/>
    <w:rPr>
      <w:sz w:val="14"/>
    </w:rPr>
  </w:style>
  <w:style w:type="paragraph" w:customStyle="1" w:styleId="Heading8pNormalCentered">
    <w:name w:val="Heading_8p_Normal_Centered"/>
    <w:qFormat/>
    <w:rsid w:val="0059539A"/>
    <w:pPr>
      <w:jc w:val="center"/>
    </w:pPr>
    <w:rPr>
      <w:rFonts w:ascii="Verdana" w:eastAsia="Calibri" w:hAnsi="Verdana"/>
      <w:noProof/>
      <w:color w:val="FFFFFF"/>
      <w:sz w:val="16"/>
      <w:szCs w:val="30"/>
      <w:lang w:eastAsia="en-US"/>
    </w:rPr>
  </w:style>
  <w:style w:type="paragraph" w:customStyle="1" w:styleId="Figures9pNormalRight025">
    <w:name w:val="Figures_9p_Normal_Right_0.25"/>
    <w:basedOn w:val="Figures9pItalicRight025"/>
    <w:qFormat/>
    <w:rsid w:val="003B78ED"/>
    <w:rPr>
      <w:i w:val="0"/>
    </w:rPr>
  </w:style>
  <w:style w:type="paragraph" w:customStyle="1" w:styleId="Heading8pNormalLeft">
    <w:name w:val="Heading_8p_Normal_Left"/>
    <w:qFormat/>
    <w:rsid w:val="003B78ED"/>
    <w:rPr>
      <w:rFonts w:ascii="Verdana" w:hAnsi="Verdana" w:cs="Calibri"/>
      <w:bCs/>
      <w:color w:val="FFFFFF"/>
      <w:sz w:val="16"/>
      <w:szCs w:val="22"/>
    </w:rPr>
  </w:style>
  <w:style w:type="paragraph" w:customStyle="1" w:styleId="Textstand-alonenumberingJustified">
    <w:name w:val="Text_stand-alone_(numbering) + Justified"/>
    <w:basedOn w:val="Normal"/>
    <w:qFormat/>
    <w:rsid w:val="000C3655"/>
    <w:pPr>
      <w:numPr>
        <w:numId w:val="18"/>
      </w:numPr>
      <w:spacing w:after="240"/>
      <w:jc w:val="both"/>
    </w:pPr>
    <w:rPr>
      <w:rFonts w:ascii="Verdana" w:hAnsi="Verdana"/>
      <w:sz w:val="18"/>
      <w:szCs w:val="18"/>
    </w:rPr>
  </w:style>
  <w:style w:type="paragraph" w:customStyle="1" w:styleId="Textstand-alonenumberingLetters">
    <w:name w:val="Text_stand-alone_(numbering Letters)"/>
    <w:basedOn w:val="Normal"/>
    <w:qFormat/>
    <w:rsid w:val="000C3655"/>
    <w:pPr>
      <w:numPr>
        <w:numId w:val="19"/>
      </w:numPr>
      <w:spacing w:after="240"/>
      <w:ind w:left="357" w:hanging="357"/>
    </w:pPr>
    <w:rPr>
      <w:rFonts w:ascii="Verdana" w:hAnsi="Verdana"/>
      <w:sz w:val="18"/>
      <w:szCs w:val="18"/>
    </w:rPr>
  </w:style>
  <w:style w:type="paragraph" w:customStyle="1" w:styleId="Text5pItalicRight025">
    <w:name w:val="Text_5p_Italic_Right_0.25"/>
    <w:basedOn w:val="Text6pItalicRight025"/>
    <w:qFormat/>
    <w:rsid w:val="00227404"/>
    <w:rPr>
      <w:sz w:val="10"/>
    </w:rPr>
  </w:style>
  <w:style w:type="paragraph" w:customStyle="1" w:styleId="Text6pItalicRight025">
    <w:name w:val="Text_6p_Italic_Right_0.25"/>
    <w:basedOn w:val="Text7pItalicRight025"/>
    <w:qFormat/>
    <w:rsid w:val="00227404"/>
    <w:rPr>
      <w:sz w:val="12"/>
    </w:rPr>
  </w:style>
  <w:style w:type="paragraph" w:customStyle="1" w:styleId="Figures6pBoldRight01">
    <w:name w:val="Figures_6p_Bold_Right_0.1"/>
    <w:basedOn w:val="Figures7pBoldRight025"/>
    <w:qFormat/>
    <w:rsid w:val="00227404"/>
    <w:pPr>
      <w:ind w:right="57"/>
    </w:pPr>
    <w:rPr>
      <w:sz w:val="12"/>
      <w:szCs w:val="12"/>
    </w:rPr>
  </w:style>
  <w:style w:type="paragraph" w:customStyle="1" w:styleId="Figures6pItalicRight01">
    <w:name w:val="Figures_6p_Italic_Right_0.1"/>
    <w:basedOn w:val="Figures7pItalicRight025"/>
    <w:qFormat/>
    <w:rsid w:val="00227404"/>
    <w:pPr>
      <w:ind w:right="57"/>
    </w:pPr>
    <w:rPr>
      <w:sz w:val="12"/>
      <w:szCs w:val="12"/>
    </w:rPr>
  </w:style>
  <w:style w:type="paragraph" w:customStyle="1" w:styleId="Text7pNormalLeft">
    <w:name w:val="Text_7p_Normal_Left"/>
    <w:basedOn w:val="Text8pNormalLeft"/>
    <w:qFormat/>
    <w:rsid w:val="00F32630"/>
    <w:rPr>
      <w:noProof/>
      <w:sz w:val="14"/>
    </w:rPr>
  </w:style>
  <w:style w:type="paragraph" w:customStyle="1" w:styleId="Text8pNormalLeft">
    <w:name w:val="Text_8p_Normal_Left"/>
    <w:qFormat/>
    <w:rsid w:val="00F32630"/>
    <w:pPr>
      <w:ind w:left="34"/>
    </w:pPr>
    <w:rPr>
      <w:rFonts w:ascii="Verdana" w:eastAsia="Calibri" w:hAnsi="Verdana"/>
      <w:bCs/>
      <w:sz w:val="16"/>
      <w:lang w:eastAsia="en-US"/>
    </w:rPr>
  </w:style>
  <w:style w:type="paragraph" w:customStyle="1" w:styleId="Textstand-aloneBulletpoint">
    <w:name w:val="Text_stand-alone Bullet point"/>
    <w:basedOn w:val="Normal"/>
    <w:qFormat/>
    <w:rsid w:val="0073685D"/>
    <w:pPr>
      <w:numPr>
        <w:numId w:val="20"/>
      </w:numPr>
      <w:spacing w:after="240"/>
      <w:ind w:left="1080"/>
      <w:contextualSpacing/>
    </w:pPr>
    <w:rPr>
      <w:rFonts w:ascii="Verdana" w:hAnsi="Verdana"/>
      <w:sz w:val="18"/>
      <w:szCs w:val="18"/>
    </w:rPr>
  </w:style>
  <w:style w:type="paragraph" w:customStyle="1" w:styleId="Heading8pNormalRight01">
    <w:name w:val="Heading_8p_Normal_Right_0.1"/>
    <w:qFormat/>
    <w:rsid w:val="006E03F9"/>
    <w:pPr>
      <w:pBdr>
        <w:top w:val="nil"/>
        <w:left w:val="nil"/>
        <w:bottom w:val="nil"/>
        <w:right w:val="nil"/>
        <w:between w:val="nil"/>
        <w:bar w:val="nil"/>
      </w:pBdr>
      <w:ind w:right="57"/>
      <w:jc w:val="right"/>
    </w:pPr>
    <w:rPr>
      <w:rFonts w:ascii="Verdana" w:hAnsi="Verdana" w:cs="Calibri"/>
      <w:bCs/>
      <w:color w:val="FFFFFF"/>
      <w:sz w:val="16"/>
      <w:szCs w:val="22"/>
      <w:bdr w:val="nil"/>
    </w:rPr>
  </w:style>
  <w:style w:type="paragraph" w:customStyle="1" w:styleId="Figures8pNormalRight025">
    <w:name w:val="Figures_8p_Normal_Right_0.25"/>
    <w:basedOn w:val="Figures8pItalicRight025"/>
    <w:qFormat/>
    <w:rsid w:val="006E03F9"/>
    <w:rPr>
      <w:i w:val="0"/>
    </w:rPr>
  </w:style>
  <w:style w:type="paragraph" w:customStyle="1" w:styleId="Text9pItalicLeft025">
    <w:name w:val="Text_9p_Italic_Left_0.25"/>
    <w:basedOn w:val="Text9pItalicLeft"/>
    <w:qFormat/>
    <w:rsid w:val="00F722E6"/>
    <w:pPr>
      <w:ind w:left="142"/>
    </w:pPr>
  </w:style>
  <w:style w:type="paragraph" w:customStyle="1" w:styleId="Text9pItalicBoldLeft">
    <w:name w:val="Text_9p_ItalicBold_Left"/>
    <w:qFormat/>
    <w:rsid w:val="00F722E6"/>
    <w:rPr>
      <w:rFonts w:ascii="Verdana" w:eastAsia="Calibri" w:hAnsi="Verdana"/>
      <w:b/>
      <w:i/>
      <w:noProof/>
      <w:sz w:val="18"/>
      <w:szCs w:val="18"/>
      <w:lang w:eastAsia="en-US"/>
    </w:rPr>
  </w:style>
  <w:style w:type="paragraph" w:customStyle="1" w:styleId="FIRSTCHAPTERPAGE2">
    <w:name w:val="FIRST CHAPTER_PAGE_2"/>
    <w:basedOn w:val="Textstand-alone"/>
    <w:qFormat/>
    <w:rsid w:val="00FE3ADE"/>
    <w:pPr>
      <w:tabs>
        <w:tab w:val="left" w:pos="907"/>
      </w:tabs>
      <w:spacing w:after="720"/>
      <w:jc w:val="left"/>
    </w:pPr>
    <w:rPr>
      <w:b/>
      <w:color w:val="016794"/>
      <w:sz w:val="40"/>
    </w:rPr>
  </w:style>
  <w:style w:type="paragraph" w:customStyle="1" w:styleId="HEADERTITLE2">
    <w:name w:val="HEADER_TITLE_2"/>
    <w:basedOn w:val="HEADERTITLE1"/>
    <w:qFormat/>
    <w:rsid w:val="00C52E40"/>
  </w:style>
  <w:style w:type="paragraph" w:customStyle="1" w:styleId="HEADERTITLE3">
    <w:name w:val="HEADER_TITLE_3"/>
    <w:basedOn w:val="HEADERTITLE1"/>
    <w:qFormat/>
    <w:rsid w:val="009E7E05"/>
    <w:rPr>
      <w:sz w:val="24"/>
    </w:rPr>
  </w:style>
  <w:style w:type="paragraph" w:customStyle="1" w:styleId="Heading9pBoldCentered">
    <w:name w:val="Heading_9p_Bold_Centered"/>
    <w:qFormat/>
    <w:rsid w:val="007B61AA"/>
    <w:pPr>
      <w:pBdr>
        <w:top w:val="nil"/>
        <w:left w:val="nil"/>
        <w:bottom w:val="nil"/>
        <w:right w:val="nil"/>
        <w:between w:val="nil"/>
        <w:bar w:val="nil"/>
      </w:pBdr>
      <w:jc w:val="center"/>
    </w:pPr>
    <w:rPr>
      <w:rFonts w:ascii="Verdana" w:hAnsi="Verdana"/>
      <w:b/>
      <w:noProof/>
      <w:sz w:val="18"/>
      <w:szCs w:val="18"/>
      <w:bdr w:val="nil"/>
      <w:lang w:eastAsia="en-US"/>
    </w:rPr>
  </w:style>
  <w:style w:type="paragraph" w:customStyle="1" w:styleId="DGTextStand-alonebulletpoint">
    <w:name w:val="DG_Text_Stand-alone_bullet point"/>
    <w:qFormat/>
    <w:rsid w:val="008B0733"/>
    <w:pPr>
      <w:spacing w:after="240"/>
      <w:ind w:left="357" w:hanging="357"/>
    </w:pPr>
    <w:rPr>
      <w:rFonts w:ascii="Verdana" w:hAnsi="Verdana"/>
      <w:noProof/>
      <w:sz w:val="18"/>
      <w:szCs w:val="18"/>
      <w:lang w:eastAsia="en-US"/>
    </w:rPr>
  </w:style>
  <w:style w:type="paragraph" w:customStyle="1" w:styleId="Figures7pNormalRight025">
    <w:name w:val="Figures_7p_Normal_Right_0.25"/>
    <w:basedOn w:val="Figures7pItalicRight025"/>
    <w:qFormat/>
    <w:rsid w:val="00BB7E20"/>
    <w:rPr>
      <w:i w:val="0"/>
    </w:rPr>
  </w:style>
  <w:style w:type="paragraph" w:customStyle="1" w:styleId="Heading7pBoldLeft">
    <w:name w:val="Heading_7p_Bold_Left"/>
    <w:qFormat/>
    <w:rsid w:val="002C1CBD"/>
    <w:pPr>
      <w:pBdr>
        <w:top w:val="nil"/>
        <w:left w:val="nil"/>
        <w:bottom w:val="nil"/>
        <w:right w:val="nil"/>
        <w:between w:val="nil"/>
        <w:bar w:val="nil"/>
      </w:pBdr>
    </w:pPr>
    <w:rPr>
      <w:rFonts w:ascii="Verdana" w:eastAsia="Calibri" w:hAnsi="Verdana"/>
      <w:b/>
      <w:noProof/>
      <w:sz w:val="14"/>
      <w:szCs w:val="18"/>
      <w:bdr w:val="nil"/>
      <w:lang w:eastAsia="en-US"/>
    </w:rPr>
  </w:style>
  <w:style w:type="paragraph" w:styleId="TOC1">
    <w:name w:val="toc 1"/>
    <w:aliases w:val="Level 1 TOC"/>
    <w:basedOn w:val="Normal"/>
    <w:next w:val="Normal"/>
    <w:autoRedefine/>
    <w:uiPriority w:val="39"/>
    <w:rsid w:val="00F818AC"/>
    <w:pPr>
      <w:tabs>
        <w:tab w:val="right" w:leader="dot" w:pos="9629"/>
      </w:tabs>
      <w:spacing w:after="100"/>
    </w:pPr>
    <w:rPr>
      <w:rFonts w:ascii="Verdana" w:hAnsi="Verdana"/>
      <w:noProof/>
      <w:color w:val="016794"/>
      <w:sz w:val="22"/>
      <w:szCs w:val="21"/>
    </w:rPr>
  </w:style>
  <w:style w:type="character" w:styleId="Hyperlink">
    <w:name w:val="Hyperlink"/>
    <w:basedOn w:val="DefaultParagraphFont"/>
    <w:uiPriority w:val="99"/>
    <w:unhideWhenUsed/>
    <w:rsid w:val="00375FD9"/>
    <w:rPr>
      <w:color w:val="0000FF" w:themeColor="hyperlink"/>
      <w:u w:val="single"/>
    </w:rPr>
  </w:style>
  <w:style w:type="paragraph" w:styleId="TOC2">
    <w:name w:val="toc 2"/>
    <w:aliases w:val="Level 2 TOC"/>
    <w:basedOn w:val="Normal"/>
    <w:next w:val="Normal"/>
    <w:autoRedefine/>
    <w:uiPriority w:val="39"/>
    <w:unhideWhenUsed/>
    <w:rsid w:val="005F66D3"/>
    <w:pPr>
      <w:tabs>
        <w:tab w:val="left" w:pos="1134"/>
        <w:tab w:val="right" w:leader="dot" w:pos="9628"/>
      </w:tabs>
      <w:spacing w:after="120"/>
      <w:ind w:left="567"/>
    </w:pPr>
    <w:rPr>
      <w:rFonts w:ascii="Verdana" w:hAnsi="Verdana"/>
      <w:noProof/>
      <w:color w:val="016794"/>
      <w:sz w:val="20"/>
      <w:szCs w:val="22"/>
    </w:rPr>
  </w:style>
  <w:style w:type="paragraph" w:styleId="BalloonText">
    <w:name w:val="Balloon Text"/>
    <w:basedOn w:val="Normal"/>
    <w:link w:val="BalloonTextChar"/>
    <w:rsid w:val="00827CE4"/>
    <w:rPr>
      <w:rFonts w:ascii="Tahoma" w:hAnsi="Tahoma" w:cs="Tahoma"/>
      <w:sz w:val="16"/>
      <w:szCs w:val="16"/>
    </w:rPr>
  </w:style>
  <w:style w:type="character" w:customStyle="1" w:styleId="BalloonTextChar">
    <w:name w:val="Balloon Text Char"/>
    <w:basedOn w:val="DefaultParagraphFont"/>
    <w:link w:val="BalloonText"/>
    <w:rsid w:val="00827CE4"/>
    <w:rPr>
      <w:rFonts w:ascii="Tahoma" w:hAnsi="Tahoma" w:cs="Tahoma"/>
      <w:sz w:val="16"/>
      <w:szCs w:val="16"/>
    </w:rPr>
  </w:style>
  <w:style w:type="paragraph" w:customStyle="1" w:styleId="TOC">
    <w:name w:val="TOC"/>
    <w:aliases w:val="Level 3 TOC"/>
    <w:basedOn w:val="TOC3"/>
    <w:qFormat/>
    <w:rsid w:val="008A4A80"/>
    <w:pPr>
      <w:tabs>
        <w:tab w:val="right" w:leader="dot" w:pos="9628"/>
      </w:tabs>
      <w:ind w:left="680"/>
    </w:pPr>
    <w:rPr>
      <w:rFonts w:ascii="Verdana" w:hAnsi="Verdana"/>
      <w:sz w:val="20"/>
    </w:rPr>
  </w:style>
  <w:style w:type="paragraph" w:styleId="TOC3">
    <w:name w:val="toc 3"/>
    <w:basedOn w:val="Normal"/>
    <w:next w:val="Normal"/>
    <w:autoRedefine/>
    <w:rsid w:val="008A4A80"/>
    <w:pPr>
      <w:spacing w:after="100"/>
      <w:ind w:left="480"/>
    </w:pPr>
  </w:style>
  <w:style w:type="character" w:customStyle="1" w:styleId="Marker">
    <w:name w:val="Marker"/>
    <w:basedOn w:val="DefaultParagraphFont"/>
    <w:rsid w:val="0012099B"/>
    <w:rPr>
      <w:color w:val="0000FF"/>
      <w:shd w:val="clear" w:color="auto" w:fill="auto"/>
    </w:rPr>
  </w:style>
  <w:style w:type="paragraph" w:customStyle="1" w:styleId="Pagedecouverture">
    <w:name w:val="Page de couverture"/>
    <w:basedOn w:val="Normal"/>
    <w:next w:val="Normal"/>
    <w:rsid w:val="0012099B"/>
    <w:pPr>
      <w:jc w:val="both"/>
    </w:pPr>
    <w:rPr>
      <w:rFonts w:eastAsiaTheme="minorHAnsi"/>
      <w:szCs w:val="22"/>
      <w:lang w:eastAsia="en-US"/>
    </w:rPr>
  </w:style>
  <w:style w:type="paragraph" w:customStyle="1" w:styleId="FooterCoverPage">
    <w:name w:val="Footer Cover Page"/>
    <w:basedOn w:val="Normal"/>
    <w:link w:val="FooterCoverPageChar"/>
    <w:rsid w:val="0012099B"/>
    <w:pPr>
      <w:tabs>
        <w:tab w:val="center" w:pos="4535"/>
        <w:tab w:val="right" w:pos="9071"/>
        <w:tab w:val="right" w:pos="9921"/>
      </w:tabs>
      <w:spacing w:before="360"/>
      <w:ind w:left="-850" w:right="-850"/>
    </w:pPr>
    <w:rPr>
      <w:color w:val="016794"/>
    </w:rPr>
  </w:style>
  <w:style w:type="character" w:customStyle="1" w:styleId="CoverPageChar">
    <w:name w:val="CoverPage Char"/>
    <w:basedOn w:val="DefaultParagraphFont"/>
    <w:link w:val="CoverPage"/>
    <w:rsid w:val="0012099B"/>
    <w:rPr>
      <w:rFonts w:ascii="Verdana" w:hAnsi="Verdana"/>
      <w:color w:val="016794"/>
      <w:sz w:val="52"/>
      <w:szCs w:val="52"/>
    </w:rPr>
  </w:style>
  <w:style w:type="character" w:customStyle="1" w:styleId="FooterCoverPageChar">
    <w:name w:val="Footer Cover Page Char"/>
    <w:basedOn w:val="CoverPageChar"/>
    <w:link w:val="FooterCoverPage"/>
    <w:rsid w:val="0012099B"/>
    <w:rPr>
      <w:rFonts w:ascii="Verdana" w:hAnsi="Verdana"/>
      <w:color w:val="016794"/>
      <w:sz w:val="24"/>
      <w:szCs w:val="24"/>
    </w:rPr>
  </w:style>
  <w:style w:type="paragraph" w:customStyle="1" w:styleId="HeaderCoverPage">
    <w:name w:val="Header Cover Page"/>
    <w:basedOn w:val="Normal"/>
    <w:link w:val="HeaderCoverPageChar"/>
    <w:rsid w:val="0012099B"/>
    <w:pPr>
      <w:tabs>
        <w:tab w:val="center" w:pos="4535"/>
        <w:tab w:val="right" w:pos="9071"/>
      </w:tabs>
      <w:spacing w:after="120"/>
      <w:jc w:val="both"/>
    </w:pPr>
    <w:rPr>
      <w:color w:val="016794"/>
    </w:rPr>
  </w:style>
  <w:style w:type="character" w:customStyle="1" w:styleId="HeaderCoverPageChar">
    <w:name w:val="Header Cover Page Char"/>
    <w:basedOn w:val="CoverPageChar"/>
    <w:link w:val="HeaderCoverPage"/>
    <w:rsid w:val="0012099B"/>
    <w:rPr>
      <w:rFonts w:ascii="Verdana" w:hAnsi="Verdana"/>
      <w:color w:val="016794"/>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link w:val="CoverPageChar"/>
    <w:qFormat/>
    <w:rsid w:val="00522083"/>
    <w:pPr>
      <w:spacing w:before="240" w:after="720" w:line="360" w:lineRule="auto"/>
      <w:ind w:left="2268"/>
    </w:pPr>
    <w:rPr>
      <w:rFonts w:ascii="Verdana" w:hAnsi="Verdana"/>
      <w:color w:val="016794"/>
      <w:sz w:val="52"/>
      <w:szCs w:val="52"/>
    </w:rPr>
  </w:style>
  <w:style w:type="paragraph" w:customStyle="1" w:styleId="HEADERTABLE">
    <w:name w:val="HEADER_TABLE"/>
    <w:basedOn w:val="Normal"/>
    <w:qFormat/>
    <w:rsid w:val="00F35B1B"/>
    <w:pPr>
      <w:spacing w:after="240"/>
    </w:pPr>
    <w:rPr>
      <w:rFonts w:ascii="Verdana" w:hAnsi="Verdana"/>
      <w:b/>
      <w:color w:val="016794"/>
      <w:sz w:val="28"/>
      <w:szCs w:val="28"/>
    </w:rPr>
  </w:style>
  <w:style w:type="paragraph" w:customStyle="1" w:styleId="Textstand-alone">
    <w:name w:val="Text_stand-alone"/>
    <w:basedOn w:val="Normal"/>
    <w:qFormat/>
    <w:rsid w:val="00F35B1B"/>
    <w:pPr>
      <w:spacing w:before="240" w:after="240"/>
      <w:jc w:val="both"/>
    </w:pPr>
    <w:rPr>
      <w:rFonts w:ascii="Verdana" w:hAnsi="Verdana"/>
      <w:noProof/>
      <w:sz w:val="18"/>
      <w:szCs w:val="18"/>
      <w:lang w:eastAsia="en-US"/>
    </w:rPr>
  </w:style>
  <w:style w:type="paragraph" w:customStyle="1" w:styleId="FIRSTCHAPTERPAGE">
    <w:name w:val="FIRST_CHAPTER_PAGE"/>
    <w:basedOn w:val="Normal"/>
    <w:qFormat/>
    <w:rsid w:val="00C61F02"/>
    <w:pPr>
      <w:spacing w:before="240" w:after="720"/>
    </w:pPr>
    <w:rPr>
      <w:rFonts w:ascii="Verdana" w:hAnsi="Verdana"/>
      <w:b/>
      <w:color w:val="016794"/>
      <w:sz w:val="40"/>
      <w:szCs w:val="40"/>
    </w:rPr>
  </w:style>
  <w:style w:type="paragraph" w:customStyle="1" w:styleId="HEADER1Part4">
    <w:name w:val="HEADER 1_Part 4"/>
    <w:basedOn w:val="HEADER1Part3"/>
    <w:qFormat/>
    <w:rsid w:val="00632F43"/>
    <w:pPr>
      <w:numPr>
        <w:numId w:val="1"/>
      </w:numPr>
    </w:pPr>
  </w:style>
  <w:style w:type="paragraph" w:customStyle="1" w:styleId="HEADER2Part4">
    <w:name w:val="HEADER 2_Part 4"/>
    <w:basedOn w:val="HEADER2Part3"/>
    <w:qFormat/>
    <w:rsid w:val="0039477C"/>
    <w:pPr>
      <w:numPr>
        <w:numId w:val="1"/>
      </w:numPr>
    </w:pPr>
  </w:style>
  <w:style w:type="paragraph" w:customStyle="1" w:styleId="HEADER2Part3">
    <w:name w:val="HEADER 2_Part 3"/>
    <w:basedOn w:val="Normal"/>
    <w:qFormat/>
    <w:rsid w:val="00C61F02"/>
    <w:pPr>
      <w:numPr>
        <w:ilvl w:val="1"/>
        <w:numId w:val="2"/>
      </w:numPr>
      <w:tabs>
        <w:tab w:val="left" w:pos="907"/>
      </w:tabs>
      <w:spacing w:before="360" w:after="360"/>
    </w:pPr>
    <w:rPr>
      <w:rFonts w:ascii="Verdana" w:hAnsi="Verdana"/>
      <w:b/>
      <w:noProof/>
      <w:color w:val="016794"/>
      <w:sz w:val="28"/>
      <w:szCs w:val="30"/>
    </w:rPr>
  </w:style>
  <w:style w:type="paragraph" w:customStyle="1" w:styleId="HEADER1Part3">
    <w:name w:val="HEADER 1_Part 3"/>
    <w:basedOn w:val="Normal"/>
    <w:qFormat/>
    <w:rsid w:val="00C61F02"/>
    <w:pPr>
      <w:numPr>
        <w:numId w:val="2"/>
      </w:numPr>
      <w:tabs>
        <w:tab w:val="left" w:pos="907"/>
      </w:tabs>
      <w:spacing w:after="240"/>
    </w:pPr>
    <w:rPr>
      <w:rFonts w:ascii="Verdana" w:hAnsi="Verdana"/>
      <w:b/>
      <w:color w:val="016794"/>
      <w:sz w:val="32"/>
      <w:szCs w:val="32"/>
    </w:rPr>
  </w:style>
  <w:style w:type="paragraph" w:customStyle="1" w:styleId="HEADER3Part3">
    <w:name w:val="HEADER 3_Part 3"/>
    <w:basedOn w:val="HEADER3Part1"/>
    <w:qFormat/>
    <w:rsid w:val="00C61F02"/>
    <w:pPr>
      <w:numPr>
        <w:numId w:val="2"/>
      </w:numPr>
    </w:pPr>
  </w:style>
  <w:style w:type="paragraph" w:customStyle="1" w:styleId="HEADER3Part1">
    <w:name w:val="HEADER 3_Part 1"/>
    <w:basedOn w:val="Normal"/>
    <w:qFormat/>
    <w:rsid w:val="00C61F02"/>
    <w:pPr>
      <w:numPr>
        <w:ilvl w:val="2"/>
        <w:numId w:val="3"/>
      </w:numPr>
      <w:tabs>
        <w:tab w:val="left" w:pos="907"/>
      </w:tabs>
      <w:spacing w:before="360" w:after="360"/>
    </w:pPr>
    <w:rPr>
      <w:rFonts w:ascii="Verdana" w:hAnsi="Verdana"/>
      <w:color w:val="016794"/>
      <w:sz w:val="20"/>
      <w:szCs w:val="20"/>
    </w:rPr>
  </w:style>
  <w:style w:type="paragraph" w:customStyle="1" w:styleId="HEADER1Part1">
    <w:name w:val="HEADER 1_Part 1"/>
    <w:basedOn w:val="HEADER1Part3"/>
    <w:qFormat/>
    <w:rsid w:val="00C61F02"/>
    <w:pPr>
      <w:numPr>
        <w:numId w:val="3"/>
      </w:numPr>
      <w:jc w:val="both"/>
    </w:pPr>
  </w:style>
  <w:style w:type="paragraph" w:customStyle="1" w:styleId="HEADER2Part1">
    <w:name w:val="HEADER 2 _Part 1"/>
    <w:basedOn w:val="Normal"/>
    <w:qFormat/>
    <w:rsid w:val="00C61F02"/>
    <w:pPr>
      <w:numPr>
        <w:ilvl w:val="1"/>
        <w:numId w:val="3"/>
      </w:numPr>
      <w:tabs>
        <w:tab w:val="left" w:pos="907"/>
      </w:tabs>
      <w:spacing w:before="360" w:after="360"/>
    </w:pPr>
    <w:rPr>
      <w:rFonts w:ascii="Verdana" w:hAnsi="Verdana"/>
      <w:b/>
      <w:color w:val="016794"/>
      <w:sz w:val="28"/>
    </w:rPr>
  </w:style>
  <w:style w:type="paragraph" w:customStyle="1" w:styleId="HEADER4Part1">
    <w:name w:val="HEADER 4_Part 1"/>
    <w:basedOn w:val="HEADER3Part1"/>
    <w:qFormat/>
    <w:rsid w:val="00C61F02"/>
    <w:pPr>
      <w:numPr>
        <w:ilvl w:val="3"/>
      </w:numPr>
    </w:pPr>
    <w:rPr>
      <w:sz w:val="18"/>
      <w:szCs w:val="18"/>
    </w:rPr>
  </w:style>
  <w:style w:type="paragraph" w:customStyle="1" w:styleId="HEADER3Part4">
    <w:name w:val="HEADER 3_Part 4"/>
    <w:basedOn w:val="HEADER3Part3"/>
    <w:qFormat/>
    <w:rsid w:val="0039477C"/>
    <w:pPr>
      <w:numPr>
        <w:numId w:val="1"/>
      </w:numPr>
    </w:pPr>
  </w:style>
  <w:style w:type="paragraph" w:customStyle="1" w:styleId="HEADER4Part4">
    <w:name w:val="HEADER 4_Part 4"/>
    <w:basedOn w:val="HEADER3Part2"/>
    <w:qFormat/>
    <w:rsid w:val="0039477C"/>
    <w:pPr>
      <w:numPr>
        <w:ilvl w:val="3"/>
        <w:numId w:val="1"/>
      </w:numPr>
    </w:pPr>
  </w:style>
  <w:style w:type="paragraph" w:customStyle="1" w:styleId="HEADER3Part2">
    <w:name w:val="HEADER 3_Part 2"/>
    <w:basedOn w:val="HEADER3Part1"/>
    <w:qFormat/>
    <w:rsid w:val="00C61F02"/>
    <w:pPr>
      <w:numPr>
        <w:numId w:val="13"/>
      </w:numPr>
      <w:tabs>
        <w:tab w:val="clear" w:pos="907"/>
      </w:tabs>
    </w:pPr>
  </w:style>
  <w:style w:type="paragraph" w:customStyle="1" w:styleId="DGTextstand-alone">
    <w:name w:val="DG_Text_stand-alone"/>
    <w:link w:val="DGTextstand-aloneChar"/>
    <w:rsid w:val="00385E47"/>
    <w:pPr>
      <w:spacing w:before="240" w:after="240"/>
      <w:jc w:val="both"/>
    </w:pPr>
    <w:rPr>
      <w:rFonts w:ascii="Verdana" w:hAnsi="Verdana"/>
      <w:noProof/>
      <w:sz w:val="18"/>
      <w:szCs w:val="18"/>
      <w:lang w:eastAsia="en-US"/>
    </w:rPr>
  </w:style>
  <w:style w:type="character" w:customStyle="1" w:styleId="DGTextstand-aloneChar">
    <w:name w:val="DG_Text_stand-alone Char"/>
    <w:link w:val="DGTextstand-alone"/>
    <w:rsid w:val="00385E47"/>
    <w:rPr>
      <w:rFonts w:ascii="Verdana" w:eastAsia="Times New Roman" w:hAnsi="Verdana"/>
      <w:noProof/>
      <w:sz w:val="18"/>
      <w:szCs w:val="18"/>
      <w:lang w:eastAsia="en-US"/>
    </w:rPr>
  </w:style>
  <w:style w:type="paragraph" w:customStyle="1" w:styleId="HEADER5">
    <w:name w:val="HEADER 5"/>
    <w:basedOn w:val="Normal"/>
    <w:qFormat/>
    <w:rsid w:val="00C61F02"/>
    <w:rPr>
      <w:rFonts w:ascii="Verdana" w:hAnsi="Verdana"/>
      <w:b/>
      <w:color w:val="016794"/>
      <w:sz w:val="18"/>
      <w:szCs w:val="18"/>
    </w:rPr>
  </w:style>
  <w:style w:type="paragraph" w:customStyle="1" w:styleId="Text8pItalicLeft">
    <w:name w:val="Text_8p_Italic_Left"/>
    <w:qFormat/>
    <w:rsid w:val="00C61F02"/>
    <w:pPr>
      <w:pBdr>
        <w:top w:val="nil"/>
        <w:left w:val="nil"/>
        <w:bottom w:val="nil"/>
        <w:right w:val="nil"/>
        <w:between w:val="nil"/>
        <w:bar w:val="nil"/>
      </w:pBdr>
    </w:pPr>
    <w:rPr>
      <w:rFonts w:ascii="Verdana" w:hAnsi="Verdana"/>
      <w:bCs/>
      <w:i/>
      <w:noProof/>
      <w:sz w:val="16"/>
      <w:bdr w:val="nil"/>
      <w:lang w:eastAsia="en-US"/>
    </w:rPr>
  </w:style>
  <w:style w:type="paragraph" w:customStyle="1" w:styleId="Text8pItalicRight025EUR">
    <w:name w:val="Text_8p_Italic_Right_0.25_EUR"/>
    <w:qFormat/>
    <w:rsid w:val="00C61F02"/>
    <w:pPr>
      <w:pBdr>
        <w:top w:val="nil"/>
        <w:left w:val="nil"/>
        <w:bottom w:val="nil"/>
        <w:right w:val="nil"/>
        <w:between w:val="nil"/>
        <w:bar w:val="nil"/>
      </w:pBdr>
      <w:ind w:right="142"/>
      <w:jc w:val="right"/>
    </w:pPr>
    <w:rPr>
      <w:rFonts w:ascii="Verdana" w:hAnsi="Verdana"/>
      <w:i/>
      <w:noProof/>
      <w:sz w:val="16"/>
      <w:szCs w:val="18"/>
      <w:bdr w:val="nil"/>
      <w:lang w:eastAsia="en-US"/>
    </w:rPr>
  </w:style>
  <w:style w:type="paragraph" w:customStyle="1" w:styleId="Heading10pNormalLeft">
    <w:name w:val="Heading_10p_Normal_Left"/>
    <w:qFormat/>
    <w:rsid w:val="00C61F02"/>
    <w:pPr>
      <w:pBdr>
        <w:top w:val="nil"/>
        <w:left w:val="nil"/>
        <w:bottom w:val="nil"/>
        <w:right w:val="nil"/>
        <w:between w:val="nil"/>
        <w:bar w:val="nil"/>
      </w:pBdr>
    </w:pPr>
    <w:rPr>
      <w:rFonts w:ascii="Verdana" w:hAnsi="Verdana"/>
      <w:noProof/>
      <w:color w:val="FFFFFF"/>
      <w:szCs w:val="30"/>
      <w:bdr w:val="nil"/>
      <w:lang w:eastAsia="en-US"/>
    </w:rPr>
  </w:style>
  <w:style w:type="paragraph" w:customStyle="1" w:styleId="Heading10pNormalRight025">
    <w:name w:val="Heading_10p_Normal_Right_0.25"/>
    <w:qFormat/>
    <w:rsid w:val="00C61F02"/>
    <w:pPr>
      <w:pBdr>
        <w:top w:val="nil"/>
        <w:left w:val="nil"/>
        <w:bottom w:val="nil"/>
        <w:right w:val="nil"/>
        <w:between w:val="nil"/>
        <w:bar w:val="nil"/>
      </w:pBdr>
      <w:ind w:right="142"/>
      <w:jc w:val="right"/>
    </w:pPr>
    <w:rPr>
      <w:rFonts w:ascii="Verdana" w:hAnsi="Verdana"/>
      <w:noProof/>
      <w:color w:val="FFFFFF"/>
      <w:szCs w:val="30"/>
      <w:bdr w:val="nil"/>
      <w:lang w:eastAsia="en-US"/>
    </w:rPr>
  </w:style>
  <w:style w:type="paragraph" w:customStyle="1" w:styleId="Text9pBoldLeft">
    <w:name w:val="Text_9p_Bold_Left"/>
    <w:qFormat/>
    <w:rsid w:val="00C61F02"/>
    <w:pPr>
      <w:pBdr>
        <w:top w:val="nil"/>
        <w:left w:val="nil"/>
        <w:bottom w:val="nil"/>
        <w:right w:val="nil"/>
        <w:between w:val="nil"/>
        <w:bar w:val="nil"/>
      </w:pBdr>
    </w:pPr>
    <w:rPr>
      <w:rFonts w:ascii="Verdana" w:hAnsi="Verdana"/>
      <w:b/>
      <w:noProof/>
      <w:sz w:val="18"/>
      <w:szCs w:val="18"/>
      <w:bdr w:val="nil"/>
      <w:lang w:eastAsia="en-US"/>
    </w:rPr>
  </w:style>
  <w:style w:type="paragraph" w:customStyle="1" w:styleId="Figures9pBoldRight025">
    <w:name w:val="Figures_9p_Bold_Right_0.25"/>
    <w:qFormat/>
    <w:rsid w:val="00C61F02"/>
    <w:pPr>
      <w:pBdr>
        <w:top w:val="nil"/>
        <w:left w:val="nil"/>
        <w:bottom w:val="nil"/>
        <w:right w:val="nil"/>
        <w:between w:val="nil"/>
        <w:bar w:val="nil"/>
      </w:pBdr>
      <w:ind w:right="142"/>
      <w:jc w:val="right"/>
    </w:pPr>
    <w:rPr>
      <w:rFonts w:ascii="Verdana" w:hAnsi="Verdana"/>
      <w:b/>
      <w:noProof/>
      <w:sz w:val="18"/>
      <w:szCs w:val="18"/>
      <w:bdr w:val="nil"/>
      <w:lang w:eastAsia="en-US"/>
    </w:rPr>
  </w:style>
  <w:style w:type="paragraph" w:customStyle="1" w:styleId="Text9pItalicLeft">
    <w:name w:val="Text_9p_Italic_Left"/>
    <w:qFormat/>
    <w:rsid w:val="00C61F02"/>
    <w:pPr>
      <w:pBdr>
        <w:top w:val="nil"/>
        <w:left w:val="nil"/>
        <w:bottom w:val="nil"/>
        <w:right w:val="nil"/>
        <w:between w:val="nil"/>
        <w:bar w:val="nil"/>
      </w:pBdr>
    </w:pPr>
    <w:rPr>
      <w:rFonts w:ascii="Verdana" w:hAnsi="Verdana"/>
      <w:i/>
      <w:noProof/>
      <w:sz w:val="18"/>
      <w:szCs w:val="18"/>
      <w:bdr w:val="nil"/>
      <w:lang w:eastAsia="en-US"/>
    </w:rPr>
  </w:style>
  <w:style w:type="paragraph" w:customStyle="1" w:styleId="Figures9pItalicRight025">
    <w:name w:val="Figures_9p_Italic_Right_0.25"/>
    <w:qFormat/>
    <w:rsid w:val="00C61F02"/>
    <w:pPr>
      <w:pBdr>
        <w:top w:val="nil"/>
        <w:left w:val="nil"/>
        <w:bottom w:val="nil"/>
        <w:right w:val="nil"/>
        <w:between w:val="nil"/>
        <w:bar w:val="nil"/>
      </w:pBdr>
      <w:ind w:right="142"/>
      <w:jc w:val="right"/>
    </w:pPr>
    <w:rPr>
      <w:rFonts w:ascii="Verdana" w:hAnsi="Verdana"/>
      <w:i/>
      <w:noProof/>
      <w:sz w:val="18"/>
      <w:szCs w:val="18"/>
      <w:bdr w:val="nil"/>
      <w:lang w:eastAsia="en-US"/>
    </w:rPr>
  </w:style>
  <w:style w:type="paragraph" w:customStyle="1" w:styleId="Heading9pNormalCentered">
    <w:name w:val="Heading_9p_Normal_Centered"/>
    <w:qFormat/>
    <w:rsid w:val="00C61F02"/>
    <w:pPr>
      <w:jc w:val="center"/>
    </w:pPr>
    <w:rPr>
      <w:rFonts w:ascii="Verdana" w:hAnsi="Verdana" w:cs="Calibri"/>
      <w:bCs/>
      <w:color w:val="FFFFFF"/>
      <w:sz w:val="18"/>
      <w:szCs w:val="22"/>
    </w:rPr>
  </w:style>
  <w:style w:type="paragraph" w:customStyle="1" w:styleId="Heading9pNormalRight01">
    <w:name w:val="Heading_9p_Normal_Right_0.1"/>
    <w:basedOn w:val="Heading9pNormalRight025"/>
    <w:qFormat/>
    <w:rsid w:val="00C61F02"/>
    <w:pPr>
      <w:ind w:right="57"/>
    </w:pPr>
  </w:style>
  <w:style w:type="paragraph" w:customStyle="1" w:styleId="Heading9pNormalRight025">
    <w:name w:val="Heading_9p_Normal_Right_0.25"/>
    <w:basedOn w:val="Heading9pNormalCentered"/>
    <w:qFormat/>
    <w:rsid w:val="00C61F02"/>
    <w:pPr>
      <w:pBdr>
        <w:top w:val="nil"/>
        <w:left w:val="nil"/>
        <w:bottom w:val="nil"/>
        <w:right w:val="nil"/>
        <w:between w:val="nil"/>
        <w:bar w:val="nil"/>
      </w:pBdr>
      <w:ind w:right="142"/>
      <w:jc w:val="right"/>
    </w:pPr>
    <w:rPr>
      <w:bdr w:val="nil"/>
    </w:rPr>
  </w:style>
  <w:style w:type="paragraph" w:customStyle="1" w:styleId="Figures9pItalicBoldRight025">
    <w:name w:val="Figures_9p_ItalicBold_Right_0.25"/>
    <w:qFormat/>
    <w:rsid w:val="00C61F02"/>
    <w:pPr>
      <w:ind w:right="142"/>
      <w:jc w:val="right"/>
    </w:pPr>
    <w:rPr>
      <w:rFonts w:ascii="Verdana" w:hAnsi="Verdana"/>
      <w:b/>
      <w:i/>
      <w:noProof/>
      <w:sz w:val="18"/>
      <w:szCs w:val="18"/>
      <w:lang w:eastAsia="en-US"/>
    </w:rPr>
  </w:style>
  <w:style w:type="paragraph" w:styleId="NormalWeb">
    <w:name w:val="Normal (Web)"/>
    <w:basedOn w:val="Normal"/>
    <w:uiPriority w:val="99"/>
    <w:semiHidden/>
    <w:unhideWhenUsed/>
    <w:rsid w:val="00273170"/>
    <w:pPr>
      <w:spacing w:before="100" w:beforeAutospacing="1" w:after="100" w:afterAutospacing="1"/>
    </w:pPr>
    <w:rPr>
      <w:rFonts w:eastAsiaTheme="minorEastAsia"/>
    </w:rPr>
  </w:style>
  <w:style w:type="paragraph" w:styleId="Header">
    <w:name w:val="header"/>
    <w:basedOn w:val="Normal"/>
    <w:link w:val="HeaderChar"/>
    <w:rsid w:val="00C61F02"/>
    <w:pPr>
      <w:tabs>
        <w:tab w:val="center" w:pos="4677"/>
        <w:tab w:val="right" w:pos="9355"/>
      </w:tabs>
    </w:pPr>
  </w:style>
  <w:style w:type="character" w:customStyle="1" w:styleId="HeaderChar">
    <w:name w:val="Header Char"/>
    <w:link w:val="Header"/>
    <w:rsid w:val="00C61F02"/>
    <w:rPr>
      <w:rFonts w:ascii="Times New Roman" w:eastAsia="Times New Roman" w:hAnsi="Times New Roman"/>
      <w:sz w:val="24"/>
      <w:szCs w:val="24"/>
    </w:rPr>
  </w:style>
  <w:style w:type="paragraph" w:styleId="Footer">
    <w:name w:val="footer"/>
    <w:basedOn w:val="Normal"/>
    <w:link w:val="FooterChar"/>
    <w:uiPriority w:val="99"/>
    <w:rsid w:val="00C61F02"/>
    <w:pPr>
      <w:tabs>
        <w:tab w:val="center" w:pos="4677"/>
        <w:tab w:val="right" w:pos="9355"/>
      </w:tabs>
    </w:pPr>
  </w:style>
  <w:style w:type="character" w:customStyle="1" w:styleId="FooterChar">
    <w:name w:val="Footer Char"/>
    <w:link w:val="Footer"/>
    <w:uiPriority w:val="99"/>
    <w:rsid w:val="00C61F02"/>
    <w:rPr>
      <w:rFonts w:ascii="Times New Roman" w:eastAsia="Times New Roman" w:hAnsi="Times New Roman"/>
      <w:sz w:val="24"/>
      <w:szCs w:val="24"/>
    </w:rPr>
  </w:style>
  <w:style w:type="paragraph" w:customStyle="1" w:styleId="HEADERTITLE">
    <w:name w:val="HEADER_TITLE"/>
    <w:basedOn w:val="Textstand-alone"/>
    <w:qFormat/>
    <w:rsid w:val="00C96E76"/>
    <w:pPr>
      <w:tabs>
        <w:tab w:val="left" w:pos="907"/>
      </w:tabs>
      <w:spacing w:before="0"/>
      <w:jc w:val="left"/>
    </w:pPr>
    <w:rPr>
      <w:b/>
      <w:color w:val="016794"/>
      <w:sz w:val="28"/>
    </w:rPr>
  </w:style>
  <w:style w:type="paragraph" w:customStyle="1" w:styleId="SignatureRightItalic">
    <w:name w:val="Signature_Right + Italic"/>
    <w:basedOn w:val="Normal"/>
    <w:qFormat/>
    <w:rsid w:val="00C96E76"/>
    <w:pPr>
      <w:spacing w:before="240"/>
      <w:ind w:left="4394" w:right="1128"/>
      <w:jc w:val="center"/>
    </w:pPr>
    <w:rPr>
      <w:rFonts w:ascii="Verdana" w:hAnsi="Verdana"/>
      <w:i/>
      <w:sz w:val="18"/>
      <w:szCs w:val="18"/>
    </w:rPr>
  </w:style>
  <w:style w:type="paragraph" w:customStyle="1" w:styleId="SignatureRight">
    <w:name w:val="Signature_Right"/>
    <w:basedOn w:val="SignatureRightItalic"/>
    <w:qFormat/>
    <w:rsid w:val="00C96E76"/>
    <w:rPr>
      <w:i w:val="0"/>
    </w:rPr>
  </w:style>
  <w:style w:type="paragraph" w:customStyle="1" w:styleId="SignatureRightBold">
    <w:name w:val="Signature_Right Bold"/>
    <w:basedOn w:val="SignatureRight"/>
    <w:qFormat/>
    <w:rsid w:val="00C96E76"/>
    <w:pPr>
      <w:spacing w:before="120" w:after="120"/>
    </w:pPr>
    <w:rPr>
      <w:b/>
    </w:rPr>
  </w:style>
  <w:style w:type="paragraph" w:customStyle="1" w:styleId="SignatureRightItalic0">
    <w:name w:val="Signature_Right Italic"/>
    <w:basedOn w:val="SignatureRightBold"/>
    <w:qFormat/>
    <w:rsid w:val="00C96E76"/>
    <w:rPr>
      <w:b w:val="0"/>
      <w:i/>
    </w:rPr>
  </w:style>
  <w:style w:type="paragraph" w:customStyle="1" w:styleId="FinancialYear">
    <w:name w:val="Financial_Year"/>
    <w:basedOn w:val="Normal"/>
    <w:qFormat/>
    <w:rsid w:val="00FA483B"/>
    <w:pPr>
      <w:jc w:val="right"/>
    </w:pPr>
    <w:rPr>
      <w:rFonts w:ascii="Verdana" w:hAnsi="Verdana"/>
      <w:color w:val="016794"/>
      <w:sz w:val="22"/>
      <w:szCs w:val="22"/>
    </w:rPr>
  </w:style>
  <w:style w:type="paragraph" w:customStyle="1" w:styleId="TOPHEADERNOTE">
    <w:name w:val="TOPHEADER_NOTE"/>
    <w:basedOn w:val="Normal"/>
    <w:qFormat/>
    <w:rsid w:val="00FA483B"/>
    <w:rPr>
      <w:rFonts w:ascii="Verdana" w:hAnsi="Verdana"/>
      <w:i/>
      <w:color w:val="016794"/>
      <w:sz w:val="18"/>
    </w:rPr>
  </w:style>
  <w:style w:type="paragraph" w:customStyle="1" w:styleId="HEADERTITLE1">
    <w:name w:val="HEADER_TITLE_1"/>
    <w:basedOn w:val="Textstand-alone"/>
    <w:qFormat/>
    <w:rsid w:val="00C41DCC"/>
    <w:pPr>
      <w:tabs>
        <w:tab w:val="left" w:pos="907"/>
      </w:tabs>
      <w:spacing w:before="0"/>
      <w:jc w:val="left"/>
    </w:pPr>
    <w:rPr>
      <w:b/>
      <w:color w:val="016794"/>
      <w:sz w:val="28"/>
    </w:rPr>
  </w:style>
  <w:style w:type="paragraph" w:customStyle="1" w:styleId="Text9pItalicCentered">
    <w:name w:val="Text_9p_Italic_Centered"/>
    <w:qFormat/>
    <w:rsid w:val="004962AB"/>
    <w:pPr>
      <w:pBdr>
        <w:top w:val="nil"/>
        <w:left w:val="nil"/>
        <w:bottom w:val="nil"/>
        <w:right w:val="nil"/>
        <w:between w:val="nil"/>
        <w:bar w:val="nil"/>
      </w:pBdr>
      <w:jc w:val="center"/>
    </w:pPr>
    <w:rPr>
      <w:rFonts w:ascii="Verdana" w:eastAsia="Calibri" w:hAnsi="Verdana"/>
      <w:i/>
      <w:noProof/>
      <w:sz w:val="18"/>
      <w:szCs w:val="18"/>
      <w:bdr w:val="nil"/>
      <w:lang w:eastAsia="en-US"/>
    </w:rPr>
  </w:style>
  <w:style w:type="paragraph" w:customStyle="1" w:styleId="Text9pItalicLeft3p">
    <w:name w:val="Text_9p_Italic_Left_3p"/>
    <w:basedOn w:val="Text9pItalicLeft"/>
    <w:qFormat/>
    <w:rsid w:val="007540AA"/>
    <w:pPr>
      <w:spacing w:after="60"/>
    </w:pPr>
  </w:style>
  <w:style w:type="paragraph" w:customStyle="1" w:styleId="FIRSTCHAPTERPAGE1">
    <w:name w:val="FIRST CHAPTER_PAGE_1"/>
    <w:basedOn w:val="Textstand-alone"/>
    <w:qFormat/>
    <w:rsid w:val="00A5463E"/>
    <w:pPr>
      <w:tabs>
        <w:tab w:val="left" w:pos="907"/>
      </w:tabs>
      <w:spacing w:after="720"/>
      <w:jc w:val="left"/>
    </w:pPr>
    <w:rPr>
      <w:b/>
      <w:color w:val="016794"/>
      <w:sz w:val="40"/>
    </w:rPr>
  </w:style>
  <w:style w:type="paragraph" w:customStyle="1" w:styleId="HEADER1Part2">
    <w:name w:val="HEADER 1_Part 2"/>
    <w:basedOn w:val="Normal"/>
    <w:qFormat/>
    <w:rsid w:val="00F9658A"/>
    <w:pPr>
      <w:numPr>
        <w:numId w:val="13"/>
      </w:numPr>
      <w:tabs>
        <w:tab w:val="left" w:pos="907"/>
      </w:tabs>
      <w:spacing w:after="240"/>
      <w:jc w:val="both"/>
    </w:pPr>
    <w:rPr>
      <w:rFonts w:ascii="Verdana" w:hAnsi="Verdana"/>
      <w:b/>
      <w:color w:val="016794"/>
      <w:sz w:val="32"/>
      <w:szCs w:val="32"/>
    </w:rPr>
  </w:style>
  <w:style w:type="paragraph" w:customStyle="1" w:styleId="HEADER2Part2">
    <w:name w:val="HEADER 2_Part 2"/>
    <w:basedOn w:val="Normal"/>
    <w:qFormat/>
    <w:rsid w:val="00F9658A"/>
    <w:pPr>
      <w:numPr>
        <w:ilvl w:val="1"/>
        <w:numId w:val="13"/>
      </w:numPr>
      <w:tabs>
        <w:tab w:val="left" w:pos="907"/>
      </w:tabs>
      <w:spacing w:before="360" w:after="360"/>
    </w:pPr>
    <w:rPr>
      <w:rFonts w:ascii="Verdana" w:hAnsi="Verdana"/>
      <w:b/>
      <w:color w:val="016794"/>
      <w:sz w:val="28"/>
      <w:szCs w:val="28"/>
    </w:rPr>
  </w:style>
  <w:style w:type="paragraph" w:customStyle="1" w:styleId="HEADER4Part2">
    <w:name w:val="HEADER 4_Part 2"/>
    <w:basedOn w:val="HEADER4Part1"/>
    <w:qFormat/>
    <w:rsid w:val="00F9658A"/>
    <w:pPr>
      <w:numPr>
        <w:numId w:val="13"/>
      </w:numPr>
    </w:pPr>
  </w:style>
  <w:style w:type="paragraph" w:customStyle="1" w:styleId="Text9pBoldLeft025">
    <w:name w:val="Text_9p_Bold_Left_0.25"/>
    <w:qFormat/>
    <w:rsid w:val="00EC6DE6"/>
    <w:pPr>
      <w:pBdr>
        <w:top w:val="nil"/>
        <w:left w:val="nil"/>
        <w:bottom w:val="nil"/>
        <w:right w:val="nil"/>
        <w:between w:val="nil"/>
        <w:bar w:val="nil"/>
      </w:pBdr>
      <w:ind w:left="142"/>
    </w:pPr>
    <w:rPr>
      <w:rFonts w:ascii="Verdana" w:eastAsia="Calibri" w:hAnsi="Verdana"/>
      <w:b/>
      <w:noProof/>
      <w:sz w:val="18"/>
      <w:szCs w:val="18"/>
      <w:bdr w:val="nil"/>
      <w:lang w:eastAsia="en-US"/>
    </w:rPr>
  </w:style>
  <w:style w:type="paragraph" w:customStyle="1" w:styleId="Figures9pItalicCentered">
    <w:name w:val="Figures_9p_Italic_Centered"/>
    <w:qFormat/>
    <w:rsid w:val="00EC6DE6"/>
    <w:pPr>
      <w:pBdr>
        <w:top w:val="nil"/>
        <w:left w:val="nil"/>
        <w:bottom w:val="nil"/>
        <w:right w:val="nil"/>
        <w:between w:val="nil"/>
        <w:bar w:val="nil"/>
      </w:pBdr>
      <w:jc w:val="center"/>
    </w:pPr>
    <w:rPr>
      <w:rFonts w:ascii="Verdana" w:eastAsia="Calibri" w:hAnsi="Verdana"/>
      <w:i/>
      <w:noProof/>
      <w:sz w:val="18"/>
      <w:szCs w:val="18"/>
      <w:bdr w:val="nil"/>
      <w:lang w:eastAsia="en-US"/>
    </w:rPr>
  </w:style>
  <w:style w:type="paragraph" w:customStyle="1" w:styleId="TextSubtitlenumberingRCItalic">
    <w:name w:val="Text_Subtitle_(numbering RC Italic)"/>
    <w:basedOn w:val="Normal"/>
    <w:qFormat/>
    <w:rsid w:val="00D033B9"/>
    <w:pPr>
      <w:numPr>
        <w:numId w:val="14"/>
      </w:numPr>
      <w:ind w:left="357" w:hanging="357"/>
    </w:pPr>
    <w:rPr>
      <w:rFonts w:ascii="Verdana" w:hAnsi="Verdana"/>
      <w:i/>
      <w:sz w:val="18"/>
      <w:szCs w:val="18"/>
    </w:rPr>
  </w:style>
  <w:style w:type="paragraph" w:customStyle="1" w:styleId="Textstand-alonebulletpointJustified">
    <w:name w:val="Text_stand-alone_bullet point + Justified"/>
    <w:basedOn w:val="Normal"/>
    <w:qFormat/>
    <w:rsid w:val="007C0DE0"/>
    <w:pPr>
      <w:numPr>
        <w:numId w:val="15"/>
      </w:numPr>
      <w:spacing w:after="240"/>
      <w:ind w:left="357" w:hanging="357"/>
      <w:contextualSpacing/>
      <w:jc w:val="both"/>
    </w:pPr>
    <w:rPr>
      <w:rFonts w:ascii="Verdana" w:hAnsi="Verdana"/>
      <w:sz w:val="18"/>
    </w:rPr>
  </w:style>
  <w:style w:type="paragraph" w:customStyle="1" w:styleId="Textstand-alonenumberingRCIndentJustified">
    <w:name w:val="Text_stand-alone_numbering RC Indent + Justified"/>
    <w:basedOn w:val="Normal"/>
    <w:qFormat/>
    <w:rsid w:val="007C0DE0"/>
    <w:pPr>
      <w:numPr>
        <w:numId w:val="16"/>
      </w:numPr>
      <w:ind w:left="357" w:hanging="357"/>
    </w:pPr>
    <w:rPr>
      <w:rFonts w:ascii="Verdana" w:hAnsi="Verdana"/>
      <w:sz w:val="18"/>
      <w:szCs w:val="18"/>
    </w:rPr>
  </w:style>
  <w:style w:type="paragraph" w:customStyle="1" w:styleId="TextSubtitleItalicnumberinglettera">
    <w:name w:val="Text_Subtitle Italic numbering letter (a)"/>
    <w:basedOn w:val="Normal"/>
    <w:qFormat/>
    <w:rsid w:val="007C0DE0"/>
    <w:pPr>
      <w:numPr>
        <w:numId w:val="17"/>
      </w:numPr>
    </w:pPr>
    <w:rPr>
      <w:rFonts w:ascii="Verdana" w:hAnsi="Verdana"/>
      <w:i/>
      <w:sz w:val="18"/>
      <w:szCs w:val="18"/>
    </w:rPr>
  </w:style>
  <w:style w:type="paragraph" w:customStyle="1" w:styleId="Heading7pNormalRight01">
    <w:name w:val="Heading_7p_Normal_Right_0.1"/>
    <w:qFormat/>
    <w:rsid w:val="003C74F7"/>
    <w:pPr>
      <w:pBdr>
        <w:top w:val="nil"/>
        <w:left w:val="nil"/>
        <w:bottom w:val="nil"/>
        <w:right w:val="nil"/>
        <w:between w:val="nil"/>
        <w:bar w:val="nil"/>
      </w:pBdr>
      <w:ind w:right="57"/>
      <w:jc w:val="right"/>
    </w:pPr>
    <w:rPr>
      <w:rFonts w:ascii="Verdana" w:hAnsi="Verdana" w:cs="Calibri"/>
      <w:bCs/>
      <w:color w:val="FFFFFF"/>
      <w:sz w:val="14"/>
      <w:szCs w:val="22"/>
      <w:bdr w:val="nil"/>
    </w:rPr>
  </w:style>
  <w:style w:type="paragraph" w:customStyle="1" w:styleId="Heading7pNormalRight025">
    <w:name w:val="Heading_7p_Normal_Right_0.25"/>
    <w:basedOn w:val="Heading7pNormalRight01"/>
    <w:qFormat/>
    <w:rsid w:val="003C74F7"/>
    <w:pPr>
      <w:ind w:right="142"/>
    </w:pPr>
  </w:style>
  <w:style w:type="paragraph" w:customStyle="1" w:styleId="Text7pItalicLeft">
    <w:name w:val="Text_7p_Italic_Left"/>
    <w:qFormat/>
    <w:rsid w:val="003C74F7"/>
    <w:pPr>
      <w:pBdr>
        <w:top w:val="nil"/>
        <w:left w:val="nil"/>
        <w:bottom w:val="nil"/>
        <w:right w:val="nil"/>
        <w:between w:val="nil"/>
        <w:bar w:val="nil"/>
      </w:pBdr>
    </w:pPr>
    <w:rPr>
      <w:rFonts w:ascii="Verdana" w:eastAsia="Calibri" w:hAnsi="Verdana"/>
      <w:bCs/>
      <w:i/>
      <w:noProof/>
      <w:sz w:val="14"/>
      <w:bdr w:val="nil"/>
      <w:lang w:eastAsia="en-US"/>
    </w:rPr>
  </w:style>
  <w:style w:type="paragraph" w:customStyle="1" w:styleId="Figures7pItalicRight025">
    <w:name w:val="Figures_7p_Italic_Right_0.25"/>
    <w:basedOn w:val="Figures8pItalicRight025"/>
    <w:qFormat/>
    <w:rsid w:val="003C74F7"/>
    <w:rPr>
      <w:sz w:val="14"/>
    </w:rPr>
  </w:style>
  <w:style w:type="paragraph" w:customStyle="1" w:styleId="Figures8pItalicRight025">
    <w:name w:val="Figures_8p_Italic_Right_0.25"/>
    <w:qFormat/>
    <w:rsid w:val="003C74F7"/>
    <w:pPr>
      <w:pBdr>
        <w:top w:val="nil"/>
        <w:left w:val="nil"/>
        <w:bottom w:val="nil"/>
        <w:right w:val="nil"/>
        <w:between w:val="nil"/>
        <w:bar w:val="nil"/>
      </w:pBdr>
      <w:ind w:right="142"/>
      <w:jc w:val="right"/>
    </w:pPr>
    <w:rPr>
      <w:rFonts w:ascii="Verdana" w:eastAsia="Calibri" w:hAnsi="Verdana"/>
      <w:i/>
      <w:noProof/>
      <w:sz w:val="16"/>
      <w:szCs w:val="18"/>
      <w:bdr w:val="nil"/>
      <w:lang w:eastAsia="en-US"/>
    </w:rPr>
  </w:style>
  <w:style w:type="paragraph" w:customStyle="1" w:styleId="Text7pBoldLeft">
    <w:name w:val="Text_7p_Bold_Left"/>
    <w:qFormat/>
    <w:rsid w:val="003C74F7"/>
    <w:pPr>
      <w:pBdr>
        <w:top w:val="nil"/>
        <w:left w:val="nil"/>
        <w:bottom w:val="nil"/>
        <w:right w:val="nil"/>
        <w:between w:val="nil"/>
        <w:bar w:val="nil"/>
      </w:pBdr>
    </w:pPr>
    <w:rPr>
      <w:rFonts w:ascii="Verdana" w:eastAsia="Calibri" w:hAnsi="Verdana"/>
      <w:b/>
      <w:noProof/>
      <w:sz w:val="14"/>
      <w:szCs w:val="18"/>
      <w:bdr w:val="nil"/>
      <w:lang w:eastAsia="en-US"/>
    </w:rPr>
  </w:style>
  <w:style w:type="paragraph" w:customStyle="1" w:styleId="Figures7pBoldRight025">
    <w:name w:val="Figures_7p_Bold_Right_0.25"/>
    <w:qFormat/>
    <w:rsid w:val="003C74F7"/>
    <w:pPr>
      <w:pBdr>
        <w:top w:val="nil"/>
        <w:left w:val="nil"/>
        <w:bottom w:val="nil"/>
        <w:right w:val="nil"/>
        <w:between w:val="nil"/>
        <w:bar w:val="nil"/>
      </w:pBdr>
      <w:ind w:right="142"/>
      <w:jc w:val="right"/>
    </w:pPr>
    <w:rPr>
      <w:rFonts w:ascii="Verdana" w:eastAsia="Calibri" w:hAnsi="Verdana"/>
      <w:b/>
      <w:noProof/>
      <w:sz w:val="14"/>
      <w:szCs w:val="18"/>
      <w:bdr w:val="nil"/>
      <w:lang w:eastAsia="en-US"/>
    </w:rPr>
  </w:style>
  <w:style w:type="paragraph" w:customStyle="1" w:styleId="Heading10pNormalCentered">
    <w:name w:val="Heading_10p_Normal_Centered"/>
    <w:qFormat/>
    <w:rsid w:val="003C74F7"/>
    <w:pPr>
      <w:pBdr>
        <w:top w:val="nil"/>
        <w:left w:val="nil"/>
        <w:bottom w:val="nil"/>
        <w:right w:val="nil"/>
        <w:between w:val="nil"/>
        <w:bar w:val="nil"/>
      </w:pBdr>
      <w:jc w:val="center"/>
    </w:pPr>
    <w:rPr>
      <w:rFonts w:ascii="Verdana" w:eastAsia="Calibri" w:hAnsi="Verdana"/>
      <w:noProof/>
      <w:color w:val="FFFFFF"/>
      <w:szCs w:val="30"/>
      <w:bdr w:val="nil"/>
      <w:lang w:eastAsia="en-US"/>
    </w:rPr>
  </w:style>
  <w:style w:type="paragraph" w:customStyle="1" w:styleId="Heading9pNormalLeft">
    <w:name w:val="Heading_9p_Normal_Left"/>
    <w:basedOn w:val="Heading9pNormalCentered"/>
    <w:qFormat/>
    <w:rsid w:val="0066275A"/>
    <w:pPr>
      <w:jc w:val="left"/>
    </w:pPr>
  </w:style>
  <w:style w:type="paragraph" w:customStyle="1" w:styleId="Text9pNormalLeft">
    <w:name w:val="Text_9p_Normal_Left"/>
    <w:basedOn w:val="Text9pItalicLeft"/>
    <w:qFormat/>
    <w:rsid w:val="00C357FF"/>
    <w:rPr>
      <w:i w:val="0"/>
    </w:rPr>
  </w:style>
  <w:style w:type="paragraph" w:customStyle="1" w:styleId="Heading8pNormalRight025">
    <w:name w:val="Heading_8p_Normal_Right_0.25"/>
    <w:basedOn w:val="Heading10pNormalRight025"/>
    <w:qFormat/>
    <w:rsid w:val="00263A32"/>
    <w:rPr>
      <w:sz w:val="16"/>
    </w:rPr>
  </w:style>
  <w:style w:type="paragraph" w:customStyle="1" w:styleId="Text8pBoldLeft">
    <w:name w:val="Text_8p_Bold_Left"/>
    <w:qFormat/>
    <w:rsid w:val="00263A32"/>
    <w:rPr>
      <w:rFonts w:ascii="Verdana" w:eastAsia="Calibri" w:hAnsi="Verdana"/>
      <w:b/>
      <w:bCs/>
      <w:noProof/>
      <w:sz w:val="16"/>
      <w:lang w:eastAsia="en-US"/>
    </w:rPr>
  </w:style>
  <w:style w:type="paragraph" w:customStyle="1" w:styleId="Figures8pBoldRight025">
    <w:name w:val="Figures_8p_Bold_Right_0.25"/>
    <w:qFormat/>
    <w:rsid w:val="00263A32"/>
    <w:pPr>
      <w:ind w:right="142"/>
      <w:jc w:val="right"/>
    </w:pPr>
    <w:rPr>
      <w:rFonts w:ascii="Verdana" w:eastAsia="Calibri" w:hAnsi="Verdana"/>
      <w:b/>
      <w:bCs/>
      <w:noProof/>
      <w:sz w:val="16"/>
      <w:lang w:eastAsia="en-US"/>
    </w:rPr>
  </w:style>
  <w:style w:type="paragraph" w:customStyle="1" w:styleId="Text7pItalicRight025">
    <w:name w:val="Text_7p_Italic_Right_0.25"/>
    <w:basedOn w:val="Text8pItalicRight025EUR"/>
    <w:qFormat/>
    <w:rsid w:val="0059539A"/>
    <w:rPr>
      <w:sz w:val="14"/>
    </w:rPr>
  </w:style>
  <w:style w:type="paragraph" w:customStyle="1" w:styleId="Heading7pNormalCentered">
    <w:name w:val="Heading_7p_Normal_Centered"/>
    <w:basedOn w:val="Heading8pNormalCentered"/>
    <w:qFormat/>
    <w:rsid w:val="0059539A"/>
    <w:rPr>
      <w:sz w:val="14"/>
    </w:rPr>
  </w:style>
  <w:style w:type="paragraph" w:customStyle="1" w:styleId="Heading8pNormalCentered">
    <w:name w:val="Heading_8p_Normal_Centered"/>
    <w:qFormat/>
    <w:rsid w:val="0059539A"/>
    <w:pPr>
      <w:jc w:val="center"/>
    </w:pPr>
    <w:rPr>
      <w:rFonts w:ascii="Verdana" w:eastAsia="Calibri" w:hAnsi="Verdana"/>
      <w:noProof/>
      <w:color w:val="FFFFFF"/>
      <w:sz w:val="16"/>
      <w:szCs w:val="30"/>
      <w:lang w:eastAsia="en-US"/>
    </w:rPr>
  </w:style>
  <w:style w:type="paragraph" w:customStyle="1" w:styleId="Figures9pNormalRight025">
    <w:name w:val="Figures_9p_Normal_Right_0.25"/>
    <w:basedOn w:val="Figures9pItalicRight025"/>
    <w:qFormat/>
    <w:rsid w:val="003B78ED"/>
    <w:rPr>
      <w:i w:val="0"/>
    </w:rPr>
  </w:style>
  <w:style w:type="paragraph" w:customStyle="1" w:styleId="Heading8pNormalLeft">
    <w:name w:val="Heading_8p_Normal_Left"/>
    <w:qFormat/>
    <w:rsid w:val="003B78ED"/>
    <w:rPr>
      <w:rFonts w:ascii="Verdana" w:hAnsi="Verdana" w:cs="Calibri"/>
      <w:bCs/>
      <w:color w:val="FFFFFF"/>
      <w:sz w:val="16"/>
      <w:szCs w:val="22"/>
    </w:rPr>
  </w:style>
  <w:style w:type="paragraph" w:customStyle="1" w:styleId="Textstand-alonenumberingJustified">
    <w:name w:val="Text_stand-alone_(numbering) + Justified"/>
    <w:basedOn w:val="Normal"/>
    <w:qFormat/>
    <w:rsid w:val="000C3655"/>
    <w:pPr>
      <w:numPr>
        <w:numId w:val="18"/>
      </w:numPr>
      <w:spacing w:after="240"/>
      <w:jc w:val="both"/>
    </w:pPr>
    <w:rPr>
      <w:rFonts w:ascii="Verdana" w:hAnsi="Verdana"/>
      <w:sz w:val="18"/>
      <w:szCs w:val="18"/>
    </w:rPr>
  </w:style>
  <w:style w:type="paragraph" w:customStyle="1" w:styleId="Textstand-alonenumberingLetters">
    <w:name w:val="Text_stand-alone_(numbering Letters)"/>
    <w:basedOn w:val="Normal"/>
    <w:qFormat/>
    <w:rsid w:val="000C3655"/>
    <w:pPr>
      <w:numPr>
        <w:numId w:val="19"/>
      </w:numPr>
      <w:spacing w:after="240"/>
      <w:ind w:left="357" w:hanging="357"/>
    </w:pPr>
    <w:rPr>
      <w:rFonts w:ascii="Verdana" w:hAnsi="Verdana"/>
      <w:sz w:val="18"/>
      <w:szCs w:val="18"/>
    </w:rPr>
  </w:style>
  <w:style w:type="paragraph" w:customStyle="1" w:styleId="Text5pItalicRight025">
    <w:name w:val="Text_5p_Italic_Right_0.25"/>
    <w:basedOn w:val="Text6pItalicRight025"/>
    <w:qFormat/>
    <w:rsid w:val="00227404"/>
    <w:rPr>
      <w:sz w:val="10"/>
    </w:rPr>
  </w:style>
  <w:style w:type="paragraph" w:customStyle="1" w:styleId="Text6pItalicRight025">
    <w:name w:val="Text_6p_Italic_Right_0.25"/>
    <w:basedOn w:val="Text7pItalicRight025"/>
    <w:qFormat/>
    <w:rsid w:val="00227404"/>
    <w:rPr>
      <w:sz w:val="12"/>
    </w:rPr>
  </w:style>
  <w:style w:type="paragraph" w:customStyle="1" w:styleId="Figures6pBoldRight01">
    <w:name w:val="Figures_6p_Bold_Right_0.1"/>
    <w:basedOn w:val="Figures7pBoldRight025"/>
    <w:qFormat/>
    <w:rsid w:val="00227404"/>
    <w:pPr>
      <w:ind w:right="57"/>
    </w:pPr>
    <w:rPr>
      <w:sz w:val="12"/>
      <w:szCs w:val="12"/>
    </w:rPr>
  </w:style>
  <w:style w:type="paragraph" w:customStyle="1" w:styleId="Figures6pItalicRight01">
    <w:name w:val="Figures_6p_Italic_Right_0.1"/>
    <w:basedOn w:val="Figures7pItalicRight025"/>
    <w:qFormat/>
    <w:rsid w:val="00227404"/>
    <w:pPr>
      <w:ind w:right="57"/>
    </w:pPr>
    <w:rPr>
      <w:sz w:val="12"/>
      <w:szCs w:val="12"/>
    </w:rPr>
  </w:style>
  <w:style w:type="paragraph" w:customStyle="1" w:styleId="Text7pNormalLeft">
    <w:name w:val="Text_7p_Normal_Left"/>
    <w:basedOn w:val="Text8pNormalLeft"/>
    <w:qFormat/>
    <w:rsid w:val="00F32630"/>
    <w:rPr>
      <w:noProof/>
      <w:sz w:val="14"/>
    </w:rPr>
  </w:style>
  <w:style w:type="paragraph" w:customStyle="1" w:styleId="Text8pNormalLeft">
    <w:name w:val="Text_8p_Normal_Left"/>
    <w:qFormat/>
    <w:rsid w:val="00F32630"/>
    <w:pPr>
      <w:ind w:left="34"/>
    </w:pPr>
    <w:rPr>
      <w:rFonts w:ascii="Verdana" w:eastAsia="Calibri" w:hAnsi="Verdana"/>
      <w:bCs/>
      <w:sz w:val="16"/>
      <w:lang w:eastAsia="en-US"/>
    </w:rPr>
  </w:style>
  <w:style w:type="paragraph" w:customStyle="1" w:styleId="Textstand-aloneBulletpoint">
    <w:name w:val="Text_stand-alone Bullet point"/>
    <w:basedOn w:val="Normal"/>
    <w:qFormat/>
    <w:rsid w:val="0073685D"/>
    <w:pPr>
      <w:numPr>
        <w:numId w:val="20"/>
      </w:numPr>
      <w:spacing w:after="240"/>
      <w:ind w:left="1080"/>
      <w:contextualSpacing/>
    </w:pPr>
    <w:rPr>
      <w:rFonts w:ascii="Verdana" w:hAnsi="Verdana"/>
      <w:sz w:val="18"/>
      <w:szCs w:val="18"/>
    </w:rPr>
  </w:style>
  <w:style w:type="paragraph" w:customStyle="1" w:styleId="Heading8pNormalRight01">
    <w:name w:val="Heading_8p_Normal_Right_0.1"/>
    <w:qFormat/>
    <w:rsid w:val="006E03F9"/>
    <w:pPr>
      <w:pBdr>
        <w:top w:val="nil"/>
        <w:left w:val="nil"/>
        <w:bottom w:val="nil"/>
        <w:right w:val="nil"/>
        <w:between w:val="nil"/>
        <w:bar w:val="nil"/>
      </w:pBdr>
      <w:ind w:right="57"/>
      <w:jc w:val="right"/>
    </w:pPr>
    <w:rPr>
      <w:rFonts w:ascii="Verdana" w:hAnsi="Verdana" w:cs="Calibri"/>
      <w:bCs/>
      <w:color w:val="FFFFFF"/>
      <w:sz w:val="16"/>
      <w:szCs w:val="22"/>
      <w:bdr w:val="nil"/>
    </w:rPr>
  </w:style>
  <w:style w:type="paragraph" w:customStyle="1" w:styleId="Figures8pNormalRight025">
    <w:name w:val="Figures_8p_Normal_Right_0.25"/>
    <w:basedOn w:val="Figures8pItalicRight025"/>
    <w:qFormat/>
    <w:rsid w:val="006E03F9"/>
    <w:rPr>
      <w:i w:val="0"/>
    </w:rPr>
  </w:style>
  <w:style w:type="paragraph" w:customStyle="1" w:styleId="Text9pItalicLeft025">
    <w:name w:val="Text_9p_Italic_Left_0.25"/>
    <w:basedOn w:val="Text9pItalicLeft"/>
    <w:qFormat/>
    <w:rsid w:val="00F722E6"/>
    <w:pPr>
      <w:ind w:left="142"/>
    </w:pPr>
  </w:style>
  <w:style w:type="paragraph" w:customStyle="1" w:styleId="Text9pItalicBoldLeft">
    <w:name w:val="Text_9p_ItalicBold_Left"/>
    <w:qFormat/>
    <w:rsid w:val="00F722E6"/>
    <w:rPr>
      <w:rFonts w:ascii="Verdana" w:eastAsia="Calibri" w:hAnsi="Verdana"/>
      <w:b/>
      <w:i/>
      <w:noProof/>
      <w:sz w:val="18"/>
      <w:szCs w:val="18"/>
      <w:lang w:eastAsia="en-US"/>
    </w:rPr>
  </w:style>
  <w:style w:type="paragraph" w:customStyle="1" w:styleId="FIRSTCHAPTERPAGE2">
    <w:name w:val="FIRST CHAPTER_PAGE_2"/>
    <w:basedOn w:val="Textstand-alone"/>
    <w:qFormat/>
    <w:rsid w:val="00FE3ADE"/>
    <w:pPr>
      <w:tabs>
        <w:tab w:val="left" w:pos="907"/>
      </w:tabs>
      <w:spacing w:after="720"/>
      <w:jc w:val="left"/>
    </w:pPr>
    <w:rPr>
      <w:b/>
      <w:color w:val="016794"/>
      <w:sz w:val="40"/>
    </w:rPr>
  </w:style>
  <w:style w:type="paragraph" w:customStyle="1" w:styleId="HEADERTITLE2">
    <w:name w:val="HEADER_TITLE_2"/>
    <w:basedOn w:val="HEADERTITLE1"/>
    <w:qFormat/>
    <w:rsid w:val="00C52E40"/>
  </w:style>
  <w:style w:type="paragraph" w:customStyle="1" w:styleId="HEADERTITLE3">
    <w:name w:val="HEADER_TITLE_3"/>
    <w:basedOn w:val="HEADERTITLE1"/>
    <w:qFormat/>
    <w:rsid w:val="009E7E05"/>
    <w:rPr>
      <w:sz w:val="24"/>
    </w:rPr>
  </w:style>
  <w:style w:type="paragraph" w:customStyle="1" w:styleId="Heading9pBoldCentered">
    <w:name w:val="Heading_9p_Bold_Centered"/>
    <w:qFormat/>
    <w:rsid w:val="007B61AA"/>
    <w:pPr>
      <w:pBdr>
        <w:top w:val="nil"/>
        <w:left w:val="nil"/>
        <w:bottom w:val="nil"/>
        <w:right w:val="nil"/>
        <w:between w:val="nil"/>
        <w:bar w:val="nil"/>
      </w:pBdr>
      <w:jc w:val="center"/>
    </w:pPr>
    <w:rPr>
      <w:rFonts w:ascii="Verdana" w:hAnsi="Verdana"/>
      <w:b/>
      <w:noProof/>
      <w:sz w:val="18"/>
      <w:szCs w:val="18"/>
      <w:bdr w:val="nil"/>
      <w:lang w:eastAsia="en-US"/>
    </w:rPr>
  </w:style>
  <w:style w:type="paragraph" w:customStyle="1" w:styleId="DGTextStand-alonebulletpoint">
    <w:name w:val="DG_Text_Stand-alone_bullet point"/>
    <w:qFormat/>
    <w:rsid w:val="008B0733"/>
    <w:pPr>
      <w:spacing w:after="240"/>
      <w:ind w:left="357" w:hanging="357"/>
    </w:pPr>
    <w:rPr>
      <w:rFonts w:ascii="Verdana" w:hAnsi="Verdana"/>
      <w:noProof/>
      <w:sz w:val="18"/>
      <w:szCs w:val="18"/>
      <w:lang w:eastAsia="en-US"/>
    </w:rPr>
  </w:style>
  <w:style w:type="paragraph" w:customStyle="1" w:styleId="Figures7pNormalRight025">
    <w:name w:val="Figures_7p_Normal_Right_0.25"/>
    <w:basedOn w:val="Figures7pItalicRight025"/>
    <w:qFormat/>
    <w:rsid w:val="00BB7E20"/>
    <w:rPr>
      <w:i w:val="0"/>
    </w:rPr>
  </w:style>
  <w:style w:type="paragraph" w:customStyle="1" w:styleId="Heading7pBoldLeft">
    <w:name w:val="Heading_7p_Bold_Left"/>
    <w:qFormat/>
    <w:rsid w:val="002C1CBD"/>
    <w:pPr>
      <w:pBdr>
        <w:top w:val="nil"/>
        <w:left w:val="nil"/>
        <w:bottom w:val="nil"/>
        <w:right w:val="nil"/>
        <w:between w:val="nil"/>
        <w:bar w:val="nil"/>
      </w:pBdr>
    </w:pPr>
    <w:rPr>
      <w:rFonts w:ascii="Verdana" w:eastAsia="Calibri" w:hAnsi="Verdana"/>
      <w:b/>
      <w:noProof/>
      <w:sz w:val="14"/>
      <w:szCs w:val="18"/>
      <w:bdr w:val="nil"/>
      <w:lang w:eastAsia="en-US"/>
    </w:rPr>
  </w:style>
  <w:style w:type="paragraph" w:styleId="TOC1">
    <w:name w:val="toc 1"/>
    <w:aliases w:val="Level 1 TOC"/>
    <w:basedOn w:val="Normal"/>
    <w:next w:val="Normal"/>
    <w:autoRedefine/>
    <w:uiPriority w:val="39"/>
    <w:rsid w:val="00F818AC"/>
    <w:pPr>
      <w:tabs>
        <w:tab w:val="right" w:leader="dot" w:pos="9629"/>
      </w:tabs>
      <w:spacing w:after="100"/>
    </w:pPr>
    <w:rPr>
      <w:rFonts w:ascii="Verdana" w:hAnsi="Verdana"/>
      <w:noProof/>
      <w:color w:val="016794"/>
      <w:sz w:val="22"/>
      <w:szCs w:val="21"/>
    </w:rPr>
  </w:style>
  <w:style w:type="character" w:styleId="Hyperlink">
    <w:name w:val="Hyperlink"/>
    <w:basedOn w:val="DefaultParagraphFont"/>
    <w:uiPriority w:val="99"/>
    <w:unhideWhenUsed/>
    <w:rsid w:val="00375FD9"/>
    <w:rPr>
      <w:color w:val="0000FF" w:themeColor="hyperlink"/>
      <w:u w:val="single"/>
    </w:rPr>
  </w:style>
  <w:style w:type="paragraph" w:styleId="TOC2">
    <w:name w:val="toc 2"/>
    <w:aliases w:val="Level 2 TOC"/>
    <w:basedOn w:val="Normal"/>
    <w:next w:val="Normal"/>
    <w:autoRedefine/>
    <w:uiPriority w:val="39"/>
    <w:unhideWhenUsed/>
    <w:rsid w:val="005F66D3"/>
    <w:pPr>
      <w:tabs>
        <w:tab w:val="left" w:pos="1134"/>
        <w:tab w:val="right" w:leader="dot" w:pos="9628"/>
      </w:tabs>
      <w:spacing w:after="120"/>
      <w:ind w:left="567"/>
    </w:pPr>
    <w:rPr>
      <w:rFonts w:ascii="Verdana" w:hAnsi="Verdana"/>
      <w:noProof/>
      <w:color w:val="016794"/>
      <w:sz w:val="20"/>
      <w:szCs w:val="22"/>
    </w:rPr>
  </w:style>
  <w:style w:type="paragraph" w:styleId="BalloonText">
    <w:name w:val="Balloon Text"/>
    <w:basedOn w:val="Normal"/>
    <w:link w:val="BalloonTextChar"/>
    <w:rsid w:val="00827CE4"/>
    <w:rPr>
      <w:rFonts w:ascii="Tahoma" w:hAnsi="Tahoma" w:cs="Tahoma"/>
      <w:sz w:val="16"/>
      <w:szCs w:val="16"/>
    </w:rPr>
  </w:style>
  <w:style w:type="character" w:customStyle="1" w:styleId="BalloonTextChar">
    <w:name w:val="Balloon Text Char"/>
    <w:basedOn w:val="DefaultParagraphFont"/>
    <w:link w:val="BalloonText"/>
    <w:rsid w:val="00827CE4"/>
    <w:rPr>
      <w:rFonts w:ascii="Tahoma" w:hAnsi="Tahoma" w:cs="Tahoma"/>
      <w:sz w:val="16"/>
      <w:szCs w:val="16"/>
    </w:rPr>
  </w:style>
  <w:style w:type="paragraph" w:customStyle="1" w:styleId="TOC">
    <w:name w:val="TOC"/>
    <w:aliases w:val="Level 3 TOC"/>
    <w:basedOn w:val="TOC3"/>
    <w:qFormat/>
    <w:rsid w:val="008A4A80"/>
    <w:pPr>
      <w:tabs>
        <w:tab w:val="right" w:leader="dot" w:pos="9628"/>
      </w:tabs>
      <w:ind w:left="680"/>
    </w:pPr>
    <w:rPr>
      <w:rFonts w:ascii="Verdana" w:hAnsi="Verdana"/>
      <w:sz w:val="20"/>
    </w:rPr>
  </w:style>
  <w:style w:type="paragraph" w:styleId="TOC3">
    <w:name w:val="toc 3"/>
    <w:basedOn w:val="Normal"/>
    <w:next w:val="Normal"/>
    <w:autoRedefine/>
    <w:rsid w:val="008A4A80"/>
    <w:pPr>
      <w:spacing w:after="100"/>
      <w:ind w:left="480"/>
    </w:pPr>
  </w:style>
  <w:style w:type="character" w:customStyle="1" w:styleId="Marker">
    <w:name w:val="Marker"/>
    <w:basedOn w:val="DefaultParagraphFont"/>
    <w:rsid w:val="0012099B"/>
    <w:rPr>
      <w:color w:val="0000FF"/>
      <w:shd w:val="clear" w:color="auto" w:fill="auto"/>
    </w:rPr>
  </w:style>
  <w:style w:type="paragraph" w:customStyle="1" w:styleId="Pagedecouverture">
    <w:name w:val="Page de couverture"/>
    <w:basedOn w:val="Normal"/>
    <w:next w:val="Normal"/>
    <w:rsid w:val="0012099B"/>
    <w:pPr>
      <w:jc w:val="both"/>
    </w:pPr>
    <w:rPr>
      <w:rFonts w:eastAsiaTheme="minorHAnsi"/>
      <w:szCs w:val="22"/>
      <w:lang w:eastAsia="en-US"/>
    </w:rPr>
  </w:style>
  <w:style w:type="paragraph" w:customStyle="1" w:styleId="FooterCoverPage">
    <w:name w:val="Footer Cover Page"/>
    <w:basedOn w:val="Normal"/>
    <w:link w:val="FooterCoverPageChar"/>
    <w:rsid w:val="0012099B"/>
    <w:pPr>
      <w:tabs>
        <w:tab w:val="center" w:pos="4535"/>
        <w:tab w:val="right" w:pos="9071"/>
        <w:tab w:val="right" w:pos="9921"/>
      </w:tabs>
      <w:spacing w:before="360"/>
      <w:ind w:left="-850" w:right="-850"/>
    </w:pPr>
    <w:rPr>
      <w:color w:val="016794"/>
    </w:rPr>
  </w:style>
  <w:style w:type="character" w:customStyle="1" w:styleId="CoverPageChar">
    <w:name w:val="CoverPage Char"/>
    <w:basedOn w:val="DefaultParagraphFont"/>
    <w:link w:val="CoverPage"/>
    <w:rsid w:val="0012099B"/>
    <w:rPr>
      <w:rFonts w:ascii="Verdana" w:hAnsi="Verdana"/>
      <w:color w:val="016794"/>
      <w:sz w:val="52"/>
      <w:szCs w:val="52"/>
    </w:rPr>
  </w:style>
  <w:style w:type="character" w:customStyle="1" w:styleId="FooterCoverPageChar">
    <w:name w:val="Footer Cover Page Char"/>
    <w:basedOn w:val="CoverPageChar"/>
    <w:link w:val="FooterCoverPage"/>
    <w:rsid w:val="0012099B"/>
    <w:rPr>
      <w:rFonts w:ascii="Verdana" w:hAnsi="Verdana"/>
      <w:color w:val="016794"/>
      <w:sz w:val="24"/>
      <w:szCs w:val="24"/>
    </w:rPr>
  </w:style>
  <w:style w:type="paragraph" w:customStyle="1" w:styleId="HeaderCoverPage">
    <w:name w:val="Header Cover Page"/>
    <w:basedOn w:val="Normal"/>
    <w:link w:val="HeaderCoverPageChar"/>
    <w:rsid w:val="0012099B"/>
    <w:pPr>
      <w:tabs>
        <w:tab w:val="center" w:pos="4535"/>
        <w:tab w:val="right" w:pos="9071"/>
      </w:tabs>
      <w:spacing w:after="120"/>
      <w:jc w:val="both"/>
    </w:pPr>
    <w:rPr>
      <w:color w:val="016794"/>
    </w:rPr>
  </w:style>
  <w:style w:type="character" w:customStyle="1" w:styleId="HeaderCoverPageChar">
    <w:name w:val="Header Cover Page Char"/>
    <w:basedOn w:val="CoverPageChar"/>
    <w:link w:val="HeaderCoverPage"/>
    <w:rsid w:val="0012099B"/>
    <w:rPr>
      <w:rFonts w:ascii="Verdana" w:hAnsi="Verdana"/>
      <w:color w:val="016794"/>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eader" Target="header48.xml"/><Relationship Id="rId299" Type="http://schemas.openxmlformats.org/officeDocument/2006/relationships/header" Target="header139.xml"/><Relationship Id="rId21" Type="http://schemas.openxmlformats.org/officeDocument/2006/relationships/header" Target="header6.xml"/><Relationship Id="rId63" Type="http://schemas.openxmlformats.org/officeDocument/2006/relationships/header" Target="header21.xml"/><Relationship Id="rId159" Type="http://schemas.openxmlformats.org/officeDocument/2006/relationships/header" Target="header69.xml"/><Relationship Id="rId324" Type="http://schemas.openxmlformats.org/officeDocument/2006/relationships/header" Target="header152.xml"/><Relationship Id="rId366" Type="http://schemas.openxmlformats.org/officeDocument/2006/relationships/header" Target="header173.xml"/><Relationship Id="rId531" Type="http://schemas.openxmlformats.org/officeDocument/2006/relationships/header" Target="header255.xml"/><Relationship Id="rId573" Type="http://schemas.openxmlformats.org/officeDocument/2006/relationships/header" Target="header276.xml"/><Relationship Id="rId170" Type="http://schemas.openxmlformats.org/officeDocument/2006/relationships/footer" Target="footer74.xml"/><Relationship Id="rId226" Type="http://schemas.openxmlformats.org/officeDocument/2006/relationships/footer" Target="footer102.xml"/><Relationship Id="rId433" Type="http://schemas.openxmlformats.org/officeDocument/2006/relationships/footer" Target="footer205.xml"/><Relationship Id="rId268" Type="http://schemas.openxmlformats.org/officeDocument/2006/relationships/footer" Target="footer123.xml"/><Relationship Id="rId475" Type="http://schemas.openxmlformats.org/officeDocument/2006/relationships/footer" Target="footer226.xml"/><Relationship Id="rId32" Type="http://schemas.openxmlformats.org/officeDocument/2006/relationships/chart" Target="charts/chart3.xml"/><Relationship Id="rId74" Type="http://schemas.openxmlformats.org/officeDocument/2006/relationships/footer" Target="footer26.xml"/><Relationship Id="rId128" Type="http://schemas.openxmlformats.org/officeDocument/2006/relationships/footer" Target="footer53.xml"/><Relationship Id="rId335" Type="http://schemas.openxmlformats.org/officeDocument/2006/relationships/header" Target="header157.xml"/><Relationship Id="rId377" Type="http://schemas.openxmlformats.org/officeDocument/2006/relationships/header" Target="header178.xml"/><Relationship Id="rId500" Type="http://schemas.openxmlformats.org/officeDocument/2006/relationships/footer" Target="footer239.xml"/><Relationship Id="rId542" Type="http://schemas.openxmlformats.org/officeDocument/2006/relationships/footer" Target="footer260.xml"/><Relationship Id="rId584" Type="http://schemas.openxmlformats.org/officeDocument/2006/relationships/footer" Target="footer281.xml"/><Relationship Id="rId5" Type="http://schemas.microsoft.com/office/2007/relationships/stylesWithEffects" Target="stylesWithEffects.xml"/><Relationship Id="rId181" Type="http://schemas.openxmlformats.org/officeDocument/2006/relationships/footer" Target="footer79.xml"/><Relationship Id="rId237" Type="http://schemas.openxmlformats.org/officeDocument/2006/relationships/header" Target="header108.xml"/><Relationship Id="rId402" Type="http://schemas.openxmlformats.org/officeDocument/2006/relationships/header" Target="header191.xml"/><Relationship Id="rId279" Type="http://schemas.openxmlformats.org/officeDocument/2006/relationships/header" Target="header129.xml"/><Relationship Id="rId444" Type="http://schemas.openxmlformats.org/officeDocument/2006/relationships/header" Target="header212.xml"/><Relationship Id="rId486" Type="http://schemas.openxmlformats.org/officeDocument/2006/relationships/header" Target="header233.xml"/><Relationship Id="rId43" Type="http://schemas.openxmlformats.org/officeDocument/2006/relationships/footer" Target="footer10.xml"/><Relationship Id="rId139" Type="http://schemas.openxmlformats.org/officeDocument/2006/relationships/footer" Target="footer58.xml"/><Relationship Id="rId290" Type="http://schemas.openxmlformats.org/officeDocument/2006/relationships/footer" Target="footer134.xml"/><Relationship Id="rId304" Type="http://schemas.openxmlformats.org/officeDocument/2006/relationships/footer" Target="footer141.xml"/><Relationship Id="rId346" Type="http://schemas.openxmlformats.org/officeDocument/2006/relationships/footer" Target="footer162.xml"/><Relationship Id="rId388" Type="http://schemas.openxmlformats.org/officeDocument/2006/relationships/footer" Target="footer183.xml"/><Relationship Id="rId511" Type="http://schemas.openxmlformats.org/officeDocument/2006/relationships/footer" Target="footer244.xml"/><Relationship Id="rId553" Type="http://schemas.openxmlformats.org/officeDocument/2006/relationships/footer" Target="footer265.xml"/><Relationship Id="rId609" Type="http://schemas.openxmlformats.org/officeDocument/2006/relationships/header" Target="header294.xml"/><Relationship Id="rId85" Type="http://schemas.openxmlformats.org/officeDocument/2006/relationships/footer" Target="footer31.xml"/><Relationship Id="rId150" Type="http://schemas.openxmlformats.org/officeDocument/2006/relationships/header" Target="header65.xml"/><Relationship Id="rId192" Type="http://schemas.openxmlformats.org/officeDocument/2006/relationships/header" Target="header86.xml"/><Relationship Id="rId206" Type="http://schemas.openxmlformats.org/officeDocument/2006/relationships/footer" Target="footer92.xml"/><Relationship Id="rId413" Type="http://schemas.openxmlformats.org/officeDocument/2006/relationships/header" Target="header196.xml"/><Relationship Id="rId595" Type="http://schemas.openxmlformats.org/officeDocument/2006/relationships/footer" Target="footer286.xml"/><Relationship Id="rId248" Type="http://schemas.openxmlformats.org/officeDocument/2006/relationships/footer" Target="footer113.xml"/><Relationship Id="rId455" Type="http://schemas.openxmlformats.org/officeDocument/2006/relationships/header" Target="header217.xml"/><Relationship Id="rId497" Type="http://schemas.openxmlformats.org/officeDocument/2006/relationships/header" Target="header238.xml"/><Relationship Id="rId12" Type="http://schemas.openxmlformats.org/officeDocument/2006/relationships/header" Target="header2.xml"/><Relationship Id="rId108" Type="http://schemas.openxmlformats.org/officeDocument/2006/relationships/header" Target="header44.xml"/><Relationship Id="rId315" Type="http://schemas.openxmlformats.org/officeDocument/2006/relationships/header" Target="header147.xml"/><Relationship Id="rId357" Type="http://schemas.openxmlformats.org/officeDocument/2006/relationships/header" Target="header168.xml"/><Relationship Id="rId522" Type="http://schemas.openxmlformats.org/officeDocument/2006/relationships/header" Target="header251.xml"/><Relationship Id="rId54" Type="http://schemas.openxmlformats.org/officeDocument/2006/relationships/header" Target="header17.xml"/><Relationship Id="rId96" Type="http://schemas.openxmlformats.org/officeDocument/2006/relationships/header" Target="header38.xml"/><Relationship Id="rId161" Type="http://schemas.openxmlformats.org/officeDocument/2006/relationships/header" Target="header70.xml"/><Relationship Id="rId217" Type="http://schemas.openxmlformats.org/officeDocument/2006/relationships/footer" Target="footer97.xml"/><Relationship Id="rId399" Type="http://schemas.openxmlformats.org/officeDocument/2006/relationships/header" Target="header189.xml"/><Relationship Id="rId564" Type="http://schemas.openxmlformats.org/officeDocument/2006/relationships/header" Target="header272.xml"/><Relationship Id="rId259" Type="http://schemas.openxmlformats.org/officeDocument/2006/relationships/footer" Target="footer118.xml"/><Relationship Id="rId424" Type="http://schemas.openxmlformats.org/officeDocument/2006/relationships/footer" Target="footer201.xml"/><Relationship Id="rId466" Type="http://schemas.openxmlformats.org/officeDocument/2006/relationships/footer" Target="footer222.xml"/><Relationship Id="rId23" Type="http://schemas.openxmlformats.org/officeDocument/2006/relationships/header" Target="header7.xml"/><Relationship Id="rId119" Type="http://schemas.openxmlformats.org/officeDocument/2006/relationships/header" Target="header49.xml"/><Relationship Id="rId270" Type="http://schemas.openxmlformats.org/officeDocument/2006/relationships/header" Target="header125.xml"/><Relationship Id="rId326" Type="http://schemas.openxmlformats.org/officeDocument/2006/relationships/footer" Target="footer152.xml"/><Relationship Id="rId533" Type="http://schemas.openxmlformats.org/officeDocument/2006/relationships/header" Target="header256.xml"/><Relationship Id="rId65" Type="http://schemas.openxmlformats.org/officeDocument/2006/relationships/header" Target="header22.xml"/><Relationship Id="rId130" Type="http://schemas.openxmlformats.org/officeDocument/2006/relationships/footer" Target="footer54.xml"/><Relationship Id="rId368" Type="http://schemas.openxmlformats.org/officeDocument/2006/relationships/footer" Target="footer173.xml"/><Relationship Id="rId575" Type="http://schemas.openxmlformats.org/officeDocument/2006/relationships/header" Target="header277.xml"/><Relationship Id="rId172" Type="http://schemas.openxmlformats.org/officeDocument/2006/relationships/footer" Target="footer75.xml"/><Relationship Id="rId228" Type="http://schemas.openxmlformats.org/officeDocument/2006/relationships/header" Target="header104.xml"/><Relationship Id="rId435" Type="http://schemas.openxmlformats.org/officeDocument/2006/relationships/header" Target="header207.xml"/><Relationship Id="rId477" Type="http://schemas.openxmlformats.org/officeDocument/2006/relationships/header" Target="header228.xml"/><Relationship Id="rId600" Type="http://schemas.openxmlformats.org/officeDocument/2006/relationships/header" Target="header290.xml"/><Relationship Id="rId281" Type="http://schemas.openxmlformats.org/officeDocument/2006/relationships/header" Target="header130.xml"/><Relationship Id="rId337" Type="http://schemas.openxmlformats.org/officeDocument/2006/relationships/footer" Target="footer157.xml"/><Relationship Id="rId502" Type="http://schemas.openxmlformats.org/officeDocument/2006/relationships/footer" Target="footer240.xml"/><Relationship Id="rId34" Type="http://schemas.openxmlformats.org/officeDocument/2006/relationships/chart" Target="charts/chart5.xml"/><Relationship Id="rId76" Type="http://schemas.openxmlformats.org/officeDocument/2006/relationships/footer" Target="footer27.xml"/><Relationship Id="rId141" Type="http://schemas.openxmlformats.org/officeDocument/2006/relationships/header" Target="header60.xml"/><Relationship Id="rId379" Type="http://schemas.openxmlformats.org/officeDocument/2006/relationships/footer" Target="footer178.xml"/><Relationship Id="rId544" Type="http://schemas.openxmlformats.org/officeDocument/2006/relationships/footer" Target="footer261.xml"/><Relationship Id="rId586" Type="http://schemas.openxmlformats.org/officeDocument/2006/relationships/footer" Target="footer282.xml"/><Relationship Id="rId7" Type="http://schemas.openxmlformats.org/officeDocument/2006/relationships/webSettings" Target="webSettings.xml"/><Relationship Id="rId183" Type="http://schemas.openxmlformats.org/officeDocument/2006/relationships/header" Target="header81.xml"/><Relationship Id="rId239" Type="http://schemas.openxmlformats.org/officeDocument/2006/relationships/header" Target="header109.xml"/><Relationship Id="rId390" Type="http://schemas.openxmlformats.org/officeDocument/2006/relationships/header" Target="header185.xml"/><Relationship Id="rId404" Type="http://schemas.openxmlformats.org/officeDocument/2006/relationships/footer" Target="footer191.xml"/><Relationship Id="rId446" Type="http://schemas.openxmlformats.org/officeDocument/2006/relationships/footer" Target="footer212.xml"/><Relationship Id="rId611" Type="http://schemas.openxmlformats.org/officeDocument/2006/relationships/header" Target="header295.xml"/><Relationship Id="rId250" Type="http://schemas.openxmlformats.org/officeDocument/2006/relationships/footer" Target="footer114.xml"/><Relationship Id="rId292" Type="http://schemas.openxmlformats.org/officeDocument/2006/relationships/footer" Target="footer135.xml"/><Relationship Id="rId306" Type="http://schemas.openxmlformats.org/officeDocument/2006/relationships/header" Target="header143.xml"/><Relationship Id="rId488" Type="http://schemas.openxmlformats.org/officeDocument/2006/relationships/footer" Target="footer233.xml"/><Relationship Id="rId45" Type="http://schemas.openxmlformats.org/officeDocument/2006/relationships/header" Target="header12.xml"/><Relationship Id="rId87" Type="http://schemas.openxmlformats.org/officeDocument/2006/relationships/header" Target="header33.xml"/><Relationship Id="rId110" Type="http://schemas.openxmlformats.org/officeDocument/2006/relationships/footer" Target="footer44.xml"/><Relationship Id="rId348" Type="http://schemas.openxmlformats.org/officeDocument/2006/relationships/header" Target="header164.xml"/><Relationship Id="rId513" Type="http://schemas.openxmlformats.org/officeDocument/2006/relationships/header" Target="header246.xml"/><Relationship Id="rId555" Type="http://schemas.openxmlformats.org/officeDocument/2006/relationships/header" Target="header267.xml"/><Relationship Id="rId597" Type="http://schemas.openxmlformats.org/officeDocument/2006/relationships/header" Target="header288.xml"/><Relationship Id="rId152" Type="http://schemas.openxmlformats.org/officeDocument/2006/relationships/footer" Target="footer65.xml"/><Relationship Id="rId194" Type="http://schemas.openxmlformats.org/officeDocument/2006/relationships/footer" Target="footer86.xml"/><Relationship Id="rId208" Type="http://schemas.openxmlformats.org/officeDocument/2006/relationships/footer" Target="footer93.xml"/><Relationship Id="rId415" Type="http://schemas.openxmlformats.org/officeDocument/2006/relationships/footer" Target="footer196.xml"/><Relationship Id="rId457" Type="http://schemas.openxmlformats.org/officeDocument/2006/relationships/footer" Target="footer217.xml"/><Relationship Id="rId261" Type="http://schemas.openxmlformats.org/officeDocument/2006/relationships/header" Target="header120.xml"/><Relationship Id="rId499" Type="http://schemas.openxmlformats.org/officeDocument/2006/relationships/footer" Target="footer238.xml"/><Relationship Id="rId14" Type="http://schemas.openxmlformats.org/officeDocument/2006/relationships/footer" Target="footer2.xml"/><Relationship Id="rId56" Type="http://schemas.openxmlformats.org/officeDocument/2006/relationships/footer" Target="footer17.xml"/><Relationship Id="rId317" Type="http://schemas.openxmlformats.org/officeDocument/2006/relationships/header" Target="header148.xml"/><Relationship Id="rId359" Type="http://schemas.openxmlformats.org/officeDocument/2006/relationships/header" Target="header169.xml"/><Relationship Id="rId524" Type="http://schemas.openxmlformats.org/officeDocument/2006/relationships/footer" Target="footer251.xml"/><Relationship Id="rId566" Type="http://schemas.openxmlformats.org/officeDocument/2006/relationships/footer" Target="footer272.xml"/><Relationship Id="rId98" Type="http://schemas.openxmlformats.org/officeDocument/2006/relationships/footer" Target="footer38.xml"/><Relationship Id="rId121" Type="http://schemas.openxmlformats.org/officeDocument/2006/relationships/footer" Target="footer49.xml"/><Relationship Id="rId163" Type="http://schemas.openxmlformats.org/officeDocument/2006/relationships/footer" Target="footer70.xml"/><Relationship Id="rId219" Type="http://schemas.openxmlformats.org/officeDocument/2006/relationships/header" Target="header99.xml"/><Relationship Id="rId370" Type="http://schemas.openxmlformats.org/officeDocument/2006/relationships/footer" Target="footer174.xml"/><Relationship Id="rId426" Type="http://schemas.openxmlformats.org/officeDocument/2006/relationships/header" Target="header203.xml"/><Relationship Id="rId230" Type="http://schemas.openxmlformats.org/officeDocument/2006/relationships/footer" Target="footer104.xml"/><Relationship Id="rId468" Type="http://schemas.openxmlformats.org/officeDocument/2006/relationships/header" Target="header224.xml"/><Relationship Id="rId25" Type="http://schemas.openxmlformats.org/officeDocument/2006/relationships/footer" Target="footer7.xml"/><Relationship Id="rId67" Type="http://schemas.openxmlformats.org/officeDocument/2006/relationships/footer" Target="footer22.xml"/><Relationship Id="rId272" Type="http://schemas.openxmlformats.org/officeDocument/2006/relationships/footer" Target="footer125.xml"/><Relationship Id="rId328" Type="http://schemas.openxmlformats.org/officeDocument/2006/relationships/footer" Target="footer153.xml"/><Relationship Id="rId535" Type="http://schemas.openxmlformats.org/officeDocument/2006/relationships/footer" Target="footer256.xml"/><Relationship Id="rId577" Type="http://schemas.openxmlformats.org/officeDocument/2006/relationships/footer" Target="footer277.xml"/><Relationship Id="rId132" Type="http://schemas.openxmlformats.org/officeDocument/2006/relationships/header" Target="header56.xml"/><Relationship Id="rId174" Type="http://schemas.openxmlformats.org/officeDocument/2006/relationships/header" Target="header77.xml"/><Relationship Id="rId381" Type="http://schemas.openxmlformats.org/officeDocument/2006/relationships/header" Target="header180.xml"/><Relationship Id="rId602" Type="http://schemas.openxmlformats.org/officeDocument/2006/relationships/footer" Target="footer290.xml"/><Relationship Id="rId241" Type="http://schemas.openxmlformats.org/officeDocument/2006/relationships/footer" Target="footer109.xml"/><Relationship Id="rId437" Type="http://schemas.openxmlformats.org/officeDocument/2006/relationships/header" Target="header208.xml"/><Relationship Id="rId479" Type="http://schemas.openxmlformats.org/officeDocument/2006/relationships/header" Target="header229.xml"/><Relationship Id="rId36" Type="http://schemas.openxmlformats.org/officeDocument/2006/relationships/chart" Target="charts/chart7.xml"/><Relationship Id="rId283" Type="http://schemas.openxmlformats.org/officeDocument/2006/relationships/footer" Target="footer130.xml"/><Relationship Id="rId339" Type="http://schemas.openxmlformats.org/officeDocument/2006/relationships/header" Target="header159.xml"/><Relationship Id="rId490" Type="http://schemas.openxmlformats.org/officeDocument/2006/relationships/footer" Target="footer234.xml"/><Relationship Id="rId504" Type="http://schemas.openxmlformats.org/officeDocument/2006/relationships/header" Target="header242.xml"/><Relationship Id="rId546" Type="http://schemas.openxmlformats.org/officeDocument/2006/relationships/header" Target="header263.xml"/><Relationship Id="rId78" Type="http://schemas.openxmlformats.org/officeDocument/2006/relationships/header" Target="header29.xml"/><Relationship Id="rId101" Type="http://schemas.openxmlformats.org/officeDocument/2006/relationships/header" Target="header40.xml"/><Relationship Id="rId143" Type="http://schemas.openxmlformats.org/officeDocument/2006/relationships/header" Target="header61.xml"/><Relationship Id="rId185" Type="http://schemas.openxmlformats.org/officeDocument/2006/relationships/header" Target="header82.xml"/><Relationship Id="rId350" Type="http://schemas.openxmlformats.org/officeDocument/2006/relationships/footer" Target="footer164.xml"/><Relationship Id="rId406" Type="http://schemas.openxmlformats.org/officeDocument/2006/relationships/footer" Target="footer192.xml"/><Relationship Id="rId588" Type="http://schemas.openxmlformats.org/officeDocument/2006/relationships/header" Target="header284.xml"/><Relationship Id="rId9" Type="http://schemas.openxmlformats.org/officeDocument/2006/relationships/endnotes" Target="endnotes.xml"/><Relationship Id="rId210" Type="http://schemas.openxmlformats.org/officeDocument/2006/relationships/header" Target="header95.xml"/><Relationship Id="rId392" Type="http://schemas.openxmlformats.org/officeDocument/2006/relationships/footer" Target="footer185.xml"/><Relationship Id="rId448" Type="http://schemas.openxmlformats.org/officeDocument/2006/relationships/footer" Target="footer213.xml"/><Relationship Id="rId613" Type="http://schemas.openxmlformats.org/officeDocument/2006/relationships/footer" Target="footer295.xml"/><Relationship Id="rId252" Type="http://schemas.openxmlformats.org/officeDocument/2006/relationships/header" Target="header116.xml"/><Relationship Id="rId294" Type="http://schemas.openxmlformats.org/officeDocument/2006/relationships/header" Target="header137.xml"/><Relationship Id="rId308" Type="http://schemas.openxmlformats.org/officeDocument/2006/relationships/footer" Target="footer143.xml"/><Relationship Id="rId515" Type="http://schemas.openxmlformats.org/officeDocument/2006/relationships/header" Target="header247.xml"/><Relationship Id="rId47" Type="http://schemas.openxmlformats.org/officeDocument/2006/relationships/header" Target="header13.xml"/><Relationship Id="rId89" Type="http://schemas.openxmlformats.org/officeDocument/2006/relationships/header" Target="header34.xml"/><Relationship Id="rId112" Type="http://schemas.openxmlformats.org/officeDocument/2006/relationships/footer" Target="footer45.xml"/><Relationship Id="rId154" Type="http://schemas.openxmlformats.org/officeDocument/2006/relationships/footer" Target="footer66.xml"/><Relationship Id="rId361" Type="http://schemas.openxmlformats.org/officeDocument/2006/relationships/footer" Target="footer169.xml"/><Relationship Id="rId557" Type="http://schemas.openxmlformats.org/officeDocument/2006/relationships/header" Target="header268.xml"/><Relationship Id="rId599" Type="http://schemas.openxmlformats.org/officeDocument/2006/relationships/header" Target="header289.xml"/><Relationship Id="rId196" Type="http://schemas.openxmlformats.org/officeDocument/2006/relationships/footer" Target="footer87.xml"/><Relationship Id="rId417" Type="http://schemas.openxmlformats.org/officeDocument/2006/relationships/header" Target="header198.xml"/><Relationship Id="rId459" Type="http://schemas.openxmlformats.org/officeDocument/2006/relationships/header" Target="header219.xml"/><Relationship Id="rId16" Type="http://schemas.openxmlformats.org/officeDocument/2006/relationships/footer" Target="footer3.xml"/><Relationship Id="rId221" Type="http://schemas.openxmlformats.org/officeDocument/2006/relationships/header" Target="header100.xml"/><Relationship Id="rId263" Type="http://schemas.openxmlformats.org/officeDocument/2006/relationships/header" Target="header121.xml"/><Relationship Id="rId319" Type="http://schemas.openxmlformats.org/officeDocument/2006/relationships/footer" Target="footer148.xml"/><Relationship Id="rId470" Type="http://schemas.openxmlformats.org/officeDocument/2006/relationships/footer" Target="footer224.xml"/><Relationship Id="rId526" Type="http://schemas.openxmlformats.org/officeDocument/2006/relationships/footer" Target="footer252.xml"/><Relationship Id="rId58" Type="http://schemas.openxmlformats.org/officeDocument/2006/relationships/footer" Target="footer18.xml"/><Relationship Id="rId123" Type="http://schemas.openxmlformats.org/officeDocument/2006/relationships/header" Target="header51.xml"/><Relationship Id="rId330" Type="http://schemas.openxmlformats.org/officeDocument/2006/relationships/header" Target="header155.xml"/><Relationship Id="rId568" Type="http://schemas.openxmlformats.org/officeDocument/2006/relationships/footer" Target="footer273.xml"/><Relationship Id="rId165" Type="http://schemas.openxmlformats.org/officeDocument/2006/relationships/header" Target="header72.xml"/><Relationship Id="rId372" Type="http://schemas.openxmlformats.org/officeDocument/2006/relationships/header" Target="header176.xml"/><Relationship Id="rId428" Type="http://schemas.openxmlformats.org/officeDocument/2006/relationships/footer" Target="footer203.xml"/><Relationship Id="rId232" Type="http://schemas.openxmlformats.org/officeDocument/2006/relationships/footer" Target="footer105.xml"/><Relationship Id="rId274" Type="http://schemas.openxmlformats.org/officeDocument/2006/relationships/footer" Target="footer126.xml"/><Relationship Id="rId481" Type="http://schemas.openxmlformats.org/officeDocument/2006/relationships/footer" Target="footer229.xml"/><Relationship Id="rId27" Type="http://schemas.openxmlformats.org/officeDocument/2006/relationships/header" Target="header9.xml"/><Relationship Id="rId48" Type="http://schemas.openxmlformats.org/officeDocument/2006/relationships/header" Target="header14.xml"/><Relationship Id="rId69" Type="http://schemas.openxmlformats.org/officeDocument/2006/relationships/header" Target="header24.xml"/><Relationship Id="rId113" Type="http://schemas.openxmlformats.org/officeDocument/2006/relationships/header" Target="header46.xml"/><Relationship Id="rId134" Type="http://schemas.openxmlformats.org/officeDocument/2006/relationships/footer" Target="footer56.xml"/><Relationship Id="rId320" Type="http://schemas.openxmlformats.org/officeDocument/2006/relationships/footer" Target="footer149.xml"/><Relationship Id="rId537" Type="http://schemas.openxmlformats.org/officeDocument/2006/relationships/header" Target="header258.xml"/><Relationship Id="rId558" Type="http://schemas.openxmlformats.org/officeDocument/2006/relationships/header" Target="header269.xml"/><Relationship Id="rId579" Type="http://schemas.openxmlformats.org/officeDocument/2006/relationships/header" Target="header279.xml"/><Relationship Id="rId80" Type="http://schemas.openxmlformats.org/officeDocument/2006/relationships/footer" Target="footer29.xml"/><Relationship Id="rId155" Type="http://schemas.openxmlformats.org/officeDocument/2006/relationships/header" Target="header67.xml"/><Relationship Id="rId176" Type="http://schemas.openxmlformats.org/officeDocument/2006/relationships/footer" Target="footer77.xml"/><Relationship Id="rId197" Type="http://schemas.openxmlformats.org/officeDocument/2006/relationships/header" Target="header88.xml"/><Relationship Id="rId341" Type="http://schemas.openxmlformats.org/officeDocument/2006/relationships/header" Target="header160.xml"/><Relationship Id="rId362" Type="http://schemas.openxmlformats.org/officeDocument/2006/relationships/footer" Target="footer170.xml"/><Relationship Id="rId383" Type="http://schemas.openxmlformats.org/officeDocument/2006/relationships/header" Target="header181.xml"/><Relationship Id="rId418" Type="http://schemas.openxmlformats.org/officeDocument/2006/relationships/footer" Target="footer198.xml"/><Relationship Id="rId439" Type="http://schemas.openxmlformats.org/officeDocument/2006/relationships/footer" Target="footer208.xml"/><Relationship Id="rId590" Type="http://schemas.openxmlformats.org/officeDocument/2006/relationships/footer" Target="footer284.xml"/><Relationship Id="rId604" Type="http://schemas.openxmlformats.org/officeDocument/2006/relationships/footer" Target="footer291.xml"/><Relationship Id="rId201" Type="http://schemas.openxmlformats.org/officeDocument/2006/relationships/header" Target="header90.xml"/><Relationship Id="rId222" Type="http://schemas.openxmlformats.org/officeDocument/2006/relationships/header" Target="header101.xml"/><Relationship Id="rId243" Type="http://schemas.openxmlformats.org/officeDocument/2006/relationships/header" Target="header111.xml"/><Relationship Id="rId264" Type="http://schemas.openxmlformats.org/officeDocument/2006/relationships/header" Target="header122.xml"/><Relationship Id="rId285" Type="http://schemas.openxmlformats.org/officeDocument/2006/relationships/header" Target="header132.xml"/><Relationship Id="rId450" Type="http://schemas.openxmlformats.org/officeDocument/2006/relationships/header" Target="header215.xml"/><Relationship Id="rId471" Type="http://schemas.openxmlformats.org/officeDocument/2006/relationships/header" Target="header225.xml"/><Relationship Id="rId506" Type="http://schemas.openxmlformats.org/officeDocument/2006/relationships/footer" Target="footer242.xml"/><Relationship Id="rId17" Type="http://schemas.openxmlformats.org/officeDocument/2006/relationships/header" Target="header4.xml"/><Relationship Id="rId38" Type="http://schemas.openxmlformats.org/officeDocument/2006/relationships/chart" Target="charts/chart9.xml"/><Relationship Id="rId59" Type="http://schemas.openxmlformats.org/officeDocument/2006/relationships/header" Target="header19.xml"/><Relationship Id="rId103" Type="http://schemas.openxmlformats.org/officeDocument/2006/relationships/footer" Target="footer40.xml"/><Relationship Id="rId124" Type="http://schemas.openxmlformats.org/officeDocument/2006/relationships/footer" Target="footer51.xml"/><Relationship Id="rId310" Type="http://schemas.openxmlformats.org/officeDocument/2006/relationships/footer" Target="footer144.xml"/><Relationship Id="rId492" Type="http://schemas.openxmlformats.org/officeDocument/2006/relationships/header" Target="header236.xml"/><Relationship Id="rId527" Type="http://schemas.openxmlformats.org/officeDocument/2006/relationships/header" Target="header253.xml"/><Relationship Id="rId548" Type="http://schemas.openxmlformats.org/officeDocument/2006/relationships/footer" Target="footer263.xml"/><Relationship Id="rId569" Type="http://schemas.openxmlformats.org/officeDocument/2006/relationships/header" Target="header274.xml"/><Relationship Id="rId70" Type="http://schemas.openxmlformats.org/officeDocument/2006/relationships/footer" Target="footer24.xml"/><Relationship Id="rId91" Type="http://schemas.openxmlformats.org/officeDocument/2006/relationships/footer" Target="footer34.xml"/><Relationship Id="rId145" Type="http://schemas.openxmlformats.org/officeDocument/2006/relationships/footer" Target="footer61.xml"/><Relationship Id="rId166" Type="http://schemas.openxmlformats.org/officeDocument/2006/relationships/footer" Target="footer72.xml"/><Relationship Id="rId187" Type="http://schemas.openxmlformats.org/officeDocument/2006/relationships/footer" Target="footer82.xml"/><Relationship Id="rId331" Type="http://schemas.openxmlformats.org/officeDocument/2006/relationships/footer" Target="footer154.xml"/><Relationship Id="rId352" Type="http://schemas.openxmlformats.org/officeDocument/2006/relationships/footer" Target="footer165.xml"/><Relationship Id="rId373" Type="http://schemas.openxmlformats.org/officeDocument/2006/relationships/footer" Target="footer175.xml"/><Relationship Id="rId394" Type="http://schemas.openxmlformats.org/officeDocument/2006/relationships/footer" Target="footer186.xml"/><Relationship Id="rId408" Type="http://schemas.openxmlformats.org/officeDocument/2006/relationships/header" Target="header194.xml"/><Relationship Id="rId429" Type="http://schemas.openxmlformats.org/officeDocument/2006/relationships/header" Target="header204.xml"/><Relationship Id="rId580" Type="http://schemas.openxmlformats.org/officeDocument/2006/relationships/footer" Target="footer279.xml"/><Relationship Id="rId615" Type="http://schemas.openxmlformats.org/officeDocument/2006/relationships/header" Target="header297.xml"/><Relationship Id="rId1" Type="http://schemas.microsoft.com/office/2006/relationships/keyMapCustomizations" Target="customizations.xml"/><Relationship Id="rId212" Type="http://schemas.openxmlformats.org/officeDocument/2006/relationships/footer" Target="footer95.xml"/><Relationship Id="rId233" Type="http://schemas.openxmlformats.org/officeDocument/2006/relationships/header" Target="header106.xml"/><Relationship Id="rId254" Type="http://schemas.openxmlformats.org/officeDocument/2006/relationships/footer" Target="footer116.xml"/><Relationship Id="rId440" Type="http://schemas.openxmlformats.org/officeDocument/2006/relationships/footer" Target="footer209.xml"/><Relationship Id="rId28" Type="http://schemas.openxmlformats.org/officeDocument/2006/relationships/footer" Target="footer9.xml"/><Relationship Id="rId49" Type="http://schemas.openxmlformats.org/officeDocument/2006/relationships/footer" Target="footer13.xml"/><Relationship Id="rId114" Type="http://schemas.openxmlformats.org/officeDocument/2006/relationships/header" Target="header47.xml"/><Relationship Id="rId275" Type="http://schemas.openxmlformats.org/officeDocument/2006/relationships/header" Target="header127.xml"/><Relationship Id="rId296" Type="http://schemas.openxmlformats.org/officeDocument/2006/relationships/footer" Target="footer137.xml"/><Relationship Id="rId300" Type="http://schemas.openxmlformats.org/officeDocument/2006/relationships/header" Target="header140.xml"/><Relationship Id="rId461" Type="http://schemas.openxmlformats.org/officeDocument/2006/relationships/header" Target="header220.xml"/><Relationship Id="rId482" Type="http://schemas.openxmlformats.org/officeDocument/2006/relationships/footer" Target="footer230.xml"/><Relationship Id="rId517" Type="http://schemas.openxmlformats.org/officeDocument/2006/relationships/footer" Target="footer247.xml"/><Relationship Id="rId538" Type="http://schemas.openxmlformats.org/officeDocument/2006/relationships/footer" Target="footer258.xml"/><Relationship Id="rId559" Type="http://schemas.openxmlformats.org/officeDocument/2006/relationships/footer" Target="footer268.xml"/><Relationship Id="rId60" Type="http://schemas.openxmlformats.org/officeDocument/2006/relationships/header" Target="header20.xml"/><Relationship Id="rId81" Type="http://schemas.openxmlformats.org/officeDocument/2006/relationships/header" Target="header30.xml"/><Relationship Id="rId135" Type="http://schemas.openxmlformats.org/officeDocument/2006/relationships/header" Target="header57.xml"/><Relationship Id="rId156" Type="http://schemas.openxmlformats.org/officeDocument/2006/relationships/header" Target="header68.xml"/><Relationship Id="rId177" Type="http://schemas.openxmlformats.org/officeDocument/2006/relationships/header" Target="header78.xml"/><Relationship Id="rId198" Type="http://schemas.openxmlformats.org/officeDocument/2006/relationships/header" Target="header89.xml"/><Relationship Id="rId321" Type="http://schemas.openxmlformats.org/officeDocument/2006/relationships/header" Target="header150.xml"/><Relationship Id="rId342" Type="http://schemas.openxmlformats.org/officeDocument/2006/relationships/header" Target="header161.xml"/><Relationship Id="rId363" Type="http://schemas.openxmlformats.org/officeDocument/2006/relationships/header" Target="header171.xml"/><Relationship Id="rId384" Type="http://schemas.openxmlformats.org/officeDocument/2006/relationships/header" Target="header182.xml"/><Relationship Id="rId419" Type="http://schemas.openxmlformats.org/officeDocument/2006/relationships/header" Target="header199.xml"/><Relationship Id="rId570" Type="http://schemas.openxmlformats.org/officeDocument/2006/relationships/header" Target="header275.xml"/><Relationship Id="rId591" Type="http://schemas.openxmlformats.org/officeDocument/2006/relationships/header" Target="header285.xml"/><Relationship Id="rId605" Type="http://schemas.openxmlformats.org/officeDocument/2006/relationships/header" Target="header292.xml"/><Relationship Id="rId202" Type="http://schemas.openxmlformats.org/officeDocument/2006/relationships/footer" Target="footer90.xml"/><Relationship Id="rId223" Type="http://schemas.openxmlformats.org/officeDocument/2006/relationships/footer" Target="footer100.xml"/><Relationship Id="rId244" Type="http://schemas.openxmlformats.org/officeDocument/2006/relationships/footer" Target="footer111.xml"/><Relationship Id="rId430" Type="http://schemas.openxmlformats.org/officeDocument/2006/relationships/footer" Target="footer204.xml"/><Relationship Id="rId18" Type="http://schemas.openxmlformats.org/officeDocument/2006/relationships/header" Target="header5.xml"/><Relationship Id="rId39" Type="http://schemas.openxmlformats.org/officeDocument/2006/relationships/chart" Target="charts/chart10.xml"/><Relationship Id="rId265" Type="http://schemas.openxmlformats.org/officeDocument/2006/relationships/footer" Target="footer121.xml"/><Relationship Id="rId286" Type="http://schemas.openxmlformats.org/officeDocument/2006/relationships/footer" Target="footer132.xml"/><Relationship Id="rId451" Type="http://schemas.openxmlformats.org/officeDocument/2006/relationships/footer" Target="footer214.xml"/><Relationship Id="rId472" Type="http://schemas.openxmlformats.org/officeDocument/2006/relationships/footer" Target="footer225.xml"/><Relationship Id="rId493" Type="http://schemas.openxmlformats.org/officeDocument/2006/relationships/footer" Target="footer235.xml"/><Relationship Id="rId507" Type="http://schemas.openxmlformats.org/officeDocument/2006/relationships/header" Target="header243.xml"/><Relationship Id="rId528" Type="http://schemas.openxmlformats.org/officeDocument/2006/relationships/header" Target="header254.xml"/><Relationship Id="rId549" Type="http://schemas.openxmlformats.org/officeDocument/2006/relationships/header" Target="header264.xml"/><Relationship Id="rId50" Type="http://schemas.openxmlformats.org/officeDocument/2006/relationships/footer" Target="footer14.xml"/><Relationship Id="rId104" Type="http://schemas.openxmlformats.org/officeDocument/2006/relationships/footer" Target="footer41.xml"/><Relationship Id="rId125" Type="http://schemas.openxmlformats.org/officeDocument/2006/relationships/header" Target="header52.xml"/><Relationship Id="rId146" Type="http://schemas.openxmlformats.org/officeDocument/2006/relationships/footer" Target="footer62.xml"/><Relationship Id="rId167" Type="http://schemas.openxmlformats.org/officeDocument/2006/relationships/header" Target="header73.xml"/><Relationship Id="rId188" Type="http://schemas.openxmlformats.org/officeDocument/2006/relationships/footer" Target="footer83.xml"/><Relationship Id="rId311" Type="http://schemas.openxmlformats.org/officeDocument/2006/relationships/header" Target="header145.xml"/><Relationship Id="rId332" Type="http://schemas.openxmlformats.org/officeDocument/2006/relationships/footer" Target="footer155.xml"/><Relationship Id="rId353" Type="http://schemas.openxmlformats.org/officeDocument/2006/relationships/header" Target="header166.xml"/><Relationship Id="rId374" Type="http://schemas.openxmlformats.org/officeDocument/2006/relationships/footer" Target="footer176.xml"/><Relationship Id="rId395" Type="http://schemas.openxmlformats.org/officeDocument/2006/relationships/header" Target="header187.xml"/><Relationship Id="rId409" Type="http://schemas.openxmlformats.org/officeDocument/2006/relationships/footer" Target="footer193.xml"/><Relationship Id="rId560" Type="http://schemas.openxmlformats.org/officeDocument/2006/relationships/footer" Target="footer269.xml"/><Relationship Id="rId581" Type="http://schemas.openxmlformats.org/officeDocument/2006/relationships/header" Target="header280.xml"/><Relationship Id="rId71" Type="http://schemas.openxmlformats.org/officeDocument/2006/relationships/header" Target="header25.xml"/><Relationship Id="rId92" Type="http://schemas.openxmlformats.org/officeDocument/2006/relationships/footer" Target="footer35.xml"/><Relationship Id="rId213" Type="http://schemas.openxmlformats.org/officeDocument/2006/relationships/header" Target="header96.xml"/><Relationship Id="rId234" Type="http://schemas.openxmlformats.org/officeDocument/2006/relationships/header" Target="header107.xml"/><Relationship Id="rId420" Type="http://schemas.openxmlformats.org/officeDocument/2006/relationships/header" Target="header200.xml"/><Relationship Id="rId616" Type="http://schemas.openxmlformats.org/officeDocument/2006/relationships/footer" Target="footer297.xml"/><Relationship Id="rId2" Type="http://schemas.openxmlformats.org/officeDocument/2006/relationships/customXml" Target="../customXml/item1.xml"/><Relationship Id="rId29" Type="http://schemas.openxmlformats.org/officeDocument/2006/relationships/image" Target="media/image2.png"/><Relationship Id="rId255" Type="http://schemas.openxmlformats.org/officeDocument/2006/relationships/header" Target="header117.xml"/><Relationship Id="rId276" Type="http://schemas.openxmlformats.org/officeDocument/2006/relationships/header" Target="header128.xml"/><Relationship Id="rId297" Type="http://schemas.openxmlformats.org/officeDocument/2006/relationships/header" Target="header138.xml"/><Relationship Id="rId441" Type="http://schemas.openxmlformats.org/officeDocument/2006/relationships/header" Target="header210.xml"/><Relationship Id="rId462" Type="http://schemas.openxmlformats.org/officeDocument/2006/relationships/header" Target="header221.xml"/><Relationship Id="rId483" Type="http://schemas.openxmlformats.org/officeDocument/2006/relationships/header" Target="header231.xml"/><Relationship Id="rId518" Type="http://schemas.openxmlformats.org/officeDocument/2006/relationships/footer" Target="footer248.xml"/><Relationship Id="rId539" Type="http://schemas.openxmlformats.org/officeDocument/2006/relationships/header" Target="header259.xml"/><Relationship Id="rId40" Type="http://schemas.openxmlformats.org/officeDocument/2006/relationships/image" Target="media/image3.png"/><Relationship Id="rId115" Type="http://schemas.openxmlformats.org/officeDocument/2006/relationships/footer" Target="footer46.xml"/><Relationship Id="rId136" Type="http://schemas.openxmlformats.org/officeDocument/2006/relationships/footer" Target="footer57.xml"/><Relationship Id="rId157" Type="http://schemas.openxmlformats.org/officeDocument/2006/relationships/footer" Target="footer67.xml"/><Relationship Id="rId178" Type="http://schemas.openxmlformats.org/officeDocument/2006/relationships/footer" Target="footer78.xml"/><Relationship Id="rId301" Type="http://schemas.openxmlformats.org/officeDocument/2006/relationships/footer" Target="footer139.xml"/><Relationship Id="rId322" Type="http://schemas.openxmlformats.org/officeDocument/2006/relationships/footer" Target="footer150.xml"/><Relationship Id="rId343" Type="http://schemas.openxmlformats.org/officeDocument/2006/relationships/footer" Target="footer160.xml"/><Relationship Id="rId364" Type="http://schemas.openxmlformats.org/officeDocument/2006/relationships/footer" Target="footer171.xml"/><Relationship Id="rId550" Type="http://schemas.openxmlformats.org/officeDocument/2006/relationships/footer" Target="footer264.xml"/><Relationship Id="rId61" Type="http://schemas.openxmlformats.org/officeDocument/2006/relationships/footer" Target="footer19.xml"/><Relationship Id="rId82" Type="http://schemas.openxmlformats.org/officeDocument/2006/relationships/footer" Target="footer30.xml"/><Relationship Id="rId199" Type="http://schemas.openxmlformats.org/officeDocument/2006/relationships/footer" Target="footer88.xml"/><Relationship Id="rId203" Type="http://schemas.openxmlformats.org/officeDocument/2006/relationships/header" Target="header91.xml"/><Relationship Id="rId385" Type="http://schemas.openxmlformats.org/officeDocument/2006/relationships/footer" Target="footer181.xml"/><Relationship Id="rId571" Type="http://schemas.openxmlformats.org/officeDocument/2006/relationships/footer" Target="footer274.xml"/><Relationship Id="rId592" Type="http://schemas.openxmlformats.org/officeDocument/2006/relationships/footer" Target="footer285.xml"/><Relationship Id="rId606" Type="http://schemas.openxmlformats.org/officeDocument/2006/relationships/header" Target="header293.xml"/><Relationship Id="rId19" Type="http://schemas.openxmlformats.org/officeDocument/2006/relationships/footer" Target="footer4.xml"/><Relationship Id="rId224" Type="http://schemas.openxmlformats.org/officeDocument/2006/relationships/footer" Target="footer101.xml"/><Relationship Id="rId245" Type="http://schemas.openxmlformats.org/officeDocument/2006/relationships/header" Target="header112.xml"/><Relationship Id="rId266" Type="http://schemas.openxmlformats.org/officeDocument/2006/relationships/footer" Target="footer122.xml"/><Relationship Id="rId287" Type="http://schemas.openxmlformats.org/officeDocument/2006/relationships/header" Target="header133.xml"/><Relationship Id="rId410" Type="http://schemas.openxmlformats.org/officeDocument/2006/relationships/footer" Target="footer194.xml"/><Relationship Id="rId431" Type="http://schemas.openxmlformats.org/officeDocument/2006/relationships/header" Target="header205.xml"/><Relationship Id="rId452" Type="http://schemas.openxmlformats.org/officeDocument/2006/relationships/footer" Target="footer215.xml"/><Relationship Id="rId473" Type="http://schemas.openxmlformats.org/officeDocument/2006/relationships/header" Target="header226.xml"/><Relationship Id="rId494" Type="http://schemas.openxmlformats.org/officeDocument/2006/relationships/footer" Target="footer236.xml"/><Relationship Id="rId508" Type="http://schemas.openxmlformats.org/officeDocument/2006/relationships/footer" Target="footer243.xml"/><Relationship Id="rId529" Type="http://schemas.openxmlformats.org/officeDocument/2006/relationships/footer" Target="footer253.xml"/><Relationship Id="rId30" Type="http://schemas.openxmlformats.org/officeDocument/2006/relationships/chart" Target="charts/chart1.xml"/><Relationship Id="rId105" Type="http://schemas.openxmlformats.org/officeDocument/2006/relationships/header" Target="header42.xml"/><Relationship Id="rId126" Type="http://schemas.openxmlformats.org/officeDocument/2006/relationships/header" Target="header53.xml"/><Relationship Id="rId147" Type="http://schemas.openxmlformats.org/officeDocument/2006/relationships/header" Target="header63.xml"/><Relationship Id="rId168" Type="http://schemas.openxmlformats.org/officeDocument/2006/relationships/header" Target="header74.xml"/><Relationship Id="rId312" Type="http://schemas.openxmlformats.org/officeDocument/2006/relationships/header" Target="header146.xml"/><Relationship Id="rId333" Type="http://schemas.openxmlformats.org/officeDocument/2006/relationships/header" Target="header156.xml"/><Relationship Id="rId354" Type="http://schemas.openxmlformats.org/officeDocument/2006/relationships/header" Target="header167.xml"/><Relationship Id="rId540" Type="http://schemas.openxmlformats.org/officeDocument/2006/relationships/header" Target="header260.xml"/><Relationship Id="rId51" Type="http://schemas.openxmlformats.org/officeDocument/2006/relationships/header" Target="header15.xml"/><Relationship Id="rId72" Type="http://schemas.openxmlformats.org/officeDocument/2006/relationships/header" Target="header26.xml"/><Relationship Id="rId93" Type="http://schemas.openxmlformats.org/officeDocument/2006/relationships/header" Target="header36.xml"/><Relationship Id="rId189" Type="http://schemas.openxmlformats.org/officeDocument/2006/relationships/header" Target="header84.xml"/><Relationship Id="rId375" Type="http://schemas.openxmlformats.org/officeDocument/2006/relationships/header" Target="header177.xml"/><Relationship Id="rId396" Type="http://schemas.openxmlformats.org/officeDocument/2006/relationships/header" Target="header188.xml"/><Relationship Id="rId561" Type="http://schemas.openxmlformats.org/officeDocument/2006/relationships/header" Target="header270.xml"/><Relationship Id="rId582" Type="http://schemas.openxmlformats.org/officeDocument/2006/relationships/header" Target="header281.xml"/><Relationship Id="rId617" Type="http://schemas.openxmlformats.org/officeDocument/2006/relationships/fontTable" Target="fontTable.xml"/><Relationship Id="rId3" Type="http://schemas.openxmlformats.org/officeDocument/2006/relationships/numbering" Target="numbering.xml"/><Relationship Id="rId214" Type="http://schemas.openxmlformats.org/officeDocument/2006/relationships/footer" Target="footer96.xml"/><Relationship Id="rId235" Type="http://schemas.openxmlformats.org/officeDocument/2006/relationships/footer" Target="footer106.xml"/><Relationship Id="rId256" Type="http://schemas.openxmlformats.org/officeDocument/2006/relationships/footer" Target="footer117.xml"/><Relationship Id="rId277" Type="http://schemas.openxmlformats.org/officeDocument/2006/relationships/footer" Target="footer127.xml"/><Relationship Id="rId298" Type="http://schemas.openxmlformats.org/officeDocument/2006/relationships/footer" Target="footer138.xml"/><Relationship Id="rId400" Type="http://schemas.openxmlformats.org/officeDocument/2006/relationships/footer" Target="footer189.xml"/><Relationship Id="rId421" Type="http://schemas.openxmlformats.org/officeDocument/2006/relationships/footer" Target="footer199.xml"/><Relationship Id="rId442" Type="http://schemas.openxmlformats.org/officeDocument/2006/relationships/footer" Target="footer210.xml"/><Relationship Id="rId463" Type="http://schemas.openxmlformats.org/officeDocument/2006/relationships/footer" Target="footer220.xml"/><Relationship Id="rId484" Type="http://schemas.openxmlformats.org/officeDocument/2006/relationships/footer" Target="footer231.xml"/><Relationship Id="rId519" Type="http://schemas.openxmlformats.org/officeDocument/2006/relationships/header" Target="header249.xml"/><Relationship Id="rId116" Type="http://schemas.openxmlformats.org/officeDocument/2006/relationships/footer" Target="footer47.xml"/><Relationship Id="rId137" Type="http://schemas.openxmlformats.org/officeDocument/2006/relationships/header" Target="header58.xml"/><Relationship Id="rId158" Type="http://schemas.openxmlformats.org/officeDocument/2006/relationships/footer" Target="footer68.xml"/><Relationship Id="rId302" Type="http://schemas.openxmlformats.org/officeDocument/2006/relationships/footer" Target="footer140.xml"/><Relationship Id="rId323" Type="http://schemas.openxmlformats.org/officeDocument/2006/relationships/header" Target="header151.xml"/><Relationship Id="rId344" Type="http://schemas.openxmlformats.org/officeDocument/2006/relationships/footer" Target="footer161.xml"/><Relationship Id="rId530" Type="http://schemas.openxmlformats.org/officeDocument/2006/relationships/footer" Target="footer254.xml"/><Relationship Id="rId20" Type="http://schemas.openxmlformats.org/officeDocument/2006/relationships/footer" Target="footer5.xml"/><Relationship Id="rId41" Type="http://schemas.openxmlformats.org/officeDocument/2006/relationships/header" Target="header10.xml"/><Relationship Id="rId62" Type="http://schemas.openxmlformats.org/officeDocument/2006/relationships/footer" Target="footer20.xml"/><Relationship Id="rId83" Type="http://schemas.openxmlformats.org/officeDocument/2006/relationships/header" Target="header31.xml"/><Relationship Id="rId179" Type="http://schemas.openxmlformats.org/officeDocument/2006/relationships/header" Target="header79.xml"/><Relationship Id="rId365" Type="http://schemas.openxmlformats.org/officeDocument/2006/relationships/header" Target="header172.xml"/><Relationship Id="rId386" Type="http://schemas.openxmlformats.org/officeDocument/2006/relationships/footer" Target="footer182.xml"/><Relationship Id="rId551" Type="http://schemas.openxmlformats.org/officeDocument/2006/relationships/header" Target="header265.xml"/><Relationship Id="rId572" Type="http://schemas.openxmlformats.org/officeDocument/2006/relationships/footer" Target="footer275.xml"/><Relationship Id="rId593" Type="http://schemas.openxmlformats.org/officeDocument/2006/relationships/header" Target="header286.xml"/><Relationship Id="rId607" Type="http://schemas.openxmlformats.org/officeDocument/2006/relationships/footer" Target="footer292.xml"/><Relationship Id="rId190" Type="http://schemas.openxmlformats.org/officeDocument/2006/relationships/footer" Target="footer84.xml"/><Relationship Id="rId204" Type="http://schemas.openxmlformats.org/officeDocument/2006/relationships/header" Target="header92.xml"/><Relationship Id="rId225" Type="http://schemas.openxmlformats.org/officeDocument/2006/relationships/header" Target="header102.xml"/><Relationship Id="rId246" Type="http://schemas.openxmlformats.org/officeDocument/2006/relationships/header" Target="header113.xml"/><Relationship Id="rId267" Type="http://schemas.openxmlformats.org/officeDocument/2006/relationships/header" Target="header123.xml"/><Relationship Id="rId288" Type="http://schemas.openxmlformats.org/officeDocument/2006/relationships/header" Target="header134.xml"/><Relationship Id="rId411" Type="http://schemas.openxmlformats.org/officeDocument/2006/relationships/header" Target="header195.xml"/><Relationship Id="rId432" Type="http://schemas.openxmlformats.org/officeDocument/2006/relationships/header" Target="header206.xml"/><Relationship Id="rId453" Type="http://schemas.openxmlformats.org/officeDocument/2006/relationships/header" Target="header216.xml"/><Relationship Id="rId474" Type="http://schemas.openxmlformats.org/officeDocument/2006/relationships/header" Target="header227.xml"/><Relationship Id="rId509" Type="http://schemas.openxmlformats.org/officeDocument/2006/relationships/header" Target="header244.xml"/><Relationship Id="rId106" Type="http://schemas.openxmlformats.org/officeDocument/2006/relationships/footer" Target="footer42.xml"/><Relationship Id="rId127" Type="http://schemas.openxmlformats.org/officeDocument/2006/relationships/footer" Target="footer52.xml"/><Relationship Id="rId313" Type="http://schemas.openxmlformats.org/officeDocument/2006/relationships/footer" Target="footer145.xml"/><Relationship Id="rId495" Type="http://schemas.openxmlformats.org/officeDocument/2006/relationships/header" Target="header237.xml"/><Relationship Id="rId10" Type="http://schemas.openxmlformats.org/officeDocument/2006/relationships/image" Target="media/image1.emf"/><Relationship Id="rId31" Type="http://schemas.openxmlformats.org/officeDocument/2006/relationships/chart" Target="charts/chart2.xml"/><Relationship Id="rId52" Type="http://schemas.openxmlformats.org/officeDocument/2006/relationships/footer" Target="footer15.xml"/><Relationship Id="rId73" Type="http://schemas.openxmlformats.org/officeDocument/2006/relationships/footer" Target="footer25.xml"/><Relationship Id="rId94" Type="http://schemas.openxmlformats.org/officeDocument/2006/relationships/footer" Target="footer36.xml"/><Relationship Id="rId148" Type="http://schemas.openxmlformats.org/officeDocument/2006/relationships/footer" Target="footer63.xml"/><Relationship Id="rId169" Type="http://schemas.openxmlformats.org/officeDocument/2006/relationships/footer" Target="footer73.xml"/><Relationship Id="rId334" Type="http://schemas.openxmlformats.org/officeDocument/2006/relationships/footer" Target="footer156.xml"/><Relationship Id="rId355" Type="http://schemas.openxmlformats.org/officeDocument/2006/relationships/footer" Target="footer166.xml"/><Relationship Id="rId376" Type="http://schemas.openxmlformats.org/officeDocument/2006/relationships/footer" Target="footer177.xml"/><Relationship Id="rId397" Type="http://schemas.openxmlformats.org/officeDocument/2006/relationships/footer" Target="footer187.xml"/><Relationship Id="rId520" Type="http://schemas.openxmlformats.org/officeDocument/2006/relationships/footer" Target="footer249.xml"/><Relationship Id="rId541" Type="http://schemas.openxmlformats.org/officeDocument/2006/relationships/footer" Target="footer259.xml"/><Relationship Id="rId562" Type="http://schemas.openxmlformats.org/officeDocument/2006/relationships/footer" Target="footer270.xml"/><Relationship Id="rId583" Type="http://schemas.openxmlformats.org/officeDocument/2006/relationships/footer" Target="footer280.xml"/><Relationship Id="rId618" Type="http://schemas.openxmlformats.org/officeDocument/2006/relationships/theme" Target="theme/theme1.xml"/><Relationship Id="rId4" Type="http://schemas.openxmlformats.org/officeDocument/2006/relationships/styles" Target="styles.xml"/><Relationship Id="rId180" Type="http://schemas.openxmlformats.org/officeDocument/2006/relationships/header" Target="header80.xml"/><Relationship Id="rId215" Type="http://schemas.openxmlformats.org/officeDocument/2006/relationships/header" Target="header97.xml"/><Relationship Id="rId236" Type="http://schemas.openxmlformats.org/officeDocument/2006/relationships/footer" Target="footer107.xml"/><Relationship Id="rId257" Type="http://schemas.openxmlformats.org/officeDocument/2006/relationships/header" Target="header118.xml"/><Relationship Id="rId278" Type="http://schemas.openxmlformats.org/officeDocument/2006/relationships/footer" Target="footer128.xml"/><Relationship Id="rId401" Type="http://schemas.openxmlformats.org/officeDocument/2006/relationships/header" Target="header190.xml"/><Relationship Id="rId422" Type="http://schemas.openxmlformats.org/officeDocument/2006/relationships/footer" Target="footer200.xml"/><Relationship Id="rId443" Type="http://schemas.openxmlformats.org/officeDocument/2006/relationships/header" Target="header211.xml"/><Relationship Id="rId464" Type="http://schemas.openxmlformats.org/officeDocument/2006/relationships/footer" Target="footer221.xml"/><Relationship Id="rId303" Type="http://schemas.openxmlformats.org/officeDocument/2006/relationships/header" Target="header141.xml"/><Relationship Id="rId485" Type="http://schemas.openxmlformats.org/officeDocument/2006/relationships/header" Target="header232.xml"/><Relationship Id="rId42" Type="http://schemas.openxmlformats.org/officeDocument/2006/relationships/header" Target="header11.xml"/><Relationship Id="rId84" Type="http://schemas.openxmlformats.org/officeDocument/2006/relationships/header" Target="header32.xml"/><Relationship Id="rId138" Type="http://schemas.openxmlformats.org/officeDocument/2006/relationships/header" Target="header59.xml"/><Relationship Id="rId345" Type="http://schemas.openxmlformats.org/officeDocument/2006/relationships/header" Target="header162.xml"/><Relationship Id="rId387" Type="http://schemas.openxmlformats.org/officeDocument/2006/relationships/header" Target="header183.xml"/><Relationship Id="rId510" Type="http://schemas.openxmlformats.org/officeDocument/2006/relationships/header" Target="header245.xml"/><Relationship Id="rId552" Type="http://schemas.openxmlformats.org/officeDocument/2006/relationships/header" Target="header266.xml"/><Relationship Id="rId594" Type="http://schemas.openxmlformats.org/officeDocument/2006/relationships/header" Target="header287.xml"/><Relationship Id="rId608" Type="http://schemas.openxmlformats.org/officeDocument/2006/relationships/footer" Target="footer293.xml"/><Relationship Id="rId191" Type="http://schemas.openxmlformats.org/officeDocument/2006/relationships/header" Target="header85.xml"/><Relationship Id="rId205" Type="http://schemas.openxmlformats.org/officeDocument/2006/relationships/footer" Target="footer91.xml"/><Relationship Id="rId247" Type="http://schemas.openxmlformats.org/officeDocument/2006/relationships/footer" Target="footer112.xml"/><Relationship Id="rId412" Type="http://schemas.openxmlformats.org/officeDocument/2006/relationships/footer" Target="footer195.xml"/><Relationship Id="rId107" Type="http://schemas.openxmlformats.org/officeDocument/2006/relationships/header" Target="header43.xml"/><Relationship Id="rId289" Type="http://schemas.openxmlformats.org/officeDocument/2006/relationships/footer" Target="footer133.xml"/><Relationship Id="rId454" Type="http://schemas.openxmlformats.org/officeDocument/2006/relationships/footer" Target="footer216.xml"/><Relationship Id="rId496" Type="http://schemas.openxmlformats.org/officeDocument/2006/relationships/footer" Target="footer237.xml"/><Relationship Id="rId11" Type="http://schemas.openxmlformats.org/officeDocument/2006/relationships/header" Target="header1.xml"/><Relationship Id="rId53" Type="http://schemas.openxmlformats.org/officeDocument/2006/relationships/header" Target="header16.xml"/><Relationship Id="rId149" Type="http://schemas.openxmlformats.org/officeDocument/2006/relationships/header" Target="header64.xml"/><Relationship Id="rId314" Type="http://schemas.openxmlformats.org/officeDocument/2006/relationships/footer" Target="footer146.xml"/><Relationship Id="rId356" Type="http://schemas.openxmlformats.org/officeDocument/2006/relationships/footer" Target="footer167.xml"/><Relationship Id="rId398" Type="http://schemas.openxmlformats.org/officeDocument/2006/relationships/footer" Target="footer188.xml"/><Relationship Id="rId521" Type="http://schemas.openxmlformats.org/officeDocument/2006/relationships/header" Target="header250.xml"/><Relationship Id="rId563" Type="http://schemas.openxmlformats.org/officeDocument/2006/relationships/header" Target="header271.xml"/><Relationship Id="rId95" Type="http://schemas.openxmlformats.org/officeDocument/2006/relationships/header" Target="header37.xml"/><Relationship Id="rId160" Type="http://schemas.openxmlformats.org/officeDocument/2006/relationships/footer" Target="footer69.xml"/><Relationship Id="rId216" Type="http://schemas.openxmlformats.org/officeDocument/2006/relationships/header" Target="header98.xml"/><Relationship Id="rId423" Type="http://schemas.openxmlformats.org/officeDocument/2006/relationships/header" Target="header201.xml"/><Relationship Id="rId258" Type="http://schemas.openxmlformats.org/officeDocument/2006/relationships/header" Target="header119.xml"/><Relationship Id="rId465" Type="http://schemas.openxmlformats.org/officeDocument/2006/relationships/header" Target="header222.xml"/><Relationship Id="rId22" Type="http://schemas.openxmlformats.org/officeDocument/2006/relationships/footer" Target="footer6.xml"/><Relationship Id="rId64" Type="http://schemas.openxmlformats.org/officeDocument/2006/relationships/footer" Target="footer21.xml"/><Relationship Id="rId118" Type="http://schemas.openxmlformats.org/officeDocument/2006/relationships/footer" Target="footer48.xml"/><Relationship Id="rId325" Type="http://schemas.openxmlformats.org/officeDocument/2006/relationships/footer" Target="footer151.xml"/><Relationship Id="rId367" Type="http://schemas.openxmlformats.org/officeDocument/2006/relationships/footer" Target="footer172.xml"/><Relationship Id="rId532" Type="http://schemas.openxmlformats.org/officeDocument/2006/relationships/footer" Target="footer255.xml"/><Relationship Id="rId574" Type="http://schemas.openxmlformats.org/officeDocument/2006/relationships/footer" Target="footer276.xml"/><Relationship Id="rId171" Type="http://schemas.openxmlformats.org/officeDocument/2006/relationships/header" Target="header75.xml"/><Relationship Id="rId227" Type="http://schemas.openxmlformats.org/officeDocument/2006/relationships/header" Target="header103.xml"/><Relationship Id="rId269" Type="http://schemas.openxmlformats.org/officeDocument/2006/relationships/header" Target="header124.xml"/><Relationship Id="rId434" Type="http://schemas.openxmlformats.org/officeDocument/2006/relationships/footer" Target="footer206.xml"/><Relationship Id="rId476" Type="http://schemas.openxmlformats.org/officeDocument/2006/relationships/footer" Target="footer227.xml"/><Relationship Id="rId33" Type="http://schemas.openxmlformats.org/officeDocument/2006/relationships/chart" Target="charts/chart4.xml"/><Relationship Id="rId129" Type="http://schemas.openxmlformats.org/officeDocument/2006/relationships/header" Target="header54.xml"/><Relationship Id="rId280" Type="http://schemas.openxmlformats.org/officeDocument/2006/relationships/footer" Target="footer129.xml"/><Relationship Id="rId336" Type="http://schemas.openxmlformats.org/officeDocument/2006/relationships/header" Target="header158.xml"/><Relationship Id="rId501" Type="http://schemas.openxmlformats.org/officeDocument/2006/relationships/header" Target="header240.xml"/><Relationship Id="rId543" Type="http://schemas.openxmlformats.org/officeDocument/2006/relationships/header" Target="header261.xml"/><Relationship Id="rId75" Type="http://schemas.openxmlformats.org/officeDocument/2006/relationships/header" Target="header27.xml"/><Relationship Id="rId140" Type="http://schemas.openxmlformats.org/officeDocument/2006/relationships/footer" Target="footer59.xml"/><Relationship Id="rId182" Type="http://schemas.openxmlformats.org/officeDocument/2006/relationships/footer" Target="footer80.xml"/><Relationship Id="rId378" Type="http://schemas.openxmlformats.org/officeDocument/2006/relationships/header" Target="header179.xml"/><Relationship Id="rId403" Type="http://schemas.openxmlformats.org/officeDocument/2006/relationships/footer" Target="footer190.xml"/><Relationship Id="rId585" Type="http://schemas.openxmlformats.org/officeDocument/2006/relationships/header" Target="header282.xml"/><Relationship Id="rId6" Type="http://schemas.openxmlformats.org/officeDocument/2006/relationships/settings" Target="settings.xml"/><Relationship Id="rId238" Type="http://schemas.openxmlformats.org/officeDocument/2006/relationships/footer" Target="footer108.xml"/><Relationship Id="rId445" Type="http://schemas.openxmlformats.org/officeDocument/2006/relationships/footer" Target="footer211.xml"/><Relationship Id="rId487" Type="http://schemas.openxmlformats.org/officeDocument/2006/relationships/footer" Target="footer232.xml"/><Relationship Id="rId610" Type="http://schemas.openxmlformats.org/officeDocument/2006/relationships/footer" Target="footer294.xml"/><Relationship Id="rId291" Type="http://schemas.openxmlformats.org/officeDocument/2006/relationships/header" Target="header135.xml"/><Relationship Id="rId305" Type="http://schemas.openxmlformats.org/officeDocument/2006/relationships/header" Target="header142.xml"/><Relationship Id="rId347" Type="http://schemas.openxmlformats.org/officeDocument/2006/relationships/header" Target="header163.xml"/><Relationship Id="rId512" Type="http://schemas.openxmlformats.org/officeDocument/2006/relationships/footer" Target="footer245.xml"/><Relationship Id="rId44" Type="http://schemas.openxmlformats.org/officeDocument/2006/relationships/footer" Target="footer11.xml"/><Relationship Id="rId86" Type="http://schemas.openxmlformats.org/officeDocument/2006/relationships/footer" Target="footer32.xml"/><Relationship Id="rId151" Type="http://schemas.openxmlformats.org/officeDocument/2006/relationships/footer" Target="footer64.xml"/><Relationship Id="rId389" Type="http://schemas.openxmlformats.org/officeDocument/2006/relationships/header" Target="header184.xml"/><Relationship Id="rId554" Type="http://schemas.openxmlformats.org/officeDocument/2006/relationships/footer" Target="footer266.xml"/><Relationship Id="rId596" Type="http://schemas.openxmlformats.org/officeDocument/2006/relationships/footer" Target="footer287.xml"/><Relationship Id="rId193" Type="http://schemas.openxmlformats.org/officeDocument/2006/relationships/footer" Target="footer85.xml"/><Relationship Id="rId207" Type="http://schemas.openxmlformats.org/officeDocument/2006/relationships/header" Target="header93.xml"/><Relationship Id="rId249" Type="http://schemas.openxmlformats.org/officeDocument/2006/relationships/header" Target="header114.xml"/><Relationship Id="rId414" Type="http://schemas.openxmlformats.org/officeDocument/2006/relationships/header" Target="header197.xml"/><Relationship Id="rId456" Type="http://schemas.openxmlformats.org/officeDocument/2006/relationships/header" Target="header218.xml"/><Relationship Id="rId498" Type="http://schemas.openxmlformats.org/officeDocument/2006/relationships/header" Target="header239.xml"/><Relationship Id="rId13" Type="http://schemas.openxmlformats.org/officeDocument/2006/relationships/footer" Target="footer1.xml"/><Relationship Id="rId109" Type="http://schemas.openxmlformats.org/officeDocument/2006/relationships/footer" Target="footer43.xml"/><Relationship Id="rId260" Type="http://schemas.openxmlformats.org/officeDocument/2006/relationships/footer" Target="footer119.xml"/><Relationship Id="rId316" Type="http://schemas.openxmlformats.org/officeDocument/2006/relationships/footer" Target="footer147.xml"/><Relationship Id="rId523" Type="http://schemas.openxmlformats.org/officeDocument/2006/relationships/footer" Target="footer250.xml"/><Relationship Id="rId55" Type="http://schemas.openxmlformats.org/officeDocument/2006/relationships/footer" Target="footer16.xml"/><Relationship Id="rId97" Type="http://schemas.openxmlformats.org/officeDocument/2006/relationships/footer" Target="footer37.xml"/><Relationship Id="rId120" Type="http://schemas.openxmlformats.org/officeDocument/2006/relationships/header" Target="header50.xml"/><Relationship Id="rId358" Type="http://schemas.openxmlformats.org/officeDocument/2006/relationships/footer" Target="footer168.xml"/><Relationship Id="rId565" Type="http://schemas.openxmlformats.org/officeDocument/2006/relationships/footer" Target="footer271.xml"/><Relationship Id="rId162" Type="http://schemas.openxmlformats.org/officeDocument/2006/relationships/header" Target="header71.xml"/><Relationship Id="rId218" Type="http://schemas.openxmlformats.org/officeDocument/2006/relationships/footer" Target="footer98.xml"/><Relationship Id="rId425" Type="http://schemas.openxmlformats.org/officeDocument/2006/relationships/header" Target="header202.xml"/><Relationship Id="rId467" Type="http://schemas.openxmlformats.org/officeDocument/2006/relationships/header" Target="header223.xml"/><Relationship Id="rId271" Type="http://schemas.openxmlformats.org/officeDocument/2006/relationships/footer" Target="footer124.xml"/><Relationship Id="rId24" Type="http://schemas.openxmlformats.org/officeDocument/2006/relationships/header" Target="header8.xml"/><Relationship Id="rId66" Type="http://schemas.openxmlformats.org/officeDocument/2006/relationships/header" Target="header23.xml"/><Relationship Id="rId131" Type="http://schemas.openxmlformats.org/officeDocument/2006/relationships/header" Target="header55.xml"/><Relationship Id="rId327" Type="http://schemas.openxmlformats.org/officeDocument/2006/relationships/header" Target="header153.xml"/><Relationship Id="rId369" Type="http://schemas.openxmlformats.org/officeDocument/2006/relationships/header" Target="header174.xml"/><Relationship Id="rId534" Type="http://schemas.openxmlformats.org/officeDocument/2006/relationships/header" Target="header257.xml"/><Relationship Id="rId576" Type="http://schemas.openxmlformats.org/officeDocument/2006/relationships/header" Target="header278.xml"/><Relationship Id="rId173" Type="http://schemas.openxmlformats.org/officeDocument/2006/relationships/header" Target="header76.xml"/><Relationship Id="rId229" Type="http://schemas.openxmlformats.org/officeDocument/2006/relationships/footer" Target="footer103.xml"/><Relationship Id="rId380" Type="http://schemas.openxmlformats.org/officeDocument/2006/relationships/footer" Target="footer179.xml"/><Relationship Id="rId436" Type="http://schemas.openxmlformats.org/officeDocument/2006/relationships/footer" Target="footer207.xml"/><Relationship Id="rId601" Type="http://schemas.openxmlformats.org/officeDocument/2006/relationships/footer" Target="footer289.xml"/><Relationship Id="rId240" Type="http://schemas.openxmlformats.org/officeDocument/2006/relationships/header" Target="header110.xml"/><Relationship Id="rId478" Type="http://schemas.openxmlformats.org/officeDocument/2006/relationships/footer" Target="footer228.xml"/><Relationship Id="rId35" Type="http://schemas.openxmlformats.org/officeDocument/2006/relationships/chart" Target="charts/chart6.xml"/><Relationship Id="rId77" Type="http://schemas.openxmlformats.org/officeDocument/2006/relationships/header" Target="header28.xml"/><Relationship Id="rId100" Type="http://schemas.openxmlformats.org/officeDocument/2006/relationships/footer" Target="footer39.xml"/><Relationship Id="rId282" Type="http://schemas.openxmlformats.org/officeDocument/2006/relationships/header" Target="header131.xml"/><Relationship Id="rId338" Type="http://schemas.openxmlformats.org/officeDocument/2006/relationships/footer" Target="footer158.xml"/><Relationship Id="rId503" Type="http://schemas.openxmlformats.org/officeDocument/2006/relationships/header" Target="header241.xml"/><Relationship Id="rId545" Type="http://schemas.openxmlformats.org/officeDocument/2006/relationships/header" Target="header262.xml"/><Relationship Id="rId587" Type="http://schemas.openxmlformats.org/officeDocument/2006/relationships/header" Target="header283.xml"/><Relationship Id="rId8" Type="http://schemas.openxmlformats.org/officeDocument/2006/relationships/footnotes" Target="footnotes.xml"/><Relationship Id="rId142" Type="http://schemas.openxmlformats.org/officeDocument/2006/relationships/footer" Target="footer60.xml"/><Relationship Id="rId184" Type="http://schemas.openxmlformats.org/officeDocument/2006/relationships/footer" Target="footer81.xml"/><Relationship Id="rId391" Type="http://schemas.openxmlformats.org/officeDocument/2006/relationships/footer" Target="footer184.xml"/><Relationship Id="rId405" Type="http://schemas.openxmlformats.org/officeDocument/2006/relationships/header" Target="header192.xml"/><Relationship Id="rId447" Type="http://schemas.openxmlformats.org/officeDocument/2006/relationships/header" Target="header213.xml"/><Relationship Id="rId612" Type="http://schemas.openxmlformats.org/officeDocument/2006/relationships/header" Target="header296.xml"/><Relationship Id="rId251" Type="http://schemas.openxmlformats.org/officeDocument/2006/relationships/header" Target="header115.xml"/><Relationship Id="rId489" Type="http://schemas.openxmlformats.org/officeDocument/2006/relationships/header" Target="header234.xml"/><Relationship Id="rId46" Type="http://schemas.openxmlformats.org/officeDocument/2006/relationships/footer" Target="footer12.xml"/><Relationship Id="rId293" Type="http://schemas.openxmlformats.org/officeDocument/2006/relationships/header" Target="header136.xml"/><Relationship Id="rId307" Type="http://schemas.openxmlformats.org/officeDocument/2006/relationships/footer" Target="footer142.xml"/><Relationship Id="rId349" Type="http://schemas.openxmlformats.org/officeDocument/2006/relationships/footer" Target="footer163.xml"/><Relationship Id="rId514" Type="http://schemas.openxmlformats.org/officeDocument/2006/relationships/footer" Target="footer246.xml"/><Relationship Id="rId556" Type="http://schemas.openxmlformats.org/officeDocument/2006/relationships/footer" Target="footer267.xml"/><Relationship Id="rId88" Type="http://schemas.openxmlformats.org/officeDocument/2006/relationships/footer" Target="footer33.xml"/><Relationship Id="rId111" Type="http://schemas.openxmlformats.org/officeDocument/2006/relationships/header" Target="header45.xml"/><Relationship Id="rId153" Type="http://schemas.openxmlformats.org/officeDocument/2006/relationships/header" Target="header66.xml"/><Relationship Id="rId195" Type="http://schemas.openxmlformats.org/officeDocument/2006/relationships/header" Target="header87.xml"/><Relationship Id="rId209" Type="http://schemas.openxmlformats.org/officeDocument/2006/relationships/header" Target="header94.xml"/><Relationship Id="rId360" Type="http://schemas.openxmlformats.org/officeDocument/2006/relationships/header" Target="header170.xml"/><Relationship Id="rId416" Type="http://schemas.openxmlformats.org/officeDocument/2006/relationships/footer" Target="footer197.xml"/><Relationship Id="rId598" Type="http://schemas.openxmlformats.org/officeDocument/2006/relationships/footer" Target="footer288.xml"/><Relationship Id="rId220" Type="http://schemas.openxmlformats.org/officeDocument/2006/relationships/footer" Target="footer99.xml"/><Relationship Id="rId458" Type="http://schemas.openxmlformats.org/officeDocument/2006/relationships/footer" Target="footer218.xml"/><Relationship Id="rId15" Type="http://schemas.openxmlformats.org/officeDocument/2006/relationships/header" Target="header3.xml"/><Relationship Id="rId57" Type="http://schemas.openxmlformats.org/officeDocument/2006/relationships/header" Target="header18.xml"/><Relationship Id="rId262" Type="http://schemas.openxmlformats.org/officeDocument/2006/relationships/footer" Target="footer120.xml"/><Relationship Id="rId318" Type="http://schemas.openxmlformats.org/officeDocument/2006/relationships/header" Target="header149.xml"/><Relationship Id="rId525" Type="http://schemas.openxmlformats.org/officeDocument/2006/relationships/header" Target="header252.xml"/><Relationship Id="rId567" Type="http://schemas.openxmlformats.org/officeDocument/2006/relationships/header" Target="header273.xml"/><Relationship Id="rId99" Type="http://schemas.openxmlformats.org/officeDocument/2006/relationships/header" Target="header39.xml"/><Relationship Id="rId122" Type="http://schemas.openxmlformats.org/officeDocument/2006/relationships/footer" Target="footer50.xml"/><Relationship Id="rId164" Type="http://schemas.openxmlformats.org/officeDocument/2006/relationships/footer" Target="footer71.xml"/><Relationship Id="rId371" Type="http://schemas.openxmlformats.org/officeDocument/2006/relationships/header" Target="header175.xml"/><Relationship Id="rId427" Type="http://schemas.openxmlformats.org/officeDocument/2006/relationships/footer" Target="footer202.xml"/><Relationship Id="rId469" Type="http://schemas.openxmlformats.org/officeDocument/2006/relationships/footer" Target="footer223.xml"/><Relationship Id="rId26" Type="http://schemas.openxmlformats.org/officeDocument/2006/relationships/footer" Target="footer8.xml"/><Relationship Id="rId231" Type="http://schemas.openxmlformats.org/officeDocument/2006/relationships/header" Target="header105.xml"/><Relationship Id="rId273" Type="http://schemas.openxmlformats.org/officeDocument/2006/relationships/header" Target="header126.xml"/><Relationship Id="rId329" Type="http://schemas.openxmlformats.org/officeDocument/2006/relationships/header" Target="header154.xml"/><Relationship Id="rId480" Type="http://schemas.openxmlformats.org/officeDocument/2006/relationships/header" Target="header230.xml"/><Relationship Id="rId536" Type="http://schemas.openxmlformats.org/officeDocument/2006/relationships/footer" Target="footer257.xml"/><Relationship Id="rId68" Type="http://schemas.openxmlformats.org/officeDocument/2006/relationships/footer" Target="footer23.xml"/><Relationship Id="rId133" Type="http://schemas.openxmlformats.org/officeDocument/2006/relationships/footer" Target="footer55.xml"/><Relationship Id="rId175" Type="http://schemas.openxmlformats.org/officeDocument/2006/relationships/footer" Target="footer76.xml"/><Relationship Id="rId340" Type="http://schemas.openxmlformats.org/officeDocument/2006/relationships/footer" Target="footer159.xml"/><Relationship Id="rId578" Type="http://schemas.openxmlformats.org/officeDocument/2006/relationships/footer" Target="footer278.xml"/><Relationship Id="rId200" Type="http://schemas.openxmlformats.org/officeDocument/2006/relationships/footer" Target="footer89.xml"/><Relationship Id="rId382" Type="http://schemas.openxmlformats.org/officeDocument/2006/relationships/footer" Target="footer180.xml"/><Relationship Id="rId438" Type="http://schemas.openxmlformats.org/officeDocument/2006/relationships/header" Target="header209.xml"/><Relationship Id="rId603" Type="http://schemas.openxmlformats.org/officeDocument/2006/relationships/header" Target="header291.xml"/><Relationship Id="rId242" Type="http://schemas.openxmlformats.org/officeDocument/2006/relationships/footer" Target="footer110.xml"/><Relationship Id="rId284" Type="http://schemas.openxmlformats.org/officeDocument/2006/relationships/footer" Target="footer131.xml"/><Relationship Id="rId491" Type="http://schemas.openxmlformats.org/officeDocument/2006/relationships/header" Target="header235.xml"/><Relationship Id="rId505" Type="http://schemas.openxmlformats.org/officeDocument/2006/relationships/footer" Target="footer241.xml"/><Relationship Id="rId37" Type="http://schemas.openxmlformats.org/officeDocument/2006/relationships/chart" Target="charts/chart8.xml"/><Relationship Id="rId79" Type="http://schemas.openxmlformats.org/officeDocument/2006/relationships/footer" Target="footer28.xml"/><Relationship Id="rId102" Type="http://schemas.openxmlformats.org/officeDocument/2006/relationships/header" Target="header41.xml"/><Relationship Id="rId144" Type="http://schemas.openxmlformats.org/officeDocument/2006/relationships/header" Target="header62.xml"/><Relationship Id="rId547" Type="http://schemas.openxmlformats.org/officeDocument/2006/relationships/footer" Target="footer262.xml"/><Relationship Id="rId589" Type="http://schemas.openxmlformats.org/officeDocument/2006/relationships/footer" Target="footer283.xml"/><Relationship Id="rId90" Type="http://schemas.openxmlformats.org/officeDocument/2006/relationships/header" Target="header35.xml"/><Relationship Id="rId186" Type="http://schemas.openxmlformats.org/officeDocument/2006/relationships/header" Target="header83.xml"/><Relationship Id="rId351" Type="http://schemas.openxmlformats.org/officeDocument/2006/relationships/header" Target="header165.xml"/><Relationship Id="rId393" Type="http://schemas.openxmlformats.org/officeDocument/2006/relationships/header" Target="header186.xml"/><Relationship Id="rId407" Type="http://schemas.openxmlformats.org/officeDocument/2006/relationships/header" Target="header193.xml"/><Relationship Id="rId449" Type="http://schemas.openxmlformats.org/officeDocument/2006/relationships/header" Target="header214.xml"/><Relationship Id="rId614" Type="http://schemas.openxmlformats.org/officeDocument/2006/relationships/footer" Target="footer296.xml"/><Relationship Id="rId211" Type="http://schemas.openxmlformats.org/officeDocument/2006/relationships/footer" Target="footer94.xml"/><Relationship Id="rId253" Type="http://schemas.openxmlformats.org/officeDocument/2006/relationships/footer" Target="footer115.xml"/><Relationship Id="rId295" Type="http://schemas.openxmlformats.org/officeDocument/2006/relationships/footer" Target="footer136.xml"/><Relationship Id="rId309" Type="http://schemas.openxmlformats.org/officeDocument/2006/relationships/header" Target="header144.xml"/><Relationship Id="rId460" Type="http://schemas.openxmlformats.org/officeDocument/2006/relationships/footer" Target="footer219.xml"/><Relationship Id="rId516" Type="http://schemas.openxmlformats.org/officeDocument/2006/relationships/header" Target="header248.xml"/></Relationships>
</file>

<file path=word/charts/_rels/chart1.xml.rels><?xml version="1.0" encoding="UTF-8" standalone="yes"?>
<Relationships xmlns="http://schemas.openxmlformats.org/package/2006/relationships"><Relationship Id="rId1" Type="http://schemas.openxmlformats.org/officeDocument/2006/relationships/oleObject" Target="file:///\\net1.cec.eu.int\BUDG\C\C02\Closure%202014\Accounts\Provisional\EU\Preparatory%20work\FSDA\Chart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net1.cec.eu.int\BUDG\C\C02\Closure%202014\Accounts\Provisional\EU\Preparatory%20work\FSDA\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et1.cec.eu.int\BUDG\C\C02\Closure%202014\Accounts\Provisional\EU\Preparatory%20work\FSDA\Char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et1.cec.eu.int\BUDG\C\C02\Closure%202014\Accounts\Provisional\EU\Preparatory%20work\FSDA\Char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et1.cec.eu.int\BUDG\C\C02\Closure%202014\Accounts\Provisional\EU\Preparatory%20work\FSDA\Char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et1.cec.eu.int\BUDG\C\C02\Closure%202014\Accounts\Provisional\EU\Preparatory%20work\FSDA\Char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et1.cec.eu.int\BUDG\C\C02\Closure%202014\Accounts\Provisional\EU\Preparatory%20work\FSDA\Char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net1.cec.eu.int\BUDG\C\C02\Closure%202014\Accounts\Provisional\EU\Preparatory%20work\FSDA\Book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net1.cec.eu.int\BUDG\C\C02\Closure%202014\Accounts\Provisional\EU\Preparatory%20work\FSDA\Chart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net1.cec.eu.int\BUDG\C\C02\Closure%202014\Accounts\Provisional\EU\Preparatory%20work\FSDA\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floor>
    <c:sideWall>
      <c:thickness val="0"/>
    </c:sideWall>
    <c:backWall>
      <c:thickness val="0"/>
    </c:backWall>
    <c:plotArea>
      <c:layout/>
      <c:area3DChart>
        <c:grouping val="stacked"/>
        <c:varyColors val="0"/>
        <c:ser>
          <c:idx val="0"/>
          <c:order val="0"/>
          <c:tx>
            <c:strRef>
              <c:f>Revenue!$A$4</c:f>
              <c:strCache>
                <c:ptCount val="1"/>
                <c:pt idx="0">
                  <c:v>GNI resources</c:v>
                </c:pt>
              </c:strCache>
            </c:strRef>
          </c:tx>
          <c:spPr>
            <a:ln w="28575">
              <a:noFill/>
            </a:ln>
          </c:spPr>
          <c:cat>
            <c:numRef>
              <c:f>Revenue!$B$3:$F$3</c:f>
              <c:numCache>
                <c:formatCode>General</c:formatCode>
                <c:ptCount val="5"/>
                <c:pt idx="0">
                  <c:v>2010</c:v>
                </c:pt>
                <c:pt idx="1">
                  <c:v>2011</c:v>
                </c:pt>
                <c:pt idx="2">
                  <c:v>2012</c:v>
                </c:pt>
                <c:pt idx="3">
                  <c:v>2013</c:v>
                </c:pt>
                <c:pt idx="4">
                  <c:v>2014</c:v>
                </c:pt>
              </c:numCache>
            </c:numRef>
          </c:cat>
          <c:val>
            <c:numRef>
              <c:f>Revenue!$B$4:$F$4</c:f>
              <c:numCache>
                <c:formatCode>#\ ##0;\(#\ ##0\);\-</c:formatCode>
                <c:ptCount val="5"/>
                <c:pt idx="0">
                  <c:v>91178</c:v>
                </c:pt>
                <c:pt idx="1">
                  <c:v>88442</c:v>
                </c:pt>
                <c:pt idx="2">
                  <c:v>98061</c:v>
                </c:pt>
                <c:pt idx="3">
                  <c:v>110194</c:v>
                </c:pt>
                <c:pt idx="4">
                  <c:v>104688</c:v>
                </c:pt>
              </c:numCache>
            </c:numRef>
          </c:val>
        </c:ser>
        <c:ser>
          <c:idx val="1"/>
          <c:order val="1"/>
          <c:tx>
            <c:strRef>
              <c:f>Revenue!$A$5</c:f>
              <c:strCache>
                <c:ptCount val="1"/>
                <c:pt idx="0">
                  <c:v>TOR</c:v>
                </c:pt>
              </c:strCache>
            </c:strRef>
          </c:tx>
          <c:spPr>
            <a:ln w="28575">
              <a:noFill/>
            </a:ln>
          </c:spPr>
          <c:cat>
            <c:numRef>
              <c:f>Revenue!$B$3:$F$3</c:f>
              <c:numCache>
                <c:formatCode>General</c:formatCode>
                <c:ptCount val="5"/>
                <c:pt idx="0">
                  <c:v>2010</c:v>
                </c:pt>
                <c:pt idx="1">
                  <c:v>2011</c:v>
                </c:pt>
                <c:pt idx="2">
                  <c:v>2012</c:v>
                </c:pt>
                <c:pt idx="3">
                  <c:v>2013</c:v>
                </c:pt>
                <c:pt idx="4">
                  <c:v>2014</c:v>
                </c:pt>
              </c:numCache>
            </c:numRef>
          </c:cat>
          <c:val>
            <c:numRef>
              <c:f>Revenue!$B$5:$F$5</c:f>
              <c:numCache>
                <c:formatCode>#\ ##0;\(#\ ##0\);\-</c:formatCode>
                <c:ptCount val="5"/>
                <c:pt idx="0">
                  <c:v>16215</c:v>
                </c:pt>
                <c:pt idx="1">
                  <c:v>16689</c:v>
                </c:pt>
                <c:pt idx="2">
                  <c:v>16244</c:v>
                </c:pt>
                <c:pt idx="3">
                  <c:v>15467</c:v>
                </c:pt>
                <c:pt idx="4">
                  <c:v>17137</c:v>
                </c:pt>
              </c:numCache>
            </c:numRef>
          </c:val>
        </c:ser>
        <c:ser>
          <c:idx val="2"/>
          <c:order val="2"/>
          <c:tx>
            <c:strRef>
              <c:f>Revenue!$A$6</c:f>
              <c:strCache>
                <c:ptCount val="1"/>
                <c:pt idx="0">
                  <c:v>VAT</c:v>
                </c:pt>
              </c:strCache>
            </c:strRef>
          </c:tx>
          <c:spPr>
            <a:ln w="28575">
              <a:noFill/>
            </a:ln>
          </c:spPr>
          <c:cat>
            <c:numRef>
              <c:f>Revenue!$B$3:$F$3</c:f>
              <c:numCache>
                <c:formatCode>General</c:formatCode>
                <c:ptCount val="5"/>
                <c:pt idx="0">
                  <c:v>2010</c:v>
                </c:pt>
                <c:pt idx="1">
                  <c:v>2011</c:v>
                </c:pt>
                <c:pt idx="2">
                  <c:v>2012</c:v>
                </c:pt>
                <c:pt idx="3">
                  <c:v>2013</c:v>
                </c:pt>
                <c:pt idx="4">
                  <c:v>2014</c:v>
                </c:pt>
              </c:numCache>
            </c:numRef>
          </c:cat>
          <c:val>
            <c:numRef>
              <c:f>Revenue!$B$6:$F$6</c:f>
              <c:numCache>
                <c:formatCode>#\ ##0;\(#\ ##0\);\-</c:formatCode>
                <c:ptCount val="5"/>
                <c:pt idx="0">
                  <c:v>12517</c:v>
                </c:pt>
                <c:pt idx="1">
                  <c:v>14763</c:v>
                </c:pt>
                <c:pt idx="2">
                  <c:v>14871</c:v>
                </c:pt>
                <c:pt idx="3">
                  <c:v>14019</c:v>
                </c:pt>
                <c:pt idx="4">
                  <c:v>17462</c:v>
                </c:pt>
              </c:numCache>
            </c:numRef>
          </c:val>
        </c:ser>
        <c:ser>
          <c:idx val="3"/>
          <c:order val="3"/>
          <c:tx>
            <c:strRef>
              <c:f>Revenue!$A$7</c:f>
              <c:strCache>
                <c:ptCount val="1"/>
                <c:pt idx="0">
                  <c:v>Fines</c:v>
                </c:pt>
              </c:strCache>
            </c:strRef>
          </c:tx>
          <c:spPr>
            <a:ln w="28575">
              <a:noFill/>
            </a:ln>
          </c:spPr>
          <c:cat>
            <c:numRef>
              <c:f>Revenue!$B$3:$F$3</c:f>
              <c:numCache>
                <c:formatCode>General</c:formatCode>
                <c:ptCount val="5"/>
                <c:pt idx="0">
                  <c:v>2010</c:v>
                </c:pt>
                <c:pt idx="1">
                  <c:v>2011</c:v>
                </c:pt>
                <c:pt idx="2">
                  <c:v>2012</c:v>
                </c:pt>
                <c:pt idx="3">
                  <c:v>2013</c:v>
                </c:pt>
                <c:pt idx="4">
                  <c:v>2014</c:v>
                </c:pt>
              </c:numCache>
            </c:numRef>
          </c:cat>
          <c:val>
            <c:numRef>
              <c:f>Revenue!$B$7:$F$7</c:f>
              <c:numCache>
                <c:formatCode>#\ ##0;\(#\ ##0\);\-</c:formatCode>
                <c:ptCount val="5"/>
                <c:pt idx="0">
                  <c:v>3077</c:v>
                </c:pt>
                <c:pt idx="1">
                  <c:v>868</c:v>
                </c:pt>
                <c:pt idx="2">
                  <c:v>1884</c:v>
                </c:pt>
                <c:pt idx="3">
                  <c:v>2757</c:v>
                </c:pt>
                <c:pt idx="4">
                  <c:v>2297</c:v>
                </c:pt>
              </c:numCache>
            </c:numRef>
          </c:val>
        </c:ser>
        <c:ser>
          <c:idx val="4"/>
          <c:order val="4"/>
          <c:tx>
            <c:strRef>
              <c:f>Revenue!$A$8</c:f>
              <c:strCache>
                <c:ptCount val="1"/>
                <c:pt idx="0">
                  <c:v>Recovery of expenses</c:v>
                </c:pt>
              </c:strCache>
            </c:strRef>
          </c:tx>
          <c:spPr>
            <a:ln w="28575">
              <a:noFill/>
            </a:ln>
          </c:spPr>
          <c:cat>
            <c:numRef>
              <c:f>Revenue!$B$3:$F$3</c:f>
              <c:numCache>
                <c:formatCode>General</c:formatCode>
                <c:ptCount val="5"/>
                <c:pt idx="0">
                  <c:v>2010</c:v>
                </c:pt>
                <c:pt idx="1">
                  <c:v>2011</c:v>
                </c:pt>
                <c:pt idx="2">
                  <c:v>2012</c:v>
                </c:pt>
                <c:pt idx="3">
                  <c:v>2013</c:v>
                </c:pt>
                <c:pt idx="4">
                  <c:v>2014</c:v>
                </c:pt>
              </c:numCache>
            </c:numRef>
          </c:cat>
          <c:val>
            <c:numRef>
              <c:f>Revenue!$B$8:$F$8</c:f>
              <c:numCache>
                <c:formatCode>#\ ##0;\(#\ ##0\);\-</c:formatCode>
                <c:ptCount val="5"/>
                <c:pt idx="0">
                  <c:v>1907</c:v>
                </c:pt>
                <c:pt idx="1">
                  <c:v>1047</c:v>
                </c:pt>
                <c:pt idx="2">
                  <c:v>1504</c:v>
                </c:pt>
                <c:pt idx="3">
                  <c:v>1777</c:v>
                </c:pt>
                <c:pt idx="4">
                  <c:v>3419</c:v>
                </c:pt>
              </c:numCache>
            </c:numRef>
          </c:val>
        </c:ser>
        <c:dLbls>
          <c:showLegendKey val="0"/>
          <c:showVal val="0"/>
          <c:showCatName val="0"/>
          <c:showSerName val="0"/>
          <c:showPercent val="0"/>
          <c:showBubbleSize val="0"/>
        </c:dLbls>
        <c:axId val="2940288"/>
        <c:axId val="2999424"/>
        <c:axId val="0"/>
      </c:area3DChart>
      <c:catAx>
        <c:axId val="2940288"/>
        <c:scaling>
          <c:orientation val="minMax"/>
        </c:scaling>
        <c:delete val="0"/>
        <c:axPos val="b"/>
        <c:numFmt formatCode="General" sourceLinked="1"/>
        <c:majorTickMark val="out"/>
        <c:minorTickMark val="none"/>
        <c:tickLblPos val="nextTo"/>
        <c:crossAx val="2999424"/>
        <c:crosses val="autoZero"/>
        <c:auto val="1"/>
        <c:lblAlgn val="ctr"/>
        <c:lblOffset val="100"/>
        <c:noMultiLvlLbl val="0"/>
      </c:catAx>
      <c:valAx>
        <c:axId val="2999424"/>
        <c:scaling>
          <c:orientation val="minMax"/>
        </c:scaling>
        <c:delete val="0"/>
        <c:axPos val="l"/>
        <c:majorGridlines/>
        <c:numFmt formatCode="#\ ##0;\(#\ ##0\);\-" sourceLinked="1"/>
        <c:majorTickMark val="out"/>
        <c:minorTickMark val="none"/>
        <c:tickLblPos val="nextTo"/>
        <c:crossAx val="2940288"/>
        <c:crosses val="autoZero"/>
        <c:crossBetween val="midCat"/>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US" sz="900" b="0" i="1">
                <a:latin typeface="Verdana" panose="020B0604030504040204" pitchFamily="34" charset="0"/>
                <a:ea typeface="Verdana" panose="020B0604030504040204" pitchFamily="34" charset="0"/>
                <a:cs typeface="Verdana" panose="020B0604030504040204" pitchFamily="34" charset="0"/>
              </a:rPr>
              <a:t>EUR billions</a:t>
            </a:r>
            <a:endParaRPr lang="en-US" b="0" i="1">
              <a:latin typeface="Verdana" panose="020B0604030504040204" pitchFamily="34" charset="0"/>
              <a:ea typeface="Verdana" panose="020B0604030504040204" pitchFamily="34" charset="0"/>
              <a:cs typeface="Verdana" panose="020B0604030504040204" pitchFamily="34" charset="0"/>
            </a:endParaRPr>
          </a:p>
        </c:rich>
      </c:tx>
      <c:layout>
        <c:manualLayout>
          <c:xMode val="edge"/>
          <c:yMode val="edge"/>
          <c:x val="2.0791557305336834E-2"/>
          <c:y val="4.1666666666666664E-2"/>
        </c:manualLayout>
      </c:layout>
      <c:overlay val="0"/>
    </c:title>
    <c:autoTitleDeleted val="0"/>
    <c:plotArea>
      <c:layout/>
      <c:lineChart>
        <c:grouping val="standard"/>
        <c:varyColors val="0"/>
        <c:ser>
          <c:idx val="0"/>
          <c:order val="0"/>
          <c:tx>
            <c:strRef>
              <c:f>GDP!$A$9</c:f>
              <c:strCache>
                <c:ptCount val="1"/>
                <c:pt idx="0">
                  <c:v>GNI income</c:v>
                </c:pt>
              </c:strCache>
            </c:strRef>
          </c:tx>
          <c:cat>
            <c:numRef>
              <c:f>GDP!$B$8:$F$8</c:f>
              <c:numCache>
                <c:formatCode>General</c:formatCode>
                <c:ptCount val="5"/>
                <c:pt idx="0">
                  <c:v>2010</c:v>
                </c:pt>
                <c:pt idx="1">
                  <c:v>2011</c:v>
                </c:pt>
                <c:pt idx="2">
                  <c:v>2012</c:v>
                </c:pt>
                <c:pt idx="3">
                  <c:v>2013</c:v>
                </c:pt>
                <c:pt idx="4">
                  <c:v>2014</c:v>
                </c:pt>
              </c:numCache>
            </c:numRef>
          </c:cat>
          <c:val>
            <c:numRef>
              <c:f>GDP!$B$9:$F$9</c:f>
              <c:numCache>
                <c:formatCode>0</c:formatCode>
                <c:ptCount val="5"/>
                <c:pt idx="0">
                  <c:v>91</c:v>
                </c:pt>
                <c:pt idx="1">
                  <c:v>88</c:v>
                </c:pt>
                <c:pt idx="2">
                  <c:v>98</c:v>
                </c:pt>
                <c:pt idx="3">
                  <c:v>110</c:v>
                </c:pt>
                <c:pt idx="4">
                  <c:v>105</c:v>
                </c:pt>
              </c:numCache>
            </c:numRef>
          </c:val>
          <c:smooth val="0"/>
        </c:ser>
        <c:dLbls>
          <c:showLegendKey val="0"/>
          <c:showVal val="0"/>
          <c:showCatName val="0"/>
          <c:showSerName val="0"/>
          <c:showPercent val="0"/>
          <c:showBubbleSize val="0"/>
        </c:dLbls>
        <c:marker val="1"/>
        <c:smooth val="0"/>
        <c:axId val="177780992"/>
        <c:axId val="177790976"/>
      </c:lineChart>
      <c:catAx>
        <c:axId val="177780992"/>
        <c:scaling>
          <c:orientation val="minMax"/>
        </c:scaling>
        <c:delete val="0"/>
        <c:axPos val="b"/>
        <c:numFmt formatCode="General" sourceLinked="1"/>
        <c:majorTickMark val="out"/>
        <c:minorTickMark val="none"/>
        <c:tickLblPos val="nextTo"/>
        <c:crossAx val="177790976"/>
        <c:crosses val="autoZero"/>
        <c:auto val="1"/>
        <c:lblAlgn val="ctr"/>
        <c:lblOffset val="100"/>
        <c:noMultiLvlLbl val="0"/>
      </c:catAx>
      <c:valAx>
        <c:axId val="177790976"/>
        <c:scaling>
          <c:orientation val="minMax"/>
        </c:scaling>
        <c:delete val="0"/>
        <c:axPos val="l"/>
        <c:majorGridlines/>
        <c:numFmt formatCode="0" sourceLinked="1"/>
        <c:majorTickMark val="out"/>
        <c:minorTickMark val="none"/>
        <c:tickLblPos val="nextTo"/>
        <c:crossAx val="17778099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sz="900" b="0" i="1">
                <a:latin typeface="Verdana" panose="020B0604030504040204" pitchFamily="34" charset="0"/>
                <a:ea typeface="Verdana" panose="020B0604030504040204" pitchFamily="34" charset="0"/>
                <a:cs typeface="Verdana" panose="020B0604030504040204" pitchFamily="34" charset="0"/>
              </a:rPr>
              <a:t>EUR millions</a:t>
            </a:r>
          </a:p>
        </c:rich>
      </c:tx>
      <c:layout>
        <c:manualLayout>
          <c:xMode val="edge"/>
          <c:yMode val="edge"/>
          <c:x val="1.2201443569553778E-2"/>
          <c:y val="3.2407407407407406E-2"/>
        </c:manualLayout>
      </c:layout>
      <c:overlay val="0"/>
    </c:title>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cash!$A$4</c:f>
              <c:strCache>
                <c:ptCount val="1"/>
                <c:pt idx="0">
                  <c:v>Cash</c:v>
                </c:pt>
              </c:strCache>
            </c:strRef>
          </c:tx>
          <c:invertIfNegative val="0"/>
          <c:cat>
            <c:numRef>
              <c:f>cash!$B$3:$F$3</c:f>
              <c:numCache>
                <c:formatCode>General</c:formatCode>
                <c:ptCount val="5"/>
                <c:pt idx="0">
                  <c:v>2010</c:v>
                </c:pt>
                <c:pt idx="1">
                  <c:v>2011</c:v>
                </c:pt>
                <c:pt idx="2">
                  <c:v>2012</c:v>
                </c:pt>
                <c:pt idx="3">
                  <c:v>2013</c:v>
                </c:pt>
                <c:pt idx="4">
                  <c:v>2014</c:v>
                </c:pt>
              </c:numCache>
            </c:numRef>
          </c:cat>
          <c:val>
            <c:numRef>
              <c:f>cash!$B$4:$F$4</c:f>
              <c:numCache>
                <c:formatCode>#\ ##0;\(#\ ##0\);\-</c:formatCode>
                <c:ptCount val="5"/>
                <c:pt idx="0">
                  <c:v>22063</c:v>
                </c:pt>
                <c:pt idx="1">
                  <c:v>18935</c:v>
                </c:pt>
                <c:pt idx="2">
                  <c:v>10674</c:v>
                </c:pt>
                <c:pt idx="3">
                  <c:v>9510</c:v>
                </c:pt>
                <c:pt idx="4">
                  <c:v>17545</c:v>
                </c:pt>
              </c:numCache>
            </c:numRef>
          </c:val>
        </c:ser>
        <c:dLbls>
          <c:showLegendKey val="0"/>
          <c:showVal val="0"/>
          <c:showCatName val="0"/>
          <c:showSerName val="0"/>
          <c:showPercent val="0"/>
          <c:showBubbleSize val="0"/>
        </c:dLbls>
        <c:gapWidth val="150"/>
        <c:shape val="cylinder"/>
        <c:axId val="36463744"/>
        <c:axId val="36465280"/>
        <c:axId val="0"/>
      </c:bar3DChart>
      <c:catAx>
        <c:axId val="36463744"/>
        <c:scaling>
          <c:orientation val="minMax"/>
        </c:scaling>
        <c:delete val="0"/>
        <c:axPos val="b"/>
        <c:numFmt formatCode="General" sourceLinked="1"/>
        <c:majorTickMark val="out"/>
        <c:minorTickMark val="none"/>
        <c:tickLblPos val="nextTo"/>
        <c:crossAx val="36465280"/>
        <c:crosses val="autoZero"/>
        <c:auto val="1"/>
        <c:lblAlgn val="ctr"/>
        <c:lblOffset val="100"/>
        <c:noMultiLvlLbl val="0"/>
      </c:catAx>
      <c:valAx>
        <c:axId val="36465280"/>
        <c:scaling>
          <c:orientation val="minMax"/>
        </c:scaling>
        <c:delete val="0"/>
        <c:axPos val="l"/>
        <c:majorGridlines/>
        <c:numFmt formatCode="#\ ##0;\(#\ ##0\);\-" sourceLinked="1"/>
        <c:majorTickMark val="out"/>
        <c:minorTickMark val="none"/>
        <c:tickLblPos val="nextTo"/>
        <c:crossAx val="3646374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7"/>
              <c:delete val="1"/>
            </c:dLbl>
            <c:showLegendKey val="0"/>
            <c:showVal val="0"/>
            <c:showCatName val="0"/>
            <c:showSerName val="0"/>
            <c:showPercent val="1"/>
            <c:showBubbleSize val="0"/>
            <c:showLeaderLines val="1"/>
          </c:dLbls>
          <c:cat>
            <c:strRef>
              <c:f>B!$A$3:$A$10</c:f>
              <c:strCache>
                <c:ptCount val="8"/>
                <c:pt idx="0">
                  <c:v>Loans</c:v>
                </c:pt>
                <c:pt idx="1">
                  <c:v>Available for sale financial assets</c:v>
                </c:pt>
                <c:pt idx="2">
                  <c:v>Pre-financing</c:v>
                </c:pt>
                <c:pt idx="3">
                  <c:v>Other advances to Member States</c:v>
                </c:pt>
                <c:pt idx="4">
                  <c:v>Receivables and recoverables</c:v>
                </c:pt>
                <c:pt idx="5">
                  <c:v>Cash and cash equivalents</c:v>
                </c:pt>
                <c:pt idx="6">
                  <c:v>Property, Plant &amp; Equipment</c:v>
                </c:pt>
                <c:pt idx="7">
                  <c:v>Other</c:v>
                </c:pt>
              </c:strCache>
            </c:strRef>
          </c:cat>
          <c:val>
            <c:numRef>
              <c:f>B!$B$3:$B$10</c:f>
              <c:numCache>
                <c:formatCode>#,##0</c:formatCode>
                <c:ptCount val="8"/>
                <c:pt idx="0">
                  <c:v>58843</c:v>
                </c:pt>
                <c:pt idx="1">
                  <c:v>9406</c:v>
                </c:pt>
                <c:pt idx="2">
                  <c:v>45202</c:v>
                </c:pt>
                <c:pt idx="3">
                  <c:v>7393</c:v>
                </c:pt>
                <c:pt idx="4">
                  <c:v>15578</c:v>
                </c:pt>
                <c:pt idx="5">
                  <c:v>17545</c:v>
                </c:pt>
                <c:pt idx="6">
                  <c:v>7937</c:v>
                </c:pt>
                <c:pt idx="7">
                  <c:v>820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howLegendKey val="0"/>
            <c:showVal val="0"/>
            <c:showCatName val="0"/>
            <c:showSerName val="0"/>
            <c:showPercent val="1"/>
            <c:showBubbleSize val="0"/>
            <c:showLeaderLines val="1"/>
          </c:dLbls>
          <c:cat>
            <c:strRef>
              <c:f>'C'!$A$4:$A$8</c:f>
              <c:strCache>
                <c:ptCount val="5"/>
                <c:pt idx="0">
                  <c:v>Pension &amp; other employee benefits</c:v>
                </c:pt>
                <c:pt idx="1">
                  <c:v>Borrowings</c:v>
                </c:pt>
                <c:pt idx="2">
                  <c:v>Payables</c:v>
                </c:pt>
                <c:pt idx="3">
                  <c:v>Accrued charges &amp; deferred income</c:v>
                </c:pt>
                <c:pt idx="4">
                  <c:v>Other liabilities</c:v>
                </c:pt>
              </c:strCache>
            </c:strRef>
          </c:cat>
          <c:val>
            <c:numRef>
              <c:f>'C'!$B$4:$B$8</c:f>
              <c:numCache>
                <c:formatCode>#,##0</c:formatCode>
                <c:ptCount val="5"/>
                <c:pt idx="0">
                  <c:v>58616</c:v>
                </c:pt>
                <c:pt idx="1">
                  <c:v>58470</c:v>
                </c:pt>
                <c:pt idx="2">
                  <c:v>43180</c:v>
                </c:pt>
                <c:pt idx="3">
                  <c:v>55973</c:v>
                </c:pt>
                <c:pt idx="4">
                  <c:v>4491</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explosion val="25"/>
          <c:dLbls>
            <c:showLegendKey val="0"/>
            <c:showVal val="0"/>
            <c:showCatName val="1"/>
            <c:showSerName val="0"/>
            <c:showPercent val="1"/>
            <c:showBubbleSize val="0"/>
            <c:showLeaderLines val="1"/>
          </c:dLbls>
          <c:cat>
            <c:strRef>
              <c:f>P!$A$3:$A$7</c:f>
              <c:strCache>
                <c:ptCount val="3"/>
                <c:pt idx="0">
                  <c:v>Shared management</c:v>
                </c:pt>
                <c:pt idx="1">
                  <c:v>Direct management</c:v>
                </c:pt>
                <c:pt idx="2">
                  <c:v>Indirect management</c:v>
                </c:pt>
              </c:strCache>
            </c:strRef>
          </c:cat>
          <c:val>
            <c:numRef>
              <c:f>P!$B$3:$B$7</c:f>
              <c:numCache>
                <c:formatCode>#,##0</c:formatCode>
                <c:ptCount val="5"/>
                <c:pt idx="0">
                  <c:v>34302</c:v>
                </c:pt>
                <c:pt idx="1">
                  <c:v>5430</c:v>
                </c:pt>
                <c:pt idx="2">
                  <c:v>5407</c:v>
                </c:pt>
              </c:numCache>
            </c:numRef>
          </c:val>
        </c:ser>
        <c:dLbls>
          <c:showLegendKey val="0"/>
          <c:showVal val="0"/>
          <c:showCatName val="1"/>
          <c:showSerName val="0"/>
          <c:showPercent val="1"/>
          <c:showBubbleSize val="0"/>
          <c:showLeaderLines val="1"/>
        </c:dLbls>
        <c:firstSliceAng val="0"/>
        <c:holeSize val="50"/>
      </c:doughnutChart>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Q!$A$4:$A$8</c:f>
              <c:strCache>
                <c:ptCount val="5"/>
                <c:pt idx="0">
                  <c:v>ERDF &amp; CF</c:v>
                </c:pt>
                <c:pt idx="1">
                  <c:v>ESF</c:v>
                </c:pt>
                <c:pt idx="2">
                  <c:v>EAFRD</c:v>
                </c:pt>
                <c:pt idx="3">
                  <c:v>EAGF</c:v>
                </c:pt>
                <c:pt idx="4">
                  <c:v>Other</c:v>
                </c:pt>
              </c:strCache>
            </c:strRef>
          </c:cat>
          <c:val>
            <c:numRef>
              <c:f>Q!$B$4:$B$8</c:f>
              <c:numCache>
                <c:formatCode>General</c:formatCode>
                <c:ptCount val="5"/>
                <c:pt idx="0">
                  <c:v>42.9</c:v>
                </c:pt>
                <c:pt idx="1">
                  <c:v>12.6</c:v>
                </c:pt>
                <c:pt idx="2">
                  <c:v>14</c:v>
                </c:pt>
                <c:pt idx="3">
                  <c:v>43.7</c:v>
                </c:pt>
                <c:pt idx="4">
                  <c:v>2.2999999999999998</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900" b="0" i="1" baseline="0">
                <a:latin typeface="Verdana" panose="020B0604030504040204" pitchFamily="34" charset="0"/>
                <a:ea typeface="Verdana" panose="020B0604030504040204" pitchFamily="34" charset="0"/>
                <a:cs typeface="Verdana" panose="020B0604030504040204" pitchFamily="34" charset="0"/>
              </a:rPr>
              <a:t>EUR millions</a:t>
            </a:r>
            <a:endParaRPr lang="en-US" sz="900" b="0" i="1">
              <a:latin typeface="Verdana" panose="020B0604030504040204" pitchFamily="34" charset="0"/>
              <a:ea typeface="Verdana" panose="020B0604030504040204" pitchFamily="34" charset="0"/>
              <a:cs typeface="Verdana" panose="020B0604030504040204" pitchFamily="34" charset="0"/>
            </a:endParaRPr>
          </a:p>
        </c:rich>
      </c:tx>
      <c:layout>
        <c:manualLayout>
          <c:xMode val="edge"/>
          <c:yMode val="edge"/>
          <c:x val="1.9187445319335063E-2"/>
          <c:y val="4.1666666666666664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Sheet1!$A$5</c:f>
              <c:strCache>
                <c:ptCount val="1"/>
              </c:strCache>
            </c:strRef>
          </c:tx>
          <c:invertIfNegative val="0"/>
          <c:cat>
            <c:numRef>
              <c:f>Sheet1!$B$2:$F$2</c:f>
              <c:numCache>
                <c:formatCode>General</c:formatCode>
                <c:ptCount val="5"/>
                <c:pt idx="0">
                  <c:v>2010</c:v>
                </c:pt>
                <c:pt idx="1">
                  <c:v>2011</c:v>
                </c:pt>
                <c:pt idx="2">
                  <c:v>2012</c:v>
                </c:pt>
                <c:pt idx="3">
                  <c:v>2013</c:v>
                </c:pt>
                <c:pt idx="4">
                  <c:v>2014</c:v>
                </c:pt>
              </c:numCache>
            </c:numRef>
          </c:cat>
          <c:val>
            <c:numRef>
              <c:f>Sheet1!$B$5:$F$5</c:f>
              <c:numCache>
                <c:formatCode>General</c:formatCode>
                <c:ptCount val="5"/>
                <c:pt idx="0">
                  <c:v>2408</c:v>
                </c:pt>
                <c:pt idx="1">
                  <c:v>2731</c:v>
                </c:pt>
                <c:pt idx="2">
                  <c:v>3150</c:v>
                </c:pt>
                <c:pt idx="3" formatCode="#\ ##0;\(#\ ##0\);\-">
                  <c:v>3999</c:v>
                </c:pt>
                <c:pt idx="4" formatCode="#\ ##0;\(#\ ##0\);\-">
                  <c:v>4451</c:v>
                </c:pt>
              </c:numCache>
            </c:numRef>
          </c:val>
        </c:ser>
        <c:dLbls>
          <c:showLegendKey val="0"/>
          <c:showVal val="0"/>
          <c:showCatName val="0"/>
          <c:showSerName val="0"/>
          <c:showPercent val="0"/>
          <c:showBubbleSize val="0"/>
        </c:dLbls>
        <c:gapWidth val="150"/>
        <c:shape val="box"/>
        <c:axId val="177737728"/>
        <c:axId val="177739264"/>
        <c:axId val="0"/>
      </c:bar3DChart>
      <c:catAx>
        <c:axId val="177737728"/>
        <c:scaling>
          <c:orientation val="minMax"/>
        </c:scaling>
        <c:delete val="0"/>
        <c:axPos val="b"/>
        <c:numFmt formatCode="General" sourceLinked="1"/>
        <c:majorTickMark val="out"/>
        <c:minorTickMark val="none"/>
        <c:tickLblPos val="nextTo"/>
        <c:crossAx val="177739264"/>
        <c:crosses val="autoZero"/>
        <c:auto val="1"/>
        <c:lblAlgn val="ctr"/>
        <c:lblOffset val="100"/>
        <c:noMultiLvlLbl val="0"/>
      </c:catAx>
      <c:valAx>
        <c:axId val="177739264"/>
        <c:scaling>
          <c:orientation val="minMax"/>
        </c:scaling>
        <c:delete val="0"/>
        <c:axPos val="l"/>
        <c:majorGridlines/>
        <c:numFmt formatCode="General" sourceLinked="1"/>
        <c:majorTickMark val="out"/>
        <c:minorTickMark val="none"/>
        <c:tickLblPos val="nextTo"/>
        <c:crossAx val="177737728"/>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900" b="0" i="1">
                <a:latin typeface="Verdana" panose="020B0604030504040204" pitchFamily="34" charset="0"/>
                <a:ea typeface="Verdana" panose="020B0604030504040204" pitchFamily="34" charset="0"/>
                <a:cs typeface="Verdana" panose="020B0604030504040204" pitchFamily="34" charset="0"/>
              </a:rPr>
              <a:t>Borrowing &amp; lending activities</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'FI pie'!$B$2</c:f>
              <c:strCache>
                <c:ptCount val="1"/>
                <c:pt idx="0">
                  <c:v>Borrowing &amp; lending activities</c:v>
                </c:pt>
              </c:strCache>
            </c:strRef>
          </c:tx>
          <c:dLbls>
            <c:showLegendKey val="0"/>
            <c:showVal val="0"/>
            <c:showCatName val="0"/>
            <c:showSerName val="0"/>
            <c:showPercent val="1"/>
            <c:showBubbleSize val="0"/>
            <c:showLeaderLines val="1"/>
          </c:dLbls>
          <c:cat>
            <c:strRef>
              <c:f>'FI pie'!$A$3:$A$6</c:f>
              <c:strCache>
                <c:ptCount val="4"/>
                <c:pt idx="0">
                  <c:v>European Financial Stabilisation Mechanism</c:v>
                </c:pt>
                <c:pt idx="1">
                  <c:v>Balance of Payments Assistance</c:v>
                </c:pt>
                <c:pt idx="2">
                  <c:v>Macro-Financial Assistance</c:v>
                </c:pt>
                <c:pt idx="3">
                  <c:v>Euratom &amp; European Coal and Steel Community </c:v>
                </c:pt>
              </c:strCache>
            </c:strRef>
          </c:cat>
          <c:val>
            <c:numRef>
              <c:f>'FI pie'!$B$3:$B$6</c:f>
              <c:numCache>
                <c:formatCode>#\ ##0;\(#\ ##0\);\-</c:formatCode>
                <c:ptCount val="4"/>
                <c:pt idx="0">
                  <c:v>47507</c:v>
                </c:pt>
                <c:pt idx="1">
                  <c:v>8590</c:v>
                </c:pt>
                <c:pt idx="2">
                  <c:v>1842</c:v>
                </c:pt>
                <c:pt idx="3">
                  <c:v>570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900" b="0" i="1">
                <a:latin typeface="Verdana" panose="020B0604030504040204" pitchFamily="34" charset="0"/>
                <a:ea typeface="Verdana" panose="020B0604030504040204" pitchFamily="34" charset="0"/>
                <a:cs typeface="Verdana" panose="020B0604030504040204" pitchFamily="34" charset="0"/>
              </a:rPr>
              <a:t>EUR billions, current prices</a:t>
            </a:r>
          </a:p>
        </c:rich>
      </c:tx>
      <c:overlay val="0"/>
    </c:title>
    <c:autoTitleDeleted val="0"/>
    <c:plotArea>
      <c:layout/>
      <c:lineChart>
        <c:grouping val="standard"/>
        <c:varyColors val="0"/>
        <c:ser>
          <c:idx val="0"/>
          <c:order val="0"/>
          <c:tx>
            <c:strRef>
              <c:f>GDP!$A$4</c:f>
              <c:strCache>
                <c:ptCount val="1"/>
                <c:pt idx="0">
                  <c:v>GDP EU-28</c:v>
                </c:pt>
              </c:strCache>
            </c:strRef>
          </c:tx>
          <c:cat>
            <c:numRef>
              <c:f>GDP!$B$3:$F$3</c:f>
              <c:numCache>
                <c:formatCode>General</c:formatCode>
                <c:ptCount val="5"/>
                <c:pt idx="0">
                  <c:v>2010</c:v>
                </c:pt>
                <c:pt idx="1">
                  <c:v>2011</c:v>
                </c:pt>
                <c:pt idx="2">
                  <c:v>2012</c:v>
                </c:pt>
                <c:pt idx="3">
                  <c:v>2013</c:v>
                </c:pt>
                <c:pt idx="4">
                  <c:v>2014</c:v>
                </c:pt>
              </c:numCache>
            </c:numRef>
          </c:cat>
          <c:val>
            <c:numRef>
              <c:f>GDP!$B$4:$F$4</c:f>
              <c:numCache>
                <c:formatCode>#\ ##0;\(#\ ##0\);\-</c:formatCode>
                <c:ptCount val="5"/>
                <c:pt idx="0">
                  <c:v>12790</c:v>
                </c:pt>
                <c:pt idx="1">
                  <c:v>13174</c:v>
                </c:pt>
                <c:pt idx="2">
                  <c:v>13426</c:v>
                </c:pt>
                <c:pt idx="3">
                  <c:v>13520</c:v>
                </c:pt>
                <c:pt idx="4">
                  <c:v>13921</c:v>
                </c:pt>
              </c:numCache>
            </c:numRef>
          </c:val>
          <c:smooth val="0"/>
        </c:ser>
        <c:dLbls>
          <c:showLegendKey val="0"/>
          <c:showVal val="0"/>
          <c:showCatName val="0"/>
          <c:showSerName val="0"/>
          <c:showPercent val="0"/>
          <c:showBubbleSize val="0"/>
        </c:dLbls>
        <c:marker val="1"/>
        <c:smooth val="0"/>
        <c:axId val="177771264"/>
        <c:axId val="177772800"/>
      </c:lineChart>
      <c:catAx>
        <c:axId val="177771264"/>
        <c:scaling>
          <c:orientation val="minMax"/>
        </c:scaling>
        <c:delete val="0"/>
        <c:axPos val="b"/>
        <c:numFmt formatCode="General" sourceLinked="1"/>
        <c:majorTickMark val="none"/>
        <c:minorTickMark val="none"/>
        <c:tickLblPos val="nextTo"/>
        <c:crossAx val="177772800"/>
        <c:crosses val="autoZero"/>
        <c:auto val="1"/>
        <c:lblAlgn val="ctr"/>
        <c:lblOffset val="100"/>
        <c:noMultiLvlLbl val="0"/>
      </c:catAx>
      <c:valAx>
        <c:axId val="177772800"/>
        <c:scaling>
          <c:orientation val="minMax"/>
        </c:scaling>
        <c:delete val="0"/>
        <c:axPos val="l"/>
        <c:majorGridlines/>
        <c:numFmt formatCode="#\ ##0;\(#\ ##0\);\-" sourceLinked="1"/>
        <c:majorTickMark val="none"/>
        <c:minorTickMark val="none"/>
        <c:tickLblPos val="nextTo"/>
        <c:crossAx val="17777126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FE9CA-4BC7-45F8-A3E4-74181F07C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136</Pages>
  <Words>52369</Words>
  <Characters>264109</Characters>
  <Application>Microsoft Office Word</Application>
  <DocSecurity>0</DocSecurity>
  <Lines>16188</Lines>
  <Paragraphs>10584</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309938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KOEHLER Martin (BUDG)</dc:creator>
  <cp:lastModifiedBy>WOJCIECHOWSKA Eliza (SG)</cp:lastModifiedBy>
  <cp:revision>5</cp:revision>
  <cp:lastPrinted>2015-07-23T09:14:00Z</cp:lastPrinted>
  <dcterms:created xsi:type="dcterms:W3CDTF">2015-07-17T12:22:00Z</dcterms:created>
  <dcterms:modified xsi:type="dcterms:W3CDTF">2015-07-23T09:21:00Z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Culture00">
    <vt:lpwstr>GQoAAB+LCAAAAAAABABFlgt2YzEIQ7dk8H893v8eRle8dE7TNvGzDQhJJMd4Ea/pp8eLft/xh/oZ+s2+31kv42qjPmr30hmtjPlirDeX9ulJbB3IF/PwNI5W13knfFQ7xtb6eme+rYPc0bW7z9fZer61o4uaju/+4ranO1Pnmj7N+bQQobdNIRrL9+l8Nt1zX6Zy6kpLD+swGYWCZVLG5WnniX6VaOriqX9NdWe+06vGVCJcOPT+UsfWznwzeJF</vt:lpwstr>
  </property>
  <property fmtid="{D5CDD505-2E9C-101B-9397-08002B2CF9AE}" pid="3" name="DMCulture01">
    <vt:lpwstr>Ikt5oT/nEVAAh2NcjX12YobRSBXXvIXgHAR2Zvsdv99DydBbEOsdvdzgZgo2qUxGTBqkF2clPkCriJcVwAvoEckpa0CYgaJ2quau/pSIWyCrCzjc4vNk61peJVohGpcpwhGPXrboO9EA5O5mfdyHBcKeE74p3D+SAN9Gat8a57uJJtgB7qCP0CCB1FYXpobq+hBW1bz3vJNJdgjor1sRMN1nJ+lplOr8osxAVUAHc/O7rmmGG4usWJQb+u8ii1J</vt:lpwstr>
  </property>
  <property fmtid="{D5CDD505-2E9C-101B-9397-08002B2CF9AE}" pid="4" name="DMCulture02">
    <vt:lpwstr>eRBamisjc6vClUG2kMKwucvbiz2Ncro0lfu4s7JipBIYbbuR1lf+RsFgwITadujFd1XS2cZJJmzH17FRpsGx/7eykBgmwDCUanmgaKsM4h4Hr61lW8EpfvdwkQcPb6Re5FRheQATfSjA208xPWKR7sZc7dWxKSXoTq5a87rqBk4+3gJRyOAMzj9CxLbbV6TEWBQNGITqeBRC0CfTUjblhZZAUfD4J07xQZ+mIMaJPmNfNcxNY2BSarDRyjTgrBR</vt:lpwstr>
  </property>
  <property fmtid="{D5CDD505-2E9C-101B-9397-08002B2CF9AE}" pid="5" name="DMCulture03">
    <vt:lpwstr>ICSjaUzPpiAaCBDgsLjLzatvGnA7AbmY1jD0zIAeGiP4nTmY6Y/qny3pTmyaUKfUTpqA4NtmUBRBZD8+qA76TqQcxs8UM7qZ5ZAtwHmYXxCncUhtL26+WO1q42LOy1iPOYMu2zUPcect1/Ype+27RmFUe/LctS55j7Hz25unVYdvTi78UpZxGclgq3bnVig7WrlLhYpX51hDX4jXoiIk2JETBD7CaRzpec3eyxF5XSr1ynaTNQhVekVJeFTQwAV</vt:lpwstr>
  </property>
  <property fmtid="{D5CDD505-2E9C-101B-9397-08002B2CF9AE}" pid="6" name="DMCulture04">
    <vt:lpwstr>988BJhw008OuI+QZTizQp/sBO5lcNtIx3B4IsWaRZVRvU/xmMwOFyvRIzVFlAthz79YkA0HQWBD7Gnr1Z5vSUSqGQzZMnbcdpBoORWexfjB4aMp1BYqxRzkE8xY3Smvqe4sNneZb437+uPZ/lmOoNQWxCo8Hj0LgCux20rFgSqJAamc4zxrCth5G2YZOF0ExERle6gIpgj7ebc1DjeFB3sdPE/pL/dVxN7n5m8AkYrMrkSvzSMbSywWoRNSZdlH</vt:lpwstr>
  </property>
  <property fmtid="{D5CDD505-2E9C-101B-9397-08002B2CF9AE}" pid="7" name="DMCulture05">
    <vt:lpwstr>uSou5fL5ckI8nq8tIAlfCCYp7Ruc62Kzp2D0LPdU6dRvoIhmGtQrC7qRkfnJTvGeWd7AfDwhkbX+Dqd30hLUIn9LxDZamaU/DuheO/YW2YVq2/ZqZHhTXMfgeEjb+mrx2CuSoy2jZZPaUhyhaPy7VLmBrTUtJPD3plGCumt1MeD0d5cH+elC32Z52KQFQ5yieV2WMXRwYbf59HfwHhg3l2hkKAAA=</vt:lpwstr>
  </property>
  <property fmtid="{D5CDD505-2E9C-101B-9397-08002B2CF9AE}" pid="8" name="frecMETA0">
    <vt:lpwstr>dgUAAB+LCAAAAAAABAA1lIuRxDAIQ1sK+F8P/fdwT2JvZrPjxAYkIRxj1M06pyKi4tV8lV+lnu/ykWeyuW/tqLtqZGXwSw7z9lVk1t51X8U3Kq4eAr5Vjr2OmLyNqDPr1uT8qkk1dh65klDXHDVu3U0gkVdhhPAjOLfqb8odRSwQfDqabJxh8HMCWRtbsBIumY0cwFu0XoEhThaoYnBcCKkaILhfLXKcmp3tFedOHTJJm6+LChsHgQGLhO+qdYo</vt:lpwstr>
  </property>
  <property fmtid="{D5CDD505-2E9C-101B-9397-08002B2CF9AE}" pid="9" name="frecMETA1">
    <vt:lpwstr>USRWkfCRlhxTzMzEYH7bm/xfkAB6E3hFu6ileChMaAKUdpOEk+Ze0kr75hYrsof9YoEgJ+rWwqPQ+k/CWYgbr0x183Tw4LEmkk/R48fmRTqINqovkNef41I5br3WJ3Q1VZvVYhXdYZalNuk2haDhBxjW7f9+2jmKPeiGaCEiDM6fFCG8Ne+g2uQ8UKMYSb131ariaNFjDHsMoUoolR1JWlP9QLMT0vtYYGnRuLdPHSbGnmmeJnh097XEzlJe/bh</vt:lpwstr>
  </property>
  <property fmtid="{D5CDD505-2E9C-101B-9397-08002B2CF9AE}" pid="10" name="frecMETA2">
    <vt:lpwstr>zAF6hWGtKZxp5mpjZpIKY9J9GF5bCUpOu2h/GQoqUrFF82u2OiLclxBXBihJQndG74VRmi7b2lkcfH3tNao/IJWJdUT4SrvaSvPqUREQBLuGxPeR+4aoz8SX9pJjII2rJX9G0alZpCCkZOPxYaVJnsPLknmFx1gYQ6u0WSU4izuxMykqfrWiZl1Pwv2dYTLu2Rlqx2ka0tAz+T06gzVRrcnF2E0TkyTnj0wqOv9+cRD/mQYroW9vsNS0+TZsBqT</vt:lpwstr>
  </property>
  <property fmtid="{D5CDD505-2E9C-101B-9397-08002B2CF9AE}" pid="11" name="frecMETA3">
    <vt:lpwstr>NuaLqOFpKIr3S3P3Fay5ai3275y4jR2sPhj6HL43XmImi2j7hCGXpfh+jXIl4X4774CyU4CCPrqWG2Q8Qe3SS7ndgUAAA==</vt:lpwstr>
  </property>
  <property fmtid="{D5CDD505-2E9C-101B-9397-08002B2CF9AE}" pid="12" name="PeriodId">
    <vt:i4>2</vt:i4>
  </property>
  <property fmtid="{D5CDD505-2E9C-101B-9397-08002B2CF9AE}" pid="13" name="PeriodName">
    <vt:lpwstr>2014 Annual Accounts</vt:lpwstr>
  </property>
  <property fmtid="{D5CDD505-2E9C-101B-9397-08002B2CF9AE}" pid="14" name="ReportId">
    <vt:i4>18</vt:i4>
  </property>
  <property fmtid="{D5CDD505-2E9C-101B-9397-08002B2CF9AE}" pid="15" name="ReportName">
    <vt:lpwstr>EU Annual Accounts</vt:lpwstr>
  </property>
  <property fmtid="{D5CDD505-2E9C-101B-9397-08002B2CF9AE}" pid="16" name="Part">
    <vt:lpwstr>1</vt:lpwstr>
  </property>
  <property fmtid="{D5CDD505-2E9C-101B-9397-08002B2CF9AE}" pid="17" name="Total parts">
    <vt:lpwstr>1</vt:lpwstr>
  </property>
  <property fmtid="{D5CDD505-2E9C-101B-9397-08002B2CF9AE}" pid="18" name="DocStatus">
    <vt:lpwstr>Green</vt:lpwstr>
  </property>
  <property fmtid="{D5CDD505-2E9C-101B-9397-08002B2CF9AE}" pid="19" name="Classification">
    <vt:lpwstr> </vt:lpwstr>
  </property>
</Properties>
</file>