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B0D" w:rsidRDefault="008F1B69">
      <w:pPr>
        <w:pStyle w:val="Pagedecouverture"/>
        <w:rPr>
          <w:noProof/>
        </w:rPr>
      </w:pPr>
      <w:bookmarkStart w:id="0" w:name="LW_BM_COVERPAGE"/>
      <w:bookmarkStart w:id="1" w:name="_Toc42168768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CBD5065B5DE4BAC99A756C2151126A7" style="width:450pt;height:486pt">
            <v:imagedata r:id="rId9" o:title=""/>
          </v:shape>
        </w:pict>
      </w:r>
    </w:p>
    <w:bookmarkEnd w:id="0"/>
    <w:p w:rsidR="00446B0D" w:rsidRDefault="00446B0D">
      <w:pPr>
        <w:rPr>
          <w:noProof/>
        </w:rPr>
        <w:sectPr w:rsidR="00446B0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446B0D" w:rsidRDefault="00446B0D">
      <w:pPr>
        <w:rPr>
          <w:noProof/>
        </w:rPr>
      </w:pPr>
    </w:p>
    <w:p w:rsidR="00446B0D" w:rsidRDefault="00446B0D">
      <w:pPr>
        <w:rPr>
          <w:noProof/>
        </w:rPr>
        <w:sectPr w:rsidR="00446B0D">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60"/>
        </w:sectPr>
      </w:pPr>
    </w:p>
    <w:p w:rsidR="00446B0D" w:rsidRDefault="008F1B69">
      <w:pPr>
        <w:pStyle w:val="TOC1"/>
        <w:tabs>
          <w:tab w:val="left" w:pos="480"/>
          <w:tab w:val="right" w:leader="dot" w:pos="9062"/>
        </w:tabs>
        <w:rPr>
          <w:rFonts w:asciiTheme="minorHAnsi" w:eastAsiaTheme="minorEastAsia" w:hAnsiTheme="minorHAnsi" w:cstheme="minorBidi"/>
          <w:noProof/>
          <w:szCs w:val="22"/>
          <w:lang w:eastAsia="en-GB"/>
        </w:rPr>
      </w:pPr>
      <w:r>
        <w:rPr>
          <w:noProof/>
        </w:rPr>
        <w:lastRenderedPageBreak/>
        <w:fldChar w:fldCharType="begin"/>
      </w:r>
      <w:r>
        <w:rPr>
          <w:noProof/>
        </w:rPr>
        <w:instrText xml:space="preserve"> TOC \o "1-3" \h \z \u </w:instrText>
      </w:r>
      <w:r>
        <w:rPr>
          <w:noProof/>
        </w:rPr>
        <w:fldChar w:fldCharType="separate"/>
      </w:r>
      <w:hyperlink w:anchor="_Toc423960188" w:history="1">
        <w:r>
          <w:rPr>
            <w:rStyle w:val="Hyperlink"/>
            <w:noProof/>
          </w:rPr>
          <w:t>1.</w:t>
        </w:r>
        <w:r>
          <w:rPr>
            <w:rFonts w:asciiTheme="minorHAnsi" w:eastAsiaTheme="minorEastAsia" w:hAnsiTheme="minorHAnsi" w:cstheme="minorBidi"/>
            <w:noProof/>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_Toc423960188 \h </w:instrText>
        </w:r>
        <w:r>
          <w:rPr>
            <w:noProof/>
            <w:webHidden/>
          </w:rPr>
        </w:r>
        <w:r>
          <w:rPr>
            <w:noProof/>
            <w:webHidden/>
          </w:rPr>
          <w:fldChar w:fldCharType="separate"/>
        </w:r>
        <w:r w:rsidR="001958EE">
          <w:rPr>
            <w:noProof/>
            <w:webHidden/>
          </w:rPr>
          <w:t>3</w:t>
        </w:r>
        <w:r>
          <w:rPr>
            <w:noProof/>
            <w:webHidden/>
          </w:rPr>
          <w:fldChar w:fldCharType="end"/>
        </w:r>
      </w:hyperlink>
    </w:p>
    <w:p w:rsidR="00446B0D" w:rsidRDefault="008F1B69">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23960189"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Hercule III Programme</w:t>
        </w:r>
        <w:r>
          <w:rPr>
            <w:noProof/>
            <w:webHidden/>
          </w:rPr>
          <w:tab/>
        </w:r>
        <w:r>
          <w:rPr>
            <w:noProof/>
            <w:webHidden/>
          </w:rPr>
          <w:fldChar w:fldCharType="begin"/>
        </w:r>
        <w:r>
          <w:rPr>
            <w:noProof/>
            <w:webHidden/>
          </w:rPr>
          <w:instrText xml:space="preserve"> PAGEREF _Toc423960189 \h </w:instrText>
        </w:r>
        <w:r>
          <w:rPr>
            <w:noProof/>
            <w:webHidden/>
          </w:rPr>
        </w:r>
        <w:r>
          <w:rPr>
            <w:noProof/>
            <w:webHidden/>
          </w:rPr>
          <w:fldChar w:fldCharType="separate"/>
        </w:r>
        <w:r w:rsidR="001958EE">
          <w:rPr>
            <w:noProof/>
            <w:webHidden/>
          </w:rPr>
          <w:t>3</w:t>
        </w:r>
        <w:r>
          <w:rPr>
            <w:noProof/>
            <w:webHidden/>
          </w:rPr>
          <w:fldChar w:fldCharType="end"/>
        </w:r>
      </w:hyperlink>
    </w:p>
    <w:p w:rsidR="00446B0D" w:rsidRDefault="008F1B69">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23960190" w:history="1">
        <w:r>
          <w:rPr>
            <w:rStyle w:val="Hyperlink"/>
            <w:noProof/>
          </w:rPr>
          <w:t>1.2</w:t>
        </w:r>
        <w:r>
          <w:rPr>
            <w:rFonts w:asciiTheme="minorHAnsi" w:eastAsiaTheme="minorEastAsia" w:hAnsiTheme="minorHAnsi" w:cstheme="minorBidi"/>
            <w:noProof/>
            <w:sz w:val="22"/>
            <w:szCs w:val="22"/>
            <w:lang w:eastAsia="en-GB"/>
          </w:rPr>
          <w:tab/>
        </w:r>
        <w:r>
          <w:rPr>
            <w:rStyle w:val="Hyperlink"/>
            <w:noProof/>
          </w:rPr>
          <w:t>Hercule III: eligible actions, beneficiaries and budget</w:t>
        </w:r>
        <w:r>
          <w:rPr>
            <w:noProof/>
            <w:webHidden/>
          </w:rPr>
          <w:tab/>
        </w:r>
        <w:r>
          <w:rPr>
            <w:noProof/>
            <w:webHidden/>
          </w:rPr>
          <w:fldChar w:fldCharType="begin"/>
        </w:r>
        <w:r>
          <w:rPr>
            <w:noProof/>
            <w:webHidden/>
          </w:rPr>
          <w:instrText xml:space="preserve"> PAGEREF _Toc423960190 \h </w:instrText>
        </w:r>
        <w:r>
          <w:rPr>
            <w:noProof/>
            <w:webHidden/>
          </w:rPr>
        </w:r>
        <w:r>
          <w:rPr>
            <w:noProof/>
            <w:webHidden/>
          </w:rPr>
          <w:fldChar w:fldCharType="separate"/>
        </w:r>
        <w:r w:rsidR="001958EE">
          <w:rPr>
            <w:noProof/>
            <w:webHidden/>
          </w:rPr>
          <w:t>3</w:t>
        </w:r>
        <w:r>
          <w:rPr>
            <w:noProof/>
            <w:webHidden/>
          </w:rPr>
          <w:fldChar w:fldCharType="end"/>
        </w:r>
      </w:hyperlink>
    </w:p>
    <w:p w:rsidR="00446B0D" w:rsidRDefault="008F1B69">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23960191" w:history="1">
        <w:r>
          <w:rPr>
            <w:rStyle w:val="Hyperlink"/>
            <w:noProof/>
          </w:rPr>
          <w:t>1.3</w:t>
        </w:r>
        <w:r>
          <w:rPr>
            <w:rFonts w:asciiTheme="minorHAnsi" w:eastAsiaTheme="minorEastAsia" w:hAnsiTheme="minorHAnsi" w:cstheme="minorBidi"/>
            <w:noProof/>
            <w:sz w:val="22"/>
            <w:szCs w:val="22"/>
            <w:lang w:eastAsia="en-GB"/>
          </w:rPr>
          <w:tab/>
        </w:r>
        <w:r>
          <w:rPr>
            <w:rStyle w:val="Hyperlink"/>
            <w:noProof/>
          </w:rPr>
          <w:t>Purpose and scope of this overview</w:t>
        </w:r>
        <w:r>
          <w:rPr>
            <w:noProof/>
            <w:webHidden/>
          </w:rPr>
          <w:tab/>
        </w:r>
        <w:r>
          <w:rPr>
            <w:noProof/>
            <w:webHidden/>
          </w:rPr>
          <w:fldChar w:fldCharType="begin"/>
        </w:r>
        <w:r>
          <w:rPr>
            <w:noProof/>
            <w:webHidden/>
          </w:rPr>
          <w:instrText xml:space="preserve"> PAGEREF _Toc423960191 \h </w:instrText>
        </w:r>
        <w:r>
          <w:rPr>
            <w:noProof/>
            <w:webHidden/>
          </w:rPr>
        </w:r>
        <w:r>
          <w:rPr>
            <w:noProof/>
            <w:webHidden/>
          </w:rPr>
          <w:fldChar w:fldCharType="separate"/>
        </w:r>
        <w:r w:rsidR="001958EE">
          <w:rPr>
            <w:noProof/>
            <w:webHidden/>
          </w:rPr>
          <w:t>4</w:t>
        </w:r>
        <w:r>
          <w:rPr>
            <w:noProof/>
            <w:webHidden/>
          </w:rPr>
          <w:fldChar w:fldCharType="end"/>
        </w:r>
      </w:hyperlink>
    </w:p>
    <w:p w:rsidR="00446B0D" w:rsidRDefault="008F1B69">
      <w:pPr>
        <w:pStyle w:val="TOC1"/>
        <w:tabs>
          <w:tab w:val="left" w:pos="480"/>
          <w:tab w:val="right" w:leader="dot" w:pos="9062"/>
        </w:tabs>
        <w:rPr>
          <w:rFonts w:asciiTheme="minorHAnsi" w:eastAsiaTheme="minorEastAsia" w:hAnsiTheme="minorHAnsi" w:cstheme="minorBidi"/>
          <w:noProof/>
          <w:szCs w:val="22"/>
          <w:lang w:eastAsia="en-GB"/>
        </w:rPr>
      </w:pPr>
      <w:hyperlink w:anchor="_Toc423960192" w:history="1">
        <w:r>
          <w:rPr>
            <w:rStyle w:val="Hyperlink"/>
            <w:noProof/>
          </w:rPr>
          <w:t>2.</w:t>
        </w:r>
        <w:r>
          <w:rPr>
            <w:rFonts w:asciiTheme="minorHAnsi" w:eastAsiaTheme="minorEastAsia" w:hAnsiTheme="minorHAnsi" w:cstheme="minorBidi"/>
            <w:noProof/>
            <w:szCs w:val="22"/>
            <w:lang w:eastAsia="en-GB"/>
          </w:rPr>
          <w:tab/>
        </w:r>
        <w:r>
          <w:rPr>
            <w:rStyle w:val="Hyperlink"/>
            <w:noProof/>
          </w:rPr>
          <w:t>Budget implementation in 2014</w:t>
        </w:r>
        <w:r>
          <w:rPr>
            <w:noProof/>
            <w:webHidden/>
          </w:rPr>
          <w:tab/>
        </w:r>
        <w:r>
          <w:rPr>
            <w:noProof/>
            <w:webHidden/>
          </w:rPr>
          <w:fldChar w:fldCharType="begin"/>
        </w:r>
        <w:r>
          <w:rPr>
            <w:noProof/>
            <w:webHidden/>
          </w:rPr>
          <w:instrText xml:space="preserve"> PAGEREF _Toc423960192 \h </w:instrText>
        </w:r>
        <w:r>
          <w:rPr>
            <w:noProof/>
            <w:webHidden/>
          </w:rPr>
        </w:r>
        <w:r>
          <w:rPr>
            <w:noProof/>
            <w:webHidden/>
          </w:rPr>
          <w:fldChar w:fldCharType="separate"/>
        </w:r>
        <w:r w:rsidR="001958EE">
          <w:rPr>
            <w:noProof/>
            <w:webHidden/>
          </w:rPr>
          <w:t>5</w:t>
        </w:r>
        <w:r>
          <w:rPr>
            <w:noProof/>
            <w:webHidden/>
          </w:rPr>
          <w:fldChar w:fldCharType="end"/>
        </w:r>
      </w:hyperlink>
    </w:p>
    <w:p w:rsidR="00446B0D" w:rsidRDefault="008F1B69">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23960193"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Budget implementation by type of financial intervention</w:t>
        </w:r>
        <w:r>
          <w:rPr>
            <w:noProof/>
            <w:webHidden/>
          </w:rPr>
          <w:tab/>
        </w:r>
        <w:r>
          <w:rPr>
            <w:noProof/>
            <w:webHidden/>
          </w:rPr>
          <w:fldChar w:fldCharType="begin"/>
        </w:r>
        <w:r>
          <w:rPr>
            <w:noProof/>
            <w:webHidden/>
          </w:rPr>
          <w:instrText xml:space="preserve"> PAGEREF _Toc423960193 \h </w:instrText>
        </w:r>
        <w:r>
          <w:rPr>
            <w:noProof/>
            <w:webHidden/>
          </w:rPr>
        </w:r>
        <w:r>
          <w:rPr>
            <w:noProof/>
            <w:webHidden/>
          </w:rPr>
          <w:fldChar w:fldCharType="separate"/>
        </w:r>
        <w:r w:rsidR="001958EE">
          <w:rPr>
            <w:noProof/>
            <w:webHidden/>
          </w:rPr>
          <w:t>5</w:t>
        </w:r>
        <w:r>
          <w:rPr>
            <w:noProof/>
            <w:webHidden/>
          </w:rPr>
          <w:fldChar w:fldCharType="end"/>
        </w:r>
      </w:hyperlink>
    </w:p>
    <w:p w:rsidR="00446B0D" w:rsidRDefault="008F1B69">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23960194"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Budget implementation by type of eligible action</w:t>
        </w:r>
        <w:r>
          <w:rPr>
            <w:noProof/>
            <w:webHidden/>
          </w:rPr>
          <w:tab/>
        </w:r>
        <w:r>
          <w:rPr>
            <w:noProof/>
            <w:webHidden/>
          </w:rPr>
          <w:fldChar w:fldCharType="begin"/>
        </w:r>
        <w:r>
          <w:rPr>
            <w:noProof/>
            <w:webHidden/>
          </w:rPr>
          <w:instrText xml:space="preserve"> PAGEREF _Toc423960194 \h </w:instrText>
        </w:r>
        <w:r>
          <w:rPr>
            <w:noProof/>
            <w:webHidden/>
          </w:rPr>
        </w:r>
        <w:r>
          <w:rPr>
            <w:noProof/>
            <w:webHidden/>
          </w:rPr>
          <w:fldChar w:fldCharType="separate"/>
        </w:r>
        <w:r w:rsidR="001958EE">
          <w:rPr>
            <w:noProof/>
            <w:webHidden/>
          </w:rPr>
          <w:t>7</w:t>
        </w:r>
        <w:r>
          <w:rPr>
            <w:noProof/>
            <w:webHidden/>
          </w:rPr>
          <w:fldChar w:fldCharType="end"/>
        </w:r>
      </w:hyperlink>
    </w:p>
    <w:p w:rsidR="00446B0D" w:rsidRDefault="008F1B69">
      <w:pPr>
        <w:pStyle w:val="TOC3"/>
        <w:tabs>
          <w:tab w:val="left" w:pos="1320"/>
          <w:tab w:val="right" w:leader="dot" w:pos="9062"/>
        </w:tabs>
        <w:rPr>
          <w:rFonts w:asciiTheme="minorHAnsi" w:eastAsiaTheme="minorEastAsia" w:hAnsiTheme="minorHAnsi" w:cstheme="minorBidi"/>
          <w:noProof/>
          <w:sz w:val="22"/>
          <w:szCs w:val="22"/>
          <w:lang w:eastAsia="en-GB"/>
        </w:rPr>
      </w:pPr>
      <w:hyperlink w:anchor="_Toc423960195" w:history="1">
        <w:r>
          <w:rPr>
            <w:rStyle w:val="Hyperlink"/>
            <w:i/>
            <w:noProof/>
          </w:rPr>
          <w:t xml:space="preserve">2.2.1 </w:t>
        </w:r>
        <w:r>
          <w:rPr>
            <w:rFonts w:asciiTheme="minorHAnsi" w:eastAsiaTheme="minorEastAsia" w:hAnsiTheme="minorHAnsi" w:cstheme="minorBidi"/>
            <w:noProof/>
            <w:sz w:val="22"/>
            <w:szCs w:val="22"/>
            <w:lang w:eastAsia="en-GB"/>
          </w:rPr>
          <w:tab/>
        </w:r>
        <w:r>
          <w:rPr>
            <w:rStyle w:val="Hyperlink"/>
            <w:i/>
            <w:noProof/>
          </w:rPr>
          <w:t>Technical assistance grants</w:t>
        </w:r>
        <w:r>
          <w:rPr>
            <w:noProof/>
            <w:webHidden/>
          </w:rPr>
          <w:tab/>
        </w:r>
        <w:r>
          <w:rPr>
            <w:noProof/>
            <w:webHidden/>
          </w:rPr>
          <w:fldChar w:fldCharType="begin"/>
        </w:r>
        <w:r>
          <w:rPr>
            <w:noProof/>
            <w:webHidden/>
          </w:rPr>
          <w:instrText xml:space="preserve"> PAGEREF _Toc423960195 \h </w:instrText>
        </w:r>
        <w:r>
          <w:rPr>
            <w:noProof/>
            <w:webHidden/>
          </w:rPr>
        </w:r>
        <w:r>
          <w:rPr>
            <w:noProof/>
            <w:webHidden/>
          </w:rPr>
          <w:fldChar w:fldCharType="separate"/>
        </w:r>
        <w:r w:rsidR="001958EE">
          <w:rPr>
            <w:noProof/>
            <w:webHidden/>
          </w:rPr>
          <w:t>7</w:t>
        </w:r>
        <w:r>
          <w:rPr>
            <w:noProof/>
            <w:webHidden/>
          </w:rPr>
          <w:fldChar w:fldCharType="end"/>
        </w:r>
      </w:hyperlink>
    </w:p>
    <w:p w:rsidR="00446B0D" w:rsidRDefault="008F1B69">
      <w:pPr>
        <w:pStyle w:val="TOC3"/>
        <w:tabs>
          <w:tab w:val="left" w:pos="1320"/>
          <w:tab w:val="right" w:leader="dot" w:pos="9062"/>
        </w:tabs>
        <w:rPr>
          <w:rFonts w:asciiTheme="minorHAnsi" w:eastAsiaTheme="minorEastAsia" w:hAnsiTheme="minorHAnsi" w:cstheme="minorBidi"/>
          <w:noProof/>
          <w:sz w:val="22"/>
          <w:szCs w:val="22"/>
          <w:lang w:eastAsia="en-GB"/>
        </w:rPr>
      </w:pPr>
      <w:hyperlink w:anchor="_Toc423960196" w:history="1">
        <w:r>
          <w:rPr>
            <w:rStyle w:val="Hyperlink"/>
            <w:i/>
            <w:noProof/>
          </w:rPr>
          <w:t xml:space="preserve">2.2.2 </w:t>
        </w:r>
        <w:r>
          <w:rPr>
            <w:rFonts w:asciiTheme="minorHAnsi" w:eastAsiaTheme="minorEastAsia" w:hAnsiTheme="minorHAnsi" w:cstheme="minorBidi"/>
            <w:noProof/>
            <w:sz w:val="22"/>
            <w:szCs w:val="22"/>
            <w:lang w:eastAsia="en-GB"/>
          </w:rPr>
          <w:tab/>
        </w:r>
        <w:r>
          <w:rPr>
            <w:rStyle w:val="Hyperlink"/>
            <w:i/>
            <w:noProof/>
          </w:rPr>
          <w:t>IT support: D</w:t>
        </w:r>
        <w:bookmarkStart w:id="2" w:name="_GoBack"/>
        <w:bookmarkEnd w:id="2"/>
        <w:r>
          <w:rPr>
            <w:rStyle w:val="Hyperlink"/>
            <w:i/>
            <w:noProof/>
          </w:rPr>
          <w:t>atabases, IT tools</w:t>
        </w:r>
        <w:r>
          <w:rPr>
            <w:rStyle w:val="Hyperlink"/>
            <w:i/>
            <w:noProof/>
          </w:rPr>
          <w:t xml:space="preserve"> and analyses of samples from tobacco seizures</w:t>
        </w:r>
        <w:r>
          <w:rPr>
            <w:noProof/>
            <w:webHidden/>
          </w:rPr>
          <w:tab/>
        </w:r>
        <w:r>
          <w:rPr>
            <w:noProof/>
            <w:webHidden/>
          </w:rPr>
          <w:fldChar w:fldCharType="begin"/>
        </w:r>
        <w:r>
          <w:rPr>
            <w:noProof/>
            <w:webHidden/>
          </w:rPr>
          <w:instrText xml:space="preserve"> PAGEREF _Toc423960196 \h </w:instrText>
        </w:r>
        <w:r>
          <w:rPr>
            <w:noProof/>
            <w:webHidden/>
          </w:rPr>
        </w:r>
        <w:r>
          <w:rPr>
            <w:noProof/>
            <w:webHidden/>
          </w:rPr>
          <w:fldChar w:fldCharType="separate"/>
        </w:r>
        <w:r w:rsidR="001958EE">
          <w:rPr>
            <w:noProof/>
            <w:webHidden/>
          </w:rPr>
          <w:t>8</w:t>
        </w:r>
        <w:r>
          <w:rPr>
            <w:noProof/>
            <w:webHidden/>
          </w:rPr>
          <w:fldChar w:fldCharType="end"/>
        </w:r>
      </w:hyperlink>
    </w:p>
    <w:p w:rsidR="00446B0D" w:rsidRDefault="008F1B69">
      <w:pPr>
        <w:pStyle w:val="TOC3"/>
        <w:tabs>
          <w:tab w:val="left" w:pos="1320"/>
          <w:tab w:val="right" w:leader="dot" w:pos="9062"/>
        </w:tabs>
        <w:rPr>
          <w:rFonts w:asciiTheme="minorHAnsi" w:eastAsiaTheme="minorEastAsia" w:hAnsiTheme="minorHAnsi" w:cstheme="minorBidi"/>
          <w:noProof/>
          <w:sz w:val="22"/>
          <w:szCs w:val="22"/>
          <w:lang w:eastAsia="en-GB"/>
        </w:rPr>
      </w:pPr>
      <w:hyperlink w:anchor="_Toc423960197" w:history="1">
        <w:r>
          <w:rPr>
            <w:rStyle w:val="Hyperlink"/>
            <w:i/>
            <w:noProof/>
          </w:rPr>
          <w:t>2.2.3</w:t>
        </w:r>
        <w:r>
          <w:rPr>
            <w:rFonts w:asciiTheme="minorHAnsi" w:eastAsiaTheme="minorEastAsia" w:hAnsiTheme="minorHAnsi" w:cstheme="minorBidi"/>
            <w:noProof/>
            <w:sz w:val="22"/>
            <w:szCs w:val="22"/>
            <w:lang w:eastAsia="en-GB"/>
          </w:rPr>
          <w:tab/>
        </w:r>
        <w:r>
          <w:rPr>
            <w:rStyle w:val="Hyperlink"/>
            <w:i/>
            <w:noProof/>
          </w:rPr>
          <w:t>Conferences, seminars and digital forensic training</w:t>
        </w:r>
        <w:r>
          <w:rPr>
            <w:noProof/>
            <w:webHidden/>
          </w:rPr>
          <w:tab/>
        </w:r>
        <w:r>
          <w:rPr>
            <w:noProof/>
            <w:webHidden/>
          </w:rPr>
          <w:fldChar w:fldCharType="begin"/>
        </w:r>
        <w:r>
          <w:rPr>
            <w:noProof/>
            <w:webHidden/>
          </w:rPr>
          <w:instrText xml:space="preserve"> PAGEREF _Toc423960197</w:instrText>
        </w:r>
        <w:r>
          <w:rPr>
            <w:noProof/>
            <w:webHidden/>
          </w:rPr>
          <w:instrText xml:space="preserve"> \h </w:instrText>
        </w:r>
        <w:r>
          <w:rPr>
            <w:noProof/>
            <w:webHidden/>
          </w:rPr>
        </w:r>
        <w:r>
          <w:rPr>
            <w:noProof/>
            <w:webHidden/>
          </w:rPr>
          <w:fldChar w:fldCharType="separate"/>
        </w:r>
        <w:r w:rsidR="001958EE">
          <w:rPr>
            <w:noProof/>
            <w:webHidden/>
          </w:rPr>
          <w:t>9</w:t>
        </w:r>
        <w:r>
          <w:rPr>
            <w:noProof/>
            <w:webHidden/>
          </w:rPr>
          <w:fldChar w:fldCharType="end"/>
        </w:r>
      </w:hyperlink>
    </w:p>
    <w:p w:rsidR="00446B0D" w:rsidRDefault="008F1B69">
      <w:pPr>
        <w:pStyle w:val="TOC3"/>
        <w:tabs>
          <w:tab w:val="left" w:pos="1320"/>
          <w:tab w:val="right" w:leader="dot" w:pos="9062"/>
        </w:tabs>
        <w:rPr>
          <w:rFonts w:asciiTheme="minorHAnsi" w:eastAsiaTheme="minorEastAsia" w:hAnsiTheme="minorHAnsi" w:cstheme="minorBidi"/>
          <w:noProof/>
          <w:sz w:val="22"/>
          <w:szCs w:val="22"/>
          <w:lang w:eastAsia="en-GB"/>
        </w:rPr>
      </w:pPr>
      <w:hyperlink w:anchor="_Toc423960198" w:history="1">
        <w:r>
          <w:rPr>
            <w:rStyle w:val="Hyperlink"/>
            <w:i/>
            <w:noProof/>
          </w:rPr>
          <w:t>2.2.4</w:t>
        </w:r>
        <w:r>
          <w:rPr>
            <w:rFonts w:asciiTheme="minorHAnsi" w:eastAsiaTheme="minorEastAsia" w:hAnsiTheme="minorHAnsi" w:cstheme="minorBidi"/>
            <w:noProof/>
            <w:sz w:val="22"/>
            <w:szCs w:val="22"/>
            <w:lang w:eastAsia="en-GB"/>
          </w:rPr>
          <w:tab/>
        </w:r>
        <w:r>
          <w:rPr>
            <w:rStyle w:val="Hyperlink"/>
            <w:i/>
            <w:noProof/>
          </w:rPr>
          <w:t>Legal training and studies</w:t>
        </w:r>
        <w:r>
          <w:rPr>
            <w:noProof/>
            <w:webHidden/>
          </w:rPr>
          <w:tab/>
        </w:r>
        <w:r>
          <w:rPr>
            <w:noProof/>
            <w:webHidden/>
          </w:rPr>
          <w:fldChar w:fldCharType="begin"/>
        </w:r>
        <w:r>
          <w:rPr>
            <w:noProof/>
            <w:webHidden/>
          </w:rPr>
          <w:instrText xml:space="preserve"> PAGEREF _Toc423960198 \h </w:instrText>
        </w:r>
        <w:r>
          <w:rPr>
            <w:noProof/>
            <w:webHidden/>
          </w:rPr>
        </w:r>
        <w:r>
          <w:rPr>
            <w:noProof/>
            <w:webHidden/>
          </w:rPr>
          <w:fldChar w:fldCharType="separate"/>
        </w:r>
        <w:r w:rsidR="001958EE">
          <w:rPr>
            <w:noProof/>
            <w:webHidden/>
          </w:rPr>
          <w:t>10</w:t>
        </w:r>
        <w:r>
          <w:rPr>
            <w:noProof/>
            <w:webHidden/>
          </w:rPr>
          <w:fldChar w:fldCharType="end"/>
        </w:r>
      </w:hyperlink>
    </w:p>
    <w:p w:rsidR="00446B0D" w:rsidRDefault="008F1B69">
      <w:pPr>
        <w:pStyle w:val="TOC1"/>
        <w:tabs>
          <w:tab w:val="left" w:pos="480"/>
          <w:tab w:val="right" w:leader="dot" w:pos="9062"/>
        </w:tabs>
        <w:rPr>
          <w:rFonts w:asciiTheme="minorHAnsi" w:eastAsiaTheme="minorEastAsia" w:hAnsiTheme="minorHAnsi" w:cstheme="minorBidi"/>
          <w:noProof/>
          <w:szCs w:val="22"/>
          <w:lang w:eastAsia="en-GB"/>
        </w:rPr>
      </w:pPr>
      <w:hyperlink w:anchor="_Toc423960199" w:history="1">
        <w:r>
          <w:rPr>
            <w:rStyle w:val="Hyperlink"/>
            <w:noProof/>
          </w:rPr>
          <w:t>3.</w:t>
        </w:r>
        <w:r>
          <w:rPr>
            <w:rFonts w:asciiTheme="minorHAnsi" w:eastAsiaTheme="minorEastAsia" w:hAnsiTheme="minorHAnsi" w:cstheme="minorBidi"/>
            <w:noProof/>
            <w:szCs w:val="22"/>
            <w:lang w:eastAsia="en-GB"/>
          </w:rPr>
          <w:tab/>
        </w:r>
        <w:r>
          <w:rPr>
            <w:rStyle w:val="Hyperlink"/>
            <w:noProof/>
          </w:rPr>
          <w:t>Achievements 2014</w:t>
        </w:r>
        <w:r>
          <w:rPr>
            <w:noProof/>
            <w:webHidden/>
          </w:rPr>
          <w:tab/>
        </w:r>
        <w:r>
          <w:rPr>
            <w:noProof/>
            <w:webHidden/>
          </w:rPr>
          <w:fldChar w:fldCharType="begin"/>
        </w:r>
        <w:r>
          <w:rPr>
            <w:noProof/>
            <w:webHidden/>
          </w:rPr>
          <w:instrText xml:space="preserve"> PAGEREF _Toc423960199 \h </w:instrText>
        </w:r>
        <w:r>
          <w:rPr>
            <w:noProof/>
            <w:webHidden/>
          </w:rPr>
        </w:r>
        <w:r>
          <w:rPr>
            <w:noProof/>
            <w:webHidden/>
          </w:rPr>
          <w:fldChar w:fldCharType="separate"/>
        </w:r>
        <w:r w:rsidR="001958EE">
          <w:rPr>
            <w:noProof/>
            <w:webHidden/>
          </w:rPr>
          <w:t>11</w:t>
        </w:r>
        <w:r>
          <w:rPr>
            <w:noProof/>
            <w:webHidden/>
          </w:rPr>
          <w:fldChar w:fldCharType="end"/>
        </w:r>
      </w:hyperlink>
    </w:p>
    <w:p w:rsidR="00446B0D" w:rsidRDefault="008F1B69">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23960200"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Impr</w:t>
        </w:r>
        <w:r>
          <w:rPr>
            <w:rStyle w:val="Hyperlink"/>
            <w:noProof/>
          </w:rPr>
          <w:t>oving the prevention and investigation of fraud and other illegal activities beyond current levels by enhancing transnational and multi-disciplinary cooperation</w:t>
        </w:r>
        <w:r>
          <w:rPr>
            <w:noProof/>
            <w:webHidden/>
          </w:rPr>
          <w:tab/>
        </w:r>
        <w:r>
          <w:rPr>
            <w:noProof/>
            <w:webHidden/>
          </w:rPr>
          <w:fldChar w:fldCharType="begin"/>
        </w:r>
        <w:r>
          <w:rPr>
            <w:noProof/>
            <w:webHidden/>
          </w:rPr>
          <w:instrText xml:space="preserve"> PAGEREF _Toc423960200 \h </w:instrText>
        </w:r>
        <w:r>
          <w:rPr>
            <w:noProof/>
            <w:webHidden/>
          </w:rPr>
        </w:r>
        <w:r>
          <w:rPr>
            <w:noProof/>
            <w:webHidden/>
          </w:rPr>
          <w:fldChar w:fldCharType="separate"/>
        </w:r>
        <w:r w:rsidR="001958EE">
          <w:rPr>
            <w:noProof/>
            <w:webHidden/>
          </w:rPr>
          <w:t>11</w:t>
        </w:r>
        <w:r>
          <w:rPr>
            <w:noProof/>
            <w:webHidden/>
          </w:rPr>
          <w:fldChar w:fldCharType="end"/>
        </w:r>
      </w:hyperlink>
    </w:p>
    <w:p w:rsidR="00446B0D" w:rsidRDefault="008F1B69">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23960201"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Increasing the protection of the financial interests of the Union against fraud by facilitating the exchange of information, experiences and best practices, including staff exchanges</w:t>
        </w:r>
        <w:r>
          <w:rPr>
            <w:noProof/>
            <w:webHidden/>
          </w:rPr>
          <w:tab/>
        </w:r>
        <w:r>
          <w:rPr>
            <w:noProof/>
            <w:webHidden/>
          </w:rPr>
          <w:fldChar w:fldCharType="begin"/>
        </w:r>
        <w:r>
          <w:rPr>
            <w:noProof/>
            <w:webHidden/>
          </w:rPr>
          <w:instrText xml:space="preserve"> PAGEREF _Toc423960201 \h </w:instrText>
        </w:r>
        <w:r>
          <w:rPr>
            <w:noProof/>
            <w:webHidden/>
          </w:rPr>
        </w:r>
        <w:r>
          <w:rPr>
            <w:noProof/>
            <w:webHidden/>
          </w:rPr>
          <w:fldChar w:fldCharType="separate"/>
        </w:r>
        <w:r w:rsidR="001958EE">
          <w:rPr>
            <w:noProof/>
            <w:webHidden/>
          </w:rPr>
          <w:t>12</w:t>
        </w:r>
        <w:r>
          <w:rPr>
            <w:noProof/>
            <w:webHidden/>
          </w:rPr>
          <w:fldChar w:fldCharType="end"/>
        </w:r>
      </w:hyperlink>
    </w:p>
    <w:p w:rsidR="00446B0D" w:rsidRDefault="008F1B69">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23960202"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Strengthening the fight against fraud and other illegal activities by providing technical and operational support to national investigation, and in partic</w:t>
        </w:r>
        <w:r>
          <w:rPr>
            <w:rStyle w:val="Hyperlink"/>
            <w:noProof/>
          </w:rPr>
          <w:t>ular customs and law enforcement, authorities</w:t>
        </w:r>
        <w:r>
          <w:rPr>
            <w:noProof/>
            <w:webHidden/>
          </w:rPr>
          <w:tab/>
        </w:r>
        <w:r>
          <w:rPr>
            <w:noProof/>
            <w:webHidden/>
          </w:rPr>
          <w:fldChar w:fldCharType="begin"/>
        </w:r>
        <w:r>
          <w:rPr>
            <w:noProof/>
            <w:webHidden/>
          </w:rPr>
          <w:instrText xml:space="preserve"> PAGEREF _Toc423960202 \h </w:instrText>
        </w:r>
        <w:r>
          <w:rPr>
            <w:noProof/>
            <w:webHidden/>
          </w:rPr>
        </w:r>
        <w:r>
          <w:rPr>
            <w:noProof/>
            <w:webHidden/>
          </w:rPr>
          <w:fldChar w:fldCharType="separate"/>
        </w:r>
        <w:r w:rsidR="001958EE">
          <w:rPr>
            <w:noProof/>
            <w:webHidden/>
          </w:rPr>
          <w:t>13</w:t>
        </w:r>
        <w:r>
          <w:rPr>
            <w:noProof/>
            <w:webHidden/>
          </w:rPr>
          <w:fldChar w:fldCharType="end"/>
        </w:r>
      </w:hyperlink>
    </w:p>
    <w:p w:rsidR="00446B0D" w:rsidRDefault="008F1B69">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23960203" w:history="1">
        <w:r>
          <w:rPr>
            <w:rStyle w:val="Hyperlink"/>
            <w:noProof/>
          </w:rPr>
          <w:t>3.4</w:t>
        </w:r>
        <w:r>
          <w:rPr>
            <w:rFonts w:asciiTheme="minorHAnsi" w:eastAsiaTheme="minorEastAsia" w:hAnsiTheme="minorHAnsi" w:cstheme="minorBidi"/>
            <w:noProof/>
            <w:sz w:val="22"/>
            <w:szCs w:val="22"/>
            <w:lang w:eastAsia="en-GB"/>
          </w:rPr>
          <w:tab/>
        </w:r>
        <w:r>
          <w:rPr>
            <w:rStyle w:val="Hyperlink"/>
            <w:noProof/>
          </w:rPr>
          <w:t xml:space="preserve">Limiting the currently known exposure of the Union’s financial interests to </w:t>
        </w:r>
        <w:r>
          <w:rPr>
            <w:rStyle w:val="Hyperlink"/>
            <w:noProof/>
          </w:rPr>
          <w:t>fraud, corruption and other illegal activities with a view to reducing the development of an illegal economy in key risk areas such as organised fraud, including cigarette smuggling and counterfeiting</w:t>
        </w:r>
        <w:r>
          <w:rPr>
            <w:noProof/>
            <w:webHidden/>
          </w:rPr>
          <w:tab/>
        </w:r>
        <w:r>
          <w:rPr>
            <w:noProof/>
            <w:webHidden/>
          </w:rPr>
          <w:fldChar w:fldCharType="begin"/>
        </w:r>
        <w:r>
          <w:rPr>
            <w:noProof/>
            <w:webHidden/>
          </w:rPr>
          <w:instrText xml:space="preserve"> PAGEREF _Toc423960203 \h </w:instrText>
        </w:r>
        <w:r>
          <w:rPr>
            <w:noProof/>
            <w:webHidden/>
          </w:rPr>
        </w:r>
        <w:r>
          <w:rPr>
            <w:noProof/>
            <w:webHidden/>
          </w:rPr>
          <w:fldChar w:fldCharType="separate"/>
        </w:r>
        <w:r w:rsidR="001958EE">
          <w:rPr>
            <w:noProof/>
            <w:webHidden/>
          </w:rPr>
          <w:t>16</w:t>
        </w:r>
        <w:r>
          <w:rPr>
            <w:noProof/>
            <w:webHidden/>
          </w:rPr>
          <w:fldChar w:fldCharType="end"/>
        </w:r>
      </w:hyperlink>
    </w:p>
    <w:p w:rsidR="00446B0D" w:rsidRDefault="008F1B69">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23960204" w:history="1">
        <w:r>
          <w:rPr>
            <w:rStyle w:val="Hyperlink"/>
            <w:noProof/>
          </w:rPr>
          <w:t>3.5</w:t>
        </w:r>
        <w:r>
          <w:rPr>
            <w:rFonts w:asciiTheme="minorHAnsi" w:eastAsiaTheme="minorEastAsia" w:hAnsiTheme="minorHAnsi" w:cstheme="minorBidi"/>
            <w:noProof/>
            <w:sz w:val="22"/>
            <w:szCs w:val="22"/>
            <w:lang w:eastAsia="en-GB"/>
          </w:rPr>
          <w:tab/>
        </w:r>
        <w:r>
          <w:rPr>
            <w:rStyle w:val="Hyperlink"/>
            <w:noProof/>
          </w:rPr>
          <w:t>Enhancing the degree of development of the specific legal and judicial protection of the financial interests of the Union against fraud by promoting comparative law analysis</w:t>
        </w:r>
        <w:r>
          <w:rPr>
            <w:noProof/>
            <w:webHidden/>
          </w:rPr>
          <w:tab/>
        </w:r>
        <w:r>
          <w:rPr>
            <w:noProof/>
            <w:webHidden/>
          </w:rPr>
          <w:fldChar w:fldCharType="begin"/>
        </w:r>
        <w:r>
          <w:rPr>
            <w:noProof/>
            <w:webHidden/>
          </w:rPr>
          <w:instrText xml:space="preserve"> PAG</w:instrText>
        </w:r>
        <w:r>
          <w:rPr>
            <w:noProof/>
            <w:webHidden/>
          </w:rPr>
          <w:instrText xml:space="preserve">EREF _Toc423960204 \h </w:instrText>
        </w:r>
        <w:r>
          <w:rPr>
            <w:noProof/>
            <w:webHidden/>
          </w:rPr>
        </w:r>
        <w:r>
          <w:rPr>
            <w:noProof/>
            <w:webHidden/>
          </w:rPr>
          <w:fldChar w:fldCharType="separate"/>
        </w:r>
        <w:r w:rsidR="001958EE">
          <w:rPr>
            <w:noProof/>
            <w:webHidden/>
          </w:rPr>
          <w:t>17</w:t>
        </w:r>
        <w:r>
          <w:rPr>
            <w:noProof/>
            <w:webHidden/>
          </w:rPr>
          <w:fldChar w:fldCharType="end"/>
        </w:r>
      </w:hyperlink>
    </w:p>
    <w:p w:rsidR="00446B0D" w:rsidRDefault="008F1B69">
      <w:pPr>
        <w:pStyle w:val="TOC1"/>
        <w:tabs>
          <w:tab w:val="left" w:pos="480"/>
          <w:tab w:val="right" w:leader="dot" w:pos="9062"/>
        </w:tabs>
        <w:rPr>
          <w:rFonts w:asciiTheme="minorHAnsi" w:eastAsiaTheme="minorEastAsia" w:hAnsiTheme="minorHAnsi" w:cstheme="minorBidi"/>
          <w:noProof/>
          <w:szCs w:val="22"/>
          <w:lang w:eastAsia="en-GB"/>
        </w:rPr>
      </w:pPr>
      <w:hyperlink w:anchor="_Toc423960205" w:history="1">
        <w:r>
          <w:rPr>
            <w:rStyle w:val="Hyperlink"/>
            <w:noProof/>
          </w:rPr>
          <w:t>4.</w:t>
        </w:r>
        <w:r>
          <w:rPr>
            <w:rFonts w:asciiTheme="minorHAnsi" w:eastAsiaTheme="minorEastAsia" w:hAnsiTheme="minorHAnsi" w:cstheme="minorBidi"/>
            <w:noProof/>
            <w:szCs w:val="22"/>
            <w:lang w:eastAsia="en-GB"/>
          </w:rPr>
          <w:tab/>
        </w:r>
        <w:r>
          <w:rPr>
            <w:rStyle w:val="Hyperlink"/>
            <w:noProof/>
          </w:rPr>
          <w:t>Communication</w:t>
        </w:r>
        <w:r>
          <w:rPr>
            <w:noProof/>
            <w:webHidden/>
          </w:rPr>
          <w:tab/>
        </w:r>
        <w:r>
          <w:rPr>
            <w:noProof/>
            <w:webHidden/>
          </w:rPr>
          <w:fldChar w:fldCharType="begin"/>
        </w:r>
        <w:r>
          <w:rPr>
            <w:noProof/>
            <w:webHidden/>
          </w:rPr>
          <w:instrText xml:space="preserve"> PAGEREF _Toc423960205 \h </w:instrText>
        </w:r>
        <w:r>
          <w:rPr>
            <w:noProof/>
            <w:webHidden/>
          </w:rPr>
        </w:r>
        <w:r>
          <w:rPr>
            <w:noProof/>
            <w:webHidden/>
          </w:rPr>
          <w:fldChar w:fldCharType="separate"/>
        </w:r>
        <w:r w:rsidR="001958EE">
          <w:rPr>
            <w:noProof/>
            <w:webHidden/>
          </w:rPr>
          <w:t>18</w:t>
        </w:r>
        <w:r>
          <w:rPr>
            <w:noProof/>
            <w:webHidden/>
          </w:rPr>
          <w:fldChar w:fldCharType="end"/>
        </w:r>
      </w:hyperlink>
    </w:p>
    <w:p w:rsidR="00446B0D" w:rsidRDefault="008F1B69">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23960206"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Informing potential applicants</w:t>
        </w:r>
        <w:r>
          <w:rPr>
            <w:noProof/>
            <w:webHidden/>
          </w:rPr>
          <w:tab/>
        </w:r>
        <w:r>
          <w:rPr>
            <w:noProof/>
            <w:webHidden/>
          </w:rPr>
          <w:fldChar w:fldCharType="begin"/>
        </w:r>
        <w:r>
          <w:rPr>
            <w:noProof/>
            <w:webHidden/>
          </w:rPr>
          <w:instrText xml:space="preserve"> PAGEREF _Toc423960206 \h </w:instrText>
        </w:r>
        <w:r>
          <w:rPr>
            <w:noProof/>
            <w:webHidden/>
          </w:rPr>
        </w:r>
        <w:r>
          <w:rPr>
            <w:noProof/>
            <w:webHidden/>
          </w:rPr>
          <w:fldChar w:fldCharType="separate"/>
        </w:r>
        <w:r w:rsidR="001958EE">
          <w:rPr>
            <w:noProof/>
            <w:webHidden/>
          </w:rPr>
          <w:t>18</w:t>
        </w:r>
        <w:r>
          <w:rPr>
            <w:noProof/>
            <w:webHidden/>
          </w:rPr>
          <w:fldChar w:fldCharType="end"/>
        </w:r>
      </w:hyperlink>
    </w:p>
    <w:p w:rsidR="00446B0D" w:rsidRDefault="008F1B69">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23960207"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Dissemination of results</w:t>
        </w:r>
        <w:r>
          <w:rPr>
            <w:noProof/>
            <w:webHidden/>
          </w:rPr>
          <w:tab/>
        </w:r>
        <w:r>
          <w:rPr>
            <w:noProof/>
            <w:webHidden/>
          </w:rPr>
          <w:fldChar w:fldCharType="begin"/>
        </w:r>
        <w:r>
          <w:rPr>
            <w:noProof/>
            <w:webHidden/>
          </w:rPr>
          <w:instrText xml:space="preserve"> PAGEREF _Toc423960207 \h </w:instrText>
        </w:r>
        <w:r>
          <w:rPr>
            <w:noProof/>
            <w:webHidden/>
          </w:rPr>
        </w:r>
        <w:r>
          <w:rPr>
            <w:noProof/>
            <w:webHidden/>
          </w:rPr>
          <w:fldChar w:fldCharType="separate"/>
        </w:r>
        <w:r w:rsidR="001958EE">
          <w:rPr>
            <w:noProof/>
            <w:webHidden/>
          </w:rPr>
          <w:t>18</w:t>
        </w:r>
        <w:r>
          <w:rPr>
            <w:noProof/>
            <w:webHidden/>
          </w:rPr>
          <w:fldChar w:fldCharType="end"/>
        </w:r>
      </w:hyperlink>
    </w:p>
    <w:p w:rsidR="00446B0D" w:rsidRDefault="008F1B69">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23960208"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Publicity</w:t>
        </w:r>
        <w:r>
          <w:rPr>
            <w:noProof/>
            <w:webHidden/>
          </w:rPr>
          <w:tab/>
        </w:r>
        <w:r>
          <w:rPr>
            <w:noProof/>
            <w:webHidden/>
          </w:rPr>
          <w:fldChar w:fldCharType="begin"/>
        </w:r>
        <w:r>
          <w:rPr>
            <w:noProof/>
            <w:webHidden/>
          </w:rPr>
          <w:instrText xml:space="preserve"> PAGEREF _Toc423960208 \h </w:instrText>
        </w:r>
        <w:r>
          <w:rPr>
            <w:noProof/>
            <w:webHidden/>
          </w:rPr>
        </w:r>
        <w:r>
          <w:rPr>
            <w:noProof/>
            <w:webHidden/>
          </w:rPr>
          <w:fldChar w:fldCharType="separate"/>
        </w:r>
        <w:r w:rsidR="001958EE">
          <w:rPr>
            <w:noProof/>
            <w:webHidden/>
          </w:rPr>
          <w:t>19</w:t>
        </w:r>
        <w:r>
          <w:rPr>
            <w:noProof/>
            <w:webHidden/>
          </w:rPr>
          <w:fldChar w:fldCharType="end"/>
        </w:r>
      </w:hyperlink>
    </w:p>
    <w:p w:rsidR="00446B0D" w:rsidRDefault="008F1B69">
      <w:pPr>
        <w:pStyle w:val="TOC1"/>
        <w:tabs>
          <w:tab w:val="left" w:pos="480"/>
          <w:tab w:val="right" w:leader="dot" w:pos="9062"/>
        </w:tabs>
        <w:rPr>
          <w:rFonts w:asciiTheme="minorHAnsi" w:eastAsiaTheme="minorEastAsia" w:hAnsiTheme="minorHAnsi" w:cstheme="minorBidi"/>
          <w:noProof/>
          <w:szCs w:val="22"/>
          <w:lang w:eastAsia="en-GB"/>
        </w:rPr>
      </w:pPr>
      <w:hyperlink w:anchor="_Toc423960209" w:history="1">
        <w:r>
          <w:rPr>
            <w:rStyle w:val="Hyperlink"/>
            <w:noProof/>
          </w:rPr>
          <w:t>5.</w:t>
        </w:r>
        <w:r>
          <w:rPr>
            <w:rFonts w:asciiTheme="minorHAnsi" w:eastAsiaTheme="minorEastAsia" w:hAnsiTheme="minorHAnsi" w:cstheme="minorBidi"/>
            <w:noProof/>
            <w:szCs w:val="22"/>
            <w:lang w:eastAsia="en-GB"/>
          </w:rPr>
          <w:tab/>
        </w:r>
        <w:r>
          <w:rPr>
            <w:rStyle w:val="Hyperlink"/>
            <w:noProof/>
          </w:rPr>
          <w:t>Feedback from participants</w:t>
        </w:r>
        <w:r>
          <w:rPr>
            <w:noProof/>
            <w:webHidden/>
          </w:rPr>
          <w:tab/>
        </w:r>
        <w:r>
          <w:rPr>
            <w:noProof/>
            <w:webHidden/>
          </w:rPr>
          <w:fldChar w:fldCharType="begin"/>
        </w:r>
        <w:r>
          <w:rPr>
            <w:noProof/>
            <w:webHidden/>
          </w:rPr>
          <w:instrText xml:space="preserve"> PAGEREF _Toc423960209 \h </w:instrText>
        </w:r>
        <w:r>
          <w:rPr>
            <w:noProof/>
            <w:webHidden/>
          </w:rPr>
        </w:r>
        <w:r>
          <w:rPr>
            <w:noProof/>
            <w:webHidden/>
          </w:rPr>
          <w:fldChar w:fldCharType="separate"/>
        </w:r>
        <w:r w:rsidR="001958EE">
          <w:rPr>
            <w:noProof/>
            <w:webHidden/>
          </w:rPr>
          <w:t>19</w:t>
        </w:r>
        <w:r>
          <w:rPr>
            <w:noProof/>
            <w:webHidden/>
          </w:rPr>
          <w:fldChar w:fldCharType="end"/>
        </w:r>
      </w:hyperlink>
    </w:p>
    <w:p w:rsidR="00446B0D" w:rsidRDefault="008F1B69">
      <w:pPr>
        <w:pStyle w:val="TOC1"/>
        <w:tabs>
          <w:tab w:val="left" w:pos="480"/>
          <w:tab w:val="right" w:leader="dot" w:pos="9062"/>
        </w:tabs>
        <w:rPr>
          <w:rFonts w:asciiTheme="minorHAnsi" w:eastAsiaTheme="minorEastAsia" w:hAnsiTheme="minorHAnsi" w:cstheme="minorBidi"/>
          <w:noProof/>
          <w:szCs w:val="22"/>
          <w:lang w:eastAsia="en-GB"/>
        </w:rPr>
      </w:pPr>
      <w:hyperlink w:anchor="_Toc423960210" w:history="1">
        <w:r>
          <w:rPr>
            <w:rStyle w:val="Hyperlink"/>
            <w:noProof/>
          </w:rPr>
          <w:t>6.</w:t>
        </w:r>
        <w:r>
          <w:rPr>
            <w:rFonts w:asciiTheme="minorHAnsi" w:eastAsiaTheme="minorEastAsia" w:hAnsiTheme="minorHAnsi" w:cstheme="minorBidi"/>
            <w:noProof/>
            <w:szCs w:val="22"/>
            <w:lang w:eastAsia="en-GB"/>
          </w:rPr>
          <w:tab/>
        </w:r>
        <w:r>
          <w:rPr>
            <w:rStyle w:val="Hyperlink"/>
            <w:noProof/>
          </w:rPr>
          <w:t>Conclusions and way forward</w:t>
        </w:r>
        <w:r>
          <w:rPr>
            <w:noProof/>
            <w:webHidden/>
          </w:rPr>
          <w:tab/>
        </w:r>
        <w:r>
          <w:rPr>
            <w:noProof/>
            <w:webHidden/>
          </w:rPr>
          <w:fldChar w:fldCharType="begin"/>
        </w:r>
        <w:r>
          <w:rPr>
            <w:noProof/>
            <w:webHidden/>
          </w:rPr>
          <w:instrText xml:space="preserve"> PAGEREF _Toc423960210 \h </w:instrText>
        </w:r>
        <w:r>
          <w:rPr>
            <w:noProof/>
            <w:webHidden/>
          </w:rPr>
        </w:r>
        <w:r>
          <w:rPr>
            <w:noProof/>
            <w:webHidden/>
          </w:rPr>
          <w:fldChar w:fldCharType="separate"/>
        </w:r>
        <w:r w:rsidR="001958EE">
          <w:rPr>
            <w:noProof/>
            <w:webHidden/>
          </w:rPr>
          <w:t>19</w:t>
        </w:r>
        <w:r>
          <w:rPr>
            <w:noProof/>
            <w:webHidden/>
          </w:rPr>
          <w:fldChar w:fldCharType="end"/>
        </w:r>
      </w:hyperlink>
    </w:p>
    <w:p w:rsidR="00446B0D" w:rsidRDefault="008F1B69">
      <w:pPr>
        <w:pStyle w:val="TOC1"/>
        <w:tabs>
          <w:tab w:val="right" w:leader="dot" w:pos="9062"/>
        </w:tabs>
        <w:rPr>
          <w:rFonts w:asciiTheme="minorHAnsi" w:eastAsiaTheme="minorEastAsia" w:hAnsiTheme="minorHAnsi" w:cstheme="minorBidi"/>
          <w:noProof/>
          <w:szCs w:val="22"/>
          <w:lang w:eastAsia="en-GB"/>
        </w:rPr>
      </w:pPr>
      <w:hyperlink w:anchor="_Toc423960211" w:history="1">
        <w:r>
          <w:rPr>
            <w:rStyle w:val="Hyperlink"/>
            <w:noProof/>
          </w:rPr>
          <w:t>Annex 1: Grants and contracts awarded and finalised in 2014</w:t>
        </w:r>
        <w:r>
          <w:rPr>
            <w:noProof/>
            <w:webHidden/>
          </w:rPr>
          <w:tab/>
        </w:r>
        <w:r>
          <w:rPr>
            <w:noProof/>
            <w:webHidden/>
          </w:rPr>
          <w:fldChar w:fldCharType="begin"/>
        </w:r>
        <w:r>
          <w:rPr>
            <w:noProof/>
            <w:webHidden/>
          </w:rPr>
          <w:instrText xml:space="preserve"> PAGEREF _Toc423960211 \h </w:instrText>
        </w:r>
        <w:r>
          <w:rPr>
            <w:noProof/>
            <w:webHidden/>
          </w:rPr>
        </w:r>
        <w:r>
          <w:rPr>
            <w:noProof/>
            <w:webHidden/>
          </w:rPr>
          <w:fldChar w:fldCharType="separate"/>
        </w:r>
        <w:r w:rsidR="001958EE">
          <w:rPr>
            <w:noProof/>
            <w:webHidden/>
          </w:rPr>
          <w:t>20</w:t>
        </w:r>
        <w:r>
          <w:rPr>
            <w:noProof/>
            <w:webHidden/>
          </w:rPr>
          <w:fldChar w:fldCharType="end"/>
        </w:r>
      </w:hyperlink>
    </w:p>
    <w:p w:rsidR="00446B0D" w:rsidRDefault="008F1B69">
      <w:pPr>
        <w:pStyle w:val="Heading1"/>
        <w:rPr>
          <w:noProof/>
        </w:rPr>
      </w:pPr>
      <w:r>
        <w:rPr>
          <w:noProof/>
        </w:rPr>
        <w:fldChar w:fldCharType="end"/>
      </w:r>
    </w:p>
    <w:p w:rsidR="00446B0D" w:rsidRDefault="008F1B69">
      <w:pPr>
        <w:rPr>
          <w:noProof/>
        </w:rPr>
      </w:pPr>
      <w:r>
        <w:rPr>
          <w:noProof/>
        </w:rPr>
        <w:br w:type="page"/>
      </w:r>
    </w:p>
    <w:p w:rsidR="00446B0D" w:rsidRDefault="008F1B69">
      <w:pPr>
        <w:pStyle w:val="Heading1"/>
        <w:rPr>
          <w:noProof/>
        </w:rPr>
      </w:pPr>
      <w:bookmarkStart w:id="3" w:name="_Toc423960188"/>
      <w:r>
        <w:rPr>
          <w:noProof/>
        </w:rPr>
        <w:lastRenderedPageBreak/>
        <w:t>1.</w:t>
      </w:r>
      <w:r>
        <w:rPr>
          <w:noProof/>
        </w:rPr>
        <w:tab/>
        <w:t>Introduction</w:t>
      </w:r>
      <w:bookmarkEnd w:id="1"/>
      <w:bookmarkEnd w:id="3"/>
    </w:p>
    <w:p w:rsidR="00446B0D" w:rsidRDefault="00446B0D">
      <w:pPr>
        <w:pStyle w:val="Text1"/>
        <w:rPr>
          <w:noProof/>
        </w:rPr>
      </w:pPr>
    </w:p>
    <w:p w:rsidR="00446B0D" w:rsidRDefault="008F1B69">
      <w:pPr>
        <w:pStyle w:val="ManualHeading2"/>
        <w:rPr>
          <w:noProof/>
        </w:rPr>
      </w:pPr>
      <w:bookmarkStart w:id="4" w:name="_Toc421687685"/>
      <w:bookmarkStart w:id="5" w:name="_Toc423960189"/>
      <w:r>
        <w:tab/>
      </w:r>
      <w:r>
        <w:rPr>
          <w:noProof/>
        </w:rPr>
        <w:t>1.1</w:t>
      </w:r>
      <w:r>
        <w:rPr>
          <w:noProof/>
        </w:rPr>
        <w:tab/>
        <w:t>Hercule III Programme</w:t>
      </w:r>
      <w:bookmarkEnd w:id="4"/>
      <w:bookmarkEnd w:id="5"/>
    </w:p>
    <w:p w:rsidR="00446B0D" w:rsidRDefault="008F1B69">
      <w:pPr>
        <w:rPr>
          <w:bCs/>
          <w:iCs/>
          <w:noProof/>
          <w:szCs w:val="28"/>
        </w:rPr>
      </w:pPr>
      <w:r>
        <w:rPr>
          <w:bCs/>
          <w:iCs/>
          <w:noProof/>
          <w:szCs w:val="28"/>
        </w:rPr>
        <w:t xml:space="preserve">The Hercule III Programme is the successor of </w:t>
      </w:r>
      <w:r>
        <w:rPr>
          <w:bCs/>
          <w:iCs/>
          <w:noProof/>
          <w:szCs w:val="28"/>
        </w:rPr>
        <w:t>the Hercule II (2007-2013) Programme and the first Hercule Programme (2004-2006). The aim of the Hercule III Programme (hereinafter referred to as ‘the Programme’) is to protect the financial interests of the European Union (EU) by fighting fraud, corrupti</w:t>
      </w:r>
      <w:r>
        <w:rPr>
          <w:bCs/>
          <w:iCs/>
          <w:noProof/>
          <w:szCs w:val="28"/>
        </w:rPr>
        <w:t>on and other irregularities. The Programme provides support to national and regional administrations in Member States which ‘</w:t>
      </w:r>
      <w:r>
        <w:rPr>
          <w:bCs/>
          <w:i/>
          <w:iCs/>
          <w:noProof/>
          <w:szCs w:val="28"/>
        </w:rPr>
        <w:t>promote the strengthening of action at Union level to protect the financial interests of the Union</w:t>
      </w:r>
      <w:r>
        <w:rPr>
          <w:bCs/>
          <w:iCs/>
          <w:noProof/>
          <w:szCs w:val="28"/>
        </w:rPr>
        <w:t xml:space="preserve">’. Grants are awarded to the </w:t>
      </w:r>
      <w:r>
        <w:rPr>
          <w:bCs/>
          <w:iCs/>
          <w:noProof/>
          <w:szCs w:val="28"/>
        </w:rPr>
        <w:t>competent authorities in the Member States to strengthen their operational capacity to investigate activities detrimental to the Union’s financial interests. The financial support goes towards the purchase of technical equipment, such as x-rays scanners, s</w:t>
      </w:r>
      <w:r>
        <w:rPr>
          <w:bCs/>
          <w:iCs/>
          <w:noProof/>
          <w:szCs w:val="28"/>
        </w:rPr>
        <w:t>oftware and hardware for digital forensic examinations, as well as sniffer dogs. To a lesser extent, the Programme also serves to finance training activities and conferences for Member States’ authorities.</w:t>
      </w:r>
    </w:p>
    <w:p w:rsidR="00446B0D" w:rsidRDefault="008F1B69">
      <w:pPr>
        <w:rPr>
          <w:bCs/>
          <w:iCs/>
          <w:noProof/>
          <w:szCs w:val="28"/>
        </w:rPr>
      </w:pPr>
      <w:r>
        <w:rPr>
          <w:bCs/>
          <w:iCs/>
          <w:noProof/>
          <w:szCs w:val="28"/>
        </w:rPr>
        <w:t>The Programme’s legal basis</w:t>
      </w:r>
      <w:r>
        <w:rPr>
          <w:rStyle w:val="FootnoteReference"/>
          <w:bCs/>
          <w:iCs/>
          <w:noProof/>
          <w:szCs w:val="28"/>
        </w:rPr>
        <w:footnoteReference w:id="1"/>
      </w:r>
      <w:r>
        <w:rPr>
          <w:bCs/>
          <w:iCs/>
          <w:noProof/>
          <w:szCs w:val="28"/>
        </w:rPr>
        <w:t xml:space="preserve"> requires the Commissi</w:t>
      </w:r>
      <w:r>
        <w:rPr>
          <w:bCs/>
          <w:iCs/>
          <w:noProof/>
          <w:szCs w:val="28"/>
        </w:rPr>
        <w:t>on to adopt an annual work programme for the implementation of the Programme and to submit a report</w:t>
      </w:r>
      <w:r>
        <w:rPr>
          <w:rStyle w:val="FootnoteReference"/>
          <w:bCs/>
          <w:iCs/>
          <w:noProof/>
          <w:szCs w:val="28"/>
        </w:rPr>
        <w:footnoteReference w:id="2"/>
      </w:r>
      <w:r>
        <w:rPr>
          <w:bCs/>
          <w:iCs/>
          <w:noProof/>
          <w:szCs w:val="28"/>
        </w:rPr>
        <w:t xml:space="preserve"> on the main results and achievements every year to the European Parliament and to the Council.</w:t>
      </w:r>
    </w:p>
    <w:p w:rsidR="00446B0D" w:rsidRDefault="008F1B69">
      <w:pPr>
        <w:rPr>
          <w:noProof/>
        </w:rPr>
      </w:pPr>
      <w:r>
        <w:rPr>
          <w:bCs/>
          <w:iCs/>
          <w:noProof/>
          <w:szCs w:val="28"/>
        </w:rPr>
        <w:t>This is the first annual overview of the achievements and re</w:t>
      </w:r>
      <w:r>
        <w:rPr>
          <w:bCs/>
          <w:iCs/>
          <w:noProof/>
          <w:szCs w:val="28"/>
        </w:rPr>
        <w:t>sults following the   implementation of the first annual work programme</w:t>
      </w:r>
      <w:r>
        <w:rPr>
          <w:rStyle w:val="FootnoteReference"/>
          <w:bCs/>
          <w:iCs/>
          <w:noProof/>
          <w:szCs w:val="28"/>
        </w:rPr>
        <w:footnoteReference w:id="3"/>
      </w:r>
      <w:r>
        <w:rPr>
          <w:bCs/>
          <w:iCs/>
          <w:noProof/>
          <w:szCs w:val="28"/>
        </w:rPr>
        <w:t xml:space="preserve"> in 2014.</w:t>
      </w:r>
    </w:p>
    <w:p w:rsidR="00446B0D" w:rsidRDefault="008F1B69">
      <w:pPr>
        <w:autoSpaceDE w:val="0"/>
        <w:autoSpaceDN w:val="0"/>
        <w:adjustRightInd w:val="0"/>
        <w:rPr>
          <w:noProof/>
        </w:rPr>
      </w:pPr>
      <w:r>
        <w:rPr>
          <w:noProof/>
        </w:rPr>
        <w:t xml:space="preserve">The Programme is the only instrument </w:t>
      </w:r>
      <w:r>
        <w:rPr>
          <w:b/>
          <w:bCs/>
          <w:noProof/>
        </w:rPr>
        <w:t xml:space="preserve">specifically </w:t>
      </w:r>
      <w:r>
        <w:rPr>
          <w:noProof/>
        </w:rPr>
        <w:t>dedicated to protecting the Union’s financial interests and is administered by the European Anti-Fraud Office (OLAF), which,</w:t>
      </w:r>
      <w:r>
        <w:rPr>
          <w:noProof/>
        </w:rPr>
        <w:t xml:space="preserve"> in the field of anti-fraud policy, is a Directorate-General of the European Commission.</w:t>
      </w:r>
    </w:p>
    <w:p w:rsidR="00446B0D" w:rsidRDefault="008F1B69">
      <w:pPr>
        <w:rPr>
          <w:noProof/>
        </w:rPr>
      </w:pPr>
      <w:r>
        <w:rPr>
          <w:noProof/>
        </w:rPr>
        <w:t>The general objective of the Programme is ‘</w:t>
      </w:r>
      <w:r>
        <w:rPr>
          <w:i/>
          <w:noProof/>
        </w:rPr>
        <w:t>to protect the financial interests of the Union thus enhancing the competitiveness of the Union’s economy and ensuring the p</w:t>
      </w:r>
      <w:r>
        <w:rPr>
          <w:i/>
          <w:noProof/>
        </w:rPr>
        <w:t>rotection of the taxpayers’ money’</w:t>
      </w:r>
      <w:r>
        <w:rPr>
          <w:rStyle w:val="FootnoteReference"/>
          <w:i/>
          <w:noProof/>
        </w:rPr>
        <w:footnoteReference w:id="4"/>
      </w:r>
      <w:r>
        <w:rPr>
          <w:i/>
          <w:noProof/>
        </w:rPr>
        <w:t xml:space="preserve">, </w:t>
      </w:r>
      <w:r>
        <w:rPr>
          <w:noProof/>
        </w:rPr>
        <w:t>whereas its specific objective is ‘</w:t>
      </w:r>
      <w:r>
        <w:rPr>
          <w:i/>
          <w:noProof/>
        </w:rPr>
        <w:t>to prevent and combat fraud, corruption and any other illegal activities affecting the financial interests of the Union’</w:t>
      </w:r>
      <w:r>
        <w:rPr>
          <w:rStyle w:val="FootnoteReference"/>
          <w:i/>
          <w:noProof/>
        </w:rPr>
        <w:footnoteReference w:id="5"/>
      </w:r>
      <w:r>
        <w:rPr>
          <w:noProof/>
        </w:rPr>
        <w:t>. The five operational objectives</w:t>
      </w:r>
      <w:r>
        <w:rPr>
          <w:rStyle w:val="FootnoteReference"/>
          <w:noProof/>
        </w:rPr>
        <w:footnoteReference w:id="6"/>
      </w:r>
      <w:r>
        <w:rPr>
          <w:noProof/>
        </w:rPr>
        <w:t xml:space="preserve"> of the Programme are address</w:t>
      </w:r>
      <w:r>
        <w:rPr>
          <w:noProof/>
        </w:rPr>
        <w:t>ed in section 3 of this report, together with an overview of the main results of the actions carried out under the Programme and how they contributed to achieving the operational objectives.</w:t>
      </w:r>
    </w:p>
    <w:p w:rsidR="00446B0D" w:rsidRDefault="008F1B69">
      <w:pPr>
        <w:pStyle w:val="ManualHeading2"/>
        <w:rPr>
          <w:noProof/>
          <w:color w:val="000000"/>
          <w:lang w:eastAsia="en-GB"/>
        </w:rPr>
      </w:pPr>
      <w:bookmarkStart w:id="6" w:name="_Toc421687686"/>
      <w:bookmarkStart w:id="7" w:name="_Toc423960190"/>
      <w:r>
        <w:tab/>
      </w:r>
      <w:r>
        <w:rPr>
          <w:noProof/>
        </w:rPr>
        <w:t>1.2</w:t>
      </w:r>
      <w:r>
        <w:rPr>
          <w:noProof/>
        </w:rPr>
        <w:tab/>
        <w:t>Hercule III: eligible actions, beneficiaries and budget</w:t>
      </w:r>
      <w:bookmarkEnd w:id="6"/>
      <w:bookmarkEnd w:id="7"/>
      <w:r>
        <w:rPr>
          <w:noProof/>
        </w:rPr>
        <w:t xml:space="preserve">  </w:t>
      </w:r>
    </w:p>
    <w:p w:rsidR="00446B0D" w:rsidRDefault="008F1B69">
      <w:pPr>
        <w:spacing w:before="0" w:after="200"/>
        <w:rPr>
          <w:noProof/>
          <w:color w:val="000000"/>
          <w:lang w:eastAsia="en-GB"/>
        </w:rPr>
      </w:pPr>
      <w:r>
        <w:rPr>
          <w:noProof/>
          <w:color w:val="000000"/>
          <w:lang w:eastAsia="en-GB"/>
        </w:rPr>
        <w:t>Th</w:t>
      </w:r>
      <w:r>
        <w:rPr>
          <w:noProof/>
          <w:color w:val="000000"/>
          <w:lang w:eastAsia="en-GB"/>
        </w:rPr>
        <w:t>ere are three types of eligible actions</w:t>
      </w:r>
      <w:r>
        <w:rPr>
          <w:rStyle w:val="FootnoteReference"/>
          <w:noProof/>
          <w:color w:val="000000"/>
          <w:lang w:eastAsia="en-GB"/>
        </w:rPr>
        <w:footnoteReference w:id="7"/>
      </w:r>
      <w:r>
        <w:rPr>
          <w:noProof/>
          <w:color w:val="000000"/>
          <w:lang w:eastAsia="en-GB"/>
        </w:rPr>
        <w:t xml:space="preserve"> supported by the Programme:</w:t>
      </w:r>
    </w:p>
    <w:p w:rsidR="00446B0D" w:rsidRDefault="008F1B69">
      <w:pPr>
        <w:pStyle w:val="ListNumber2"/>
        <w:rPr>
          <w:noProof/>
          <w:lang w:eastAsia="en-GB"/>
        </w:rPr>
      </w:pPr>
      <w:r>
        <w:rPr>
          <w:noProof/>
          <w:lang w:eastAsia="en-GB"/>
        </w:rPr>
        <w:t>‘Technical assistance’</w:t>
      </w:r>
      <w:r>
        <w:rPr>
          <w:rStyle w:val="FootnoteReference"/>
          <w:noProof/>
          <w:color w:val="000000"/>
          <w:lang w:eastAsia="en-GB"/>
        </w:rPr>
        <w:footnoteReference w:id="8"/>
      </w:r>
      <w:r>
        <w:rPr>
          <w:noProof/>
          <w:lang w:eastAsia="en-GB"/>
        </w:rPr>
        <w:t xml:space="preserve">: this relates to support aimed at providing specific knowledge, equipment and information technology (IT) tools to national </w:t>
      </w:r>
      <w:r>
        <w:rPr>
          <w:noProof/>
          <w:lang w:eastAsia="en-GB"/>
        </w:rPr>
        <w:lastRenderedPageBreak/>
        <w:t>authorities as well as providing specif</w:t>
      </w:r>
      <w:r>
        <w:rPr>
          <w:noProof/>
          <w:lang w:eastAsia="en-GB"/>
        </w:rPr>
        <w:t>ic databases and IT tools facilitating data access and analysis;</w:t>
      </w:r>
    </w:p>
    <w:p w:rsidR="00446B0D" w:rsidRDefault="008F1B69">
      <w:pPr>
        <w:pStyle w:val="ListNumber2"/>
        <w:rPr>
          <w:noProof/>
          <w:lang w:eastAsia="en-GB"/>
        </w:rPr>
      </w:pPr>
      <w:r>
        <w:rPr>
          <w:noProof/>
          <w:lang w:eastAsia="en-GB"/>
        </w:rPr>
        <w:t>‘Training’, which relates to support for training activities, conferences and legal studies focused on protection of the Union’s financial interests. This includes legal training and studies;</w:t>
      </w:r>
    </w:p>
    <w:p w:rsidR="00446B0D" w:rsidRDefault="008F1B69">
      <w:pPr>
        <w:pStyle w:val="ListNumber2"/>
        <w:rPr>
          <w:noProof/>
          <w:lang w:eastAsia="en-GB"/>
        </w:rPr>
      </w:pPr>
      <w:r>
        <w:rPr>
          <w:noProof/>
          <w:lang w:eastAsia="en-GB"/>
        </w:rPr>
        <w:t>‘Any other action’ necessary for attaining the general, specific or operational objectives of the Programme.</w:t>
      </w:r>
    </w:p>
    <w:p w:rsidR="00446B0D" w:rsidRDefault="008F1B69">
      <w:pPr>
        <w:autoSpaceDE w:val="0"/>
        <w:autoSpaceDN w:val="0"/>
        <w:adjustRightInd w:val="0"/>
        <w:rPr>
          <w:noProof/>
        </w:rPr>
      </w:pPr>
      <w:r>
        <w:rPr>
          <w:noProof/>
        </w:rPr>
        <w:t>The Programme’s beneficiaries</w:t>
      </w:r>
      <w:r>
        <w:rPr>
          <w:rStyle w:val="FootnoteReference"/>
          <w:noProof/>
        </w:rPr>
        <w:footnoteReference w:id="9"/>
      </w:r>
      <w:r>
        <w:rPr>
          <w:noProof/>
        </w:rPr>
        <w:t xml:space="preserve"> are:</w:t>
      </w:r>
    </w:p>
    <w:p w:rsidR="00446B0D" w:rsidRDefault="008F1B69">
      <w:pPr>
        <w:pStyle w:val="ListNumber2"/>
        <w:numPr>
          <w:ilvl w:val="0"/>
          <w:numId w:val="3"/>
        </w:numPr>
        <w:spacing w:after="0"/>
        <w:rPr>
          <w:noProof/>
        </w:rPr>
      </w:pPr>
      <w:r>
        <w:rPr>
          <w:noProof/>
        </w:rPr>
        <w:t>National or regional administrations of a Member State;</w:t>
      </w:r>
    </w:p>
    <w:p w:rsidR="00446B0D" w:rsidRDefault="008F1B69">
      <w:pPr>
        <w:pStyle w:val="ListNumber2"/>
        <w:numPr>
          <w:ilvl w:val="0"/>
          <w:numId w:val="3"/>
        </w:numPr>
        <w:spacing w:after="0"/>
        <w:rPr>
          <w:noProof/>
        </w:rPr>
      </w:pPr>
      <w:r>
        <w:rPr>
          <w:noProof/>
        </w:rPr>
        <w:t>Research and educational institutes and non-profit-mak</w:t>
      </w:r>
      <w:r>
        <w:rPr>
          <w:noProof/>
        </w:rPr>
        <w:t>ing entities in the Member States.</w:t>
      </w:r>
    </w:p>
    <w:p w:rsidR="00446B0D" w:rsidRDefault="008F1B69">
      <w:pPr>
        <w:rPr>
          <w:noProof/>
        </w:rPr>
      </w:pPr>
      <w:r>
        <w:rPr>
          <w:noProof/>
        </w:rPr>
        <w:t>They must ‘</w:t>
      </w:r>
      <w:r>
        <w:rPr>
          <w:i/>
          <w:noProof/>
        </w:rPr>
        <w:t>promote the strengthening of action at Union level to protect the financial interests of the Union</w:t>
      </w:r>
      <w:r>
        <w:rPr>
          <w:noProof/>
        </w:rPr>
        <w:t xml:space="preserve">’. Costs incurred in enabling persons from third countries to participate in an event organised with funding </w:t>
      </w:r>
      <w:r>
        <w:rPr>
          <w:noProof/>
        </w:rPr>
        <w:t>from the Programme, such as conferences, seminars or training, can be considered as eligible costs under certain conditions.</w:t>
      </w:r>
    </w:p>
    <w:p w:rsidR="00446B0D" w:rsidRDefault="008F1B69">
      <w:pPr>
        <w:pStyle w:val="NormalLeft"/>
        <w:spacing w:before="0" w:after="0"/>
        <w:jc w:val="both"/>
        <w:rPr>
          <w:noProof/>
        </w:rPr>
      </w:pPr>
      <w:r>
        <w:rPr>
          <w:noProof/>
        </w:rPr>
        <w:t>The budget for implementing the Programme in 2014 amounted to EUR 13.7 million in commitment appropriations and EUR 11 million in p</w:t>
      </w:r>
      <w:r>
        <w:rPr>
          <w:noProof/>
        </w:rPr>
        <w:t>ayment appropriations, and was financed under item 24.0201 of the European Union budget for 2014</w:t>
      </w:r>
      <w:r>
        <w:rPr>
          <w:rStyle w:val="FootnoteReference"/>
          <w:noProof/>
        </w:rPr>
        <w:footnoteReference w:id="10"/>
      </w:r>
      <w:r>
        <w:rPr>
          <w:noProof/>
        </w:rPr>
        <w:t>.</w:t>
      </w:r>
    </w:p>
    <w:p w:rsidR="00446B0D" w:rsidRDefault="008F1B69">
      <w:pPr>
        <w:pStyle w:val="ManualHeading2"/>
        <w:rPr>
          <w:noProof/>
        </w:rPr>
      </w:pPr>
      <w:bookmarkStart w:id="8" w:name="_Toc358287365"/>
      <w:bookmarkStart w:id="9" w:name="_Toc421687687"/>
      <w:bookmarkStart w:id="10" w:name="_Toc423960191"/>
      <w:r>
        <w:tab/>
      </w:r>
      <w:r>
        <w:rPr>
          <w:noProof/>
        </w:rPr>
        <w:t>1.3</w:t>
      </w:r>
      <w:r>
        <w:rPr>
          <w:noProof/>
        </w:rPr>
        <w:tab/>
        <w:t>Purpose and scope of this overview</w:t>
      </w:r>
      <w:bookmarkEnd w:id="8"/>
      <w:bookmarkEnd w:id="9"/>
      <w:bookmarkEnd w:id="10"/>
    </w:p>
    <w:p w:rsidR="00446B0D" w:rsidRDefault="008F1B69">
      <w:pPr>
        <w:pStyle w:val="NormalLeft"/>
        <w:spacing w:before="0" w:after="0"/>
        <w:jc w:val="both"/>
        <w:rPr>
          <w:noProof/>
        </w:rPr>
      </w:pPr>
      <w:r>
        <w:rPr>
          <w:noProof/>
        </w:rPr>
        <w:t>The annual overview is intended to fulfil the requirement under Article 13(1) of Regulation (EU) No 250/2014 to ‘</w:t>
      </w:r>
      <w:r>
        <w:rPr>
          <w:i/>
          <w:noProof/>
        </w:rPr>
        <w:t>prov</w:t>
      </w:r>
      <w:r>
        <w:rPr>
          <w:i/>
          <w:noProof/>
        </w:rPr>
        <w:t>ide the European Parliament and the Council, on an annual basis, with information on the implementation of the Programme, including on the achievement of the objectives of the Programme and the results</w:t>
      </w:r>
      <w:r>
        <w:rPr>
          <w:noProof/>
        </w:rPr>
        <w:t>’. To that end, this overview covers information on act</w:t>
      </w:r>
      <w:r>
        <w:rPr>
          <w:noProof/>
        </w:rPr>
        <w:t xml:space="preserve">ions for which financial commitments were made under the 2014 work programme (section 2) as well as the results of actions that were finalised in 2014 but committed under the Hercule II Programme in previous years (section 3).  </w:t>
      </w:r>
    </w:p>
    <w:p w:rsidR="00446B0D" w:rsidRDefault="008F1B69">
      <w:pPr>
        <w:spacing w:before="0" w:after="200" w:line="276" w:lineRule="auto"/>
        <w:jc w:val="left"/>
        <w:rPr>
          <w:b/>
          <w:bCs/>
          <w:iCs/>
          <w:noProof/>
        </w:rPr>
      </w:pPr>
      <w:bookmarkStart w:id="11" w:name="_Toc421687688"/>
      <w:r>
        <w:rPr>
          <w:noProof/>
        </w:rPr>
        <w:br w:type="page"/>
      </w:r>
    </w:p>
    <w:p w:rsidR="00446B0D" w:rsidRDefault="008F1B69">
      <w:pPr>
        <w:pStyle w:val="Heading1"/>
        <w:spacing w:before="120"/>
        <w:rPr>
          <w:noProof/>
        </w:rPr>
      </w:pPr>
      <w:bookmarkStart w:id="12" w:name="_Toc423960192"/>
      <w:r>
        <w:rPr>
          <w:noProof/>
        </w:rPr>
        <w:lastRenderedPageBreak/>
        <w:t>2.</w:t>
      </w:r>
      <w:r>
        <w:rPr>
          <w:noProof/>
        </w:rPr>
        <w:tab/>
        <w:t xml:space="preserve">Budget implementation </w:t>
      </w:r>
      <w:r>
        <w:rPr>
          <w:noProof/>
        </w:rPr>
        <w:t>in 2014</w:t>
      </w:r>
      <w:bookmarkEnd w:id="11"/>
      <w:bookmarkEnd w:id="12"/>
      <w:r>
        <w:rPr>
          <w:noProof/>
        </w:rPr>
        <w:t xml:space="preserve"> </w:t>
      </w:r>
      <w:r>
        <w:rPr>
          <w:noProof/>
        </w:rPr>
        <w:tab/>
      </w:r>
    </w:p>
    <w:p w:rsidR="00446B0D" w:rsidRDefault="008F1B69">
      <w:pPr>
        <w:rPr>
          <w:b/>
          <w:bCs/>
          <w:noProof/>
        </w:rPr>
      </w:pPr>
      <w:r>
        <w:rPr>
          <w:bCs/>
          <w:noProof/>
        </w:rPr>
        <w:t xml:space="preserve">The budget for implementing the Programme amounted to EUR 13.7 million in commitment appropriations. Table 1 gives an overview of the available </w:t>
      </w:r>
      <w:r>
        <w:rPr>
          <w:b/>
          <w:bCs/>
          <w:noProof/>
        </w:rPr>
        <w:t>budget</w:t>
      </w:r>
      <w:r>
        <w:rPr>
          <w:bCs/>
          <w:noProof/>
        </w:rPr>
        <w:t xml:space="preserve"> and the </w:t>
      </w:r>
      <w:r>
        <w:rPr>
          <w:b/>
          <w:bCs/>
          <w:noProof/>
        </w:rPr>
        <w:t>commitments</w:t>
      </w:r>
      <w:r>
        <w:rPr>
          <w:bCs/>
          <w:noProof/>
        </w:rPr>
        <w:t xml:space="preserve"> made in 2014.</w:t>
      </w:r>
    </w:p>
    <w:p w:rsidR="00446B0D" w:rsidRDefault="008F1B69">
      <w:pPr>
        <w:rPr>
          <w:b/>
          <w:bCs/>
          <w:noProof/>
        </w:rPr>
      </w:pPr>
      <w:r>
        <w:rPr>
          <w:b/>
          <w:bCs/>
          <w:noProof/>
        </w:rPr>
        <w:t>Table 1: Available budget and commitments made in 2014</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417"/>
        <w:gridCol w:w="1418"/>
        <w:gridCol w:w="1417"/>
        <w:gridCol w:w="992"/>
      </w:tblGrid>
      <w:tr w:rsidR="00446B0D">
        <w:trPr>
          <w:trHeight w:val="315"/>
        </w:trPr>
        <w:tc>
          <w:tcPr>
            <w:tcW w:w="5245" w:type="dxa"/>
            <w:gridSpan w:val="2"/>
            <w:shd w:val="clear" w:color="auto" w:fill="auto"/>
            <w:noWrap/>
            <w:vAlign w:val="center"/>
          </w:tcPr>
          <w:p w:rsidR="00446B0D" w:rsidRDefault="008F1B69">
            <w:pPr>
              <w:spacing w:before="0" w:after="0"/>
              <w:rPr>
                <w:b/>
                <w:noProof/>
                <w:sz w:val="22"/>
                <w:szCs w:val="22"/>
                <w:lang w:eastAsia="en-GB"/>
              </w:rPr>
            </w:pPr>
            <w:r>
              <w:rPr>
                <w:b/>
                <w:noProof/>
                <w:sz w:val="22"/>
                <w:szCs w:val="22"/>
                <w:lang w:eastAsia="en-GB"/>
              </w:rPr>
              <w:t xml:space="preserve">TYPES </w:t>
            </w:r>
            <w:r>
              <w:rPr>
                <w:b/>
                <w:noProof/>
                <w:sz w:val="22"/>
                <w:szCs w:val="22"/>
                <w:lang w:eastAsia="en-GB"/>
              </w:rPr>
              <w:t>OF ELIGIBLE ACTIONS 2014</w:t>
            </w:r>
          </w:p>
        </w:tc>
        <w:tc>
          <w:tcPr>
            <w:tcW w:w="1418" w:type="dxa"/>
            <w:shd w:val="clear" w:color="auto" w:fill="auto"/>
            <w:noWrap/>
            <w:vAlign w:val="center"/>
          </w:tcPr>
          <w:p w:rsidR="00446B0D" w:rsidRDefault="008F1B69">
            <w:pPr>
              <w:spacing w:before="0" w:after="0"/>
              <w:jc w:val="right"/>
              <w:rPr>
                <w:b/>
                <w:noProof/>
                <w:sz w:val="22"/>
                <w:szCs w:val="22"/>
                <w:lang w:eastAsia="en-GB"/>
              </w:rPr>
            </w:pPr>
            <w:r>
              <w:rPr>
                <w:b/>
                <w:noProof/>
                <w:sz w:val="22"/>
                <w:szCs w:val="22"/>
                <w:lang w:eastAsia="en-GB"/>
              </w:rPr>
              <w:t>BUDGET</w:t>
            </w:r>
          </w:p>
        </w:tc>
        <w:tc>
          <w:tcPr>
            <w:tcW w:w="1417" w:type="dxa"/>
            <w:shd w:val="clear" w:color="auto" w:fill="auto"/>
            <w:noWrap/>
            <w:vAlign w:val="center"/>
          </w:tcPr>
          <w:p w:rsidR="00446B0D" w:rsidRDefault="008F1B69">
            <w:pPr>
              <w:spacing w:before="0" w:after="0"/>
              <w:jc w:val="right"/>
              <w:rPr>
                <w:b/>
                <w:noProof/>
                <w:sz w:val="22"/>
                <w:szCs w:val="22"/>
                <w:lang w:eastAsia="en-GB"/>
              </w:rPr>
            </w:pPr>
            <w:r>
              <w:rPr>
                <w:b/>
                <w:noProof/>
                <w:sz w:val="22"/>
                <w:szCs w:val="22"/>
                <w:lang w:eastAsia="en-GB"/>
              </w:rPr>
              <w:t>COMMIT</w:t>
            </w:r>
            <w:r>
              <w:rPr>
                <w:rStyle w:val="FootnoteReference"/>
                <w:noProof/>
              </w:rPr>
              <w:footnoteReference w:id="11"/>
            </w:r>
          </w:p>
        </w:tc>
        <w:tc>
          <w:tcPr>
            <w:tcW w:w="992" w:type="dxa"/>
            <w:shd w:val="clear" w:color="auto" w:fill="auto"/>
            <w:noWrap/>
            <w:vAlign w:val="center"/>
          </w:tcPr>
          <w:p w:rsidR="00446B0D" w:rsidRDefault="008F1B69">
            <w:pPr>
              <w:spacing w:before="0" w:after="0"/>
              <w:jc w:val="right"/>
              <w:rPr>
                <w:b/>
                <w:noProof/>
                <w:sz w:val="22"/>
                <w:szCs w:val="22"/>
                <w:lang w:eastAsia="en-GB"/>
              </w:rPr>
            </w:pPr>
            <w:r>
              <w:rPr>
                <w:b/>
                <w:noProof/>
                <w:sz w:val="22"/>
                <w:szCs w:val="22"/>
                <w:lang w:eastAsia="en-GB"/>
              </w:rPr>
              <w:t>%</w:t>
            </w:r>
          </w:p>
        </w:tc>
      </w:tr>
      <w:tr w:rsidR="00446B0D">
        <w:trPr>
          <w:trHeight w:val="315"/>
        </w:trPr>
        <w:tc>
          <w:tcPr>
            <w:tcW w:w="5245" w:type="dxa"/>
            <w:gridSpan w:val="2"/>
            <w:shd w:val="clear" w:color="000000" w:fill="DCE6F1"/>
            <w:noWrap/>
            <w:vAlign w:val="center"/>
          </w:tcPr>
          <w:p w:rsidR="00446B0D" w:rsidRDefault="008F1B69">
            <w:pPr>
              <w:spacing w:before="0" w:after="0"/>
              <w:rPr>
                <w:b/>
                <w:bCs/>
                <w:noProof/>
                <w:sz w:val="22"/>
                <w:szCs w:val="22"/>
                <w:lang w:eastAsia="en-GB"/>
              </w:rPr>
            </w:pPr>
            <w:r>
              <w:rPr>
                <w:b/>
                <w:bCs/>
                <w:noProof/>
                <w:sz w:val="22"/>
                <w:szCs w:val="22"/>
                <w:lang w:eastAsia="en-GB"/>
              </w:rPr>
              <w:t>TECHNICAL ASSISTANCE</w:t>
            </w:r>
          </w:p>
        </w:tc>
        <w:tc>
          <w:tcPr>
            <w:tcW w:w="1418" w:type="dxa"/>
            <w:shd w:val="clear" w:color="000000" w:fill="DCE6F1"/>
            <w:noWrap/>
            <w:vAlign w:val="bottom"/>
          </w:tcPr>
          <w:p w:rsidR="00446B0D" w:rsidRDefault="008F1B69">
            <w:pPr>
              <w:spacing w:before="0" w:after="0"/>
              <w:jc w:val="right"/>
              <w:rPr>
                <w:b/>
                <w:noProof/>
                <w:sz w:val="22"/>
                <w:szCs w:val="22"/>
                <w:lang w:eastAsia="en-GB"/>
              </w:rPr>
            </w:pPr>
            <w:r>
              <w:rPr>
                <w:b/>
                <w:noProof/>
                <w:sz w:val="22"/>
                <w:szCs w:val="22"/>
                <w:lang w:eastAsia="en-GB"/>
              </w:rPr>
              <w:t> 10 250 000</w:t>
            </w:r>
          </w:p>
        </w:tc>
        <w:tc>
          <w:tcPr>
            <w:tcW w:w="1417" w:type="dxa"/>
            <w:shd w:val="clear" w:color="000000" w:fill="DCE6F1"/>
            <w:noWrap/>
            <w:vAlign w:val="bottom"/>
          </w:tcPr>
          <w:p w:rsidR="00446B0D" w:rsidRDefault="008F1B69">
            <w:pPr>
              <w:spacing w:before="0" w:after="0"/>
              <w:jc w:val="right"/>
              <w:rPr>
                <w:b/>
                <w:noProof/>
                <w:sz w:val="22"/>
                <w:szCs w:val="22"/>
                <w:lang w:eastAsia="en-GB"/>
              </w:rPr>
            </w:pPr>
            <w:r>
              <w:rPr>
                <w:b/>
                <w:noProof/>
                <w:sz w:val="22"/>
                <w:szCs w:val="22"/>
                <w:lang w:eastAsia="en-GB"/>
              </w:rPr>
              <w:t> 10 639 836</w:t>
            </w:r>
          </w:p>
        </w:tc>
        <w:tc>
          <w:tcPr>
            <w:tcW w:w="992" w:type="dxa"/>
            <w:shd w:val="clear" w:color="000000" w:fill="DCE6F1"/>
            <w:noWrap/>
            <w:vAlign w:val="center"/>
          </w:tcPr>
          <w:p w:rsidR="00446B0D" w:rsidRDefault="008F1B69">
            <w:pPr>
              <w:spacing w:before="0" w:after="0"/>
              <w:jc w:val="right"/>
              <w:rPr>
                <w:b/>
                <w:noProof/>
                <w:sz w:val="22"/>
                <w:szCs w:val="22"/>
                <w:lang w:eastAsia="en-GB"/>
              </w:rPr>
            </w:pPr>
            <w:r>
              <w:rPr>
                <w:b/>
                <w:noProof/>
                <w:sz w:val="22"/>
                <w:szCs w:val="22"/>
                <w:lang w:eastAsia="en-GB"/>
              </w:rPr>
              <w:t> 104.00</w:t>
            </w:r>
          </w:p>
        </w:tc>
      </w:tr>
      <w:tr w:rsidR="00446B0D">
        <w:trPr>
          <w:trHeight w:val="300"/>
        </w:trPr>
        <w:tc>
          <w:tcPr>
            <w:tcW w:w="3828" w:type="dxa"/>
            <w:shd w:val="clear" w:color="auto" w:fill="auto"/>
            <w:noWrap/>
            <w:vAlign w:val="bottom"/>
          </w:tcPr>
          <w:p w:rsidR="00446B0D" w:rsidRDefault="008F1B69">
            <w:pPr>
              <w:spacing w:before="0" w:after="0"/>
              <w:rPr>
                <w:noProof/>
                <w:sz w:val="22"/>
                <w:szCs w:val="22"/>
                <w:lang w:eastAsia="en-GB"/>
              </w:rPr>
            </w:pPr>
            <w:r>
              <w:rPr>
                <w:noProof/>
                <w:sz w:val="22"/>
                <w:szCs w:val="22"/>
                <w:lang w:eastAsia="en-GB"/>
              </w:rPr>
              <w:t>Technical assistance grants</w:t>
            </w:r>
          </w:p>
        </w:tc>
        <w:tc>
          <w:tcPr>
            <w:tcW w:w="1417" w:type="dxa"/>
            <w:shd w:val="clear" w:color="auto" w:fill="auto"/>
            <w:noWrap/>
            <w:vAlign w:val="bottom"/>
          </w:tcPr>
          <w:p w:rsidR="00446B0D" w:rsidRDefault="008F1B69">
            <w:pPr>
              <w:spacing w:before="0" w:after="0"/>
              <w:rPr>
                <w:noProof/>
                <w:sz w:val="22"/>
                <w:szCs w:val="22"/>
                <w:lang w:eastAsia="en-GB"/>
              </w:rPr>
            </w:pPr>
            <w:r>
              <w:rPr>
                <w:noProof/>
                <w:sz w:val="22"/>
                <w:szCs w:val="22"/>
                <w:lang w:eastAsia="en-GB"/>
              </w:rPr>
              <w:t>Grants</w:t>
            </w:r>
          </w:p>
        </w:tc>
        <w:tc>
          <w:tcPr>
            <w:tcW w:w="1418" w:type="dxa"/>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7 450 000</w:t>
            </w:r>
          </w:p>
        </w:tc>
        <w:tc>
          <w:tcPr>
            <w:tcW w:w="1417" w:type="dxa"/>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8 683 356</w:t>
            </w:r>
          </w:p>
        </w:tc>
        <w:tc>
          <w:tcPr>
            <w:tcW w:w="992" w:type="dxa"/>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116.56</w:t>
            </w:r>
          </w:p>
        </w:tc>
      </w:tr>
      <w:tr w:rsidR="00446B0D">
        <w:trPr>
          <w:trHeight w:val="300"/>
        </w:trPr>
        <w:tc>
          <w:tcPr>
            <w:tcW w:w="3828" w:type="dxa"/>
            <w:shd w:val="clear" w:color="auto" w:fill="auto"/>
            <w:noWrap/>
            <w:vAlign w:val="bottom"/>
          </w:tcPr>
          <w:p w:rsidR="00446B0D" w:rsidRDefault="008F1B69">
            <w:pPr>
              <w:spacing w:before="0" w:after="0"/>
              <w:rPr>
                <w:noProof/>
                <w:sz w:val="22"/>
                <w:szCs w:val="22"/>
                <w:lang w:eastAsia="en-GB"/>
              </w:rPr>
            </w:pPr>
            <w:r>
              <w:rPr>
                <w:noProof/>
                <w:sz w:val="22"/>
                <w:szCs w:val="22"/>
                <w:lang w:eastAsia="en-GB"/>
              </w:rPr>
              <w:t>IT support</w:t>
            </w:r>
          </w:p>
        </w:tc>
        <w:tc>
          <w:tcPr>
            <w:tcW w:w="1417" w:type="dxa"/>
            <w:shd w:val="clear" w:color="auto" w:fill="auto"/>
            <w:noWrap/>
            <w:vAlign w:val="bottom"/>
          </w:tcPr>
          <w:p w:rsidR="00446B0D" w:rsidRDefault="00446B0D">
            <w:pPr>
              <w:spacing w:before="0" w:after="0"/>
              <w:rPr>
                <w:noProof/>
                <w:sz w:val="22"/>
                <w:szCs w:val="22"/>
                <w:lang w:eastAsia="en-GB"/>
              </w:rPr>
            </w:pPr>
          </w:p>
        </w:tc>
        <w:tc>
          <w:tcPr>
            <w:tcW w:w="1418" w:type="dxa"/>
            <w:shd w:val="clear" w:color="auto" w:fill="auto"/>
            <w:noWrap/>
            <w:vAlign w:val="center"/>
          </w:tcPr>
          <w:p w:rsidR="00446B0D" w:rsidRDefault="00446B0D">
            <w:pPr>
              <w:spacing w:before="0" w:after="0"/>
              <w:jc w:val="right"/>
              <w:rPr>
                <w:noProof/>
                <w:sz w:val="22"/>
                <w:szCs w:val="22"/>
                <w:lang w:eastAsia="en-GB"/>
              </w:rPr>
            </w:pPr>
          </w:p>
        </w:tc>
        <w:tc>
          <w:tcPr>
            <w:tcW w:w="1417" w:type="dxa"/>
            <w:shd w:val="clear" w:color="auto" w:fill="auto"/>
            <w:noWrap/>
            <w:vAlign w:val="center"/>
          </w:tcPr>
          <w:p w:rsidR="00446B0D" w:rsidRDefault="00446B0D">
            <w:pPr>
              <w:spacing w:before="0" w:after="0"/>
              <w:jc w:val="right"/>
              <w:rPr>
                <w:noProof/>
                <w:sz w:val="22"/>
                <w:szCs w:val="22"/>
                <w:lang w:eastAsia="en-GB"/>
              </w:rPr>
            </w:pPr>
          </w:p>
        </w:tc>
        <w:tc>
          <w:tcPr>
            <w:tcW w:w="992" w:type="dxa"/>
            <w:shd w:val="clear" w:color="auto" w:fill="auto"/>
            <w:noWrap/>
            <w:vAlign w:val="center"/>
          </w:tcPr>
          <w:p w:rsidR="00446B0D" w:rsidRDefault="00446B0D">
            <w:pPr>
              <w:spacing w:before="0" w:after="0"/>
              <w:jc w:val="right"/>
              <w:rPr>
                <w:noProof/>
                <w:sz w:val="22"/>
                <w:szCs w:val="22"/>
                <w:lang w:eastAsia="en-GB"/>
              </w:rPr>
            </w:pPr>
          </w:p>
        </w:tc>
      </w:tr>
      <w:tr w:rsidR="00446B0D">
        <w:trPr>
          <w:trHeight w:val="300"/>
        </w:trPr>
        <w:tc>
          <w:tcPr>
            <w:tcW w:w="3828" w:type="dxa"/>
            <w:shd w:val="clear" w:color="auto" w:fill="auto"/>
            <w:noWrap/>
            <w:vAlign w:val="bottom"/>
          </w:tcPr>
          <w:p w:rsidR="00446B0D" w:rsidRDefault="008F1B69">
            <w:pPr>
              <w:spacing w:before="0" w:after="0"/>
              <w:rPr>
                <w:noProof/>
                <w:sz w:val="22"/>
                <w:szCs w:val="22"/>
                <w:lang w:eastAsia="en-GB"/>
              </w:rPr>
            </w:pPr>
            <w:r>
              <w:rPr>
                <w:noProof/>
                <w:sz w:val="22"/>
                <w:szCs w:val="22"/>
                <w:lang w:eastAsia="en-GB"/>
              </w:rPr>
              <w:t xml:space="preserve">            IT Databases</w:t>
            </w:r>
          </w:p>
        </w:tc>
        <w:tc>
          <w:tcPr>
            <w:tcW w:w="1417" w:type="dxa"/>
            <w:shd w:val="clear" w:color="auto" w:fill="auto"/>
            <w:noWrap/>
            <w:vAlign w:val="bottom"/>
          </w:tcPr>
          <w:p w:rsidR="00446B0D" w:rsidRDefault="008F1B69">
            <w:pPr>
              <w:spacing w:before="0" w:after="0"/>
              <w:rPr>
                <w:noProof/>
                <w:sz w:val="22"/>
                <w:szCs w:val="22"/>
                <w:lang w:eastAsia="en-GB"/>
              </w:rPr>
            </w:pPr>
            <w:r>
              <w:rPr>
                <w:noProof/>
                <w:sz w:val="22"/>
                <w:szCs w:val="22"/>
                <w:lang w:eastAsia="en-GB"/>
              </w:rPr>
              <w:t>Procurement</w:t>
            </w:r>
          </w:p>
        </w:tc>
        <w:tc>
          <w:tcPr>
            <w:tcW w:w="1418" w:type="dxa"/>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2 400 000</w:t>
            </w:r>
          </w:p>
        </w:tc>
        <w:tc>
          <w:tcPr>
            <w:tcW w:w="1417" w:type="dxa"/>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1 756 480</w:t>
            </w:r>
          </w:p>
        </w:tc>
        <w:tc>
          <w:tcPr>
            <w:tcW w:w="992" w:type="dxa"/>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73.19</w:t>
            </w:r>
          </w:p>
        </w:tc>
      </w:tr>
      <w:tr w:rsidR="00446B0D">
        <w:trPr>
          <w:trHeight w:val="300"/>
        </w:trPr>
        <w:tc>
          <w:tcPr>
            <w:tcW w:w="3828" w:type="dxa"/>
            <w:shd w:val="clear" w:color="auto" w:fill="auto"/>
            <w:noWrap/>
            <w:vAlign w:val="bottom"/>
          </w:tcPr>
          <w:p w:rsidR="00446B0D" w:rsidRDefault="008F1B69">
            <w:pPr>
              <w:spacing w:before="0" w:after="0"/>
              <w:rPr>
                <w:noProof/>
                <w:sz w:val="22"/>
                <w:szCs w:val="22"/>
                <w:lang w:eastAsia="en-GB"/>
              </w:rPr>
            </w:pPr>
            <w:r>
              <w:rPr>
                <w:noProof/>
                <w:sz w:val="22"/>
                <w:szCs w:val="22"/>
                <w:lang w:eastAsia="en-GB"/>
              </w:rPr>
              <w:t xml:space="preserve">            IT Data analysis (JRC)</w:t>
            </w:r>
          </w:p>
        </w:tc>
        <w:tc>
          <w:tcPr>
            <w:tcW w:w="1417" w:type="dxa"/>
            <w:shd w:val="clear" w:color="auto" w:fill="auto"/>
            <w:noWrap/>
            <w:vAlign w:val="bottom"/>
          </w:tcPr>
          <w:p w:rsidR="00446B0D" w:rsidRDefault="008F1B69">
            <w:pPr>
              <w:spacing w:before="0" w:after="0"/>
              <w:rPr>
                <w:noProof/>
                <w:sz w:val="22"/>
                <w:szCs w:val="22"/>
                <w:lang w:eastAsia="en-GB"/>
              </w:rPr>
            </w:pPr>
            <w:r>
              <w:rPr>
                <w:noProof/>
                <w:sz w:val="22"/>
                <w:szCs w:val="22"/>
                <w:lang w:eastAsia="en-GB"/>
              </w:rPr>
              <w:t>Procurement</w:t>
            </w:r>
          </w:p>
        </w:tc>
        <w:tc>
          <w:tcPr>
            <w:tcW w:w="1418" w:type="dxa"/>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200 000</w:t>
            </w:r>
          </w:p>
        </w:tc>
        <w:tc>
          <w:tcPr>
            <w:tcW w:w="1417" w:type="dxa"/>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200 000</w:t>
            </w:r>
          </w:p>
        </w:tc>
        <w:tc>
          <w:tcPr>
            <w:tcW w:w="992" w:type="dxa"/>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100.00</w:t>
            </w:r>
          </w:p>
        </w:tc>
      </w:tr>
      <w:tr w:rsidR="00446B0D">
        <w:trPr>
          <w:trHeight w:val="300"/>
        </w:trPr>
        <w:tc>
          <w:tcPr>
            <w:tcW w:w="3828" w:type="dxa"/>
            <w:shd w:val="clear" w:color="auto" w:fill="auto"/>
            <w:noWrap/>
            <w:vAlign w:val="bottom"/>
          </w:tcPr>
          <w:p w:rsidR="00446B0D" w:rsidRDefault="008F1B69">
            <w:pPr>
              <w:spacing w:before="0" w:after="0"/>
              <w:rPr>
                <w:noProof/>
                <w:sz w:val="22"/>
                <w:szCs w:val="22"/>
                <w:lang w:eastAsia="en-GB"/>
              </w:rPr>
            </w:pPr>
            <w:r>
              <w:rPr>
                <w:noProof/>
                <w:sz w:val="22"/>
                <w:szCs w:val="22"/>
                <w:lang w:eastAsia="en-GB"/>
              </w:rPr>
              <w:t xml:space="preserve">            Tobacco analysis</w:t>
            </w:r>
          </w:p>
        </w:tc>
        <w:tc>
          <w:tcPr>
            <w:tcW w:w="1417" w:type="dxa"/>
            <w:shd w:val="clear" w:color="auto" w:fill="auto"/>
            <w:noWrap/>
            <w:vAlign w:val="bottom"/>
          </w:tcPr>
          <w:p w:rsidR="00446B0D" w:rsidRDefault="008F1B69">
            <w:pPr>
              <w:spacing w:before="0" w:after="0"/>
              <w:rPr>
                <w:noProof/>
                <w:sz w:val="22"/>
                <w:szCs w:val="22"/>
                <w:lang w:eastAsia="en-GB"/>
              </w:rPr>
            </w:pPr>
            <w:r>
              <w:rPr>
                <w:noProof/>
                <w:sz w:val="22"/>
                <w:szCs w:val="22"/>
                <w:lang w:eastAsia="en-GB"/>
              </w:rPr>
              <w:t>Procurement</w:t>
            </w:r>
          </w:p>
        </w:tc>
        <w:tc>
          <w:tcPr>
            <w:tcW w:w="1418" w:type="dxa"/>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200 000</w:t>
            </w:r>
          </w:p>
        </w:tc>
        <w:tc>
          <w:tcPr>
            <w:tcW w:w="1417" w:type="dxa"/>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0</w:t>
            </w:r>
          </w:p>
        </w:tc>
        <w:tc>
          <w:tcPr>
            <w:tcW w:w="992" w:type="dxa"/>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0.00</w:t>
            </w:r>
          </w:p>
        </w:tc>
      </w:tr>
      <w:tr w:rsidR="00446B0D">
        <w:trPr>
          <w:trHeight w:val="57"/>
        </w:trPr>
        <w:tc>
          <w:tcPr>
            <w:tcW w:w="3828" w:type="dxa"/>
            <w:shd w:val="clear" w:color="auto" w:fill="auto"/>
            <w:noWrap/>
            <w:vAlign w:val="bottom"/>
          </w:tcPr>
          <w:p w:rsidR="00446B0D" w:rsidRDefault="00446B0D">
            <w:pPr>
              <w:spacing w:before="0" w:after="0"/>
              <w:rPr>
                <w:noProof/>
                <w:sz w:val="22"/>
                <w:szCs w:val="22"/>
                <w:lang w:eastAsia="en-GB"/>
              </w:rPr>
            </w:pPr>
          </w:p>
        </w:tc>
        <w:tc>
          <w:tcPr>
            <w:tcW w:w="1417" w:type="dxa"/>
            <w:shd w:val="clear" w:color="auto" w:fill="auto"/>
            <w:noWrap/>
            <w:vAlign w:val="bottom"/>
          </w:tcPr>
          <w:p w:rsidR="00446B0D" w:rsidRDefault="00446B0D">
            <w:pPr>
              <w:spacing w:before="0" w:after="0"/>
              <w:rPr>
                <w:noProof/>
                <w:sz w:val="22"/>
                <w:szCs w:val="22"/>
                <w:lang w:eastAsia="en-GB"/>
              </w:rPr>
            </w:pPr>
          </w:p>
        </w:tc>
        <w:tc>
          <w:tcPr>
            <w:tcW w:w="1418" w:type="dxa"/>
            <w:shd w:val="clear" w:color="auto" w:fill="auto"/>
            <w:noWrap/>
            <w:vAlign w:val="center"/>
          </w:tcPr>
          <w:p w:rsidR="00446B0D" w:rsidRDefault="00446B0D">
            <w:pPr>
              <w:spacing w:before="0" w:after="0"/>
              <w:jc w:val="right"/>
              <w:rPr>
                <w:noProof/>
                <w:sz w:val="22"/>
                <w:szCs w:val="22"/>
                <w:lang w:eastAsia="en-GB"/>
              </w:rPr>
            </w:pPr>
          </w:p>
        </w:tc>
        <w:tc>
          <w:tcPr>
            <w:tcW w:w="1417" w:type="dxa"/>
            <w:shd w:val="clear" w:color="auto" w:fill="auto"/>
            <w:noWrap/>
            <w:vAlign w:val="center"/>
          </w:tcPr>
          <w:p w:rsidR="00446B0D" w:rsidRDefault="00446B0D">
            <w:pPr>
              <w:spacing w:before="0" w:after="0"/>
              <w:jc w:val="right"/>
              <w:rPr>
                <w:noProof/>
                <w:sz w:val="22"/>
                <w:szCs w:val="22"/>
                <w:lang w:eastAsia="en-GB"/>
              </w:rPr>
            </w:pPr>
          </w:p>
        </w:tc>
        <w:tc>
          <w:tcPr>
            <w:tcW w:w="992" w:type="dxa"/>
            <w:shd w:val="clear" w:color="auto" w:fill="auto"/>
            <w:noWrap/>
            <w:vAlign w:val="center"/>
          </w:tcPr>
          <w:p w:rsidR="00446B0D" w:rsidRDefault="00446B0D">
            <w:pPr>
              <w:spacing w:before="0" w:after="0"/>
              <w:jc w:val="right"/>
              <w:rPr>
                <w:noProof/>
                <w:sz w:val="22"/>
                <w:szCs w:val="22"/>
                <w:lang w:eastAsia="en-GB"/>
              </w:rPr>
            </w:pPr>
          </w:p>
        </w:tc>
      </w:tr>
      <w:tr w:rsidR="00446B0D">
        <w:trPr>
          <w:trHeight w:val="315"/>
        </w:trPr>
        <w:tc>
          <w:tcPr>
            <w:tcW w:w="5245" w:type="dxa"/>
            <w:gridSpan w:val="2"/>
            <w:shd w:val="clear" w:color="000000" w:fill="DCE6F1"/>
            <w:noWrap/>
            <w:vAlign w:val="center"/>
          </w:tcPr>
          <w:p w:rsidR="00446B0D" w:rsidRDefault="008F1B69">
            <w:pPr>
              <w:spacing w:before="0" w:after="0"/>
              <w:rPr>
                <w:noProof/>
                <w:sz w:val="22"/>
                <w:szCs w:val="22"/>
                <w:lang w:eastAsia="en-GB"/>
              </w:rPr>
            </w:pPr>
            <w:r>
              <w:rPr>
                <w:b/>
                <w:bCs/>
                <w:noProof/>
                <w:sz w:val="22"/>
                <w:szCs w:val="22"/>
                <w:lang w:eastAsia="en-GB"/>
              </w:rPr>
              <w:t>ANTI-FRAUD TRAINING</w:t>
            </w:r>
            <w:r>
              <w:rPr>
                <w:noProof/>
                <w:sz w:val="22"/>
                <w:szCs w:val="22"/>
                <w:lang w:eastAsia="en-GB"/>
              </w:rPr>
              <w:t> </w:t>
            </w:r>
          </w:p>
        </w:tc>
        <w:tc>
          <w:tcPr>
            <w:tcW w:w="1418" w:type="dxa"/>
            <w:shd w:val="clear" w:color="000000" w:fill="DCE6F1"/>
            <w:noWrap/>
            <w:vAlign w:val="center"/>
          </w:tcPr>
          <w:p w:rsidR="00446B0D" w:rsidRDefault="008F1B69">
            <w:pPr>
              <w:spacing w:before="0" w:after="0"/>
              <w:jc w:val="right"/>
              <w:rPr>
                <w:b/>
                <w:noProof/>
                <w:sz w:val="22"/>
                <w:szCs w:val="22"/>
                <w:lang w:eastAsia="en-GB"/>
              </w:rPr>
            </w:pPr>
            <w:r>
              <w:rPr>
                <w:b/>
                <w:noProof/>
                <w:sz w:val="22"/>
                <w:szCs w:val="22"/>
                <w:lang w:eastAsia="en-GB"/>
              </w:rPr>
              <w:t>3 400 000 </w:t>
            </w:r>
          </w:p>
        </w:tc>
        <w:tc>
          <w:tcPr>
            <w:tcW w:w="1417" w:type="dxa"/>
            <w:shd w:val="clear" w:color="000000" w:fill="DCE6F1"/>
            <w:noWrap/>
            <w:vAlign w:val="center"/>
          </w:tcPr>
          <w:p w:rsidR="00446B0D" w:rsidRDefault="008F1B69">
            <w:pPr>
              <w:spacing w:before="0" w:after="0"/>
              <w:jc w:val="right"/>
              <w:rPr>
                <w:b/>
                <w:noProof/>
                <w:sz w:val="22"/>
                <w:szCs w:val="22"/>
                <w:lang w:eastAsia="en-GB"/>
              </w:rPr>
            </w:pPr>
            <w:r>
              <w:rPr>
                <w:b/>
                <w:noProof/>
                <w:sz w:val="22"/>
                <w:szCs w:val="22"/>
                <w:lang w:eastAsia="en-GB"/>
              </w:rPr>
              <w:t>3 036 187 </w:t>
            </w:r>
          </w:p>
        </w:tc>
        <w:tc>
          <w:tcPr>
            <w:tcW w:w="992" w:type="dxa"/>
            <w:shd w:val="clear" w:color="000000" w:fill="DCE6F1"/>
            <w:noWrap/>
            <w:vAlign w:val="center"/>
          </w:tcPr>
          <w:p w:rsidR="00446B0D" w:rsidRDefault="008F1B69">
            <w:pPr>
              <w:spacing w:before="0" w:after="0"/>
              <w:jc w:val="right"/>
              <w:rPr>
                <w:b/>
                <w:noProof/>
                <w:sz w:val="22"/>
                <w:szCs w:val="22"/>
                <w:lang w:eastAsia="en-GB"/>
              </w:rPr>
            </w:pPr>
            <w:r>
              <w:rPr>
                <w:b/>
                <w:noProof/>
                <w:sz w:val="22"/>
                <w:szCs w:val="22"/>
                <w:lang w:eastAsia="en-GB"/>
              </w:rPr>
              <w:t xml:space="preserve"> 89.30 </w:t>
            </w:r>
          </w:p>
        </w:tc>
      </w:tr>
      <w:tr w:rsidR="00446B0D">
        <w:trPr>
          <w:trHeight w:val="300"/>
        </w:trPr>
        <w:tc>
          <w:tcPr>
            <w:tcW w:w="3828" w:type="dxa"/>
            <w:shd w:val="clear" w:color="auto" w:fill="auto"/>
            <w:noWrap/>
            <w:vAlign w:val="bottom"/>
          </w:tcPr>
          <w:p w:rsidR="00446B0D" w:rsidRDefault="008F1B69">
            <w:pPr>
              <w:spacing w:before="0" w:after="0"/>
              <w:rPr>
                <w:noProof/>
                <w:sz w:val="22"/>
                <w:szCs w:val="22"/>
                <w:lang w:eastAsia="en-GB"/>
              </w:rPr>
            </w:pPr>
            <w:r>
              <w:rPr>
                <w:noProof/>
                <w:sz w:val="22"/>
                <w:szCs w:val="22"/>
                <w:lang w:eastAsia="en-GB"/>
              </w:rPr>
              <w:t>Conferences, seminars and digital forensics training</w:t>
            </w:r>
          </w:p>
        </w:tc>
        <w:tc>
          <w:tcPr>
            <w:tcW w:w="1417" w:type="dxa"/>
            <w:shd w:val="clear" w:color="auto" w:fill="auto"/>
            <w:noWrap/>
            <w:vAlign w:val="bottom"/>
          </w:tcPr>
          <w:p w:rsidR="00446B0D" w:rsidRDefault="00446B0D">
            <w:pPr>
              <w:spacing w:before="0" w:after="0"/>
              <w:rPr>
                <w:noProof/>
                <w:sz w:val="22"/>
                <w:szCs w:val="22"/>
                <w:lang w:eastAsia="en-GB"/>
              </w:rPr>
            </w:pPr>
          </w:p>
        </w:tc>
        <w:tc>
          <w:tcPr>
            <w:tcW w:w="1418" w:type="dxa"/>
            <w:shd w:val="clear" w:color="auto" w:fill="auto"/>
            <w:noWrap/>
            <w:vAlign w:val="center"/>
          </w:tcPr>
          <w:p w:rsidR="00446B0D" w:rsidRDefault="00446B0D">
            <w:pPr>
              <w:spacing w:before="0" w:after="0"/>
              <w:jc w:val="right"/>
              <w:rPr>
                <w:noProof/>
                <w:sz w:val="22"/>
                <w:szCs w:val="22"/>
                <w:lang w:eastAsia="en-GB"/>
              </w:rPr>
            </w:pPr>
          </w:p>
        </w:tc>
        <w:tc>
          <w:tcPr>
            <w:tcW w:w="1417" w:type="dxa"/>
            <w:shd w:val="clear" w:color="auto" w:fill="auto"/>
            <w:noWrap/>
            <w:vAlign w:val="center"/>
          </w:tcPr>
          <w:p w:rsidR="00446B0D" w:rsidRDefault="00446B0D">
            <w:pPr>
              <w:spacing w:before="0" w:after="0"/>
              <w:jc w:val="right"/>
              <w:rPr>
                <w:noProof/>
                <w:sz w:val="22"/>
                <w:szCs w:val="22"/>
              </w:rPr>
            </w:pPr>
          </w:p>
        </w:tc>
        <w:tc>
          <w:tcPr>
            <w:tcW w:w="992" w:type="dxa"/>
            <w:shd w:val="clear" w:color="auto" w:fill="auto"/>
            <w:noWrap/>
            <w:vAlign w:val="center"/>
          </w:tcPr>
          <w:p w:rsidR="00446B0D" w:rsidRDefault="00446B0D">
            <w:pPr>
              <w:spacing w:before="0" w:after="0"/>
              <w:jc w:val="right"/>
              <w:rPr>
                <w:noProof/>
                <w:sz w:val="22"/>
                <w:szCs w:val="22"/>
                <w:lang w:eastAsia="en-GB"/>
              </w:rPr>
            </w:pPr>
          </w:p>
        </w:tc>
      </w:tr>
      <w:tr w:rsidR="00446B0D">
        <w:trPr>
          <w:trHeight w:val="300"/>
        </w:trPr>
        <w:tc>
          <w:tcPr>
            <w:tcW w:w="3828" w:type="dxa"/>
            <w:shd w:val="clear" w:color="auto" w:fill="auto"/>
            <w:noWrap/>
            <w:vAlign w:val="bottom"/>
          </w:tcPr>
          <w:p w:rsidR="00446B0D" w:rsidRDefault="008F1B69">
            <w:pPr>
              <w:spacing w:before="0" w:after="0"/>
              <w:rPr>
                <w:noProof/>
                <w:sz w:val="22"/>
                <w:szCs w:val="22"/>
                <w:lang w:eastAsia="en-GB"/>
              </w:rPr>
            </w:pPr>
            <w:r>
              <w:rPr>
                <w:noProof/>
                <w:sz w:val="22"/>
                <w:szCs w:val="22"/>
                <w:lang w:eastAsia="en-GB"/>
              </w:rPr>
              <w:t xml:space="preserve">            Training </w:t>
            </w:r>
          </w:p>
        </w:tc>
        <w:tc>
          <w:tcPr>
            <w:tcW w:w="1417" w:type="dxa"/>
            <w:shd w:val="clear" w:color="auto" w:fill="auto"/>
            <w:noWrap/>
            <w:vAlign w:val="bottom"/>
          </w:tcPr>
          <w:p w:rsidR="00446B0D" w:rsidRDefault="008F1B69">
            <w:pPr>
              <w:spacing w:before="0" w:after="0"/>
              <w:rPr>
                <w:noProof/>
                <w:sz w:val="22"/>
                <w:szCs w:val="22"/>
                <w:lang w:eastAsia="en-GB"/>
              </w:rPr>
            </w:pPr>
            <w:r>
              <w:rPr>
                <w:noProof/>
                <w:sz w:val="22"/>
                <w:szCs w:val="22"/>
                <w:lang w:eastAsia="en-GB"/>
              </w:rPr>
              <w:t>Grants</w:t>
            </w:r>
          </w:p>
        </w:tc>
        <w:tc>
          <w:tcPr>
            <w:tcW w:w="1418" w:type="dxa"/>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900 000</w:t>
            </w:r>
          </w:p>
        </w:tc>
        <w:tc>
          <w:tcPr>
            <w:tcW w:w="1417" w:type="dxa"/>
            <w:shd w:val="clear" w:color="auto" w:fill="auto"/>
            <w:noWrap/>
            <w:vAlign w:val="center"/>
          </w:tcPr>
          <w:p w:rsidR="00446B0D" w:rsidRDefault="008F1B69">
            <w:pPr>
              <w:spacing w:before="0" w:after="0"/>
              <w:jc w:val="right"/>
              <w:rPr>
                <w:noProof/>
                <w:sz w:val="22"/>
                <w:szCs w:val="22"/>
                <w:lang w:eastAsia="en-GB"/>
              </w:rPr>
            </w:pPr>
            <w:r>
              <w:rPr>
                <w:noProof/>
                <w:sz w:val="22"/>
                <w:szCs w:val="22"/>
              </w:rPr>
              <w:t>621 747</w:t>
            </w:r>
          </w:p>
        </w:tc>
        <w:tc>
          <w:tcPr>
            <w:tcW w:w="992" w:type="dxa"/>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69.08</w:t>
            </w:r>
          </w:p>
        </w:tc>
      </w:tr>
      <w:tr w:rsidR="00446B0D">
        <w:trPr>
          <w:trHeight w:val="300"/>
        </w:trPr>
        <w:tc>
          <w:tcPr>
            <w:tcW w:w="3828" w:type="dxa"/>
            <w:shd w:val="clear" w:color="auto" w:fill="auto"/>
            <w:noWrap/>
            <w:vAlign w:val="bottom"/>
          </w:tcPr>
          <w:p w:rsidR="00446B0D" w:rsidRDefault="008F1B69">
            <w:pPr>
              <w:spacing w:before="0" w:after="0"/>
              <w:rPr>
                <w:noProof/>
                <w:sz w:val="22"/>
                <w:szCs w:val="22"/>
                <w:lang w:eastAsia="en-GB"/>
              </w:rPr>
            </w:pPr>
            <w:r>
              <w:rPr>
                <w:noProof/>
                <w:sz w:val="22"/>
                <w:szCs w:val="22"/>
                <w:lang w:eastAsia="en-GB"/>
              </w:rPr>
              <w:t xml:space="preserve">            Conferences </w:t>
            </w:r>
          </w:p>
        </w:tc>
        <w:tc>
          <w:tcPr>
            <w:tcW w:w="1417" w:type="dxa"/>
            <w:shd w:val="clear" w:color="auto" w:fill="auto"/>
            <w:noWrap/>
            <w:vAlign w:val="bottom"/>
          </w:tcPr>
          <w:p w:rsidR="00446B0D" w:rsidRDefault="008F1B69">
            <w:pPr>
              <w:spacing w:before="0" w:after="0"/>
              <w:rPr>
                <w:noProof/>
                <w:sz w:val="22"/>
                <w:szCs w:val="22"/>
                <w:lang w:eastAsia="en-GB"/>
              </w:rPr>
            </w:pPr>
            <w:r>
              <w:rPr>
                <w:noProof/>
                <w:sz w:val="22"/>
                <w:szCs w:val="22"/>
                <w:lang w:eastAsia="en-GB"/>
              </w:rPr>
              <w:t>Procurement</w:t>
            </w:r>
          </w:p>
        </w:tc>
        <w:tc>
          <w:tcPr>
            <w:tcW w:w="1418" w:type="dxa"/>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1 100 000</w:t>
            </w:r>
          </w:p>
        </w:tc>
        <w:tc>
          <w:tcPr>
            <w:tcW w:w="1417" w:type="dxa"/>
            <w:shd w:val="clear" w:color="auto" w:fill="auto"/>
            <w:noWrap/>
            <w:vAlign w:val="center"/>
          </w:tcPr>
          <w:p w:rsidR="00446B0D" w:rsidRDefault="008F1B69">
            <w:pPr>
              <w:spacing w:before="0" w:after="0"/>
              <w:jc w:val="right"/>
              <w:rPr>
                <w:noProof/>
                <w:sz w:val="22"/>
                <w:szCs w:val="22"/>
                <w:lang w:eastAsia="en-GB"/>
              </w:rPr>
            </w:pPr>
            <w:r>
              <w:rPr>
                <w:noProof/>
                <w:sz w:val="22"/>
                <w:szCs w:val="22"/>
              </w:rPr>
              <w:t>1 184 132</w:t>
            </w:r>
          </w:p>
        </w:tc>
        <w:tc>
          <w:tcPr>
            <w:tcW w:w="992" w:type="dxa"/>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107.65</w:t>
            </w:r>
          </w:p>
        </w:tc>
      </w:tr>
      <w:tr w:rsidR="00446B0D">
        <w:trPr>
          <w:trHeight w:val="300"/>
        </w:trPr>
        <w:tc>
          <w:tcPr>
            <w:tcW w:w="3828" w:type="dxa"/>
            <w:shd w:val="clear" w:color="auto" w:fill="auto"/>
            <w:noWrap/>
            <w:vAlign w:val="bottom"/>
          </w:tcPr>
          <w:p w:rsidR="00446B0D" w:rsidRDefault="008F1B69">
            <w:pPr>
              <w:spacing w:before="0" w:after="0"/>
              <w:rPr>
                <w:noProof/>
                <w:sz w:val="22"/>
                <w:szCs w:val="22"/>
                <w:lang w:eastAsia="en-GB"/>
              </w:rPr>
            </w:pPr>
            <w:r>
              <w:rPr>
                <w:noProof/>
                <w:sz w:val="22"/>
                <w:szCs w:val="22"/>
                <w:lang w:eastAsia="en-GB"/>
              </w:rPr>
              <w:t xml:space="preserve">            Forensic training</w:t>
            </w:r>
          </w:p>
        </w:tc>
        <w:tc>
          <w:tcPr>
            <w:tcW w:w="1417" w:type="dxa"/>
            <w:shd w:val="clear" w:color="auto" w:fill="auto"/>
            <w:noWrap/>
            <w:vAlign w:val="bottom"/>
          </w:tcPr>
          <w:p w:rsidR="00446B0D" w:rsidRDefault="008F1B69">
            <w:pPr>
              <w:spacing w:before="0" w:after="0"/>
              <w:rPr>
                <w:noProof/>
                <w:sz w:val="22"/>
                <w:szCs w:val="22"/>
                <w:lang w:eastAsia="en-GB"/>
              </w:rPr>
            </w:pPr>
            <w:r>
              <w:rPr>
                <w:noProof/>
                <w:sz w:val="22"/>
                <w:szCs w:val="22"/>
                <w:lang w:eastAsia="en-GB"/>
              </w:rPr>
              <w:t>Procurement</w:t>
            </w:r>
          </w:p>
        </w:tc>
        <w:tc>
          <w:tcPr>
            <w:tcW w:w="1418" w:type="dxa"/>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800 000</w:t>
            </w:r>
          </w:p>
        </w:tc>
        <w:tc>
          <w:tcPr>
            <w:tcW w:w="1417" w:type="dxa"/>
            <w:shd w:val="clear" w:color="auto" w:fill="auto"/>
            <w:noWrap/>
            <w:vAlign w:val="center"/>
          </w:tcPr>
          <w:p w:rsidR="00446B0D" w:rsidRDefault="008F1B69">
            <w:pPr>
              <w:spacing w:before="0" w:after="0"/>
              <w:jc w:val="right"/>
              <w:rPr>
                <w:noProof/>
                <w:sz w:val="22"/>
                <w:szCs w:val="22"/>
                <w:lang w:eastAsia="en-GB"/>
              </w:rPr>
            </w:pPr>
            <w:r>
              <w:rPr>
                <w:bCs/>
                <w:noProof/>
                <w:sz w:val="22"/>
                <w:szCs w:val="22"/>
              </w:rPr>
              <w:t>734 640</w:t>
            </w:r>
          </w:p>
        </w:tc>
        <w:tc>
          <w:tcPr>
            <w:tcW w:w="992" w:type="dxa"/>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91.83</w:t>
            </w:r>
          </w:p>
        </w:tc>
      </w:tr>
      <w:tr w:rsidR="00446B0D">
        <w:trPr>
          <w:trHeight w:val="300"/>
        </w:trPr>
        <w:tc>
          <w:tcPr>
            <w:tcW w:w="3828" w:type="dxa"/>
            <w:shd w:val="clear" w:color="auto" w:fill="auto"/>
            <w:noWrap/>
            <w:vAlign w:val="bottom"/>
          </w:tcPr>
          <w:p w:rsidR="00446B0D" w:rsidRDefault="008F1B69">
            <w:pPr>
              <w:spacing w:before="0" w:after="0"/>
              <w:rPr>
                <w:noProof/>
                <w:sz w:val="22"/>
                <w:szCs w:val="22"/>
                <w:lang w:eastAsia="en-GB"/>
              </w:rPr>
            </w:pPr>
            <w:r>
              <w:rPr>
                <w:noProof/>
                <w:sz w:val="22"/>
                <w:szCs w:val="22"/>
                <w:lang w:eastAsia="en-GB"/>
              </w:rPr>
              <w:t>Legal training and studies</w:t>
            </w:r>
          </w:p>
        </w:tc>
        <w:tc>
          <w:tcPr>
            <w:tcW w:w="1417" w:type="dxa"/>
            <w:shd w:val="clear" w:color="auto" w:fill="auto"/>
            <w:noWrap/>
            <w:vAlign w:val="bottom"/>
          </w:tcPr>
          <w:p w:rsidR="00446B0D" w:rsidRDefault="00446B0D">
            <w:pPr>
              <w:spacing w:before="0" w:after="0"/>
              <w:rPr>
                <w:noProof/>
                <w:sz w:val="22"/>
                <w:szCs w:val="22"/>
                <w:lang w:eastAsia="en-GB"/>
              </w:rPr>
            </w:pPr>
          </w:p>
        </w:tc>
        <w:tc>
          <w:tcPr>
            <w:tcW w:w="1418" w:type="dxa"/>
            <w:shd w:val="clear" w:color="auto" w:fill="auto"/>
            <w:noWrap/>
            <w:vAlign w:val="center"/>
          </w:tcPr>
          <w:p w:rsidR="00446B0D" w:rsidRDefault="00446B0D">
            <w:pPr>
              <w:spacing w:before="0" w:after="0"/>
              <w:jc w:val="right"/>
              <w:rPr>
                <w:noProof/>
                <w:sz w:val="22"/>
                <w:szCs w:val="22"/>
                <w:lang w:eastAsia="en-GB"/>
              </w:rPr>
            </w:pPr>
          </w:p>
        </w:tc>
        <w:tc>
          <w:tcPr>
            <w:tcW w:w="1417" w:type="dxa"/>
            <w:shd w:val="clear" w:color="auto" w:fill="auto"/>
            <w:noWrap/>
            <w:vAlign w:val="center"/>
          </w:tcPr>
          <w:p w:rsidR="00446B0D" w:rsidRDefault="00446B0D">
            <w:pPr>
              <w:spacing w:before="0" w:after="0"/>
              <w:jc w:val="right"/>
              <w:rPr>
                <w:bCs/>
                <w:noProof/>
                <w:sz w:val="22"/>
                <w:szCs w:val="22"/>
              </w:rPr>
            </w:pPr>
          </w:p>
        </w:tc>
        <w:tc>
          <w:tcPr>
            <w:tcW w:w="992" w:type="dxa"/>
            <w:shd w:val="clear" w:color="auto" w:fill="auto"/>
            <w:noWrap/>
            <w:vAlign w:val="center"/>
          </w:tcPr>
          <w:p w:rsidR="00446B0D" w:rsidRDefault="00446B0D">
            <w:pPr>
              <w:spacing w:before="0" w:after="0"/>
              <w:jc w:val="right"/>
              <w:rPr>
                <w:noProof/>
                <w:sz w:val="22"/>
                <w:szCs w:val="22"/>
                <w:lang w:eastAsia="en-GB"/>
              </w:rPr>
            </w:pPr>
          </w:p>
        </w:tc>
      </w:tr>
      <w:tr w:rsidR="00446B0D">
        <w:trPr>
          <w:trHeight w:val="300"/>
        </w:trPr>
        <w:tc>
          <w:tcPr>
            <w:tcW w:w="3828" w:type="dxa"/>
            <w:tcBorders>
              <w:bottom w:val="single" w:sz="8" w:space="0" w:color="auto"/>
            </w:tcBorders>
            <w:shd w:val="clear" w:color="auto" w:fill="auto"/>
            <w:noWrap/>
            <w:vAlign w:val="bottom"/>
          </w:tcPr>
          <w:p w:rsidR="00446B0D" w:rsidRDefault="00446B0D">
            <w:pPr>
              <w:spacing w:before="0" w:after="0"/>
              <w:rPr>
                <w:noProof/>
                <w:sz w:val="22"/>
                <w:szCs w:val="22"/>
                <w:lang w:eastAsia="en-GB"/>
              </w:rPr>
            </w:pPr>
          </w:p>
        </w:tc>
        <w:tc>
          <w:tcPr>
            <w:tcW w:w="1417" w:type="dxa"/>
            <w:tcBorders>
              <w:bottom w:val="single" w:sz="8" w:space="0" w:color="auto"/>
            </w:tcBorders>
            <w:shd w:val="clear" w:color="auto" w:fill="auto"/>
            <w:noWrap/>
            <w:vAlign w:val="bottom"/>
          </w:tcPr>
          <w:p w:rsidR="00446B0D" w:rsidRDefault="008F1B69">
            <w:pPr>
              <w:spacing w:before="0" w:after="0"/>
              <w:rPr>
                <w:noProof/>
                <w:sz w:val="22"/>
                <w:szCs w:val="22"/>
                <w:lang w:eastAsia="en-GB"/>
              </w:rPr>
            </w:pPr>
            <w:r>
              <w:rPr>
                <w:noProof/>
                <w:sz w:val="22"/>
                <w:szCs w:val="22"/>
                <w:lang w:eastAsia="en-GB"/>
              </w:rPr>
              <w:t>Grants</w:t>
            </w:r>
          </w:p>
        </w:tc>
        <w:tc>
          <w:tcPr>
            <w:tcW w:w="1418" w:type="dxa"/>
            <w:tcBorders>
              <w:bottom w:val="single" w:sz="8" w:space="0" w:color="auto"/>
            </w:tcBorders>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550 000</w:t>
            </w:r>
          </w:p>
        </w:tc>
        <w:tc>
          <w:tcPr>
            <w:tcW w:w="1417" w:type="dxa"/>
            <w:tcBorders>
              <w:bottom w:val="single" w:sz="8" w:space="0" w:color="auto"/>
            </w:tcBorders>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495 668</w:t>
            </w:r>
          </w:p>
        </w:tc>
        <w:tc>
          <w:tcPr>
            <w:tcW w:w="992" w:type="dxa"/>
            <w:tcBorders>
              <w:bottom w:val="single" w:sz="8" w:space="0" w:color="auto"/>
            </w:tcBorders>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90.12</w:t>
            </w:r>
          </w:p>
        </w:tc>
      </w:tr>
      <w:tr w:rsidR="00446B0D">
        <w:trPr>
          <w:trHeight w:val="300"/>
        </w:trPr>
        <w:tc>
          <w:tcPr>
            <w:tcW w:w="3828" w:type="dxa"/>
            <w:tcBorders>
              <w:bottom w:val="single" w:sz="8" w:space="0" w:color="auto"/>
            </w:tcBorders>
            <w:shd w:val="clear" w:color="auto" w:fill="auto"/>
            <w:noWrap/>
            <w:vAlign w:val="bottom"/>
          </w:tcPr>
          <w:p w:rsidR="00446B0D" w:rsidRDefault="00446B0D">
            <w:pPr>
              <w:spacing w:before="0" w:after="0"/>
              <w:rPr>
                <w:noProof/>
                <w:sz w:val="22"/>
                <w:szCs w:val="22"/>
                <w:lang w:eastAsia="en-GB"/>
              </w:rPr>
            </w:pPr>
          </w:p>
        </w:tc>
        <w:tc>
          <w:tcPr>
            <w:tcW w:w="1417" w:type="dxa"/>
            <w:tcBorders>
              <w:bottom w:val="single" w:sz="8" w:space="0" w:color="auto"/>
            </w:tcBorders>
            <w:shd w:val="clear" w:color="auto" w:fill="auto"/>
            <w:noWrap/>
            <w:vAlign w:val="bottom"/>
          </w:tcPr>
          <w:p w:rsidR="00446B0D" w:rsidRDefault="008F1B69">
            <w:pPr>
              <w:spacing w:before="0" w:after="0"/>
              <w:rPr>
                <w:noProof/>
                <w:sz w:val="22"/>
                <w:szCs w:val="22"/>
                <w:lang w:eastAsia="en-GB"/>
              </w:rPr>
            </w:pPr>
            <w:r>
              <w:rPr>
                <w:noProof/>
                <w:sz w:val="22"/>
                <w:szCs w:val="22"/>
                <w:lang w:eastAsia="en-GB"/>
              </w:rPr>
              <w:t>Procurement</w:t>
            </w:r>
          </w:p>
        </w:tc>
        <w:tc>
          <w:tcPr>
            <w:tcW w:w="1418" w:type="dxa"/>
            <w:tcBorders>
              <w:bottom w:val="single" w:sz="8" w:space="0" w:color="auto"/>
            </w:tcBorders>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 xml:space="preserve">50 000 </w:t>
            </w:r>
          </w:p>
        </w:tc>
        <w:tc>
          <w:tcPr>
            <w:tcW w:w="1417" w:type="dxa"/>
            <w:tcBorders>
              <w:bottom w:val="single" w:sz="8" w:space="0" w:color="auto"/>
            </w:tcBorders>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0</w:t>
            </w:r>
          </w:p>
        </w:tc>
        <w:tc>
          <w:tcPr>
            <w:tcW w:w="992" w:type="dxa"/>
            <w:tcBorders>
              <w:bottom w:val="single" w:sz="8" w:space="0" w:color="auto"/>
            </w:tcBorders>
            <w:shd w:val="clear" w:color="auto" w:fill="auto"/>
            <w:noWrap/>
            <w:vAlign w:val="center"/>
          </w:tcPr>
          <w:p w:rsidR="00446B0D" w:rsidRDefault="008F1B69">
            <w:pPr>
              <w:spacing w:before="0" w:after="0"/>
              <w:jc w:val="right"/>
              <w:rPr>
                <w:noProof/>
                <w:sz w:val="22"/>
                <w:szCs w:val="22"/>
                <w:lang w:eastAsia="en-GB"/>
              </w:rPr>
            </w:pPr>
            <w:r>
              <w:rPr>
                <w:noProof/>
                <w:sz w:val="22"/>
                <w:szCs w:val="22"/>
                <w:lang w:eastAsia="en-GB"/>
              </w:rPr>
              <w:t>0.00</w:t>
            </w:r>
          </w:p>
        </w:tc>
      </w:tr>
      <w:tr w:rsidR="00446B0D">
        <w:trPr>
          <w:trHeight w:val="300"/>
        </w:trPr>
        <w:tc>
          <w:tcPr>
            <w:tcW w:w="3828" w:type="dxa"/>
            <w:tcBorders>
              <w:bottom w:val="single" w:sz="8" w:space="0" w:color="auto"/>
            </w:tcBorders>
            <w:shd w:val="clear" w:color="auto" w:fill="auto"/>
            <w:noWrap/>
            <w:vAlign w:val="bottom"/>
          </w:tcPr>
          <w:p w:rsidR="00446B0D" w:rsidRDefault="00446B0D">
            <w:pPr>
              <w:spacing w:before="0" w:after="0"/>
              <w:rPr>
                <w:noProof/>
                <w:sz w:val="22"/>
                <w:szCs w:val="22"/>
                <w:lang w:eastAsia="en-GB"/>
              </w:rPr>
            </w:pPr>
          </w:p>
        </w:tc>
        <w:tc>
          <w:tcPr>
            <w:tcW w:w="1417" w:type="dxa"/>
            <w:tcBorders>
              <w:bottom w:val="single" w:sz="8" w:space="0" w:color="auto"/>
            </w:tcBorders>
            <w:shd w:val="clear" w:color="auto" w:fill="auto"/>
            <w:noWrap/>
            <w:vAlign w:val="bottom"/>
          </w:tcPr>
          <w:p w:rsidR="00446B0D" w:rsidRDefault="00446B0D">
            <w:pPr>
              <w:spacing w:before="0" w:after="0"/>
              <w:rPr>
                <w:noProof/>
                <w:sz w:val="22"/>
                <w:szCs w:val="22"/>
                <w:lang w:eastAsia="en-GB"/>
              </w:rPr>
            </w:pPr>
          </w:p>
        </w:tc>
        <w:tc>
          <w:tcPr>
            <w:tcW w:w="1418" w:type="dxa"/>
            <w:tcBorders>
              <w:bottom w:val="single" w:sz="8" w:space="0" w:color="auto"/>
            </w:tcBorders>
            <w:shd w:val="clear" w:color="auto" w:fill="auto"/>
            <w:noWrap/>
            <w:vAlign w:val="center"/>
          </w:tcPr>
          <w:p w:rsidR="00446B0D" w:rsidRDefault="00446B0D">
            <w:pPr>
              <w:spacing w:before="0" w:after="0"/>
              <w:jc w:val="right"/>
              <w:rPr>
                <w:noProof/>
                <w:sz w:val="22"/>
                <w:szCs w:val="22"/>
                <w:lang w:eastAsia="en-GB"/>
              </w:rPr>
            </w:pPr>
          </w:p>
        </w:tc>
        <w:tc>
          <w:tcPr>
            <w:tcW w:w="1417" w:type="dxa"/>
            <w:tcBorders>
              <w:bottom w:val="single" w:sz="8" w:space="0" w:color="auto"/>
            </w:tcBorders>
            <w:shd w:val="clear" w:color="auto" w:fill="auto"/>
            <w:noWrap/>
            <w:vAlign w:val="center"/>
          </w:tcPr>
          <w:p w:rsidR="00446B0D" w:rsidRDefault="00446B0D">
            <w:pPr>
              <w:spacing w:before="0" w:after="0"/>
              <w:jc w:val="right"/>
              <w:rPr>
                <w:noProof/>
                <w:sz w:val="22"/>
                <w:szCs w:val="22"/>
                <w:lang w:eastAsia="en-GB"/>
              </w:rPr>
            </w:pPr>
          </w:p>
        </w:tc>
        <w:tc>
          <w:tcPr>
            <w:tcW w:w="992" w:type="dxa"/>
            <w:tcBorders>
              <w:bottom w:val="single" w:sz="8" w:space="0" w:color="auto"/>
            </w:tcBorders>
            <w:shd w:val="clear" w:color="auto" w:fill="auto"/>
            <w:noWrap/>
            <w:vAlign w:val="center"/>
          </w:tcPr>
          <w:p w:rsidR="00446B0D" w:rsidRDefault="00446B0D">
            <w:pPr>
              <w:spacing w:before="0" w:after="0"/>
              <w:jc w:val="right"/>
              <w:rPr>
                <w:noProof/>
                <w:sz w:val="22"/>
                <w:szCs w:val="22"/>
                <w:lang w:eastAsia="en-GB"/>
              </w:rPr>
            </w:pPr>
          </w:p>
        </w:tc>
      </w:tr>
      <w:tr w:rsidR="00446B0D">
        <w:trPr>
          <w:trHeight w:val="300"/>
        </w:trPr>
        <w:tc>
          <w:tcPr>
            <w:tcW w:w="3828" w:type="dxa"/>
            <w:shd w:val="clear" w:color="auto" w:fill="C6D9F1" w:themeFill="text2" w:themeFillTint="33"/>
            <w:noWrap/>
            <w:vAlign w:val="bottom"/>
          </w:tcPr>
          <w:p w:rsidR="00446B0D" w:rsidRDefault="008F1B69">
            <w:pPr>
              <w:spacing w:before="0" w:after="0"/>
              <w:rPr>
                <w:b/>
                <w:noProof/>
                <w:sz w:val="22"/>
                <w:szCs w:val="22"/>
                <w:lang w:eastAsia="en-GB"/>
              </w:rPr>
            </w:pPr>
            <w:r>
              <w:rPr>
                <w:b/>
                <w:noProof/>
                <w:sz w:val="22"/>
                <w:szCs w:val="22"/>
                <w:lang w:eastAsia="en-GB"/>
              </w:rPr>
              <w:t>OTHER ACTIONS</w:t>
            </w:r>
          </w:p>
        </w:tc>
        <w:tc>
          <w:tcPr>
            <w:tcW w:w="1417" w:type="dxa"/>
            <w:shd w:val="clear" w:color="auto" w:fill="C6D9F1" w:themeFill="text2" w:themeFillTint="33"/>
            <w:noWrap/>
            <w:vAlign w:val="bottom"/>
          </w:tcPr>
          <w:p w:rsidR="00446B0D" w:rsidRDefault="00446B0D">
            <w:pPr>
              <w:spacing w:before="0" w:after="0"/>
              <w:rPr>
                <w:noProof/>
                <w:sz w:val="22"/>
                <w:szCs w:val="22"/>
                <w:lang w:eastAsia="en-GB"/>
              </w:rPr>
            </w:pPr>
          </w:p>
        </w:tc>
        <w:tc>
          <w:tcPr>
            <w:tcW w:w="1418" w:type="dxa"/>
            <w:shd w:val="clear" w:color="auto" w:fill="C6D9F1" w:themeFill="text2" w:themeFillTint="33"/>
            <w:noWrap/>
            <w:vAlign w:val="center"/>
          </w:tcPr>
          <w:p w:rsidR="00446B0D" w:rsidRDefault="008F1B69">
            <w:pPr>
              <w:spacing w:before="0" w:after="0"/>
              <w:jc w:val="right"/>
              <w:rPr>
                <w:b/>
                <w:noProof/>
                <w:sz w:val="22"/>
                <w:szCs w:val="22"/>
                <w:lang w:eastAsia="en-GB"/>
              </w:rPr>
            </w:pPr>
            <w:r>
              <w:rPr>
                <w:b/>
                <w:noProof/>
                <w:sz w:val="22"/>
                <w:szCs w:val="22"/>
                <w:lang w:eastAsia="en-GB"/>
              </w:rPr>
              <w:t>27 700</w:t>
            </w:r>
          </w:p>
        </w:tc>
        <w:tc>
          <w:tcPr>
            <w:tcW w:w="1417" w:type="dxa"/>
            <w:shd w:val="clear" w:color="auto" w:fill="C6D9F1" w:themeFill="text2" w:themeFillTint="33"/>
            <w:noWrap/>
            <w:vAlign w:val="center"/>
          </w:tcPr>
          <w:p w:rsidR="00446B0D" w:rsidRDefault="008F1B69">
            <w:pPr>
              <w:spacing w:before="0" w:after="0"/>
              <w:jc w:val="right"/>
              <w:rPr>
                <w:b/>
                <w:noProof/>
                <w:sz w:val="22"/>
                <w:szCs w:val="22"/>
                <w:lang w:eastAsia="en-GB"/>
              </w:rPr>
            </w:pPr>
            <w:r>
              <w:rPr>
                <w:b/>
                <w:noProof/>
                <w:sz w:val="22"/>
                <w:szCs w:val="22"/>
                <w:lang w:eastAsia="en-GB"/>
              </w:rPr>
              <w:t>0</w:t>
            </w:r>
          </w:p>
        </w:tc>
        <w:tc>
          <w:tcPr>
            <w:tcW w:w="992" w:type="dxa"/>
            <w:shd w:val="clear" w:color="auto" w:fill="C6D9F1" w:themeFill="text2" w:themeFillTint="33"/>
            <w:noWrap/>
            <w:vAlign w:val="center"/>
          </w:tcPr>
          <w:p w:rsidR="00446B0D" w:rsidRDefault="008F1B69">
            <w:pPr>
              <w:spacing w:before="0" w:after="0"/>
              <w:jc w:val="right"/>
              <w:rPr>
                <w:b/>
                <w:noProof/>
                <w:sz w:val="22"/>
                <w:szCs w:val="22"/>
                <w:lang w:eastAsia="en-GB"/>
              </w:rPr>
            </w:pPr>
            <w:r>
              <w:rPr>
                <w:b/>
                <w:noProof/>
                <w:sz w:val="22"/>
                <w:szCs w:val="22"/>
                <w:lang w:eastAsia="en-GB"/>
              </w:rPr>
              <w:t>0.00</w:t>
            </w:r>
          </w:p>
        </w:tc>
      </w:tr>
      <w:tr w:rsidR="00446B0D">
        <w:trPr>
          <w:trHeight w:val="315"/>
        </w:trPr>
        <w:tc>
          <w:tcPr>
            <w:tcW w:w="5245" w:type="dxa"/>
            <w:gridSpan w:val="2"/>
            <w:shd w:val="clear" w:color="000000" w:fill="B8CCE4"/>
            <w:noWrap/>
            <w:vAlign w:val="center"/>
          </w:tcPr>
          <w:p w:rsidR="00446B0D" w:rsidRDefault="008F1B69">
            <w:pPr>
              <w:spacing w:before="0" w:after="0"/>
              <w:rPr>
                <w:noProof/>
                <w:sz w:val="22"/>
                <w:szCs w:val="22"/>
                <w:lang w:eastAsia="en-GB"/>
              </w:rPr>
            </w:pPr>
            <w:r>
              <w:rPr>
                <w:b/>
                <w:bCs/>
                <w:noProof/>
                <w:sz w:val="22"/>
                <w:szCs w:val="22"/>
                <w:lang w:eastAsia="en-GB"/>
              </w:rPr>
              <w:t>TOTAL 2014</w:t>
            </w:r>
          </w:p>
        </w:tc>
        <w:tc>
          <w:tcPr>
            <w:tcW w:w="1418" w:type="dxa"/>
            <w:shd w:val="clear" w:color="000000" w:fill="B8CCE4"/>
            <w:noWrap/>
            <w:vAlign w:val="center"/>
          </w:tcPr>
          <w:p w:rsidR="00446B0D" w:rsidRDefault="008F1B69">
            <w:pPr>
              <w:spacing w:before="0" w:after="0"/>
              <w:jc w:val="right"/>
              <w:rPr>
                <w:b/>
                <w:bCs/>
                <w:noProof/>
                <w:sz w:val="22"/>
                <w:szCs w:val="22"/>
                <w:lang w:eastAsia="en-GB"/>
              </w:rPr>
            </w:pPr>
            <w:r>
              <w:rPr>
                <w:b/>
                <w:bCs/>
                <w:noProof/>
                <w:sz w:val="22"/>
                <w:szCs w:val="22"/>
                <w:lang w:eastAsia="en-GB"/>
              </w:rPr>
              <w:t>13 677 700</w:t>
            </w:r>
          </w:p>
        </w:tc>
        <w:tc>
          <w:tcPr>
            <w:tcW w:w="1417" w:type="dxa"/>
            <w:shd w:val="clear" w:color="000000" w:fill="B8CCE4"/>
            <w:noWrap/>
            <w:vAlign w:val="center"/>
          </w:tcPr>
          <w:p w:rsidR="00446B0D" w:rsidRDefault="008F1B69">
            <w:pPr>
              <w:spacing w:before="0" w:after="0"/>
              <w:jc w:val="right"/>
              <w:rPr>
                <w:b/>
                <w:bCs/>
                <w:noProof/>
                <w:sz w:val="22"/>
                <w:szCs w:val="22"/>
                <w:lang w:eastAsia="en-GB"/>
              </w:rPr>
            </w:pPr>
            <w:r>
              <w:rPr>
                <w:b/>
                <w:bCs/>
                <w:noProof/>
                <w:sz w:val="22"/>
                <w:szCs w:val="22"/>
                <w:lang w:eastAsia="en-GB"/>
              </w:rPr>
              <w:t>13 676 023</w:t>
            </w:r>
          </w:p>
        </w:tc>
        <w:tc>
          <w:tcPr>
            <w:tcW w:w="992" w:type="dxa"/>
            <w:shd w:val="clear" w:color="000000" w:fill="B8CCE4"/>
            <w:noWrap/>
            <w:vAlign w:val="center"/>
          </w:tcPr>
          <w:p w:rsidR="00446B0D" w:rsidRDefault="008F1B69">
            <w:pPr>
              <w:spacing w:before="0" w:after="0"/>
              <w:jc w:val="right"/>
              <w:rPr>
                <w:b/>
                <w:noProof/>
                <w:sz w:val="22"/>
                <w:szCs w:val="22"/>
                <w:lang w:eastAsia="en-GB"/>
              </w:rPr>
            </w:pPr>
            <w:r>
              <w:rPr>
                <w:b/>
                <w:noProof/>
                <w:sz w:val="22"/>
                <w:szCs w:val="22"/>
                <w:lang w:eastAsia="en-GB"/>
              </w:rPr>
              <w:t xml:space="preserve">  99.99</w:t>
            </w:r>
          </w:p>
        </w:tc>
      </w:tr>
    </w:tbl>
    <w:p w:rsidR="00446B0D" w:rsidRDefault="008F1B69">
      <w:pPr>
        <w:rPr>
          <w:bCs/>
          <w:noProof/>
        </w:rPr>
      </w:pPr>
      <w:r>
        <w:rPr>
          <w:noProof/>
        </w:rPr>
        <w:t xml:space="preserve">The information in the table above only relates to commitments. </w:t>
      </w:r>
      <w:r>
        <w:rPr>
          <w:b/>
          <w:bCs/>
          <w:noProof/>
        </w:rPr>
        <w:t>Payments</w:t>
      </w:r>
      <w:r>
        <w:rPr>
          <w:bCs/>
          <w:noProof/>
        </w:rPr>
        <w:t xml:space="preserve"> under the grant agreements and most of the contracts committed in 2014 cannot be reported on as most of the payments were only made in 2015.</w:t>
      </w:r>
    </w:p>
    <w:p w:rsidR="00446B0D" w:rsidRDefault="008F1B69">
      <w:pPr>
        <w:pStyle w:val="ManualHeading2"/>
        <w:rPr>
          <w:noProof/>
        </w:rPr>
      </w:pPr>
      <w:bookmarkStart w:id="13" w:name="_Toc421687689"/>
      <w:bookmarkStart w:id="14" w:name="_Toc423960193"/>
      <w:r>
        <w:tab/>
      </w:r>
      <w:r>
        <w:rPr>
          <w:noProof/>
        </w:rPr>
        <w:t>2.1</w:t>
      </w:r>
      <w:r>
        <w:rPr>
          <w:noProof/>
        </w:rPr>
        <w:tab/>
        <w:t>Budget implementation by type of financial</w:t>
      </w:r>
      <w:bookmarkEnd w:id="13"/>
      <w:r>
        <w:rPr>
          <w:noProof/>
        </w:rPr>
        <w:t xml:space="preserve"> intervention</w:t>
      </w:r>
      <w:bookmarkEnd w:id="14"/>
    </w:p>
    <w:p w:rsidR="00446B0D" w:rsidRDefault="008F1B69">
      <w:pPr>
        <w:rPr>
          <w:noProof/>
        </w:rPr>
      </w:pPr>
      <w:r>
        <w:rPr>
          <w:noProof/>
        </w:rPr>
        <w:t>The types of financial intervention</w:t>
      </w:r>
      <w:r>
        <w:rPr>
          <w:rStyle w:val="FootnoteReference"/>
          <w:noProof/>
        </w:rPr>
        <w:footnoteReference w:id="12"/>
      </w:r>
      <w:r>
        <w:rPr>
          <w:noProof/>
        </w:rPr>
        <w:t xml:space="preserve"> for implementing</w:t>
      </w:r>
      <w:r>
        <w:rPr>
          <w:noProof/>
        </w:rPr>
        <w:t xml:space="preserve"> the Programme were </w:t>
      </w:r>
      <w:r>
        <w:rPr>
          <w:b/>
          <w:noProof/>
        </w:rPr>
        <w:t>public procurement</w:t>
      </w:r>
      <w:r>
        <w:rPr>
          <w:noProof/>
        </w:rPr>
        <w:t xml:space="preserve"> (contracts) and </w:t>
      </w:r>
      <w:r>
        <w:rPr>
          <w:b/>
          <w:noProof/>
        </w:rPr>
        <w:t>grants</w:t>
      </w:r>
      <w:r>
        <w:rPr>
          <w:noProof/>
        </w:rPr>
        <w:t>. Contracts were concluded between the Commission and one or more economic operators on the basis of Title V of the Financial Regulation (FR)</w:t>
      </w:r>
      <w:r>
        <w:rPr>
          <w:rStyle w:val="FootnoteReference"/>
          <w:noProof/>
        </w:rPr>
        <w:footnoteReference w:id="13"/>
      </w:r>
      <w:r>
        <w:rPr>
          <w:noProof/>
        </w:rPr>
        <w:t xml:space="preserve"> for the purchase of goods or services, such as acces</w:t>
      </w:r>
      <w:r>
        <w:rPr>
          <w:noProof/>
        </w:rPr>
        <w:t>s to databases or the development of IT systems. The Commission has availed itself of the possibility to conclude framework contracts (FWC)</w:t>
      </w:r>
      <w:r>
        <w:rPr>
          <w:rStyle w:val="FootnoteReference"/>
          <w:noProof/>
        </w:rPr>
        <w:footnoteReference w:id="14"/>
      </w:r>
      <w:r>
        <w:rPr>
          <w:noProof/>
        </w:rPr>
        <w:t>, the purpose of which is to establish the terms governing specific contracts to be awarded during a given period. I</w:t>
      </w:r>
      <w:r>
        <w:rPr>
          <w:noProof/>
        </w:rPr>
        <w:t>n 2014, several specific contracts were concluded under existing FWCs amounting overall to EUR 4 750 000 (as shown in Graph 1) for the purchase of IT support (including access to databases) and the organisation of conferences and training events.</w:t>
      </w:r>
    </w:p>
    <w:p w:rsidR="00446B0D" w:rsidRDefault="008F1B69">
      <w:pPr>
        <w:rPr>
          <w:noProof/>
        </w:rPr>
      </w:pPr>
      <w:r>
        <w:rPr>
          <w:noProof/>
        </w:rPr>
        <w:lastRenderedPageBreak/>
        <w:t>Grants ar</w:t>
      </w:r>
      <w:r>
        <w:rPr>
          <w:noProof/>
        </w:rPr>
        <w:t>e direct contributions to finance an action intended to help achieve an EU policy objective. Grants are awarded following a call for proposals, inviting applicants to submit a proposal for an action that, in the case of the Hercule Programme, helps in achi</w:t>
      </w:r>
      <w:r>
        <w:rPr>
          <w:noProof/>
        </w:rPr>
        <w:t>eving the Programme’s objectives. The beneficiary of a grant becomes the legal and economic owner of the goods or services that are purchased with the help of the grant. Under the Programme, grants covering up to 80 % of the eligible costs</w:t>
      </w:r>
      <w:r>
        <w:rPr>
          <w:rStyle w:val="FootnoteReference"/>
          <w:noProof/>
        </w:rPr>
        <w:footnoteReference w:id="15"/>
      </w:r>
      <w:r>
        <w:rPr>
          <w:noProof/>
        </w:rPr>
        <w:t xml:space="preserve"> can be awarded.</w:t>
      </w:r>
      <w:r>
        <w:rPr>
          <w:noProof/>
        </w:rPr>
        <w:t xml:space="preserve"> In exceptional and duly justified cases</w:t>
      </w:r>
      <w:r>
        <w:rPr>
          <w:rStyle w:val="FootnoteReference"/>
          <w:noProof/>
        </w:rPr>
        <w:footnoteReference w:id="16"/>
      </w:r>
      <w:r>
        <w:rPr>
          <w:noProof/>
        </w:rPr>
        <w:t>, the Commission can award grants covering up to 90 % of the eligible costs. In 2014, the overall budget for grants was EUR 8 900 000. The Commission launched three calls for proposals in June 2014 (Technical assist</w:t>
      </w:r>
      <w:r>
        <w:rPr>
          <w:noProof/>
        </w:rPr>
        <w:t>ance, Legal training and Training &amp; Conferences), which eventually led to the award of 44 grants in 2014 and 2015.</w:t>
      </w:r>
    </w:p>
    <w:p w:rsidR="00446B0D" w:rsidRDefault="008F1B69">
      <w:pPr>
        <w:rPr>
          <w:noProof/>
        </w:rPr>
      </w:pPr>
      <w:r>
        <w:rPr>
          <w:noProof/>
        </w:rPr>
        <w:t>The graphs below give a breakdown of the budget (planned) and achieved commitments in 2014 by type of financial intervention and by type of e</w:t>
      </w:r>
      <w:r>
        <w:rPr>
          <w:noProof/>
        </w:rPr>
        <w:t>ligible action.</w:t>
      </w:r>
    </w:p>
    <w:p w:rsidR="00446B0D" w:rsidRDefault="008F1B69">
      <w:pPr>
        <w:jc w:val="center"/>
        <w:rPr>
          <w:b/>
          <w:noProof/>
        </w:rPr>
      </w:pPr>
      <w:r>
        <w:rPr>
          <w:b/>
          <w:noProof/>
        </w:rPr>
        <w:t>Graph 1: Hercule III budget and commitments in 2014 by type of financial intervention</w:t>
      </w:r>
    </w:p>
    <w:p w:rsidR="00446B0D" w:rsidRDefault="008F1B69">
      <w:pPr>
        <w:rPr>
          <w:b/>
          <w:noProof/>
        </w:rPr>
      </w:pPr>
      <w:r>
        <w:rPr>
          <w:noProof/>
          <w:lang w:eastAsia="en-GB"/>
        </w:rPr>
        <w:drawing>
          <wp:inline distT="0" distB="0" distL="0" distR="0">
            <wp:extent cx="2811439" cy="1699146"/>
            <wp:effectExtent l="0" t="0" r="27305"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lang w:eastAsia="en-GB"/>
        </w:rPr>
        <w:drawing>
          <wp:inline distT="0" distB="0" distL="0" distR="0">
            <wp:extent cx="2845558" cy="1699146"/>
            <wp:effectExtent l="0" t="0" r="12065"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46B0D" w:rsidRDefault="008F1B69">
      <w:pPr>
        <w:jc w:val="center"/>
        <w:rPr>
          <w:b/>
          <w:noProof/>
        </w:rPr>
      </w:pPr>
      <w:r>
        <w:rPr>
          <w:b/>
          <w:noProof/>
        </w:rPr>
        <w:t>Graph 2: Hercule III budget and commitments in 2014 per type of eligible action</w:t>
      </w:r>
    </w:p>
    <w:p w:rsidR="00446B0D" w:rsidRDefault="008F1B69">
      <w:pPr>
        <w:rPr>
          <w:b/>
          <w:noProof/>
        </w:rPr>
      </w:pPr>
      <w:r>
        <w:rPr>
          <w:noProof/>
          <w:lang w:eastAsia="en-GB"/>
        </w:rPr>
        <w:drawing>
          <wp:inline distT="0" distB="0" distL="0" distR="0">
            <wp:extent cx="2811439" cy="1781033"/>
            <wp:effectExtent l="0" t="0" r="27305"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noProof/>
          <w:lang w:eastAsia="en-GB"/>
        </w:rPr>
        <w:t xml:space="preserve"> </w:t>
      </w:r>
      <w:r>
        <w:rPr>
          <w:noProof/>
          <w:lang w:eastAsia="en-GB"/>
        </w:rPr>
        <w:drawing>
          <wp:inline distT="0" distB="0" distL="0" distR="0">
            <wp:extent cx="2811439" cy="1774208"/>
            <wp:effectExtent l="0" t="0" r="27305" b="165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46B0D" w:rsidRDefault="008F1B69">
      <w:pPr>
        <w:rPr>
          <w:noProof/>
          <w:lang w:eastAsia="en-GB"/>
        </w:rPr>
      </w:pPr>
      <w:r>
        <w:rPr>
          <w:noProof/>
        </w:rPr>
        <w:t>Information on the calls was published in the Official Journal</w:t>
      </w:r>
      <w:r>
        <w:rPr>
          <w:rStyle w:val="FootnoteReference"/>
          <w:noProof/>
        </w:rPr>
        <w:footnoteReference w:id="17"/>
      </w:r>
      <w:r>
        <w:rPr>
          <w:noProof/>
        </w:rPr>
        <w:t xml:space="preserve">, on the Commission’s website and it was also transmitted to the members of the Advisory Committee for the Coordination of Fraud Prevention (COCOLAF). </w:t>
      </w:r>
      <w:r>
        <w:rPr>
          <w:noProof/>
          <w:lang w:eastAsia="en-GB"/>
        </w:rPr>
        <w:t>The grants were awarded after an Evaluation Committee had examined the submitted proposals (‘applications</w:t>
      </w:r>
      <w:r>
        <w:rPr>
          <w:noProof/>
          <w:lang w:eastAsia="en-GB"/>
        </w:rPr>
        <w:t>’) on the basis of four sets of criteria</w:t>
      </w:r>
      <w:r>
        <w:rPr>
          <w:rStyle w:val="FootnoteReference"/>
          <w:noProof/>
          <w:lang w:eastAsia="en-GB"/>
        </w:rPr>
        <w:footnoteReference w:id="18"/>
      </w:r>
      <w:r>
        <w:rPr>
          <w:noProof/>
          <w:lang w:eastAsia="en-GB"/>
        </w:rPr>
        <w:t>. These criteria had been listed in the calls to ensure that the Programme is implemented in accordance with the Financial Regulation</w:t>
      </w:r>
      <w:r>
        <w:rPr>
          <w:rStyle w:val="FootnoteReference"/>
          <w:noProof/>
          <w:lang w:eastAsia="en-GB"/>
        </w:rPr>
        <w:footnoteReference w:id="19"/>
      </w:r>
      <w:r>
        <w:rPr>
          <w:noProof/>
          <w:lang w:eastAsia="en-GB"/>
        </w:rPr>
        <w:t xml:space="preserve"> and its Rules of Application</w:t>
      </w:r>
      <w:r>
        <w:rPr>
          <w:rStyle w:val="FootnoteReference"/>
          <w:noProof/>
          <w:lang w:eastAsia="en-GB"/>
        </w:rPr>
        <w:footnoteReference w:id="20"/>
      </w:r>
      <w:r>
        <w:rPr>
          <w:noProof/>
          <w:lang w:eastAsia="en-GB"/>
        </w:rPr>
        <w:t xml:space="preserve"> and to ensure that </w:t>
      </w:r>
      <w:r>
        <w:rPr>
          <w:noProof/>
          <w:lang w:eastAsia="en-GB"/>
        </w:rPr>
        <w:lastRenderedPageBreak/>
        <w:t>the ‘best value for money’ is o</w:t>
      </w:r>
      <w:r>
        <w:rPr>
          <w:noProof/>
          <w:lang w:eastAsia="en-GB"/>
        </w:rPr>
        <w:t>btained for the actions to be funded under the grants. The award criteria were as follows:</w:t>
      </w:r>
    </w:p>
    <w:p w:rsidR="00446B0D" w:rsidRDefault="008F1B69">
      <w:pPr>
        <w:pStyle w:val="ListParagraph"/>
        <w:numPr>
          <w:ilvl w:val="0"/>
          <w:numId w:val="2"/>
        </w:numPr>
        <w:rPr>
          <w:lang w:eastAsia="en-GB"/>
        </w:rPr>
      </w:pPr>
      <w:r>
        <w:rPr>
          <w:lang w:eastAsia="en-GB"/>
        </w:rPr>
        <w:t>Added value of the application for protecting the financial interests of the European Union;</w:t>
      </w:r>
    </w:p>
    <w:p w:rsidR="00446B0D" w:rsidRDefault="008F1B69">
      <w:pPr>
        <w:pStyle w:val="ListParagraph"/>
        <w:numPr>
          <w:ilvl w:val="0"/>
          <w:numId w:val="2"/>
        </w:numPr>
        <w:rPr>
          <w:lang w:eastAsia="en-GB"/>
        </w:rPr>
      </w:pPr>
      <w:r>
        <w:rPr>
          <w:lang w:eastAsia="en-GB"/>
        </w:rPr>
        <w:t>Conformity with the operational objectives of the Programme;</w:t>
      </w:r>
    </w:p>
    <w:p w:rsidR="00446B0D" w:rsidRDefault="008F1B69">
      <w:pPr>
        <w:pStyle w:val="ListParagraph"/>
        <w:numPr>
          <w:ilvl w:val="0"/>
          <w:numId w:val="2"/>
        </w:numPr>
        <w:rPr>
          <w:lang w:eastAsia="en-GB"/>
        </w:rPr>
      </w:pPr>
      <w:r>
        <w:rPr>
          <w:lang w:eastAsia="en-GB"/>
        </w:rPr>
        <w:t>Quality;</w:t>
      </w:r>
    </w:p>
    <w:p w:rsidR="00446B0D" w:rsidRDefault="008F1B69">
      <w:pPr>
        <w:pStyle w:val="ListParagraph"/>
        <w:numPr>
          <w:ilvl w:val="0"/>
          <w:numId w:val="2"/>
        </w:numPr>
        <w:rPr>
          <w:lang w:eastAsia="en-GB"/>
        </w:rPr>
      </w:pPr>
      <w:r>
        <w:rPr>
          <w:lang w:eastAsia="en-GB"/>
        </w:rPr>
        <w:t>Va</w:t>
      </w:r>
      <w:r>
        <w:rPr>
          <w:lang w:eastAsia="en-GB"/>
        </w:rPr>
        <w:t xml:space="preserve">lue for money.  </w:t>
      </w:r>
    </w:p>
    <w:p w:rsidR="00446B0D" w:rsidRDefault="008F1B69">
      <w:pPr>
        <w:tabs>
          <w:tab w:val="left" w:pos="3901"/>
        </w:tabs>
        <w:rPr>
          <w:noProof/>
        </w:rPr>
      </w:pPr>
      <w:r>
        <w:rPr>
          <w:noProof/>
        </w:rPr>
        <w:t>The graph below gives an overview of the number and amounts of commitments made for grants in 2014 by Member State.</w:t>
      </w:r>
    </w:p>
    <w:p w:rsidR="00446B0D" w:rsidRDefault="008F1B69">
      <w:pPr>
        <w:tabs>
          <w:tab w:val="left" w:pos="3901"/>
        </w:tabs>
        <w:jc w:val="center"/>
        <w:rPr>
          <w:noProof/>
        </w:rPr>
      </w:pPr>
      <w:r>
        <w:rPr>
          <w:b/>
          <w:noProof/>
        </w:rPr>
        <w:t>Graph 3: Hercule III commitments and number of grants in 2014 by Member State</w:t>
      </w:r>
    </w:p>
    <w:p w:rsidR="00446B0D" w:rsidRDefault="008F1B69">
      <w:pPr>
        <w:rPr>
          <w:noProof/>
        </w:rPr>
      </w:pPr>
      <w:bookmarkStart w:id="15" w:name="_Toc421687690"/>
      <w:r>
        <w:rPr>
          <w:noProof/>
          <w:lang w:eastAsia="en-GB"/>
        </w:rPr>
        <w:drawing>
          <wp:inline distT="0" distB="0" distL="0" distR="0">
            <wp:extent cx="5760720" cy="3528946"/>
            <wp:effectExtent l="0" t="0" r="11430"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46B0D" w:rsidRDefault="008F1B69">
      <w:pPr>
        <w:pStyle w:val="ManualHeading2"/>
        <w:rPr>
          <w:noProof/>
        </w:rPr>
      </w:pPr>
      <w:bookmarkStart w:id="16" w:name="_Toc423960194"/>
      <w:r>
        <w:tab/>
      </w:r>
      <w:r>
        <w:rPr>
          <w:noProof/>
        </w:rPr>
        <w:t>2.2</w:t>
      </w:r>
      <w:r>
        <w:rPr>
          <w:noProof/>
        </w:rPr>
        <w:tab/>
        <w:t xml:space="preserve">Budget implementation by type of </w:t>
      </w:r>
      <w:bookmarkEnd w:id="15"/>
      <w:r>
        <w:rPr>
          <w:noProof/>
        </w:rPr>
        <w:t>eligible action</w:t>
      </w:r>
      <w:bookmarkEnd w:id="16"/>
    </w:p>
    <w:p w:rsidR="00446B0D" w:rsidRDefault="008F1B69">
      <w:pPr>
        <w:pStyle w:val="Heading3"/>
        <w:rPr>
          <w:rFonts w:ascii="Times New Roman" w:hAnsi="Times New Roman" w:cs="Times New Roman"/>
          <w:noProof/>
          <w:color w:val="auto"/>
        </w:rPr>
      </w:pPr>
      <w:bookmarkStart w:id="17" w:name="_Toc421687691"/>
      <w:bookmarkStart w:id="18" w:name="_Toc423960195"/>
      <w:r>
        <w:rPr>
          <w:rFonts w:ascii="Times New Roman" w:hAnsi="Times New Roman" w:cs="Times New Roman"/>
          <w:i/>
          <w:noProof/>
          <w:color w:val="auto"/>
        </w:rPr>
        <w:t xml:space="preserve">2.2.1 </w:t>
      </w:r>
      <w:r>
        <w:rPr>
          <w:rFonts w:ascii="Times New Roman" w:hAnsi="Times New Roman" w:cs="Times New Roman"/>
          <w:i/>
          <w:noProof/>
          <w:color w:val="auto"/>
        </w:rPr>
        <w:tab/>
        <w:t>Technical assistance grants</w:t>
      </w:r>
      <w:bookmarkEnd w:id="17"/>
      <w:bookmarkEnd w:id="18"/>
    </w:p>
    <w:p w:rsidR="00446B0D" w:rsidRDefault="008F1B69">
      <w:pPr>
        <w:rPr>
          <w:noProof/>
        </w:rPr>
      </w:pPr>
      <w:r>
        <w:rPr>
          <w:noProof/>
        </w:rPr>
        <w:t>The budget for technical assistance grants amounted to EUR 7 450 000 and was available for grants to support national and regional authorities seeking to purchase, implement and install special equipment a</w:t>
      </w:r>
      <w:r>
        <w:rPr>
          <w:noProof/>
        </w:rPr>
        <w:t>nd tools needed in the fight against fraud affecting the financial interests of the Union. This support included tools and devices for combating cigarette smuggling and counterfeiting. Examples of actions for which funding could be requested were</w:t>
      </w:r>
      <w:r>
        <w:rPr>
          <w:rStyle w:val="FootnoteReference"/>
          <w:noProof/>
        </w:rPr>
        <w:footnoteReference w:id="21"/>
      </w:r>
      <w:r>
        <w:rPr>
          <w:noProof/>
        </w:rPr>
        <w:t>:</w:t>
      </w:r>
    </w:p>
    <w:p w:rsidR="00446B0D" w:rsidRDefault="008F1B69">
      <w:pPr>
        <w:pStyle w:val="ListNumber2"/>
        <w:numPr>
          <w:ilvl w:val="0"/>
          <w:numId w:val="16"/>
        </w:numPr>
        <w:rPr>
          <w:noProof/>
        </w:rPr>
      </w:pPr>
      <w:r>
        <w:rPr>
          <w:noProof/>
        </w:rPr>
        <w:t>Purchas</w:t>
      </w:r>
      <w:r>
        <w:rPr>
          <w:noProof/>
        </w:rPr>
        <w:t>e and maintenance of investigational tools and methods, including specialised training in their use;</w:t>
      </w:r>
    </w:p>
    <w:p w:rsidR="00446B0D" w:rsidRDefault="008F1B69">
      <w:pPr>
        <w:pStyle w:val="ListNumber2"/>
        <w:numPr>
          <w:ilvl w:val="0"/>
          <w:numId w:val="0"/>
        </w:numPr>
        <w:ind w:left="1080"/>
        <w:rPr>
          <w:noProof/>
        </w:rPr>
      </w:pPr>
      <w:r>
        <w:rPr>
          <w:noProof/>
        </w:rPr>
        <w:t>Purchase and maintenance of devices and animals to carry out inspections of containers, trucks, railway wagons and vehicles at the EU’s external borders to</w:t>
      </w:r>
      <w:r>
        <w:rPr>
          <w:noProof/>
        </w:rPr>
        <w:t xml:space="preserve"> detect smuggled and counterfeited goods;</w:t>
      </w:r>
    </w:p>
    <w:p w:rsidR="00446B0D" w:rsidRDefault="008F1B69">
      <w:pPr>
        <w:pStyle w:val="ListNumber2"/>
        <w:numPr>
          <w:ilvl w:val="0"/>
          <w:numId w:val="0"/>
        </w:numPr>
        <w:ind w:left="1202"/>
        <w:rPr>
          <w:noProof/>
        </w:rPr>
      </w:pPr>
      <w:r>
        <w:rPr>
          <w:noProof/>
        </w:rPr>
        <w:lastRenderedPageBreak/>
        <w:t>Purchase, maintenance and interconnection of systems for the recognition of vehicle number plates (Automated Number Plate Recognition Systems – ANPRS) or container codes. Specialised training needed to operate thes</w:t>
      </w:r>
      <w:r>
        <w:rPr>
          <w:noProof/>
        </w:rPr>
        <w:t>e systems is included;</w:t>
      </w:r>
    </w:p>
    <w:p w:rsidR="00446B0D" w:rsidRDefault="008F1B69">
      <w:pPr>
        <w:pStyle w:val="ListNumber2"/>
        <w:numPr>
          <w:ilvl w:val="0"/>
          <w:numId w:val="0"/>
        </w:numPr>
        <w:ind w:left="1202"/>
        <w:rPr>
          <w:noProof/>
        </w:rPr>
      </w:pPr>
      <w:r>
        <w:rPr>
          <w:noProof/>
        </w:rPr>
        <w:t xml:space="preserve"> Purchase of services to support Member States’ capacity to store and destroy seized cigarettes.  </w:t>
      </w:r>
    </w:p>
    <w:p w:rsidR="00446B0D" w:rsidRDefault="008F1B69">
      <w:pPr>
        <w:rPr>
          <w:noProof/>
        </w:rPr>
      </w:pPr>
      <w:r>
        <w:rPr>
          <w:noProof/>
        </w:rPr>
        <w:t>Following its June 2014 call for proposals, the Commission received, by the deadline of 1 September 2014, 83 applications from 26 diff</w:t>
      </w:r>
      <w:r>
        <w:rPr>
          <w:noProof/>
        </w:rPr>
        <w:t>erent Member States requesting a total amount of EUR 43 million, which was six times higher than the available budget of EUR 7.45 million. Once the submitted applications had been evaluated, 21 grants for an overall amount of EUR 8.7 million were awarded</w:t>
      </w:r>
      <w:r>
        <w:rPr>
          <w:rStyle w:val="FootnoteReference"/>
          <w:noProof/>
        </w:rPr>
        <w:footnoteReference w:id="22"/>
      </w:r>
      <w:r>
        <w:rPr>
          <w:noProof/>
        </w:rPr>
        <w:t>.</w:t>
      </w:r>
      <w:r>
        <w:rPr>
          <w:noProof/>
        </w:rPr>
        <w:t xml:space="preserve"> The average co-financing percentage for the awarded grants amounted to 80 % of the eligible costs of the action. The grants were awarded for the purchase of investigational equipment (including forensic equipment: 10 grants); the purchase of x-rays scanne</w:t>
      </w:r>
      <w:r>
        <w:rPr>
          <w:noProof/>
        </w:rPr>
        <w:t>rs (5 grants); and the purchase and training of sniffer dogs (2 grants). Automated Number Plate Recognition Systems (ANPRS) accounted for 3 grants and one grant was awarded for the destruction of seizures. Table 1 in Annex 1 gives an overview of the grants</w:t>
      </w:r>
      <w:r>
        <w:rPr>
          <w:noProof/>
        </w:rPr>
        <w:t xml:space="preserve"> and co-financing rate, the beneficiaries and the supported action.</w:t>
      </w:r>
    </w:p>
    <w:p w:rsidR="00446B0D" w:rsidRDefault="008F1B69">
      <w:pPr>
        <w:pStyle w:val="Heading3"/>
        <w:rPr>
          <w:rFonts w:ascii="Times New Roman" w:hAnsi="Times New Roman" w:cs="Times New Roman"/>
          <w:i/>
          <w:noProof/>
          <w:color w:val="auto"/>
        </w:rPr>
      </w:pPr>
      <w:bookmarkStart w:id="19" w:name="_Toc421687692"/>
      <w:bookmarkStart w:id="20" w:name="_Toc423960196"/>
      <w:r>
        <w:rPr>
          <w:rFonts w:ascii="Times New Roman" w:hAnsi="Times New Roman" w:cs="Times New Roman"/>
          <w:i/>
          <w:noProof/>
          <w:color w:val="auto"/>
        </w:rPr>
        <w:t xml:space="preserve">2.2.2 </w:t>
      </w:r>
      <w:r>
        <w:rPr>
          <w:rFonts w:ascii="Times New Roman" w:hAnsi="Times New Roman" w:cs="Times New Roman"/>
          <w:i/>
          <w:noProof/>
          <w:color w:val="auto"/>
        </w:rPr>
        <w:tab/>
        <w:t>IT support: Databases, IT tools and analyses of samples from tobacco seizures</w:t>
      </w:r>
      <w:bookmarkEnd w:id="19"/>
      <w:bookmarkEnd w:id="20"/>
    </w:p>
    <w:p w:rsidR="00446B0D" w:rsidRDefault="008F1B69">
      <w:pPr>
        <w:rPr>
          <w:i/>
          <w:noProof/>
        </w:rPr>
      </w:pPr>
      <w:r>
        <w:rPr>
          <w:i/>
          <w:noProof/>
        </w:rPr>
        <w:t>Databases</w:t>
      </w:r>
    </w:p>
    <w:p w:rsidR="00446B0D" w:rsidRDefault="008F1B69">
      <w:pPr>
        <w:rPr>
          <w:noProof/>
        </w:rPr>
      </w:pPr>
      <w:r>
        <w:rPr>
          <w:noProof/>
        </w:rPr>
        <w:t xml:space="preserve">The Programme provides funds to procure databases or subscription to databases for law </w:t>
      </w:r>
      <w:r>
        <w:rPr>
          <w:noProof/>
        </w:rPr>
        <w:t>enforcement authorities in the Member States in order to support their operations and investigations. The Commission procures and manages the access to databases, thus enabling substantial economies of scale. OLAF staff also use these databases for their i</w:t>
      </w:r>
      <w:r>
        <w:rPr>
          <w:noProof/>
        </w:rPr>
        <w:t>nvestigations. In 2014, the databases were purchased by making use of specific contracts under framework contracts concluded in 2011</w:t>
      </w:r>
      <w:r>
        <w:rPr>
          <w:rStyle w:val="FootnoteReference"/>
          <w:noProof/>
        </w:rPr>
        <w:footnoteReference w:id="23"/>
      </w:r>
      <w:r>
        <w:rPr>
          <w:noProof/>
        </w:rPr>
        <w:t>, 2012</w:t>
      </w:r>
      <w:r>
        <w:rPr>
          <w:rStyle w:val="FootnoteReference"/>
          <w:noProof/>
        </w:rPr>
        <w:footnoteReference w:id="24"/>
      </w:r>
      <w:r>
        <w:rPr>
          <w:noProof/>
        </w:rPr>
        <w:t xml:space="preserve"> and 2013</w:t>
      </w:r>
      <w:r>
        <w:rPr>
          <w:rStyle w:val="FootnoteReference"/>
          <w:noProof/>
        </w:rPr>
        <w:footnoteReference w:id="25"/>
      </w:r>
      <w:r>
        <w:rPr>
          <w:noProof/>
        </w:rPr>
        <w:t>. Table 3 in Annex I gives an overview of the contracts awarded in 2014.</w:t>
      </w:r>
    </w:p>
    <w:p w:rsidR="00446B0D" w:rsidRDefault="008F1B69">
      <w:pPr>
        <w:rPr>
          <w:i/>
          <w:noProof/>
        </w:rPr>
      </w:pPr>
      <w:bookmarkStart w:id="21" w:name="_Toc358287380"/>
      <w:r>
        <w:rPr>
          <w:i/>
          <w:noProof/>
        </w:rPr>
        <w:t xml:space="preserve">Development of specific IT tools </w:t>
      </w:r>
      <w:r>
        <w:rPr>
          <w:i/>
          <w:noProof/>
        </w:rPr>
        <w:t>for data analyses</w:t>
      </w:r>
      <w:bookmarkEnd w:id="21"/>
    </w:p>
    <w:p w:rsidR="00446B0D" w:rsidRDefault="008F1B69">
      <w:pPr>
        <w:pStyle w:val="Text1"/>
        <w:ind w:left="0"/>
        <w:rPr>
          <w:noProof/>
        </w:rPr>
      </w:pPr>
      <w:r>
        <w:rPr>
          <w:noProof/>
        </w:rPr>
        <w:t>Two projects for the analysis of ‘big data’ that were initiated under the Hercule II Programme were continued in 2014. The Automated Monitoring Tool (AMT) and Container Traffic (CONTRAFFIC) projects are being carried out by the Joint Rese</w:t>
      </w:r>
      <w:r>
        <w:rPr>
          <w:noProof/>
        </w:rPr>
        <w:t xml:space="preserve">arch Centre (JRC) under administrative arrangements. These two projects provide the appropriate tools for supporting investigations that need data and analyses on container movements (current and past), providing more realistic and effective scenarios for </w:t>
      </w:r>
      <w:r>
        <w:rPr>
          <w:noProof/>
        </w:rPr>
        <w:t>joint customs operations.</w:t>
      </w:r>
    </w:p>
    <w:p w:rsidR="00446B0D" w:rsidRDefault="008F1B69">
      <w:pPr>
        <w:pStyle w:val="Text1"/>
        <w:ind w:left="0"/>
        <w:rPr>
          <w:noProof/>
        </w:rPr>
      </w:pPr>
      <w:bookmarkStart w:id="22" w:name="_Toc358287381"/>
      <w:r>
        <w:rPr>
          <w:noProof/>
        </w:rPr>
        <w:t xml:space="preserve">The AMT generates automated alerts for outliers in trade data and can be used to monitor trade flows relevant to intelligence analyses and targeted controls by Member States’ customs authorities. The AMT has improved authorities’ </w:t>
      </w:r>
      <w:r>
        <w:rPr>
          <w:noProof/>
        </w:rPr>
        <w:t xml:space="preserve">ability to detect the undervaluation of imported goods and made them more efficient, freeing up human resources and time for other investigation work. However, the AMT is only expected to reach its full potential with improvements that aim at reducing the </w:t>
      </w:r>
      <w:r>
        <w:rPr>
          <w:noProof/>
        </w:rPr>
        <w:t>number of ‘false positive’ alerts. These improvements have only started under the Hercule III Programme and will be continued in 2015-2016.</w:t>
      </w:r>
    </w:p>
    <w:p w:rsidR="00446B0D" w:rsidRDefault="008F1B69">
      <w:pPr>
        <w:rPr>
          <w:noProof/>
        </w:rPr>
      </w:pPr>
      <w:r>
        <w:rPr>
          <w:noProof/>
        </w:rPr>
        <w:lastRenderedPageBreak/>
        <w:t>The CONTRAFFIC Single Administrative Document (CONTRAFFIC-SAD) analysis system is a pilot project run by the Commiss</w:t>
      </w:r>
      <w:r>
        <w:rPr>
          <w:noProof/>
        </w:rPr>
        <w:t>ion (OLAF and JRC) in collaboration with customs authorities in ten Member States. The aim of the project is to evaluate the feasibility and to demonstrate the effectiveness of using Container Status Messages data to identify imports of containerised goods</w:t>
      </w:r>
      <w:r>
        <w:rPr>
          <w:noProof/>
        </w:rPr>
        <w:t xml:space="preserve"> where the origin country is wrongly declared. The project is based on the CONTRAFFIC technology developed at the JRC in collaboration with OLAF over the last 10 years. The administrative arrangement for the CONTRAFFIC project was renewed in 2014 for an am</w:t>
      </w:r>
      <w:r>
        <w:rPr>
          <w:noProof/>
        </w:rPr>
        <w:t>ount of EUR 200 000 and runs until the end of July 2015. Section 3 contains examples of the results obtained in 2014 with the AMT and CONTRAFFIC tools.</w:t>
      </w:r>
    </w:p>
    <w:p w:rsidR="00446B0D" w:rsidRDefault="008F1B69">
      <w:pPr>
        <w:rPr>
          <w:i/>
          <w:noProof/>
        </w:rPr>
      </w:pPr>
      <w:r>
        <w:rPr>
          <w:i/>
          <w:noProof/>
        </w:rPr>
        <w:t>Tobacco analyses</w:t>
      </w:r>
      <w:bookmarkEnd w:id="22"/>
    </w:p>
    <w:p w:rsidR="00446B0D" w:rsidRDefault="008F1B69">
      <w:pPr>
        <w:pStyle w:val="Text1"/>
        <w:ind w:left="0"/>
        <w:rPr>
          <w:noProof/>
        </w:rPr>
      </w:pPr>
      <w:r>
        <w:rPr>
          <w:noProof/>
        </w:rPr>
        <w:t>The work programme provided for financial support to enable Member States’ customs auth</w:t>
      </w:r>
      <w:r>
        <w:rPr>
          <w:noProof/>
        </w:rPr>
        <w:t>orities  to carry out an additional analysis of samples taken from cigarettes and tobacco seizures. Under the Hercule II Programme, these analyses were carried out by a laboratory in Scotland. This contract expired in July 2014. The budget earmarked in thi</w:t>
      </w:r>
      <w:r>
        <w:rPr>
          <w:noProof/>
        </w:rPr>
        <w:t>s year for this activity was therefore added to the budget for technical assistance grants.</w:t>
      </w:r>
    </w:p>
    <w:p w:rsidR="00446B0D" w:rsidRDefault="008F1B69">
      <w:pPr>
        <w:pStyle w:val="Heading3"/>
        <w:rPr>
          <w:rFonts w:ascii="Times New Roman" w:hAnsi="Times New Roman" w:cs="Times New Roman"/>
          <w:i/>
          <w:noProof/>
          <w:color w:val="auto"/>
        </w:rPr>
      </w:pPr>
      <w:bookmarkStart w:id="23" w:name="_Toc358287373"/>
      <w:bookmarkStart w:id="24" w:name="_Toc421687693"/>
      <w:bookmarkStart w:id="25" w:name="_Toc423960197"/>
      <w:r>
        <w:rPr>
          <w:rFonts w:ascii="Times New Roman" w:hAnsi="Times New Roman" w:cs="Times New Roman"/>
          <w:i/>
          <w:noProof/>
          <w:color w:val="auto"/>
        </w:rPr>
        <w:t>2.2.3</w:t>
      </w:r>
      <w:r>
        <w:rPr>
          <w:rFonts w:ascii="Times New Roman" w:hAnsi="Times New Roman" w:cs="Times New Roman"/>
          <w:i/>
          <w:noProof/>
          <w:color w:val="auto"/>
        </w:rPr>
        <w:tab/>
        <w:t>Conferences, seminars and digital forensic training</w:t>
      </w:r>
      <w:bookmarkEnd w:id="23"/>
      <w:bookmarkEnd w:id="24"/>
      <w:bookmarkEnd w:id="25"/>
    </w:p>
    <w:p w:rsidR="00446B0D" w:rsidRDefault="008F1B69">
      <w:pPr>
        <w:rPr>
          <w:i/>
          <w:noProof/>
        </w:rPr>
      </w:pPr>
      <w:r>
        <w:rPr>
          <w:i/>
          <w:noProof/>
        </w:rPr>
        <w:t>Conferences organised under grants</w:t>
      </w:r>
    </w:p>
    <w:p w:rsidR="00446B0D" w:rsidRDefault="008F1B69">
      <w:pPr>
        <w:spacing w:before="0" w:after="0"/>
        <w:rPr>
          <w:noProof/>
        </w:rPr>
      </w:pPr>
      <w:r>
        <w:rPr>
          <w:noProof/>
          <w:lang w:eastAsia="en-GB"/>
        </w:rPr>
        <w:t xml:space="preserve">The training activities supported under the Programme aim at providing </w:t>
      </w:r>
      <w:r>
        <w:rPr>
          <w:noProof/>
          <w:lang w:eastAsia="en-GB"/>
        </w:rPr>
        <w:t>grants to beneficiaries in the Member States for the organisation of targeted specialised and risk analysis training workshops, seminars and conferences. This training is also intended to create networks between Member States, accession countries, candidat</w:t>
      </w:r>
      <w:r>
        <w:rPr>
          <w:noProof/>
          <w:lang w:eastAsia="en-GB"/>
        </w:rPr>
        <w:t>e countries, other third countries and international public organisations in order to facilitate exchange of information, experience and best practices. The key outcomes were:</w:t>
      </w:r>
    </w:p>
    <w:p w:rsidR="00446B0D" w:rsidRDefault="008F1B69">
      <w:pPr>
        <w:pStyle w:val="ListNumber2"/>
        <w:numPr>
          <w:ilvl w:val="0"/>
          <w:numId w:val="3"/>
        </w:numPr>
        <w:rPr>
          <w:noProof/>
        </w:rPr>
      </w:pPr>
      <w:r>
        <w:rPr>
          <w:noProof/>
        </w:rPr>
        <w:t xml:space="preserve">Improved skills and competences of law enforcement officials involved in fraud </w:t>
      </w:r>
      <w:r>
        <w:rPr>
          <w:noProof/>
        </w:rPr>
        <w:t>investigations;</w:t>
      </w:r>
    </w:p>
    <w:p w:rsidR="00446B0D" w:rsidRDefault="008F1B69">
      <w:pPr>
        <w:pStyle w:val="ListNumber2"/>
        <w:numPr>
          <w:ilvl w:val="0"/>
          <w:numId w:val="3"/>
        </w:numPr>
        <w:rPr>
          <w:noProof/>
        </w:rPr>
      </w:pPr>
      <w:r>
        <w:rPr>
          <w:noProof/>
        </w:rPr>
        <w:t>Increased awareness of fraud risk indicators (‘red flags’) and EU anti-fraud policy;</w:t>
      </w:r>
    </w:p>
    <w:p w:rsidR="00446B0D" w:rsidRDefault="008F1B69">
      <w:pPr>
        <w:pStyle w:val="ListNumber2"/>
        <w:numPr>
          <w:ilvl w:val="0"/>
          <w:numId w:val="3"/>
        </w:numPr>
        <w:rPr>
          <w:noProof/>
        </w:rPr>
      </w:pPr>
      <w:r>
        <w:rPr>
          <w:noProof/>
        </w:rPr>
        <w:t>More effective dissemination of specialised methodologies, tools and techniques to fight and prevent fraud, corruption and irregularities perpetrated again</w:t>
      </w:r>
      <w:r>
        <w:rPr>
          <w:noProof/>
        </w:rPr>
        <w:t>st the Union's financial interests.</w:t>
      </w:r>
    </w:p>
    <w:p w:rsidR="00446B0D" w:rsidRDefault="008F1B69">
      <w:pPr>
        <w:tabs>
          <w:tab w:val="left" w:pos="8460"/>
        </w:tabs>
        <w:rPr>
          <w:noProof/>
        </w:rPr>
      </w:pPr>
      <w:r>
        <w:rPr>
          <w:noProof/>
        </w:rPr>
        <w:t>The Commission received 29 applications from 14 Member States by the deadline of 15 September 2014. The aggregated budget of the 29 applications amounted to EUR 3.5 million, and the Commission was asked to contribute EUR</w:t>
      </w:r>
      <w:r>
        <w:rPr>
          <w:noProof/>
        </w:rPr>
        <w:t xml:space="preserve"> 2.8 million, whereas only EUR 0.9 was available. Following evaluation of the applications, the Commission eventually awarded 12 grants for an amount of EUR 621 747, with 17 applications being rejected. Table 4 in Annex 1 gives an overview of the grants an</w:t>
      </w:r>
      <w:r>
        <w:rPr>
          <w:noProof/>
        </w:rPr>
        <w:t>d co-financing rate, the beneficiaries and the supported action.</w:t>
      </w:r>
    </w:p>
    <w:p w:rsidR="00446B0D" w:rsidRDefault="008F1B69">
      <w:pPr>
        <w:rPr>
          <w:i/>
          <w:noProof/>
        </w:rPr>
      </w:pPr>
      <w:bookmarkStart w:id="26" w:name="_Toc358287374"/>
      <w:r>
        <w:rPr>
          <w:i/>
          <w:noProof/>
        </w:rPr>
        <w:t>Conferences under procurement</w:t>
      </w:r>
      <w:bookmarkEnd w:id="26"/>
    </w:p>
    <w:p w:rsidR="00446B0D" w:rsidRDefault="008F1B69">
      <w:pPr>
        <w:autoSpaceDE w:val="0"/>
        <w:autoSpaceDN w:val="0"/>
        <w:adjustRightInd w:val="0"/>
        <w:spacing w:before="0" w:after="0"/>
        <w:rPr>
          <w:noProof/>
        </w:rPr>
      </w:pPr>
      <w:r>
        <w:rPr>
          <w:noProof/>
        </w:rPr>
        <w:t xml:space="preserve">The Programme also gives financial support for the organisation by the Commission (OLAF) of </w:t>
      </w:r>
      <w:r>
        <w:rPr>
          <w:noProof/>
          <w:lang w:eastAsia="en-GB"/>
        </w:rPr>
        <w:t>high-level conferences and ad-hoc training activities focused on prot</w:t>
      </w:r>
      <w:r>
        <w:rPr>
          <w:noProof/>
          <w:lang w:eastAsia="en-GB"/>
        </w:rPr>
        <w:t>ection of the Union’s financial interests. T</w:t>
      </w:r>
      <w:r>
        <w:rPr>
          <w:noProof/>
        </w:rPr>
        <w:t>he Commission used the services of two firms</w:t>
      </w:r>
      <w:r>
        <w:rPr>
          <w:rStyle w:val="FootnoteReference"/>
          <w:noProof/>
        </w:rPr>
        <w:footnoteReference w:id="26"/>
      </w:r>
      <w:r>
        <w:rPr>
          <w:noProof/>
        </w:rPr>
        <w:t xml:space="preserve"> specialised in organising events under framework service contracts for the organisation of its conferences. The overall budget for conferences under procurement was E</w:t>
      </w:r>
      <w:r>
        <w:rPr>
          <w:noProof/>
        </w:rPr>
        <w:t>UR 1.1 million.</w:t>
      </w:r>
    </w:p>
    <w:p w:rsidR="00446B0D" w:rsidRDefault="008F1B69">
      <w:pPr>
        <w:rPr>
          <w:noProof/>
        </w:rPr>
      </w:pPr>
      <w:r>
        <w:rPr>
          <w:noProof/>
        </w:rPr>
        <w:lastRenderedPageBreak/>
        <w:t>Table 5 in Annex 1 provides an overview of the nine events that were procured by the Commission in 2014. The conferences under procurement included the organisation of the Task Group Cigarettes, the annual conference of fraud prosecutors, t</w:t>
      </w:r>
      <w:r>
        <w:rPr>
          <w:noProof/>
        </w:rPr>
        <w:t>raining seminars for AFCOS members and debriefings of joint customs operations (JCOs).</w:t>
      </w:r>
    </w:p>
    <w:p w:rsidR="00446B0D" w:rsidRDefault="008F1B69">
      <w:pPr>
        <w:rPr>
          <w:i/>
          <w:noProof/>
        </w:rPr>
      </w:pPr>
      <w:bookmarkStart w:id="27" w:name="_Toc358287375"/>
      <w:r>
        <w:rPr>
          <w:i/>
          <w:noProof/>
        </w:rPr>
        <w:t>Training under procurement: Computer forensics training</w:t>
      </w:r>
      <w:bookmarkEnd w:id="27"/>
    </w:p>
    <w:p w:rsidR="00446B0D" w:rsidRDefault="008F1B69">
      <w:pPr>
        <w:autoSpaceDE w:val="0"/>
        <w:autoSpaceDN w:val="0"/>
        <w:rPr>
          <w:noProof/>
        </w:rPr>
      </w:pPr>
      <w:r>
        <w:rPr>
          <w:noProof/>
        </w:rPr>
        <w:t>The Commission signed a specific contract for the organisation of nine digital forensic training courses during a</w:t>
      </w:r>
      <w:r>
        <w:rPr>
          <w:noProof/>
        </w:rPr>
        <w:t xml:space="preserve"> two-week training session in October 2014</w:t>
      </w:r>
      <w:r>
        <w:rPr>
          <w:rStyle w:val="FootnoteReference"/>
          <w:noProof/>
        </w:rPr>
        <w:footnoteReference w:id="27"/>
      </w:r>
      <w:r>
        <w:rPr>
          <w:noProof/>
        </w:rPr>
        <w:t>. The training was organised in Zagreb by a service provider</w:t>
      </w:r>
      <w:r>
        <w:rPr>
          <w:rStyle w:val="FootnoteReference"/>
          <w:noProof/>
        </w:rPr>
        <w:footnoteReference w:id="28"/>
      </w:r>
      <w:r>
        <w:rPr>
          <w:noProof/>
        </w:rPr>
        <w:t xml:space="preserve"> under a framework service contract concluded in 2013. The target audience consisted of staff employed by national or regional administrations of the Me</w:t>
      </w:r>
      <w:r>
        <w:rPr>
          <w:noProof/>
        </w:rPr>
        <w:t>mber States and third countries which promote stronger action to protect the Union's financial interests. The training courses were given by 44 trainers and were attended by 275 participants.</w:t>
      </w:r>
    </w:p>
    <w:p w:rsidR="00446B0D" w:rsidRDefault="008F1B69">
      <w:pPr>
        <w:autoSpaceDE w:val="0"/>
        <w:autoSpaceDN w:val="0"/>
        <w:spacing w:before="240"/>
        <w:rPr>
          <w:noProof/>
        </w:rPr>
      </w:pPr>
      <w:r>
        <w:rPr>
          <w:noProof/>
        </w:rPr>
        <w:t>The training session consisted of one basic and eight specialise</w:t>
      </w:r>
      <w:r>
        <w:rPr>
          <w:noProof/>
        </w:rPr>
        <w:t xml:space="preserve">d and advanced courses in digital forensics designed to enable the participants to improve their skills and competences in tools and software used to retrieve and secure data from computers, tablets, mobile phones or any other digital devices. The courses </w:t>
      </w:r>
      <w:r>
        <w:rPr>
          <w:noProof/>
        </w:rPr>
        <w:t>were developed by an international organisation of computer forensic experts</w:t>
      </w:r>
      <w:r>
        <w:rPr>
          <w:rStyle w:val="FootnoteReference"/>
          <w:noProof/>
        </w:rPr>
        <w:footnoteReference w:id="29"/>
      </w:r>
      <w:r>
        <w:rPr>
          <w:noProof/>
        </w:rPr>
        <w:t>, which also provided the trainers and ensured the quality control. At the end of the training sessions, the participants had to pass an exam to assess the newly acquired skills a</w:t>
      </w:r>
      <w:r>
        <w:rPr>
          <w:noProof/>
        </w:rPr>
        <w:t>nd competences. Most participants succeeded in passing these tests. The training sessions also gave the participants an opportunity to network and to exchange information and best practices in relation to computer forensic examinations.</w:t>
      </w:r>
    </w:p>
    <w:p w:rsidR="00446B0D" w:rsidRDefault="008F1B69">
      <w:pPr>
        <w:autoSpaceDE w:val="0"/>
        <w:autoSpaceDN w:val="0"/>
        <w:rPr>
          <w:noProof/>
        </w:rPr>
      </w:pPr>
      <w:r>
        <w:rPr>
          <w:noProof/>
        </w:rPr>
        <w:t>Overall, the 2014 t</w:t>
      </w:r>
      <w:r>
        <w:rPr>
          <w:noProof/>
        </w:rPr>
        <w:t>raining costs amounted to EUR 734 640, which included the training itself, accommodation as well as the travel costs for the participants.</w:t>
      </w:r>
    </w:p>
    <w:p w:rsidR="00446B0D" w:rsidRDefault="008F1B69">
      <w:pPr>
        <w:pStyle w:val="Heading3"/>
        <w:rPr>
          <w:rFonts w:ascii="Times New Roman" w:hAnsi="Times New Roman" w:cs="Times New Roman"/>
          <w:i/>
          <w:noProof/>
          <w:color w:val="auto"/>
        </w:rPr>
      </w:pPr>
      <w:bookmarkStart w:id="28" w:name="_Toc421687694"/>
      <w:bookmarkStart w:id="29" w:name="_Toc423960198"/>
      <w:r>
        <w:rPr>
          <w:rFonts w:ascii="Times New Roman" w:hAnsi="Times New Roman" w:cs="Times New Roman"/>
          <w:i/>
          <w:noProof/>
          <w:color w:val="auto"/>
        </w:rPr>
        <w:t>2.2.4</w:t>
      </w:r>
      <w:r>
        <w:rPr>
          <w:rFonts w:ascii="Times New Roman" w:hAnsi="Times New Roman" w:cs="Times New Roman"/>
          <w:i/>
          <w:noProof/>
          <w:color w:val="auto"/>
        </w:rPr>
        <w:tab/>
        <w:t>Legal training and studies</w:t>
      </w:r>
      <w:bookmarkEnd w:id="28"/>
      <w:bookmarkEnd w:id="29"/>
    </w:p>
    <w:p w:rsidR="00446B0D" w:rsidRDefault="008F1B69">
      <w:pPr>
        <w:rPr>
          <w:noProof/>
        </w:rPr>
      </w:pPr>
      <w:r>
        <w:rPr>
          <w:noProof/>
        </w:rPr>
        <w:t>Legal training and studies is a part of the training that aims at enhancing the degr</w:t>
      </w:r>
      <w:r>
        <w:rPr>
          <w:noProof/>
        </w:rPr>
        <w:t>ee of development of specific legal and judicial protection of the Union’s financial interests by promoting comparative law analyses. The following actions are supported:</w:t>
      </w:r>
    </w:p>
    <w:p w:rsidR="00446B0D" w:rsidRDefault="008F1B69">
      <w:pPr>
        <w:pStyle w:val="ListNumber2"/>
        <w:numPr>
          <w:ilvl w:val="0"/>
          <w:numId w:val="7"/>
        </w:numPr>
        <w:rPr>
          <w:noProof/>
        </w:rPr>
      </w:pPr>
      <w:r>
        <w:rPr>
          <w:noProof/>
        </w:rPr>
        <w:t>Development of high-profile research activities, including studies in comparative law</w:t>
      </w:r>
      <w:r>
        <w:rPr>
          <w:noProof/>
        </w:rPr>
        <w:t>;</w:t>
      </w:r>
    </w:p>
    <w:p w:rsidR="00446B0D" w:rsidRDefault="008F1B69">
      <w:pPr>
        <w:pStyle w:val="ListNumber2"/>
        <w:numPr>
          <w:ilvl w:val="0"/>
          <w:numId w:val="7"/>
        </w:numPr>
        <w:rPr>
          <w:noProof/>
        </w:rPr>
      </w:pPr>
      <w:r>
        <w:rPr>
          <w:noProof/>
        </w:rPr>
        <w:t xml:space="preserve">Improvement of cooperation between practitioners and academics (e.g. through conferences, seminars and workshops), including organisation of the annual meeting of the Presidents of the Associations for European Criminal Law and for the Protection of the </w:t>
      </w:r>
      <w:r>
        <w:rPr>
          <w:noProof/>
        </w:rPr>
        <w:t>Union’s financial interests;</w:t>
      </w:r>
    </w:p>
    <w:p w:rsidR="00446B0D" w:rsidRDefault="008F1B69">
      <w:pPr>
        <w:pStyle w:val="ListNumber2"/>
        <w:numPr>
          <w:ilvl w:val="0"/>
          <w:numId w:val="7"/>
        </w:numPr>
        <w:rPr>
          <w:noProof/>
        </w:rPr>
      </w:pPr>
      <w:r>
        <w:rPr>
          <w:noProof/>
        </w:rPr>
        <w:t>Raising awareness among the judiciary and other branches of the legal profession about the protection of the financial interests of the European Union, including the publication of relevant scientific knowledge.</w:t>
      </w:r>
    </w:p>
    <w:p w:rsidR="00446B0D" w:rsidRDefault="008F1B69">
      <w:pPr>
        <w:rPr>
          <w:noProof/>
        </w:rPr>
      </w:pPr>
      <w:r>
        <w:rPr>
          <w:noProof/>
        </w:rPr>
        <w:t xml:space="preserve">The Commission </w:t>
      </w:r>
      <w:r>
        <w:rPr>
          <w:noProof/>
        </w:rPr>
        <w:t>received 16</w:t>
      </w:r>
      <w:r>
        <w:rPr>
          <w:b/>
          <w:noProof/>
        </w:rPr>
        <w:t xml:space="preserve"> </w:t>
      </w:r>
      <w:r>
        <w:rPr>
          <w:noProof/>
        </w:rPr>
        <w:t xml:space="preserve">applications from eight Member States by the deadline in September 2014. The aggregated budget of the 16 actions amounted to EUR 1.2 million and the Commission was asked to contribute an amount of EUR 964 303 (79.2 % co-funding), whereas EUR </w:t>
      </w:r>
      <w:r>
        <w:rPr>
          <w:noProof/>
        </w:rPr>
        <w:t xml:space="preserve">550 000 was available. The Commission decided to award grants to eight applicants for an overall amount of EUR 495 668, with an average co-financing rate of 80 %. </w:t>
      </w:r>
      <w:r>
        <w:rPr>
          <w:noProof/>
        </w:rPr>
        <w:lastRenderedPageBreak/>
        <w:t>The grants were awarded among other things for the organisation of conferences on the Europea</w:t>
      </w:r>
      <w:r>
        <w:rPr>
          <w:noProof/>
        </w:rPr>
        <w:t>n Public Prosecutor, criminal and administrative investigation in the VAT area, as well as the publication of a periodical on the protection of the Union’s financial interests. Table 7 in Annex I gives an overview of the grants awarded in 2014.</w:t>
      </w:r>
    </w:p>
    <w:p w:rsidR="00446B0D" w:rsidRDefault="008F1B69">
      <w:pPr>
        <w:pStyle w:val="Heading1"/>
        <w:rPr>
          <w:noProof/>
        </w:rPr>
      </w:pPr>
      <w:bookmarkStart w:id="30" w:name="_Toc423960199"/>
      <w:r>
        <w:rPr>
          <w:noProof/>
        </w:rPr>
        <w:t>3.</w:t>
      </w:r>
      <w:r>
        <w:rPr>
          <w:noProof/>
        </w:rPr>
        <w:tab/>
        <w:t>Achievem</w:t>
      </w:r>
      <w:r>
        <w:rPr>
          <w:noProof/>
        </w:rPr>
        <w:t>ents 2014</w:t>
      </w:r>
      <w:bookmarkEnd w:id="30"/>
    </w:p>
    <w:p w:rsidR="00446B0D" w:rsidRDefault="008F1B69">
      <w:pPr>
        <w:rPr>
          <w:noProof/>
          <w:lang w:eastAsia="de-DE"/>
        </w:rPr>
      </w:pPr>
      <w:r>
        <w:rPr>
          <w:noProof/>
          <w:lang w:eastAsia="de-DE"/>
        </w:rPr>
        <w:t>The previous section looked at the grants and contracts awarded under the Programme in 2014. This section provides an overview of the main results achieved by the Programme’s beneficiaries using the equipment and services purchased with grant aid</w:t>
      </w:r>
      <w:r>
        <w:rPr>
          <w:noProof/>
          <w:lang w:eastAsia="de-DE"/>
        </w:rPr>
        <w:t>. As a condition for the final payment, beneficiaries have to submit a final technical report giving a summary of the results in terms of, for example, the number and value of seizures made with the newly purchased equipment, the number of persons under in</w:t>
      </w:r>
      <w:r>
        <w:rPr>
          <w:noProof/>
          <w:lang w:eastAsia="de-DE"/>
        </w:rPr>
        <w:t>vestigation or arrested and an estimate of the (prevented) losses to the national and the Union’s budget. For conferences, seminars and training events, the beneficiaries have to indicate the results of a mandatory survey amongst the participants to measur</w:t>
      </w:r>
      <w:r>
        <w:rPr>
          <w:noProof/>
          <w:lang w:eastAsia="de-DE"/>
        </w:rPr>
        <w:t>e the relevance and quality of the event. The final report must clearly indicate how the action contributed to the achievement of the Programme’s objectives. The report must also address any problems that occurred during the implementation of the action, s</w:t>
      </w:r>
      <w:r>
        <w:rPr>
          <w:noProof/>
          <w:lang w:eastAsia="de-DE"/>
        </w:rPr>
        <w:t>uch as delays in procurement procedures. For a technical assistance grant, the beneficiary has to submit a final implementation report one year after the formal closing date of the grant agreement.</w:t>
      </w:r>
    </w:p>
    <w:p w:rsidR="00446B0D" w:rsidRDefault="008F1B69">
      <w:pPr>
        <w:rPr>
          <w:noProof/>
          <w:lang w:eastAsia="de-DE"/>
        </w:rPr>
      </w:pPr>
      <w:r>
        <w:rPr>
          <w:noProof/>
          <w:lang w:eastAsia="de-DE"/>
        </w:rPr>
        <w:t>This section looks mainly at the results as reported in th</w:t>
      </w:r>
      <w:r>
        <w:rPr>
          <w:noProof/>
          <w:lang w:eastAsia="de-DE"/>
        </w:rPr>
        <w:t>e final reports on grants that were awarded before 2014, but they will be discussed in the light of the new Programme’s operational objectives</w:t>
      </w:r>
      <w:r>
        <w:rPr>
          <w:rStyle w:val="FootnoteReference"/>
          <w:noProof/>
        </w:rPr>
        <w:footnoteReference w:id="30"/>
      </w:r>
      <w:r>
        <w:rPr>
          <w:noProof/>
          <w:lang w:eastAsia="de-DE"/>
        </w:rPr>
        <w:t>.</w:t>
      </w:r>
    </w:p>
    <w:p w:rsidR="00446B0D" w:rsidRDefault="00446B0D">
      <w:pPr>
        <w:rPr>
          <w:noProof/>
          <w:lang w:eastAsia="de-DE"/>
        </w:rPr>
      </w:pPr>
    </w:p>
    <w:p w:rsidR="00446B0D" w:rsidRDefault="008F1B69">
      <w:pPr>
        <w:pStyle w:val="ManualHeading2"/>
        <w:rPr>
          <w:noProof/>
        </w:rPr>
      </w:pPr>
      <w:bookmarkStart w:id="31" w:name="_Toc423960200"/>
      <w:r>
        <w:tab/>
      </w:r>
      <w:r>
        <w:rPr>
          <w:noProof/>
        </w:rPr>
        <w:t>3.1</w:t>
      </w:r>
      <w:r>
        <w:rPr>
          <w:noProof/>
        </w:rPr>
        <w:tab/>
        <w:t>Improving the prevention and investigation of fraud and other illegal activities beyond current levels by</w:t>
      </w:r>
      <w:r>
        <w:rPr>
          <w:noProof/>
        </w:rPr>
        <w:t xml:space="preserve"> enhancing transnational and multi-disciplinary cooperation</w:t>
      </w:r>
      <w:r>
        <w:rPr>
          <w:rStyle w:val="FootnoteReference"/>
          <w:b w:val="0"/>
          <w:noProof/>
        </w:rPr>
        <w:footnoteReference w:id="31"/>
      </w:r>
      <w:bookmarkEnd w:id="31"/>
    </w:p>
    <w:p w:rsidR="00446B0D" w:rsidRDefault="008F1B69">
      <w:pPr>
        <w:autoSpaceDE w:val="0"/>
        <w:autoSpaceDN w:val="0"/>
        <w:adjustRightInd w:val="0"/>
        <w:rPr>
          <w:noProof/>
        </w:rPr>
      </w:pPr>
      <w:r>
        <w:rPr>
          <w:noProof/>
        </w:rPr>
        <w:t xml:space="preserve">All of the activities undertaken in this area contributed to achieving this operational objective. The specialised anti-fraud training </w:t>
      </w:r>
      <w:r>
        <w:rPr>
          <w:bCs/>
          <w:noProof/>
        </w:rPr>
        <w:t>ensured a far-reaching anti-fraud and anti-corruption campai</w:t>
      </w:r>
      <w:r>
        <w:rPr>
          <w:bCs/>
          <w:noProof/>
        </w:rPr>
        <w:t xml:space="preserve">gn across the EU and allowed wide </w:t>
      </w:r>
      <w:r>
        <w:rPr>
          <w:noProof/>
        </w:rPr>
        <w:t>dissemination of anti-fraud measures protecting the EU’s financial interests. The training seminars covered a wide range of disciplines, from fraud prevention and detection to combating the counterfeiting of cigarettes and</w:t>
      </w:r>
      <w:r>
        <w:rPr>
          <w:noProof/>
        </w:rPr>
        <w:t xml:space="preserve"> tobacco, and focused on laws and practices to prevent fraud with EU funds.</w:t>
      </w:r>
    </w:p>
    <w:p w:rsidR="00446B0D" w:rsidRDefault="008F1B69">
      <w:pPr>
        <w:keepNext/>
        <w:autoSpaceDE w:val="0"/>
        <w:autoSpaceDN w:val="0"/>
        <w:adjustRightInd w:val="0"/>
        <w:rPr>
          <w:noProof/>
        </w:rPr>
      </w:pPr>
      <w:r>
        <w:rPr>
          <w:noProof/>
        </w:rPr>
        <w:t>The main results of these actions are:</w:t>
      </w:r>
    </w:p>
    <w:p w:rsidR="00446B0D" w:rsidRDefault="008F1B69">
      <w:pPr>
        <w:pStyle w:val="Bullet0"/>
        <w:rPr>
          <w:noProof/>
        </w:rPr>
      </w:pPr>
      <w:r>
        <w:rPr>
          <w:noProof/>
        </w:rPr>
        <w:t>better understanding of modi operandi and knowledge obtained in the field of preventing and combating fraud detrimental to the EU’s financial</w:t>
      </w:r>
      <w:r>
        <w:rPr>
          <w:noProof/>
        </w:rPr>
        <w:t xml:space="preserve"> interests;</w:t>
      </w:r>
    </w:p>
    <w:p w:rsidR="00446B0D" w:rsidRDefault="008F1B69">
      <w:pPr>
        <w:pStyle w:val="Bullet0"/>
        <w:rPr>
          <w:noProof/>
        </w:rPr>
      </w:pPr>
      <w:r>
        <w:rPr>
          <w:noProof/>
        </w:rPr>
        <w:t>specific skills in prevention, detection and investigation in the fight against fraud;</w:t>
      </w:r>
    </w:p>
    <w:p w:rsidR="00446B0D" w:rsidRDefault="008F1B69">
      <w:pPr>
        <w:pStyle w:val="Bullet0"/>
        <w:rPr>
          <w:noProof/>
        </w:rPr>
      </w:pPr>
      <w:r>
        <w:rPr>
          <w:noProof/>
        </w:rPr>
        <w:t>input for further development and improvement of the activities of national organisations, including legislative work;</w:t>
      </w:r>
    </w:p>
    <w:p w:rsidR="00446B0D" w:rsidRDefault="008F1B69">
      <w:pPr>
        <w:pStyle w:val="Bullet0"/>
        <w:rPr>
          <w:noProof/>
        </w:rPr>
      </w:pPr>
      <w:r>
        <w:rPr>
          <w:noProof/>
        </w:rPr>
        <w:t>dissemination of information about the</w:t>
      </w:r>
      <w:r>
        <w:rPr>
          <w:noProof/>
        </w:rPr>
        <w:t xml:space="preserve"> latest developments, methods, techniques in the field of the fight against fraud and corruption; and</w:t>
      </w:r>
    </w:p>
    <w:p w:rsidR="00446B0D" w:rsidRDefault="008F1B69">
      <w:pPr>
        <w:pStyle w:val="Bullet0"/>
        <w:rPr>
          <w:noProof/>
        </w:rPr>
      </w:pPr>
      <w:r>
        <w:rPr>
          <w:noProof/>
        </w:rPr>
        <w:lastRenderedPageBreak/>
        <w:t>information obtained through networks established between organisations.</w:t>
      </w:r>
    </w:p>
    <w:p w:rsidR="00446B0D" w:rsidRDefault="008F1B69">
      <w:pPr>
        <w:rPr>
          <w:noProof/>
        </w:rPr>
      </w:pPr>
      <w:r>
        <w:rPr>
          <w:noProof/>
        </w:rPr>
        <w:t xml:space="preserve">Two examples of conferences and their results finalised in 2014 are given below. </w:t>
      </w:r>
      <w:r>
        <w:rPr>
          <w:noProof/>
        </w:rPr>
        <w:t>A comprehensive overview of the finalised training events is given in Annex I, Table 6 (training) and Table 8 (legal training):</w:t>
      </w:r>
    </w:p>
    <w:p w:rsidR="00446B0D" w:rsidRDefault="008F1B69">
      <w:pPr>
        <w:pBdr>
          <w:top w:val="single" w:sz="4" w:space="1" w:color="auto"/>
          <w:left w:val="single" w:sz="4" w:space="4" w:color="auto"/>
          <w:bottom w:val="single" w:sz="4" w:space="1" w:color="auto"/>
          <w:right w:val="single" w:sz="4" w:space="4" w:color="auto"/>
        </w:pBdr>
        <w:tabs>
          <w:tab w:val="left" w:pos="318"/>
        </w:tabs>
        <w:rPr>
          <w:bCs/>
          <w:noProof/>
        </w:rPr>
      </w:pPr>
      <w:r>
        <w:rPr>
          <w:b/>
          <w:bCs/>
          <w:noProof/>
        </w:rPr>
        <w:t>Transparency International Budapest</w:t>
      </w:r>
      <w:r>
        <w:rPr>
          <w:bCs/>
          <w:noProof/>
        </w:rPr>
        <w:t xml:space="preserve"> organised a two-day conference in Budapest in February on ‘</w:t>
      </w:r>
      <w:r>
        <w:rPr>
          <w:b/>
          <w:bCs/>
          <w:noProof/>
        </w:rPr>
        <w:t>Safeguarding EU funds against fra</w:t>
      </w:r>
      <w:r>
        <w:rPr>
          <w:b/>
          <w:bCs/>
          <w:noProof/>
        </w:rPr>
        <w:t>ud &amp; corruption through the civil control mechanism of Integrity Pacts</w:t>
      </w:r>
      <w:r>
        <w:rPr>
          <w:bCs/>
          <w:noProof/>
        </w:rPr>
        <w:t>’. The conference was attended by 41 participants from 12 Member States and it aimed at exploring the possibilities for safeguarding the Union’s financial interests by developing a corru</w:t>
      </w:r>
      <w:r>
        <w:rPr>
          <w:bCs/>
          <w:noProof/>
        </w:rPr>
        <w:t xml:space="preserve">ption-prevention tool for use in public procurement and contracting. One of the results of this conference was the publication of a handbook and a compendium  providing a toolbox for authorities to prevent and fight fraud and corruption.  </w:t>
      </w:r>
    </w:p>
    <w:p w:rsidR="00446B0D" w:rsidRDefault="00446B0D">
      <w:pPr>
        <w:tabs>
          <w:tab w:val="left" w:pos="318"/>
        </w:tabs>
        <w:spacing w:before="0" w:after="0"/>
        <w:rPr>
          <w:bCs/>
          <w:noProof/>
        </w:rPr>
      </w:pPr>
    </w:p>
    <w:tbl>
      <w:tblPr>
        <w:tblStyle w:val="TableGrid"/>
        <w:tblW w:w="0" w:type="auto"/>
        <w:tblLook w:val="04A0" w:firstRow="1" w:lastRow="0" w:firstColumn="1" w:lastColumn="0" w:noHBand="0" w:noVBand="1"/>
      </w:tblPr>
      <w:tblGrid>
        <w:gridCol w:w="9288"/>
      </w:tblGrid>
      <w:tr w:rsidR="00446B0D">
        <w:tc>
          <w:tcPr>
            <w:tcW w:w="9288" w:type="dxa"/>
          </w:tcPr>
          <w:p w:rsidR="00446B0D" w:rsidRDefault="008F1B69">
            <w:pPr>
              <w:tabs>
                <w:tab w:val="left" w:pos="318"/>
              </w:tabs>
              <w:spacing w:before="0" w:after="0"/>
              <w:rPr>
                <w:bCs/>
                <w:noProof/>
              </w:rPr>
            </w:pPr>
            <w:r>
              <w:rPr>
                <w:bCs/>
                <w:noProof/>
              </w:rPr>
              <w:t>The ‘</w:t>
            </w:r>
            <w:r>
              <w:rPr>
                <w:b/>
                <w:bCs/>
                <w:noProof/>
              </w:rPr>
              <w:t>Partnershi</w:t>
            </w:r>
            <w:r>
              <w:rPr>
                <w:b/>
                <w:bCs/>
                <w:noProof/>
              </w:rPr>
              <w:t>p for Social Development in Croatia</w:t>
            </w:r>
            <w:r>
              <w:rPr>
                <w:bCs/>
                <w:noProof/>
              </w:rPr>
              <w:t>’ organised two conferences and a number of working group meetings within the framework of the ‘</w:t>
            </w:r>
            <w:r>
              <w:rPr>
                <w:b/>
                <w:bCs/>
                <w:noProof/>
              </w:rPr>
              <w:t>Cross-Country Legal and Institutional Framework for Suppression of Fraud in Public Procurement</w:t>
            </w:r>
            <w:r>
              <w:rPr>
                <w:bCs/>
                <w:noProof/>
              </w:rPr>
              <w:t>’. The conferences covered a wi</w:t>
            </w:r>
            <w:r>
              <w:rPr>
                <w:bCs/>
                <w:noProof/>
              </w:rPr>
              <w:t>de range of topics that are relevant in the development and implementation of anti-fraud policies in Croatia and Romania, such as drafting risk assessments, consultations with relevant policy stakeholders, further development of anti-fraud tools as well as</w:t>
            </w:r>
            <w:r>
              <w:rPr>
                <w:bCs/>
                <w:noProof/>
              </w:rPr>
              <w:t xml:space="preserve"> ways to address bottlenecks in the current legal and institutional framework to fight fraud and corruption. The conferences and meetings took place between November 2013 and May 2014 and were attended by 188 participants from law enforcement authorities a</w:t>
            </w:r>
            <w:r>
              <w:rPr>
                <w:bCs/>
                <w:noProof/>
              </w:rPr>
              <w:t>nd the legal profession.</w:t>
            </w:r>
          </w:p>
          <w:p w:rsidR="00446B0D" w:rsidRDefault="008F1B69">
            <w:pPr>
              <w:tabs>
                <w:tab w:val="left" w:pos="318"/>
              </w:tabs>
              <w:spacing w:before="0" w:after="0"/>
              <w:rPr>
                <w:bCs/>
                <w:noProof/>
              </w:rPr>
            </w:pPr>
            <w:r>
              <w:rPr>
                <w:bCs/>
                <w:noProof/>
              </w:rPr>
              <w:t>The project led to the following results:</w:t>
            </w:r>
          </w:p>
          <w:p w:rsidR="00446B0D" w:rsidRDefault="008F1B69">
            <w:pPr>
              <w:pStyle w:val="ListParagraph"/>
              <w:numPr>
                <w:ilvl w:val="0"/>
                <w:numId w:val="10"/>
              </w:numPr>
              <w:tabs>
                <w:tab w:val="left" w:pos="318"/>
              </w:tabs>
              <w:rPr>
                <w:bCs/>
              </w:rPr>
            </w:pPr>
            <w:r>
              <w:rPr>
                <w:szCs w:val="20"/>
              </w:rPr>
              <w:t>It laid the groundwork for changes in the Romanian public procurement (PP) system;</w:t>
            </w:r>
          </w:p>
          <w:p w:rsidR="00446B0D" w:rsidRDefault="008F1B69">
            <w:pPr>
              <w:pStyle w:val="ListParagraph"/>
              <w:numPr>
                <w:ilvl w:val="0"/>
                <w:numId w:val="10"/>
              </w:numPr>
              <w:tabs>
                <w:tab w:val="left" w:pos="318"/>
              </w:tabs>
              <w:rPr>
                <w:bCs/>
              </w:rPr>
            </w:pPr>
            <w:r>
              <w:rPr>
                <w:szCs w:val="20"/>
              </w:rPr>
              <w:t>The research undertaken gave clear insight into what is happening in the Romanian PP system and possible P</w:t>
            </w:r>
            <w:r>
              <w:rPr>
                <w:szCs w:val="20"/>
              </w:rPr>
              <w:t>P-related risks were identified;</w:t>
            </w:r>
          </w:p>
          <w:p w:rsidR="00446B0D" w:rsidRDefault="008F1B69">
            <w:pPr>
              <w:pStyle w:val="ListParagraph"/>
              <w:numPr>
                <w:ilvl w:val="0"/>
                <w:numId w:val="10"/>
              </w:numPr>
              <w:tabs>
                <w:tab w:val="left" w:pos="318"/>
              </w:tabs>
              <w:rPr>
                <w:bCs/>
              </w:rPr>
            </w:pPr>
            <w:r>
              <w:rPr>
                <w:szCs w:val="20"/>
              </w:rPr>
              <w:t>The Croatian experience was used as a model to try to improve the Romanian PP system;</w:t>
            </w:r>
          </w:p>
          <w:p w:rsidR="00446B0D" w:rsidRDefault="008F1B69">
            <w:pPr>
              <w:pStyle w:val="ListParagraph"/>
              <w:numPr>
                <w:ilvl w:val="0"/>
                <w:numId w:val="10"/>
              </w:numPr>
              <w:tabs>
                <w:tab w:val="left" w:pos="318"/>
              </w:tabs>
              <w:rPr>
                <w:bCs/>
              </w:rPr>
            </w:pPr>
            <w:r>
              <w:rPr>
                <w:szCs w:val="20"/>
              </w:rPr>
              <w:t>Romanian stakeholders have been acquainted with the Croatian PP system and experience regarding the changes that were introduced in 2011/</w:t>
            </w:r>
            <w:r>
              <w:rPr>
                <w:szCs w:val="20"/>
              </w:rPr>
              <w:t>2012;</w:t>
            </w:r>
          </w:p>
          <w:p w:rsidR="00446B0D" w:rsidRDefault="008F1B69">
            <w:pPr>
              <w:pStyle w:val="ListParagraph"/>
              <w:numPr>
                <w:ilvl w:val="0"/>
                <w:numId w:val="10"/>
              </w:numPr>
              <w:tabs>
                <w:tab w:val="left" w:pos="318"/>
              </w:tabs>
              <w:rPr>
                <w:bCs/>
              </w:rPr>
            </w:pPr>
            <w:r>
              <w:rPr>
                <w:szCs w:val="20"/>
              </w:rPr>
              <w:t>The relevant stakeholders started to discuss the need for a new PP Act and more transparent PP system.</w:t>
            </w:r>
          </w:p>
        </w:tc>
      </w:tr>
    </w:tbl>
    <w:p w:rsidR="00446B0D" w:rsidRDefault="008F1B69">
      <w:pPr>
        <w:pStyle w:val="ManualHeading2"/>
        <w:rPr>
          <w:noProof/>
        </w:rPr>
      </w:pPr>
      <w:bookmarkStart w:id="32" w:name="_Toc421687697"/>
      <w:bookmarkStart w:id="33" w:name="_Toc423960201"/>
      <w:r>
        <w:tab/>
      </w:r>
      <w:r>
        <w:rPr>
          <w:noProof/>
        </w:rPr>
        <w:t>3.2</w:t>
      </w:r>
      <w:r>
        <w:rPr>
          <w:noProof/>
        </w:rPr>
        <w:tab/>
        <w:t xml:space="preserve">Increasing the protection of the financial interests of the Union against fraud by facilitating the exchange of information, experiences and </w:t>
      </w:r>
      <w:r>
        <w:rPr>
          <w:noProof/>
        </w:rPr>
        <w:t>best practices, including staff exchanges</w:t>
      </w:r>
      <w:r>
        <w:rPr>
          <w:rStyle w:val="FootnoteReference"/>
          <w:b w:val="0"/>
          <w:noProof/>
        </w:rPr>
        <w:footnoteReference w:id="32"/>
      </w:r>
      <w:bookmarkEnd w:id="32"/>
      <w:bookmarkEnd w:id="33"/>
      <w:r>
        <w:rPr>
          <w:noProof/>
        </w:rPr>
        <w:t xml:space="preserve"> </w:t>
      </w:r>
    </w:p>
    <w:p w:rsidR="00446B0D" w:rsidRDefault="008F1B69">
      <w:pPr>
        <w:pStyle w:val="Text1"/>
        <w:ind w:left="0"/>
        <w:rPr>
          <w:noProof/>
        </w:rPr>
      </w:pPr>
      <w:r>
        <w:rPr>
          <w:noProof/>
        </w:rPr>
        <w:t>The general and legal training activities in particular contributed to achieving this objective, while exchanges of information through the AMT and CONTRAFFIC tools increasingly support customs in drawing up risk</w:t>
      </w:r>
      <w:r>
        <w:rPr>
          <w:noProof/>
        </w:rPr>
        <w:t xml:space="preserve"> analyses as the basis for their targeted controls.  </w:t>
      </w:r>
    </w:p>
    <w:tbl>
      <w:tblPr>
        <w:tblStyle w:val="TableGrid"/>
        <w:tblW w:w="0" w:type="auto"/>
        <w:tblLook w:val="04A0" w:firstRow="1" w:lastRow="0" w:firstColumn="1" w:lastColumn="0" w:noHBand="0" w:noVBand="1"/>
      </w:tblPr>
      <w:tblGrid>
        <w:gridCol w:w="9287"/>
      </w:tblGrid>
      <w:tr w:rsidR="00446B0D">
        <w:tc>
          <w:tcPr>
            <w:tcW w:w="9287" w:type="dxa"/>
          </w:tcPr>
          <w:p w:rsidR="00446B0D" w:rsidRDefault="008F1B69">
            <w:pPr>
              <w:spacing w:before="0"/>
              <w:rPr>
                <w:noProof/>
              </w:rPr>
            </w:pPr>
            <w:r>
              <w:rPr>
                <w:noProof/>
              </w:rPr>
              <w:t xml:space="preserve">In October 2014, OLAF organised the </w:t>
            </w:r>
            <w:r>
              <w:rPr>
                <w:b/>
                <w:noProof/>
              </w:rPr>
              <w:t>12th OLAF Fraud Prosecutors Conference</w:t>
            </w:r>
            <w:r>
              <w:rPr>
                <w:noProof/>
              </w:rPr>
              <w:t xml:space="preserve"> in Rome, which was attended by more than 120 public prosecutors from all the EU Member States. The main objective of the confer</w:t>
            </w:r>
            <w:r>
              <w:rPr>
                <w:noProof/>
              </w:rPr>
              <w:t>ence was to discuss with the practitioners from the Member States the negotiated proposal for the establishment of a European Public Prosecutor’s Office. The conference provided a forum in which practitioners could express their views on the proposal, prov</w:t>
            </w:r>
            <w:r>
              <w:rPr>
                <w:noProof/>
              </w:rPr>
              <w:t>iding the Commission and the Member States with valuable input.</w:t>
            </w:r>
          </w:p>
        </w:tc>
      </w:tr>
    </w:tbl>
    <w:p w:rsidR="00446B0D" w:rsidRDefault="00446B0D">
      <w:pPr>
        <w:rPr>
          <w:noProof/>
        </w:rPr>
      </w:pPr>
    </w:p>
    <w:p w:rsidR="00446B0D" w:rsidRDefault="008F1B69">
      <w:pPr>
        <w:pStyle w:val="ManualHeading2"/>
        <w:rPr>
          <w:noProof/>
        </w:rPr>
      </w:pPr>
      <w:bookmarkStart w:id="34" w:name="_Toc421687698"/>
      <w:bookmarkStart w:id="35" w:name="_Toc423960202"/>
      <w:r>
        <w:tab/>
      </w:r>
      <w:r>
        <w:rPr>
          <w:noProof/>
        </w:rPr>
        <w:t>3.3</w:t>
      </w:r>
      <w:r>
        <w:rPr>
          <w:noProof/>
        </w:rPr>
        <w:tab/>
        <w:t>S</w:t>
      </w:r>
      <w:r>
        <w:rPr>
          <w:rStyle w:val="Heading2Char"/>
          <w:b/>
          <w:noProof/>
        </w:rPr>
        <w:t xml:space="preserve">trengthening the fight against fraud and other illegal activities by providing technical and operational support to national investigation, and in particular customs and law </w:t>
      </w:r>
      <w:r>
        <w:rPr>
          <w:rStyle w:val="Heading2Char"/>
          <w:b/>
          <w:noProof/>
        </w:rPr>
        <w:t>enforcement, authorities</w:t>
      </w:r>
      <w:r>
        <w:rPr>
          <w:rStyle w:val="FootnoteReference"/>
          <w:b w:val="0"/>
          <w:noProof/>
        </w:rPr>
        <w:footnoteReference w:id="33"/>
      </w:r>
      <w:bookmarkEnd w:id="34"/>
      <w:bookmarkEnd w:id="35"/>
      <w:r>
        <w:rPr>
          <w:noProof/>
        </w:rPr>
        <w:t xml:space="preserve">  </w:t>
      </w:r>
    </w:p>
    <w:p w:rsidR="00446B0D" w:rsidRDefault="008F1B69">
      <w:pPr>
        <w:rPr>
          <w:noProof/>
        </w:rPr>
      </w:pPr>
      <w:r>
        <w:rPr>
          <w:noProof/>
        </w:rPr>
        <w:t>The Programme provided grants for the purchase of technical equipment to be used by investigation, customs and law enforcement authorities in order to:</w:t>
      </w:r>
    </w:p>
    <w:p w:rsidR="00446B0D" w:rsidRDefault="008F1B69">
      <w:pPr>
        <w:pStyle w:val="ListParagraph"/>
        <w:numPr>
          <w:ilvl w:val="0"/>
          <w:numId w:val="11"/>
        </w:numPr>
      </w:pPr>
      <w:r>
        <w:t>ensure the availability of better technical equipment across the EU and incr</w:t>
      </w:r>
      <w:r>
        <w:t>ease compatibility to facilitate cross-border cooperation and achieve procurement savings;</w:t>
      </w:r>
    </w:p>
    <w:p w:rsidR="00446B0D" w:rsidRDefault="008F1B69">
      <w:pPr>
        <w:pStyle w:val="ListParagraph"/>
        <w:numPr>
          <w:ilvl w:val="0"/>
          <w:numId w:val="11"/>
        </w:numPr>
      </w:pPr>
      <w:r>
        <w:t>make efficient use of the equipment acquired;</w:t>
      </w:r>
    </w:p>
    <w:p w:rsidR="00446B0D" w:rsidRDefault="008F1B69">
      <w:pPr>
        <w:pStyle w:val="ListParagraph"/>
        <w:numPr>
          <w:ilvl w:val="0"/>
          <w:numId w:val="11"/>
        </w:numPr>
      </w:pPr>
      <w:r>
        <w:t>facilitate joint operations and international support for operations;</w:t>
      </w:r>
    </w:p>
    <w:p w:rsidR="00446B0D" w:rsidRDefault="008F1B69">
      <w:pPr>
        <w:pStyle w:val="ListParagraph"/>
        <w:numPr>
          <w:ilvl w:val="0"/>
          <w:numId w:val="11"/>
        </w:numPr>
      </w:pPr>
      <w:r>
        <w:t>be better at detecting offences and provide highe</w:t>
      </w:r>
      <w:r>
        <w:t>r quality of evidence for use in court proceedings.</w:t>
      </w:r>
    </w:p>
    <w:p w:rsidR="00446B0D" w:rsidRDefault="008F1B69">
      <w:pPr>
        <w:rPr>
          <w:noProof/>
        </w:rPr>
      </w:pPr>
      <w:r>
        <w:rPr>
          <w:noProof/>
        </w:rPr>
        <w:t>The grants also cover expenditure for the maintenance of equipment as well as specific technical training for operational staff to ensure its optimal usage and management. Beneficiaries of technical assis</w:t>
      </w:r>
      <w:r>
        <w:rPr>
          <w:noProof/>
        </w:rPr>
        <w:t xml:space="preserve">tance grants have started reporting on the results one year after the closing date of the agreement, thus enabling a better overview and understanding of the longer-term impact of the Programme. Beneficiaries report for example on the number and amount of </w:t>
      </w:r>
      <w:r>
        <w:rPr>
          <w:noProof/>
        </w:rPr>
        <w:t>cigarette and tobacco seizures, estimates of the prevented losses to national and the Union’s budget, the emergence of new fraud schemes, the detection of networks of organised crime groups or the number of arrests made. This information contributes to imp</w:t>
      </w:r>
      <w:r>
        <w:rPr>
          <w:noProof/>
        </w:rPr>
        <w:t xml:space="preserve">roving the transparency of the Programme’s implementation, insofar as such transparency does not endanger ongoing operations and investigations, and helps identify the strengths and weaknesses of the Programme’s implementation.  </w:t>
      </w:r>
    </w:p>
    <w:p w:rsidR="00446B0D" w:rsidRDefault="008F1B69">
      <w:pPr>
        <w:rPr>
          <w:noProof/>
        </w:rPr>
      </w:pPr>
      <w:r>
        <w:rPr>
          <w:noProof/>
        </w:rPr>
        <w:t>The Commission received re</w:t>
      </w:r>
      <w:r>
        <w:rPr>
          <w:noProof/>
        </w:rPr>
        <w:t xml:space="preserve">ports on the implementation of grants that were funded under the Hercule II budgets of previous years. Even though it is difficult and sometimes impossible to establish a direct causal relationship between the grant support on the one hand and the results </w:t>
      </w:r>
      <w:r>
        <w:rPr>
          <w:noProof/>
        </w:rPr>
        <w:t>achieved with the equipment purchased on the other hand, it can certainly be assumed that without the financial support a substantially lower number of arrests, seizures and convictions would have been made and that the efficiency and effectiveness of staf</w:t>
      </w:r>
      <w:r>
        <w:rPr>
          <w:noProof/>
        </w:rPr>
        <w:t>f using the equipment would not be as high as is the case nowadays. The results obtained with x-ray scanners, for example, clearly demonstrate this relationship, whereas it is more difficult to demonstrate in the case of support given for the purchase of d</w:t>
      </w:r>
      <w:r>
        <w:rPr>
          <w:noProof/>
        </w:rPr>
        <w:t xml:space="preserve">igital forensics software or devices to monitor vehicles or persons suspected of involvement in illicit activities. A few examples are given below.   </w:t>
      </w:r>
    </w:p>
    <w:tbl>
      <w:tblPr>
        <w:tblStyle w:val="TableGrid"/>
        <w:tblW w:w="0" w:type="auto"/>
        <w:tblLook w:val="04A0" w:firstRow="1" w:lastRow="0" w:firstColumn="1" w:lastColumn="0" w:noHBand="0" w:noVBand="1"/>
      </w:tblPr>
      <w:tblGrid>
        <w:gridCol w:w="9288"/>
      </w:tblGrid>
      <w:tr w:rsidR="00446B0D">
        <w:tc>
          <w:tcPr>
            <w:tcW w:w="9288" w:type="dxa"/>
          </w:tcPr>
          <w:p w:rsidR="00446B0D" w:rsidRDefault="008F1B69">
            <w:pPr>
              <w:autoSpaceDE w:val="0"/>
              <w:autoSpaceDN w:val="0"/>
              <w:adjustRightInd w:val="0"/>
              <w:rPr>
                <w:noProof/>
              </w:rPr>
            </w:pPr>
            <w:r>
              <w:rPr>
                <w:noProof/>
              </w:rPr>
              <w:t xml:space="preserve">The </w:t>
            </w:r>
            <w:r>
              <w:rPr>
                <w:b/>
                <w:noProof/>
              </w:rPr>
              <w:t>Treasury Intelligence Department of the Polish Ministry of Finance</w:t>
            </w:r>
            <w:r>
              <w:rPr>
                <w:noProof/>
              </w:rPr>
              <w:t xml:space="preserve"> upgraded telecom devices and purch</w:t>
            </w:r>
            <w:r>
              <w:rPr>
                <w:noProof/>
              </w:rPr>
              <w:t>ased optical surveillance systems used in surveillance vehicles. The equipment is used for monitoring the movements of people, cars and trucks during operations in support of investigations in relation to the smuggling of tobacco products as well as the ev</w:t>
            </w:r>
            <w:r>
              <w:rPr>
                <w:noProof/>
              </w:rPr>
              <w:t>asion of VAT and import duties. The equipment was used in several operations and investigations, such as:</w:t>
            </w:r>
          </w:p>
          <w:p w:rsidR="00446B0D" w:rsidRDefault="008F1B69">
            <w:pPr>
              <w:pStyle w:val="ListParagraph"/>
              <w:numPr>
                <w:ilvl w:val="0"/>
                <w:numId w:val="6"/>
              </w:numPr>
              <w:autoSpaceDE w:val="0"/>
              <w:autoSpaceDN w:val="0"/>
              <w:adjustRightInd w:val="0"/>
              <w:jc w:val="both"/>
            </w:pPr>
            <w:r>
              <w:t>an investigation into irregularities with imports from China leading to the undue refunding of VAT to economic operators;</w:t>
            </w:r>
          </w:p>
          <w:p w:rsidR="00446B0D" w:rsidRDefault="008F1B69">
            <w:pPr>
              <w:pStyle w:val="ListParagraph"/>
              <w:numPr>
                <w:ilvl w:val="0"/>
                <w:numId w:val="6"/>
              </w:numPr>
              <w:autoSpaceDE w:val="0"/>
              <w:autoSpaceDN w:val="0"/>
              <w:adjustRightInd w:val="0"/>
              <w:jc w:val="both"/>
            </w:pPr>
            <w:r>
              <w:t xml:space="preserve">an operation allowing the </w:t>
            </w:r>
            <w:r>
              <w:t>detection of illegal cigarette imports by an organised crime group which accounted for losses to the national budget of more than EUR 21 million;</w:t>
            </w:r>
          </w:p>
          <w:p w:rsidR="00446B0D" w:rsidRDefault="008F1B69">
            <w:pPr>
              <w:pStyle w:val="ListParagraph"/>
              <w:numPr>
                <w:ilvl w:val="0"/>
                <w:numId w:val="12"/>
              </w:numPr>
              <w:autoSpaceDE w:val="0"/>
              <w:autoSpaceDN w:val="0"/>
              <w:adjustRightInd w:val="0"/>
              <w:jc w:val="both"/>
            </w:pPr>
            <w:r>
              <w:t xml:space="preserve">an investigation into suspicions in relation to illicit trade in fuel, where the estimated </w:t>
            </w:r>
            <w:r>
              <w:lastRenderedPageBreak/>
              <w:t>losses to the natio</w:t>
            </w:r>
            <w:r>
              <w:t xml:space="preserve">nal budget amounted to more than EUR 10 million. </w:t>
            </w:r>
          </w:p>
        </w:tc>
      </w:tr>
    </w:tbl>
    <w:p w:rsidR="00446B0D" w:rsidRDefault="00446B0D">
      <w:pPr>
        <w:autoSpaceDE w:val="0"/>
        <w:autoSpaceDN w:val="0"/>
        <w:adjustRightInd w:val="0"/>
        <w:rPr>
          <w:b/>
          <w:noProof/>
        </w:rPr>
      </w:pPr>
    </w:p>
    <w:tbl>
      <w:tblPr>
        <w:tblStyle w:val="TableGrid"/>
        <w:tblW w:w="0" w:type="auto"/>
        <w:tblLook w:val="04A0" w:firstRow="1" w:lastRow="0" w:firstColumn="1" w:lastColumn="0" w:noHBand="0" w:noVBand="1"/>
      </w:tblPr>
      <w:tblGrid>
        <w:gridCol w:w="9288"/>
      </w:tblGrid>
      <w:tr w:rsidR="00446B0D">
        <w:tc>
          <w:tcPr>
            <w:tcW w:w="9288" w:type="dxa"/>
          </w:tcPr>
          <w:p w:rsidR="00446B0D" w:rsidRDefault="008F1B69">
            <w:pPr>
              <w:autoSpaceDE w:val="0"/>
              <w:autoSpaceDN w:val="0"/>
              <w:adjustRightInd w:val="0"/>
              <w:rPr>
                <w:noProof/>
              </w:rPr>
            </w:pPr>
            <w:r>
              <w:rPr>
                <w:noProof/>
              </w:rPr>
              <w:t xml:space="preserve">The </w:t>
            </w:r>
            <w:r>
              <w:rPr>
                <w:b/>
                <w:noProof/>
              </w:rPr>
              <w:t>Hungarian National Tax and Customs Administration</w:t>
            </w:r>
            <w:r>
              <w:rPr>
                <w:noProof/>
              </w:rPr>
              <w:t xml:space="preserve"> (NTCA) purchased thermal cameras and video cameras as well as tracking &amp; tracing devices to improve the monitoring of illegal crossings at its externa</w:t>
            </w:r>
            <w:r>
              <w:rPr>
                <w:noProof/>
              </w:rPr>
              <w:t>l eastern border. The equipment was, and continues to be, used in many operations with the following tangible results:</w:t>
            </w:r>
          </w:p>
          <w:p w:rsidR="00446B0D" w:rsidRDefault="008F1B69">
            <w:pPr>
              <w:pStyle w:val="ListParagraph"/>
              <w:numPr>
                <w:ilvl w:val="0"/>
                <w:numId w:val="7"/>
              </w:numPr>
              <w:autoSpaceDE w:val="0"/>
              <w:autoSpaceDN w:val="0"/>
              <w:adjustRightInd w:val="0"/>
              <w:jc w:val="both"/>
            </w:pPr>
            <w:r>
              <w:t>following the deployment of the high-performance mobile observer, 355 581 boxes of untaxed cigarettes (total value of EUR 900 000) were c</w:t>
            </w:r>
            <w:r>
              <w:t>onfiscated between August and November 2014, representing increases of 106 % compared with the same period in 2013 and of 412 % compared to 2012;</w:t>
            </w:r>
          </w:p>
          <w:p w:rsidR="00446B0D" w:rsidRDefault="008F1B69">
            <w:pPr>
              <w:pStyle w:val="ListParagraph"/>
              <w:numPr>
                <w:ilvl w:val="0"/>
                <w:numId w:val="7"/>
              </w:numPr>
              <w:autoSpaceDE w:val="0"/>
              <w:autoSpaceDN w:val="0"/>
              <w:adjustRightInd w:val="0"/>
              <w:jc w:val="both"/>
            </w:pPr>
            <w:r>
              <w:t>hand-held thermal cameras were used in an operation leading to the detection of 56 500 boxes of stolen cigaret</w:t>
            </w:r>
            <w:r>
              <w:t>tes with a total value of EUR 150 000. The same equipment was used for operational procedures in relation to infringements of industrial property rights where counterfeited detergents and cleaning products with a total value of EUR 13 000 were confiscated.</w:t>
            </w:r>
            <w:r>
              <w:t xml:space="preserve"> Ten persons were heard as suspects, three of whom were held in custody;</w:t>
            </w:r>
          </w:p>
          <w:p w:rsidR="00446B0D" w:rsidRDefault="008F1B69">
            <w:pPr>
              <w:pStyle w:val="ListParagraph"/>
              <w:numPr>
                <w:ilvl w:val="0"/>
                <w:numId w:val="7"/>
              </w:numPr>
              <w:autoSpaceDE w:val="0"/>
              <w:autoSpaceDN w:val="0"/>
              <w:adjustRightInd w:val="0"/>
              <w:jc w:val="both"/>
            </w:pPr>
            <w:r>
              <w:t>specialised equipment was also used in investigating VAT evasion cases concerning rapeseed oil and biodiesel products, with total damage of EUR 2.5 million. No seizure of goods has be</w:t>
            </w:r>
            <w:r>
              <w:t>en made but EUR 2.7 million was blocked as indemnity. Four persons were detained in custody.</w:t>
            </w:r>
          </w:p>
        </w:tc>
      </w:tr>
    </w:tbl>
    <w:p w:rsidR="00446B0D" w:rsidRDefault="00446B0D">
      <w:pPr>
        <w:autoSpaceDE w:val="0"/>
        <w:autoSpaceDN w:val="0"/>
        <w:adjustRightInd w:val="0"/>
        <w:rPr>
          <w:b/>
          <w:noProof/>
        </w:rPr>
      </w:pPr>
    </w:p>
    <w:tbl>
      <w:tblPr>
        <w:tblStyle w:val="TableGrid"/>
        <w:tblW w:w="0" w:type="auto"/>
        <w:tblLook w:val="04A0" w:firstRow="1" w:lastRow="0" w:firstColumn="1" w:lastColumn="0" w:noHBand="0" w:noVBand="1"/>
      </w:tblPr>
      <w:tblGrid>
        <w:gridCol w:w="9288"/>
      </w:tblGrid>
      <w:tr w:rsidR="00446B0D">
        <w:tc>
          <w:tcPr>
            <w:tcW w:w="9288" w:type="dxa"/>
          </w:tcPr>
          <w:p w:rsidR="00446B0D" w:rsidRDefault="008F1B69">
            <w:pPr>
              <w:autoSpaceDE w:val="0"/>
              <w:autoSpaceDN w:val="0"/>
              <w:adjustRightInd w:val="0"/>
              <w:rPr>
                <w:noProof/>
              </w:rPr>
            </w:pPr>
            <w:r>
              <w:rPr>
                <w:noProof/>
              </w:rPr>
              <w:t xml:space="preserve">The </w:t>
            </w:r>
            <w:r>
              <w:rPr>
                <w:b/>
                <w:noProof/>
              </w:rPr>
              <w:t>Greek Ministry of Citizen Protection</w:t>
            </w:r>
            <w:r>
              <w:rPr>
                <w:noProof/>
              </w:rPr>
              <w:t xml:space="preserve"> purchased tracking &amp; tracing devices as well as two surveillance vehicles for its daily operations. It reported the foll</w:t>
            </w:r>
            <w:r>
              <w:rPr>
                <w:noProof/>
              </w:rPr>
              <w:t>owing results:</w:t>
            </w:r>
          </w:p>
          <w:p w:rsidR="00446B0D" w:rsidRDefault="008F1B69">
            <w:pPr>
              <w:pStyle w:val="ListParagraph"/>
              <w:numPr>
                <w:ilvl w:val="0"/>
                <w:numId w:val="8"/>
              </w:numPr>
              <w:autoSpaceDE w:val="0"/>
              <w:autoSpaceDN w:val="0"/>
              <w:adjustRightInd w:val="0"/>
              <w:jc w:val="both"/>
            </w:pPr>
            <w:r>
              <w:t>detection of an organised criminal group (6 persons) suspected of involvement in cigarette and tobacco smuggling. The investigation led to the seizure of 1.6 million packages of cigarettes and 540 tobacco packages with a value estimated at E</w:t>
            </w:r>
            <w:r>
              <w:t>UR 5.5 million;</w:t>
            </w:r>
          </w:p>
          <w:p w:rsidR="00446B0D" w:rsidRDefault="008F1B69">
            <w:pPr>
              <w:pStyle w:val="ListParagraph"/>
              <w:numPr>
                <w:ilvl w:val="0"/>
                <w:numId w:val="8"/>
              </w:numPr>
              <w:autoSpaceDE w:val="0"/>
              <w:autoSpaceDN w:val="0"/>
              <w:adjustRightInd w:val="0"/>
              <w:jc w:val="both"/>
            </w:pPr>
            <w:r>
              <w:t xml:space="preserve">detection of a group of 8 persons that smuggled oil, LPG and lubricants and evaded the payment of import duties of up to EUR 1 million. </w:t>
            </w:r>
          </w:p>
        </w:tc>
      </w:tr>
    </w:tbl>
    <w:p w:rsidR="00446B0D" w:rsidRDefault="008F1B69">
      <w:pPr>
        <w:rPr>
          <w:b/>
          <w:noProof/>
        </w:rPr>
      </w:pPr>
      <w:r>
        <w:rPr>
          <w:b/>
          <w:noProof/>
        </w:rPr>
        <w:t>Examples of procured access to external databases</w:t>
      </w:r>
    </w:p>
    <w:p w:rsidR="00446B0D" w:rsidRDefault="008F1B69">
      <w:pPr>
        <w:autoSpaceDE w:val="0"/>
        <w:autoSpaceDN w:val="0"/>
        <w:adjustRightInd w:val="0"/>
        <w:rPr>
          <w:noProof/>
        </w:rPr>
      </w:pPr>
      <w:r>
        <w:rPr>
          <w:noProof/>
        </w:rPr>
        <w:t xml:space="preserve">The Commission has procured access to external </w:t>
      </w:r>
      <w:r>
        <w:rPr>
          <w:noProof/>
        </w:rPr>
        <w:t>databases for use by law enforcement authorities in the Member States. The trade information, company data or container movements provide essential operational information for investigators in the Member States and OLAF and are used as input for risk analy</w:t>
      </w:r>
      <w:r>
        <w:rPr>
          <w:noProof/>
        </w:rPr>
        <w:t>ses by customs to target their controls.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46B0D">
        <w:tc>
          <w:tcPr>
            <w:tcW w:w="9072" w:type="dxa"/>
          </w:tcPr>
          <w:p w:rsidR="00446B0D" w:rsidRDefault="008F1B69">
            <w:pPr>
              <w:rPr>
                <w:noProof/>
              </w:rPr>
            </w:pPr>
            <w:r>
              <w:rPr>
                <w:noProof/>
              </w:rPr>
              <w:t xml:space="preserve">A commercial database of </w:t>
            </w:r>
            <w:r>
              <w:rPr>
                <w:b/>
                <w:noProof/>
              </w:rPr>
              <w:t>worldwide trade statistics</w:t>
            </w:r>
            <w:r>
              <w:rPr>
                <w:noProof/>
              </w:rPr>
              <w:t xml:space="preserve"> with aggregated figures is used by both the Member States and OLAF to analyse </w:t>
            </w:r>
            <w:r>
              <w:rPr>
                <w:b/>
                <w:noProof/>
              </w:rPr>
              <w:t>trade flows</w:t>
            </w:r>
            <w:r>
              <w:rPr>
                <w:noProof/>
              </w:rPr>
              <w:t>, identify potentially suspicious trade and cross-check allegations of cus</w:t>
            </w:r>
            <w:r>
              <w:rPr>
                <w:noProof/>
              </w:rPr>
              <w:t>toms fraud involving Member States. Cross-checks can support decisions on whether to open a case or not, thus saving resources for all concerned.</w:t>
            </w:r>
          </w:p>
          <w:p w:rsidR="00446B0D" w:rsidRDefault="008F1B69">
            <w:pPr>
              <w:pStyle w:val="ListParagraph"/>
              <w:numPr>
                <w:ilvl w:val="0"/>
                <w:numId w:val="9"/>
              </w:numPr>
              <w:jc w:val="both"/>
            </w:pPr>
            <w:r>
              <w:t xml:space="preserve">The Automated Monitoring Tool (AMT) is an IT tool developed by the Joint Research Centre (JRC) and is used in </w:t>
            </w:r>
            <w:r>
              <w:t>joint customs operations by OLAF and the Member States targeting the undervaluation of imported goods, which causes huge losses to the EU and Member States’ budgets every year. The operation prevented the loss of EUR 80 million in customs duties. In one mo</w:t>
            </w:r>
            <w:r>
              <w:t xml:space="preserve">nth, OLAF and the participating customs </w:t>
            </w:r>
            <w:r>
              <w:lastRenderedPageBreak/>
              <w:t>authorities detected more than 1 500 containers of goods whose customs value was heavily underdeclared. This involved false descriptions of goods, false weights and quantities, and counterfeit goods. In addition, the</w:t>
            </w:r>
            <w:r>
              <w:t xml:space="preserve"> authorities identified several ‘missing’ traders and non-existent importers, triggering a number of criminal and administrative investigations in several countries;</w:t>
            </w:r>
          </w:p>
          <w:p w:rsidR="00446B0D" w:rsidRDefault="008F1B69">
            <w:pPr>
              <w:pStyle w:val="ListParagraph"/>
              <w:numPr>
                <w:ilvl w:val="0"/>
                <w:numId w:val="9"/>
              </w:numPr>
              <w:jc w:val="both"/>
            </w:pPr>
            <w:r>
              <w:t>OLAF noticed changes in the trade pattern, namely a sudden increase in the export of biodi</w:t>
            </w:r>
            <w:r>
              <w:t>esel from the USA to several third countries and a corresponding increase in imports into different Member States of biodiesel from those third countries. A commercial database of worldwide trade statistics was used to identify and quantify the trade flows</w:t>
            </w:r>
            <w:r>
              <w:t>. If the product originates in the USA then anti-dumping and countervailing duties are due. If originating in the third countries, no extra duties are due. Investigations in several countries established that the product originates in the USA, is transhipp</w:t>
            </w:r>
            <w:r>
              <w:t>ed via the third countries and the origin is misdeclared as being the third countries to avoid extra duty payment. The outcome was that the Member States involved recovered substantial amounts in customs duties;</w:t>
            </w:r>
          </w:p>
          <w:p w:rsidR="00446B0D" w:rsidRDefault="008F1B69">
            <w:pPr>
              <w:pStyle w:val="ListParagraph"/>
              <w:numPr>
                <w:ilvl w:val="0"/>
                <w:numId w:val="9"/>
              </w:numPr>
              <w:jc w:val="both"/>
            </w:pPr>
            <w:r>
              <w:t xml:space="preserve">On another occasion, trade flows identified </w:t>
            </w:r>
            <w:r>
              <w:t>from the database failed to confirm an allegation of transhipment of a Chinese product via a third country and the case was therefore dismissed. Although no revenue was recovered, there was a cost and time saving to the Member States and OLAF;</w:t>
            </w:r>
          </w:p>
          <w:p w:rsidR="00446B0D" w:rsidRDefault="008F1B69">
            <w:pPr>
              <w:pStyle w:val="ListParagraph"/>
              <w:numPr>
                <w:ilvl w:val="0"/>
                <w:numId w:val="9"/>
              </w:numPr>
              <w:autoSpaceDE w:val="0"/>
              <w:autoSpaceDN w:val="0"/>
              <w:adjustRightInd w:val="0"/>
              <w:jc w:val="both"/>
            </w:pPr>
            <w:r>
              <w:t xml:space="preserve">Information </w:t>
            </w:r>
            <w:r>
              <w:t>related to the movements of vessels and containers has contributed to many successful investigations in the area of international cigarette smuggling led by Member States’ authorities in cooperation with OLAF. In one instance, the analysis based on informa</w:t>
            </w:r>
            <w:r>
              <w:t xml:space="preserve">tion collected from a database on movements of vessels produced significant insights into the cigarette smugglers’ methods and </w:t>
            </w:r>
            <w:r>
              <w:rPr>
                <w:i/>
              </w:rPr>
              <w:t>modus operandi</w:t>
            </w:r>
            <w:r>
              <w:t xml:space="preserve"> by monitoring the vessels suspected of carrying contraband cigarettes;</w:t>
            </w:r>
          </w:p>
          <w:p w:rsidR="00446B0D" w:rsidRDefault="008F1B69">
            <w:pPr>
              <w:pStyle w:val="ListParagraph"/>
              <w:numPr>
                <w:ilvl w:val="0"/>
                <w:numId w:val="9"/>
              </w:numPr>
              <w:jc w:val="both"/>
            </w:pPr>
            <w:r>
              <w:t>Information on suspect containers is also a</w:t>
            </w:r>
            <w:r>
              <w:t xml:space="preserve"> vital tool for OLAF and the Member States. The movements of the containers are monitored with the aid of the CONTRAFFIC tool (developed by the JRC) and a database providing information on vessel movements to see where the container or ship is positioned. </w:t>
            </w:r>
            <w:r>
              <w:t>In the course of one OLAF investigation related to the movements of containers involving several Member States, 12 seizures of large quantities of contraband cigarettes were made with the aid of information on container movements provided by the databases.</w:t>
            </w:r>
            <w:r>
              <w:t xml:space="preserve"> These operations prevented substantial losses to the EU budget in unpaid customs duties and taxes;</w:t>
            </w:r>
          </w:p>
          <w:p w:rsidR="00446B0D" w:rsidRDefault="008F1B69">
            <w:pPr>
              <w:pStyle w:val="ListParagraph"/>
              <w:numPr>
                <w:ilvl w:val="0"/>
                <w:numId w:val="15"/>
              </w:numPr>
              <w:ind w:left="283"/>
              <w:jc w:val="both"/>
            </w:pPr>
            <w:r>
              <w:t>Customs duties, anti-dumping duties and quantitative or other import restrictions depend on the origin of imported goods. Because of the large volumes of go</w:t>
            </w:r>
            <w:r>
              <w:t>ods entering the EU markets, customs officers are able to check only a small fraction of customs declarations. Given the ever-rising volume of trade, carrying out this type of control manually is a daunting task, as it is difficult to verify the authentici</w:t>
            </w:r>
            <w:r>
              <w:t xml:space="preserve">ty of the declarations. The CONTRAFFIC tool covers a significant percentage of the worldwide maritime shipments effected by the main ocean carrier companies and was used to develop </w:t>
            </w:r>
            <w:r>
              <w:rPr>
                <w:b/>
              </w:rPr>
              <w:t xml:space="preserve">automatic cross-checking of the origin declared by importers in the Single </w:t>
            </w:r>
            <w:r>
              <w:rPr>
                <w:b/>
              </w:rPr>
              <w:t>Administrative Document (SAD) datasets</w:t>
            </w:r>
            <w:r>
              <w:t>, detecting potentially fraudulent declarations and supporting validation, in support of the activity of national customs authorities.</w:t>
            </w:r>
          </w:p>
        </w:tc>
      </w:tr>
    </w:tbl>
    <w:p w:rsidR="00446B0D" w:rsidRDefault="008F1B69">
      <w:pPr>
        <w:pStyle w:val="ManualHeading2"/>
        <w:rPr>
          <w:noProof/>
        </w:rPr>
      </w:pPr>
      <w:bookmarkStart w:id="36" w:name="_Toc421687699"/>
      <w:bookmarkStart w:id="37" w:name="_Toc423960203"/>
      <w:r>
        <w:lastRenderedPageBreak/>
        <w:tab/>
      </w:r>
      <w:r>
        <w:rPr>
          <w:noProof/>
        </w:rPr>
        <w:t>3.4</w:t>
      </w:r>
      <w:r>
        <w:rPr>
          <w:noProof/>
        </w:rPr>
        <w:tab/>
        <w:t xml:space="preserve">Limiting the currently known exposure of the Union’s financial interests to </w:t>
      </w:r>
      <w:r>
        <w:rPr>
          <w:noProof/>
        </w:rPr>
        <w:t>fraud, corruption and other illegal activities with a view to reducing the development of an illegal economy in key risk areas such as organised fraud, including cigarette smuggling and counterfeiting</w:t>
      </w:r>
      <w:r>
        <w:rPr>
          <w:rStyle w:val="FootnoteReference"/>
          <w:b w:val="0"/>
          <w:noProof/>
        </w:rPr>
        <w:footnoteReference w:id="34"/>
      </w:r>
      <w:bookmarkEnd w:id="36"/>
      <w:bookmarkEnd w:id="37"/>
    </w:p>
    <w:p w:rsidR="00446B0D" w:rsidRDefault="008F1B69">
      <w:pPr>
        <w:rPr>
          <w:noProof/>
        </w:rPr>
      </w:pPr>
      <w:r>
        <w:rPr>
          <w:noProof/>
        </w:rPr>
        <w:t xml:space="preserve">Several actions contributed to achieving this </w:t>
      </w:r>
      <w:r>
        <w:rPr>
          <w:noProof/>
        </w:rPr>
        <w:t>objective in 2014. The widespread availability of illicit tobacco within the EU has led to the loss of considerable tax and duty revenues (losses to the EU and Member State budgets as a result of cigarette smuggling are estimated to be at least EUR 10 bill</w:t>
      </w:r>
      <w:r>
        <w:rPr>
          <w:noProof/>
        </w:rPr>
        <w:t>ion per year</w:t>
      </w:r>
      <w:r>
        <w:rPr>
          <w:rStyle w:val="FootnoteReference"/>
          <w:noProof/>
        </w:rPr>
        <w:footnoteReference w:id="35"/>
      </w:r>
      <w:r>
        <w:rPr>
          <w:noProof/>
        </w:rPr>
        <w:t>). One feature of the illicit market for cigarettes in the EU is the significant quantity of counterfeit products available at lower cost than the genuine products. Examples of these actions are given below:</w:t>
      </w:r>
    </w:p>
    <w:p w:rsidR="00446B0D" w:rsidRDefault="008F1B69">
      <w:pPr>
        <w:pBdr>
          <w:top w:val="single" w:sz="4" w:space="1" w:color="auto"/>
          <w:left w:val="single" w:sz="4" w:space="4" w:color="auto"/>
          <w:bottom w:val="single" w:sz="4" w:space="1" w:color="auto"/>
          <w:right w:val="single" w:sz="4" w:space="4" w:color="auto"/>
        </w:pBdr>
        <w:rPr>
          <w:noProof/>
        </w:rPr>
      </w:pPr>
      <w:r>
        <w:rPr>
          <w:noProof/>
        </w:rPr>
        <w:t xml:space="preserve">The </w:t>
      </w:r>
      <w:r>
        <w:rPr>
          <w:b/>
          <w:noProof/>
        </w:rPr>
        <w:t>Polish Customs Chamber</w:t>
      </w:r>
      <w:r>
        <w:rPr>
          <w:noProof/>
        </w:rPr>
        <w:t xml:space="preserve"> purchase</w:t>
      </w:r>
      <w:r>
        <w:rPr>
          <w:noProof/>
        </w:rPr>
        <w:t xml:space="preserve">d x-ray scanners and video endoscopes that are used for checking vehicles and baggage at the EU’s external eastern border, which is particularly exposed to illegal imports of cigarettes and tobacco. The beneficiary reported that, as a result of the use of </w:t>
      </w:r>
      <w:r>
        <w:rPr>
          <w:noProof/>
        </w:rPr>
        <w:t>this equipment, 228 242 smuggled cigarettes were confiscated, representing EUR 9 000 in unpaid VAT and EUR 35 000 in unpaid excise duty.</w:t>
      </w:r>
    </w:p>
    <w:p w:rsidR="00446B0D" w:rsidRDefault="00446B0D">
      <w:pPr>
        <w:rPr>
          <w:noProof/>
        </w:rPr>
      </w:pPr>
    </w:p>
    <w:p w:rsidR="00446B0D" w:rsidRDefault="008F1B69">
      <w:pPr>
        <w:pBdr>
          <w:top w:val="single" w:sz="4" w:space="1" w:color="auto"/>
          <w:left w:val="single" w:sz="4" w:space="4" w:color="auto"/>
          <w:bottom w:val="single" w:sz="4" w:space="1" w:color="auto"/>
          <w:right w:val="single" w:sz="4" w:space="4" w:color="auto"/>
        </w:pBdr>
        <w:rPr>
          <w:noProof/>
        </w:rPr>
      </w:pPr>
      <w:r>
        <w:rPr>
          <w:b/>
          <w:noProof/>
        </w:rPr>
        <w:t xml:space="preserve">The German Ministry of Finance </w:t>
      </w:r>
      <w:r>
        <w:rPr>
          <w:noProof/>
        </w:rPr>
        <w:t xml:space="preserve">purchased 3 mobile x-ray scanners in 2012. The ongoing use of the scanners in 2014 led </w:t>
      </w:r>
      <w:r>
        <w:rPr>
          <w:noProof/>
        </w:rPr>
        <w:t>to the seizure of 56.50 kg of smuggled tobacco, 6 005 860 cigarettes, 588 litres of fuel and 129 kg of amphetamines.</w:t>
      </w:r>
    </w:p>
    <w:tbl>
      <w:tblPr>
        <w:tblStyle w:val="TableGrid"/>
        <w:tblW w:w="0" w:type="auto"/>
        <w:tblLook w:val="04A0" w:firstRow="1" w:lastRow="0" w:firstColumn="1" w:lastColumn="0" w:noHBand="0" w:noVBand="1"/>
      </w:tblPr>
      <w:tblGrid>
        <w:gridCol w:w="9288"/>
      </w:tblGrid>
      <w:tr w:rsidR="00446B0D">
        <w:tc>
          <w:tcPr>
            <w:tcW w:w="9288" w:type="dxa"/>
          </w:tcPr>
          <w:p w:rsidR="00446B0D" w:rsidRDefault="008F1B69">
            <w:pPr>
              <w:rPr>
                <w:noProof/>
              </w:rPr>
            </w:pPr>
            <w:r>
              <w:rPr>
                <w:noProof/>
              </w:rPr>
              <w:t>The Romanian Arad County Police Inspectorate coordinated between February and April 2014 an action entitled ‘PRO-JET-Development of a profe</w:t>
            </w:r>
            <w:r>
              <w:rPr>
                <w:noProof/>
              </w:rPr>
              <w:t>ssional law enforcement network in Romania, Hungary, Serbia and Bulgaria, involved in the fight against cigarette smuggling and counterfeiting’. It involved on-the-spot checks at border crossing points along the Romanian border, organisation of seminars, w</w:t>
            </w:r>
            <w:r>
              <w:rPr>
                <w:noProof/>
              </w:rPr>
              <w:t>orking groups as well as the publication of a handbook on preventing and combating cigarette smuggling. The results of a survey among the participants indicated that they had acquired knowledge and awareness on the following issues:</w:t>
            </w:r>
          </w:p>
          <w:p w:rsidR="00446B0D" w:rsidRDefault="008F1B69">
            <w:pPr>
              <w:pStyle w:val="ListParagraph"/>
              <w:numPr>
                <w:ilvl w:val="0"/>
                <w:numId w:val="11"/>
              </w:numPr>
            </w:pPr>
            <w:r>
              <w:t>The national legal fram</w:t>
            </w:r>
            <w:r>
              <w:t>ework for protection of the Union’s financial interests and the fight against cigarette smuggling and counterfeiting as implemented in the four countries participating in the project (Bulgaria, Hungary, Romania and Serbia);</w:t>
            </w:r>
          </w:p>
          <w:p w:rsidR="00446B0D" w:rsidRDefault="008F1B69">
            <w:pPr>
              <w:pStyle w:val="ListParagraph"/>
              <w:numPr>
                <w:ilvl w:val="0"/>
                <w:numId w:val="11"/>
              </w:numPr>
            </w:pPr>
            <w:r>
              <w:t>Possibilities for combating smug</w:t>
            </w:r>
            <w:r>
              <w:t>gling at the south-west border of Romania; and</w:t>
            </w:r>
          </w:p>
          <w:p w:rsidR="00446B0D" w:rsidRDefault="008F1B69">
            <w:pPr>
              <w:pStyle w:val="ListParagraph"/>
              <w:numPr>
                <w:ilvl w:val="0"/>
                <w:numId w:val="11"/>
              </w:numPr>
            </w:pPr>
            <w:r>
              <w:t>Inter-institutional cooperation between the Romanian police and other law enforcement agencies.</w:t>
            </w:r>
          </w:p>
          <w:p w:rsidR="00446B0D" w:rsidRDefault="008F1B69">
            <w:pPr>
              <w:tabs>
                <w:tab w:val="left" w:pos="709"/>
                <w:tab w:val="left" w:pos="1134"/>
              </w:tabs>
              <w:rPr>
                <w:noProof/>
              </w:rPr>
            </w:pPr>
            <w:r>
              <w:rPr>
                <w:noProof/>
              </w:rPr>
              <w:t>The training also gave the participants an opportunity</w:t>
            </w:r>
            <w:r>
              <w:rPr>
                <w:iCs/>
                <w:noProof/>
              </w:rPr>
              <w:t xml:space="preserve"> to exchange experiences and best practices related to prot</w:t>
            </w:r>
            <w:r>
              <w:rPr>
                <w:iCs/>
                <w:noProof/>
              </w:rPr>
              <w:t>ection of the Union’s  financial interests and the fight against cigarette smuggling and counterfeiting.</w:t>
            </w:r>
          </w:p>
        </w:tc>
      </w:tr>
    </w:tbl>
    <w:p w:rsidR="00446B0D" w:rsidRDefault="00446B0D">
      <w:pPr>
        <w:rPr>
          <w:b/>
          <w:noProof/>
        </w:rPr>
      </w:pPr>
    </w:p>
    <w:tbl>
      <w:tblPr>
        <w:tblStyle w:val="TableGrid"/>
        <w:tblW w:w="0" w:type="auto"/>
        <w:tblLook w:val="04A0" w:firstRow="1" w:lastRow="0" w:firstColumn="1" w:lastColumn="0" w:noHBand="0" w:noVBand="1"/>
      </w:tblPr>
      <w:tblGrid>
        <w:gridCol w:w="9287"/>
      </w:tblGrid>
      <w:tr w:rsidR="00446B0D">
        <w:tc>
          <w:tcPr>
            <w:tcW w:w="9287" w:type="dxa"/>
          </w:tcPr>
          <w:p w:rsidR="00446B0D" w:rsidRDefault="008F1B69">
            <w:pPr>
              <w:pStyle w:val="Text1"/>
              <w:ind w:left="0"/>
              <w:rPr>
                <w:bCs/>
                <w:noProof/>
              </w:rPr>
            </w:pPr>
            <w:r>
              <w:rPr>
                <w:bCs/>
                <w:noProof/>
                <w:sz w:val="22"/>
                <w:szCs w:val="32"/>
              </w:rPr>
              <w:t xml:space="preserve">The </w:t>
            </w:r>
            <w:r>
              <w:rPr>
                <w:b/>
                <w:bCs/>
                <w:noProof/>
              </w:rPr>
              <w:t xml:space="preserve">Financial Directorate of the Slovak Republic </w:t>
            </w:r>
            <w:r>
              <w:rPr>
                <w:bCs/>
                <w:noProof/>
              </w:rPr>
              <w:t>organised between</w:t>
            </w:r>
            <w:r>
              <w:rPr>
                <w:b/>
                <w:bCs/>
                <w:noProof/>
                <w:sz w:val="22"/>
                <w:szCs w:val="32"/>
              </w:rPr>
              <w:t xml:space="preserve"> </w:t>
            </w:r>
            <w:r>
              <w:rPr>
                <w:bCs/>
                <w:noProof/>
              </w:rPr>
              <w:t>April and June 2014 several seminars on the subject of ‘Fight against smuggling of</w:t>
            </w:r>
            <w:r>
              <w:rPr>
                <w:bCs/>
                <w:noProof/>
              </w:rPr>
              <w:t xml:space="preserve"> cigarettes and illegal tobacco production’. The five-day seminars were organised for customs officers from different organisational units of the Slovak financial administration, working in the area focused on fighting against cigarette smuggling and illeg</w:t>
            </w:r>
            <w:r>
              <w:rPr>
                <w:bCs/>
                <w:noProof/>
              </w:rPr>
              <w:t xml:space="preserve">al tobacco production. The objectives of the </w:t>
            </w:r>
            <w:r>
              <w:rPr>
                <w:bCs/>
                <w:noProof/>
              </w:rPr>
              <w:lastRenderedPageBreak/>
              <w:t>project were to:</w:t>
            </w:r>
          </w:p>
          <w:p w:rsidR="00446B0D" w:rsidRDefault="008F1B69">
            <w:pPr>
              <w:pStyle w:val="Text1"/>
              <w:ind w:left="0"/>
              <w:rPr>
                <w:bCs/>
                <w:noProof/>
              </w:rPr>
            </w:pPr>
            <w:r>
              <w:rPr>
                <w:bCs/>
                <w:noProof/>
              </w:rPr>
              <w:t>- make officers from the Slovak Custom Administration more efficient in detecting customs fraud in the area of cigarette and tobacco smuggling and counterfeiting;</w:t>
            </w:r>
          </w:p>
          <w:p w:rsidR="00446B0D" w:rsidRDefault="008F1B69">
            <w:pPr>
              <w:pStyle w:val="Text1"/>
              <w:ind w:left="0"/>
              <w:rPr>
                <w:b/>
                <w:bCs/>
                <w:noProof/>
                <w:sz w:val="22"/>
                <w:szCs w:val="32"/>
              </w:rPr>
            </w:pPr>
            <w:r>
              <w:rPr>
                <w:bCs/>
                <w:noProof/>
              </w:rPr>
              <w:t>- improve knowledge of procedur</w:t>
            </w:r>
            <w:r>
              <w:rPr>
                <w:bCs/>
                <w:noProof/>
              </w:rPr>
              <w:t>es and legislation in the fight against cigarette smuggling and illegal tobacco production by exchanging information and experiences in this field.</w:t>
            </w:r>
          </w:p>
        </w:tc>
      </w:tr>
    </w:tbl>
    <w:p w:rsidR="00446B0D" w:rsidRDefault="00446B0D">
      <w:pPr>
        <w:pStyle w:val="Text1"/>
        <w:ind w:left="0"/>
        <w:rPr>
          <w:noProof/>
        </w:rPr>
      </w:pPr>
    </w:p>
    <w:tbl>
      <w:tblPr>
        <w:tblStyle w:val="TableGrid"/>
        <w:tblW w:w="0" w:type="auto"/>
        <w:tblLook w:val="04A0" w:firstRow="1" w:lastRow="0" w:firstColumn="1" w:lastColumn="0" w:noHBand="0" w:noVBand="1"/>
      </w:tblPr>
      <w:tblGrid>
        <w:gridCol w:w="9287"/>
      </w:tblGrid>
      <w:tr w:rsidR="00446B0D">
        <w:tc>
          <w:tcPr>
            <w:tcW w:w="9287" w:type="dxa"/>
          </w:tcPr>
          <w:p w:rsidR="00446B0D" w:rsidRDefault="008F1B69">
            <w:pPr>
              <w:pStyle w:val="Text1"/>
              <w:ind w:left="0"/>
              <w:rPr>
                <w:noProof/>
              </w:rPr>
            </w:pPr>
            <w:r>
              <w:rPr>
                <w:b/>
                <w:noProof/>
              </w:rPr>
              <w:t xml:space="preserve">19th Task Group Cigarettes Conference </w:t>
            </w:r>
            <w:r>
              <w:rPr>
                <w:noProof/>
              </w:rPr>
              <w:t>organised by OLAF in October 2014 in Prague brought together customs</w:t>
            </w:r>
            <w:r>
              <w:rPr>
                <w:noProof/>
              </w:rPr>
              <w:t xml:space="preserve"> and law enforcement officials from all the Member States, candidate countries, third countries and international organisations. Through this type of event the Member States are encouraged to improve operational cooperation by sharing analytical informatio</w:t>
            </w:r>
            <w:r>
              <w:rPr>
                <w:noProof/>
              </w:rPr>
              <w:t xml:space="preserve">n and intelligence among their customs authorities and relevant EU institutions, bodies, agencies and competent offices. </w:t>
            </w:r>
          </w:p>
        </w:tc>
      </w:tr>
    </w:tbl>
    <w:p w:rsidR="00446B0D" w:rsidRDefault="008F1B69">
      <w:pPr>
        <w:pStyle w:val="ManualHeading2"/>
        <w:rPr>
          <w:noProof/>
        </w:rPr>
      </w:pPr>
      <w:bookmarkStart w:id="38" w:name="_Toc421687700"/>
      <w:bookmarkStart w:id="39" w:name="_Toc423960204"/>
      <w:r>
        <w:tab/>
      </w:r>
      <w:r>
        <w:rPr>
          <w:noProof/>
        </w:rPr>
        <w:t>3.5</w:t>
      </w:r>
      <w:r>
        <w:rPr>
          <w:noProof/>
        </w:rPr>
        <w:tab/>
        <w:t>Enhancing the degree of development of the specific legal and judicial protection of the financial interests of the Union agains</w:t>
      </w:r>
      <w:r>
        <w:rPr>
          <w:noProof/>
        </w:rPr>
        <w:t>t fraud by promoting comparative law analysis</w:t>
      </w:r>
      <w:r>
        <w:rPr>
          <w:rStyle w:val="FootnoteReference"/>
          <w:b w:val="0"/>
          <w:noProof/>
        </w:rPr>
        <w:footnoteReference w:id="36"/>
      </w:r>
      <w:bookmarkEnd w:id="38"/>
      <w:bookmarkEnd w:id="39"/>
      <w:r>
        <w:rPr>
          <w:noProof/>
        </w:rPr>
        <w:t xml:space="preserve"> </w:t>
      </w:r>
    </w:p>
    <w:p w:rsidR="00446B0D" w:rsidRDefault="008F1B69">
      <w:pPr>
        <w:rPr>
          <w:noProof/>
        </w:rPr>
      </w:pPr>
      <w:r>
        <w:rPr>
          <w:noProof/>
        </w:rPr>
        <w:t>This operational objective is mainly achieved through legal training grants that are awarded to comparative law studies, legal conferences and seminars and publications. The conferences are attended by prosec</w:t>
      </w:r>
      <w:r>
        <w:rPr>
          <w:noProof/>
        </w:rPr>
        <w:t>utors, lawyers, investigators, police officers, academics, researchers and national civil servants, as well as officials of the EU institutions. The purpose of these conferences and seminars is to promote the dissemination of legal information on the lates</w:t>
      </w:r>
      <w:r>
        <w:rPr>
          <w:noProof/>
        </w:rPr>
        <w:t xml:space="preserve">t developments in the area of fraud prevention and the fight against fraud, and they constitute a good forum for discussion of future legislative solutions in the field of protection of the EU’s financial interests. The Programme has continued funding the </w:t>
      </w:r>
      <w:r>
        <w:rPr>
          <w:noProof/>
        </w:rPr>
        <w:t>publication of ‘eucrim – The European Criminal Law Associations’ Forum, which was published four times in 2014 by the German Max Planck Institute. The following subjects were addressed: current developments in the protection of the EU’s financial interests</w:t>
      </w:r>
      <w:r>
        <w:rPr>
          <w:noProof/>
        </w:rPr>
        <w:t xml:space="preserve"> and the activities of OLAF, the latest developments in relation to EU criminal policy, threats to the EU internal market and VAT fraud, as well as judicial control in the EU. It has a print run of 2000 copies, which are distributed free of charge to unive</w:t>
      </w:r>
      <w:r>
        <w:rPr>
          <w:noProof/>
        </w:rPr>
        <w:t>rsities, libraries, courts, law enforcement authorities and individual subscribers. The publication is also available on the  internet</w:t>
      </w:r>
      <w:r>
        <w:rPr>
          <w:rStyle w:val="FootnoteReference"/>
          <w:noProof/>
        </w:rPr>
        <w:footnoteReference w:id="37"/>
      </w:r>
      <w:r>
        <w:rPr>
          <w:noProof/>
        </w:rPr>
        <w:t>.</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446B0D">
        <w:trPr>
          <w:trHeight w:val="565"/>
        </w:trPr>
        <w:tc>
          <w:tcPr>
            <w:tcW w:w="9071" w:type="dxa"/>
          </w:tcPr>
          <w:p w:rsidR="00446B0D" w:rsidRDefault="008F1B69">
            <w:pPr>
              <w:rPr>
                <w:noProof/>
              </w:rPr>
            </w:pPr>
            <w:r>
              <w:rPr>
                <w:b/>
                <w:noProof/>
              </w:rPr>
              <w:t xml:space="preserve">The Hague University of Applied Sciences </w:t>
            </w:r>
            <w:r>
              <w:rPr>
                <w:noProof/>
              </w:rPr>
              <w:t xml:space="preserve">organised a seminar on </w:t>
            </w:r>
            <w:r>
              <w:rPr>
                <w:b/>
                <w:noProof/>
              </w:rPr>
              <w:t>‘Negotiated settlements for corruption offences: A Euro</w:t>
            </w:r>
            <w:r>
              <w:rPr>
                <w:b/>
                <w:noProof/>
              </w:rPr>
              <w:t xml:space="preserve">pean perspective’, </w:t>
            </w:r>
            <w:r>
              <w:rPr>
                <w:noProof/>
              </w:rPr>
              <w:t>which took place in May 2014 in the Hague, the Netherlands. The key objective of the seminar was to identify and assess laws and initiatives of selected European jurisdictions in order to determine areas of commonality, differences and s</w:t>
            </w:r>
            <w:r>
              <w:rPr>
                <w:noProof/>
              </w:rPr>
              <w:t>cope for harmonisation with regard to negotiated settlements for corruption offences. The seminar also sought to draw up a roadmap of key issues that need to be addressed with regard to a European perspective on negotiated settlements. Researchers and expe</w:t>
            </w:r>
            <w:r>
              <w:rPr>
                <w:noProof/>
              </w:rPr>
              <w:t>rts from eight European countries assessed the prospects of negotiated settlements as a strategy in the fight against corruption. The country reports produced from this exercise provided a clear and comparative viewpoint of the regulatory and enforcement m</w:t>
            </w:r>
            <w:r>
              <w:rPr>
                <w:noProof/>
              </w:rPr>
              <w:t>echanisms regarding international corruption across the selected jurisdictions. The participants were very satisfied about the quality and the relevance of this seminar. The seminar proceedings as well as a book entitled ‘Negotiated Settlements for Corrupt</w:t>
            </w:r>
            <w:r>
              <w:rPr>
                <w:noProof/>
              </w:rPr>
              <w:t xml:space="preserve">ion </w:t>
            </w:r>
            <w:r>
              <w:rPr>
                <w:noProof/>
              </w:rPr>
              <w:lastRenderedPageBreak/>
              <w:t>Offences: A European Perspective’ (edited by Dr Abiola Makinwa, Eleven International Publishing) make a useful contribution to the growing discussion about a European perspective on the issue of negotiated settlements as well as to OLAF’s activities in</w:t>
            </w:r>
            <w:r>
              <w:rPr>
                <w:noProof/>
              </w:rPr>
              <w:t xml:space="preserve"> this area.</w:t>
            </w:r>
          </w:p>
        </w:tc>
      </w:tr>
    </w:tbl>
    <w:p w:rsidR="00446B0D" w:rsidRDefault="00446B0D">
      <w:pPr>
        <w:pStyle w:val="Text1"/>
        <w:rPr>
          <w:b/>
          <w:bCs/>
          <w:smallCaps/>
          <w:noProof/>
          <w:szCs w:val="32"/>
        </w:rPr>
      </w:pPr>
    </w:p>
    <w:tbl>
      <w:tblPr>
        <w:tblStyle w:val="TableGrid"/>
        <w:tblW w:w="0" w:type="auto"/>
        <w:tblInd w:w="108" w:type="dxa"/>
        <w:tblLook w:val="04A0" w:firstRow="1" w:lastRow="0" w:firstColumn="1" w:lastColumn="0" w:noHBand="0" w:noVBand="1"/>
      </w:tblPr>
      <w:tblGrid>
        <w:gridCol w:w="9179"/>
      </w:tblGrid>
      <w:tr w:rsidR="00446B0D">
        <w:trPr>
          <w:trHeight w:val="3230"/>
        </w:trPr>
        <w:tc>
          <w:tcPr>
            <w:tcW w:w="9179" w:type="dxa"/>
          </w:tcPr>
          <w:p w:rsidR="00446B0D" w:rsidRDefault="008F1B69">
            <w:pPr>
              <w:spacing w:before="0" w:after="0"/>
              <w:rPr>
                <w:noProof/>
              </w:rPr>
            </w:pPr>
            <w:r>
              <w:rPr>
                <w:noProof/>
              </w:rPr>
              <w:t xml:space="preserve">The </w:t>
            </w:r>
            <w:r>
              <w:rPr>
                <w:b/>
                <w:noProof/>
              </w:rPr>
              <w:t>ESADE Foundation – University Ramon Llull</w:t>
            </w:r>
            <w:r>
              <w:rPr>
                <w:noProof/>
              </w:rPr>
              <w:t xml:space="preserve"> conducted a comparative law study on ‘Avoiding Fraud in Cohesion Policy 2014-2020: a comparative study on the correct observance and implementation of the public procurement EU regulations by managing and contracting authorities’. This led to:</w:t>
            </w:r>
          </w:p>
          <w:p w:rsidR="00446B0D" w:rsidRDefault="008F1B69">
            <w:pPr>
              <w:pStyle w:val="ListParagraph"/>
              <w:numPr>
                <w:ilvl w:val="0"/>
                <w:numId w:val="12"/>
              </w:numPr>
              <w:jc w:val="both"/>
            </w:pPr>
            <w:r>
              <w:t>a comparati</w:t>
            </w:r>
            <w:r>
              <w:t>ve law study dealing with fraud in public procurement of ERDF and Cohesion Fund projects within different operational programmes 2007-2013 with an analysis of different practices in four Member States (Spain, Italy, Germany and Poland);</w:t>
            </w:r>
          </w:p>
          <w:p w:rsidR="00446B0D" w:rsidRDefault="008F1B69">
            <w:pPr>
              <w:pStyle w:val="ListParagraph"/>
              <w:numPr>
                <w:ilvl w:val="0"/>
                <w:numId w:val="12"/>
              </w:numPr>
              <w:jc w:val="both"/>
            </w:pPr>
            <w:r>
              <w:t>a one-day seminar f</w:t>
            </w:r>
            <w:r>
              <w:t>or presenting and discussing the results of the comparative study structured through round tables with speakers from universities, managing and certifying authorities, national institutions and beneficiaries.</w:t>
            </w:r>
          </w:p>
          <w:p w:rsidR="00446B0D" w:rsidRDefault="008F1B69">
            <w:pPr>
              <w:rPr>
                <w:noProof/>
              </w:rPr>
            </w:pPr>
            <w:r>
              <w:rPr>
                <w:noProof/>
              </w:rPr>
              <w:t>The results can be found on the action’s dedica</w:t>
            </w:r>
            <w:r>
              <w:rPr>
                <w:noProof/>
              </w:rPr>
              <w:t xml:space="preserve">ted webpage:  </w:t>
            </w:r>
            <w:hyperlink r:id="rId27" w:history="1">
              <w:r>
                <w:rPr>
                  <w:rStyle w:val="Hyperlink"/>
                  <w:noProof/>
                </w:rPr>
                <w:t>http://www.esade.edu/research-webs/eng/igdp/debate/fraud-prevention</w:t>
              </w:r>
            </w:hyperlink>
          </w:p>
        </w:tc>
      </w:tr>
    </w:tbl>
    <w:p w:rsidR="00446B0D" w:rsidRDefault="008F1B69">
      <w:pPr>
        <w:pStyle w:val="Heading1"/>
        <w:rPr>
          <w:noProof/>
        </w:rPr>
      </w:pPr>
      <w:bookmarkStart w:id="40" w:name="_Toc421687701"/>
      <w:bookmarkStart w:id="41" w:name="_Toc423960205"/>
      <w:r>
        <w:rPr>
          <w:noProof/>
        </w:rPr>
        <w:t>4</w:t>
      </w:r>
      <w:r>
        <w:rPr>
          <w:rStyle w:val="Heading1Char"/>
          <w:noProof/>
        </w:rPr>
        <w:t>.</w:t>
      </w:r>
      <w:r>
        <w:rPr>
          <w:noProof/>
        </w:rPr>
        <w:tab/>
        <w:t>Communication</w:t>
      </w:r>
      <w:bookmarkEnd w:id="40"/>
      <w:bookmarkEnd w:id="41"/>
      <w:r>
        <w:rPr>
          <w:noProof/>
        </w:rPr>
        <w:t xml:space="preserve"> </w:t>
      </w:r>
    </w:p>
    <w:p w:rsidR="00446B0D" w:rsidRDefault="008F1B69">
      <w:pPr>
        <w:pStyle w:val="Text1"/>
        <w:ind w:left="0"/>
        <w:rPr>
          <w:noProof/>
        </w:rPr>
      </w:pPr>
      <w:r>
        <w:rPr>
          <w:noProof/>
        </w:rPr>
        <w:t xml:space="preserve">Successful implementation of the Programme required the development of </w:t>
      </w:r>
      <w:r>
        <w:rPr>
          <w:noProof/>
        </w:rPr>
        <w:t>a structured way to inform potential beneficiaries of funding opportunities, and to provide answers to questions from (potential) beneficiaries by means of four different functional email boxes</w:t>
      </w:r>
      <w:r>
        <w:rPr>
          <w:rStyle w:val="FootnoteReference"/>
          <w:noProof/>
        </w:rPr>
        <w:footnoteReference w:id="38"/>
      </w:r>
      <w:r>
        <w:rPr>
          <w:noProof/>
        </w:rPr>
        <w:t>. Moreover, the Commission is required</w:t>
      </w:r>
      <w:r>
        <w:rPr>
          <w:rStyle w:val="FootnoteReference"/>
          <w:noProof/>
        </w:rPr>
        <w:footnoteReference w:id="39"/>
      </w:r>
      <w:r>
        <w:rPr>
          <w:noProof/>
        </w:rPr>
        <w:t xml:space="preserve"> to disseminate informa</w:t>
      </w:r>
      <w:r>
        <w:rPr>
          <w:noProof/>
        </w:rPr>
        <w:t>tion on the achievements and the results of the actions that receive funding.</w:t>
      </w:r>
    </w:p>
    <w:p w:rsidR="00446B0D" w:rsidRDefault="008F1B69">
      <w:pPr>
        <w:pStyle w:val="ManualHeading2"/>
        <w:rPr>
          <w:noProof/>
        </w:rPr>
      </w:pPr>
      <w:bookmarkStart w:id="42" w:name="_Toc421687702"/>
      <w:bookmarkStart w:id="43" w:name="_Toc423960206"/>
      <w:r>
        <w:tab/>
      </w:r>
      <w:r>
        <w:rPr>
          <w:noProof/>
        </w:rPr>
        <w:t>4.1</w:t>
      </w:r>
      <w:r>
        <w:rPr>
          <w:noProof/>
        </w:rPr>
        <w:tab/>
        <w:t>Informing potential applicants</w:t>
      </w:r>
      <w:bookmarkEnd w:id="42"/>
      <w:bookmarkEnd w:id="43"/>
    </w:p>
    <w:p w:rsidR="00446B0D" w:rsidRDefault="008F1B69">
      <w:pPr>
        <w:rPr>
          <w:noProof/>
          <w:color w:val="FF0000"/>
        </w:rPr>
      </w:pPr>
      <w:r>
        <w:rPr>
          <w:noProof/>
          <w:lang w:eastAsia="de-DE"/>
        </w:rPr>
        <w:t>Notices concerning the launch of calls for proposals were published in the Official Journal</w:t>
      </w:r>
      <w:r>
        <w:rPr>
          <w:rStyle w:val="FootnoteReference"/>
          <w:noProof/>
          <w:lang w:eastAsia="de-DE"/>
        </w:rPr>
        <w:footnoteReference w:id="40"/>
      </w:r>
      <w:r>
        <w:rPr>
          <w:noProof/>
          <w:lang w:eastAsia="de-DE"/>
        </w:rPr>
        <w:t xml:space="preserve"> and the full texts of the documents were made available on the Commission’s website</w:t>
      </w:r>
      <w:r>
        <w:rPr>
          <w:rStyle w:val="FootnoteReference"/>
          <w:noProof/>
          <w:lang w:eastAsia="de-DE"/>
        </w:rPr>
        <w:footnoteReference w:id="41"/>
      </w:r>
      <w:r>
        <w:rPr>
          <w:noProof/>
          <w:lang w:eastAsia="de-DE"/>
        </w:rPr>
        <w:t xml:space="preserve">. The professional networks </w:t>
      </w:r>
      <w:r>
        <w:rPr>
          <w:noProof/>
        </w:rPr>
        <w:t xml:space="preserve">were actively informed. Potential applicants were also informed via e-mails sent to the members of the Advisory Committee for the Coordination </w:t>
      </w:r>
      <w:r>
        <w:rPr>
          <w:noProof/>
        </w:rPr>
        <w:t>of Fraud Prevention (COCOLAF), the OLAF Anti-Fraud Communicators Network (OAFCN) and European Judicial Training Network (EJTN). The training call was also published in the news section of the e-Justice portal.</w:t>
      </w:r>
    </w:p>
    <w:p w:rsidR="00446B0D" w:rsidRDefault="008F1B69">
      <w:pPr>
        <w:pStyle w:val="ManualHeading2"/>
        <w:rPr>
          <w:noProof/>
        </w:rPr>
      </w:pPr>
      <w:bookmarkStart w:id="44" w:name="_Toc358287390"/>
      <w:bookmarkStart w:id="45" w:name="_Toc421687703"/>
      <w:bookmarkStart w:id="46" w:name="_Toc423960207"/>
      <w:r>
        <w:tab/>
      </w:r>
      <w:r>
        <w:rPr>
          <w:noProof/>
        </w:rPr>
        <w:t>4.2</w:t>
      </w:r>
      <w:r>
        <w:rPr>
          <w:noProof/>
        </w:rPr>
        <w:tab/>
        <w:t>Dissemination of results</w:t>
      </w:r>
      <w:bookmarkEnd w:id="44"/>
      <w:bookmarkEnd w:id="45"/>
      <w:bookmarkEnd w:id="46"/>
    </w:p>
    <w:p w:rsidR="00446B0D" w:rsidRDefault="008F1B69">
      <w:pPr>
        <w:rPr>
          <w:noProof/>
        </w:rPr>
      </w:pPr>
      <w:r>
        <w:rPr>
          <w:noProof/>
          <w:lang w:eastAsia="de-DE"/>
        </w:rPr>
        <w:t>The disseminatio</w:t>
      </w:r>
      <w:r>
        <w:rPr>
          <w:noProof/>
          <w:lang w:eastAsia="de-DE"/>
        </w:rPr>
        <w:t>n of results achieved under the Hercule Programme, in particular technical assistance, is rather sensitive as most of the achievements relate to investigations for which information cannot be disclosed. Electronic and/or paper reports summarising the train</w:t>
      </w:r>
      <w:r>
        <w:rPr>
          <w:noProof/>
          <w:lang w:eastAsia="de-DE"/>
        </w:rPr>
        <w:t>ing activities were distributed. Some beneficiaries posted the training materials on their websites or created a dedicated website.</w:t>
      </w:r>
      <w:bookmarkStart w:id="47" w:name="_Toc358287391"/>
    </w:p>
    <w:p w:rsidR="00446B0D" w:rsidRDefault="008F1B69">
      <w:pPr>
        <w:pStyle w:val="ManualHeading2"/>
        <w:rPr>
          <w:noProof/>
        </w:rPr>
      </w:pPr>
      <w:bookmarkStart w:id="48" w:name="_Toc421687704"/>
      <w:bookmarkStart w:id="49" w:name="_Toc423960208"/>
      <w:r>
        <w:lastRenderedPageBreak/>
        <w:tab/>
      </w:r>
      <w:r>
        <w:rPr>
          <w:noProof/>
        </w:rPr>
        <w:t>4.3</w:t>
      </w:r>
      <w:r>
        <w:rPr>
          <w:noProof/>
        </w:rPr>
        <w:tab/>
        <w:t>Publicity</w:t>
      </w:r>
      <w:bookmarkEnd w:id="47"/>
      <w:bookmarkEnd w:id="48"/>
      <w:bookmarkEnd w:id="49"/>
    </w:p>
    <w:p w:rsidR="00446B0D" w:rsidRDefault="008F1B69">
      <w:pPr>
        <w:rPr>
          <w:noProof/>
        </w:rPr>
      </w:pPr>
      <w:r>
        <w:rPr>
          <w:noProof/>
        </w:rPr>
        <w:t>All beneficiaries of grants for training activities were requested to mention the support from the Hercule II</w:t>
      </w:r>
      <w:r>
        <w:rPr>
          <w:noProof/>
        </w:rPr>
        <w:t>I Programme:</w:t>
      </w:r>
    </w:p>
    <w:p w:rsidR="00446B0D" w:rsidRDefault="008F1B69">
      <w:pPr>
        <w:pStyle w:val="ListParagraph"/>
        <w:numPr>
          <w:ilvl w:val="0"/>
          <w:numId w:val="14"/>
        </w:numPr>
      </w:pPr>
      <w:r>
        <w:t>in every publication (title page) or related material (e.g. studies, booklets, newsletters, leaflets);</w:t>
      </w:r>
    </w:p>
    <w:p w:rsidR="00446B0D" w:rsidRDefault="008F1B69">
      <w:pPr>
        <w:pStyle w:val="ListParagraph"/>
        <w:numPr>
          <w:ilvl w:val="0"/>
          <w:numId w:val="14"/>
        </w:numPr>
        <w:rPr>
          <w:lang w:val="pt-PT"/>
        </w:rPr>
      </w:pPr>
      <w:r>
        <w:rPr>
          <w:lang w:val="pt-PT"/>
        </w:rPr>
        <w:t>in electronic information (e.g. websites, audio-visual material, videos, software);</w:t>
      </w:r>
    </w:p>
    <w:p w:rsidR="00446B0D" w:rsidRDefault="008F1B69">
      <w:pPr>
        <w:pStyle w:val="ListParagraph"/>
        <w:numPr>
          <w:ilvl w:val="0"/>
          <w:numId w:val="14"/>
        </w:numPr>
      </w:pPr>
      <w:r>
        <w:t>at information events (conferences, seminars);</w:t>
      </w:r>
    </w:p>
    <w:p w:rsidR="00446B0D" w:rsidRDefault="008F1B69">
      <w:pPr>
        <w:pStyle w:val="ListParagraph"/>
        <w:numPr>
          <w:ilvl w:val="0"/>
          <w:numId w:val="14"/>
        </w:numPr>
      </w:pPr>
      <w:r>
        <w:t>via a lin</w:t>
      </w:r>
      <w:r>
        <w:t>k from their website to the Hercule III Programme’s site.</w:t>
      </w:r>
    </w:p>
    <w:p w:rsidR="00446B0D" w:rsidRDefault="008F1B69">
      <w:pPr>
        <w:rPr>
          <w:noProof/>
        </w:rPr>
      </w:pPr>
      <w:r>
        <w:rPr>
          <w:noProof/>
        </w:rPr>
        <w:t>The Commission continued making improvements to the website giving information on the Hercule Programmes. Beneficiaries of technical assistance grants were only required to mention the Hercule suppo</w:t>
      </w:r>
      <w:r>
        <w:rPr>
          <w:noProof/>
        </w:rPr>
        <w:t>rt in their reports and any other document or press release that reported on the results. There is no need to include a reference to Hercule funding on equipment purchased with a grant, in particular if this might endanger operations or investigations.</w:t>
      </w:r>
    </w:p>
    <w:p w:rsidR="00446B0D" w:rsidRDefault="008F1B69">
      <w:pPr>
        <w:pStyle w:val="Heading1"/>
        <w:spacing w:before="120"/>
        <w:rPr>
          <w:noProof/>
        </w:rPr>
      </w:pPr>
      <w:bookmarkStart w:id="50" w:name="_Toc421687705"/>
      <w:bookmarkStart w:id="51" w:name="_Toc423960209"/>
      <w:r>
        <w:rPr>
          <w:noProof/>
        </w:rPr>
        <w:t>5.</w:t>
      </w:r>
      <w:r>
        <w:rPr>
          <w:noProof/>
        </w:rPr>
        <w:tab/>
      </w:r>
      <w:r>
        <w:rPr>
          <w:noProof/>
        </w:rPr>
        <w:t>Feedback from participants</w:t>
      </w:r>
      <w:bookmarkEnd w:id="50"/>
      <w:bookmarkEnd w:id="51"/>
    </w:p>
    <w:p w:rsidR="00446B0D" w:rsidRDefault="008F1B69">
      <w:pPr>
        <w:autoSpaceDE w:val="0"/>
        <w:autoSpaceDN w:val="0"/>
        <w:adjustRightInd w:val="0"/>
        <w:rPr>
          <w:noProof/>
          <w:color w:val="FF0000"/>
        </w:rPr>
      </w:pPr>
      <w:r>
        <w:rPr>
          <w:noProof/>
        </w:rPr>
        <w:t>As indicated in section 3.1, beneficiaries of grants for conferences have to carry out surveys among the participants to collect information on the perceived quality and relevance of the event. The total number of participants at</w:t>
      </w:r>
      <w:r>
        <w:rPr>
          <w:noProof/>
        </w:rPr>
        <w:t xml:space="preserve"> the events in 2014 was almost 1700, who were all requested to fill in an evaluation form with questions on the event’s relevance for their professional activities, the quality of the organisation and the speakers or the venue and other issues. The Commiss</w:t>
      </w:r>
      <w:r>
        <w:rPr>
          <w:noProof/>
        </w:rPr>
        <w:t xml:space="preserve">ion received 1 401 questionnaires (83 % response rate) expressing a high rate of satisfaction: more than 95 % of the participants considered the event good or excellent. The feedback also confirmed that the events were attended, in general, by an audience </w:t>
      </w:r>
      <w:r>
        <w:rPr>
          <w:noProof/>
        </w:rPr>
        <w:t>as targeted by the organisers. Moreover, the informal feedback collected by Commission staff attending the events as well as the qualitative comments made in the evaluation forms helped in identifying areas for improvement, such as conference logistics, pr</w:t>
      </w:r>
      <w:r>
        <w:rPr>
          <w:noProof/>
        </w:rPr>
        <w:t>ior information on cancellations or the requirement for trainers to have the necessary pedagogical, linguistic and cross-cultural skills.</w:t>
      </w:r>
    </w:p>
    <w:p w:rsidR="00446B0D" w:rsidRDefault="008F1B69">
      <w:pPr>
        <w:pStyle w:val="Heading1"/>
        <w:spacing w:before="120"/>
        <w:rPr>
          <w:noProof/>
        </w:rPr>
      </w:pPr>
      <w:bookmarkStart w:id="52" w:name="_Toc421687706"/>
      <w:bookmarkStart w:id="53" w:name="_Toc423960210"/>
      <w:r>
        <w:rPr>
          <w:noProof/>
        </w:rPr>
        <w:t>6.</w:t>
      </w:r>
      <w:r>
        <w:rPr>
          <w:noProof/>
        </w:rPr>
        <w:tab/>
        <w:t>Conclusions and way forward</w:t>
      </w:r>
      <w:bookmarkEnd w:id="52"/>
      <w:bookmarkEnd w:id="53"/>
    </w:p>
    <w:p w:rsidR="00446B0D" w:rsidRDefault="008F1B69">
      <w:pPr>
        <w:rPr>
          <w:noProof/>
          <w:lang w:eastAsia="de-DE"/>
        </w:rPr>
      </w:pPr>
      <w:r>
        <w:rPr>
          <w:noProof/>
        </w:rPr>
        <w:t xml:space="preserve">As described above, the implementation of the Programme in 2014 and the results </w:t>
      </w:r>
      <w:r>
        <w:rPr>
          <w:noProof/>
        </w:rPr>
        <w:t>reported by the beneficiaries of grants were overall successful. Improved reporting of the results has led to a better understanding of the impact of the EU’s interventions and greater transparency. The reporting demonstrates the existence of a link betwee</w:t>
      </w:r>
      <w:r>
        <w:rPr>
          <w:noProof/>
        </w:rPr>
        <w:t>n the actions undertaken within the Programme and the protection of the EU’s financial interests, though the modest size of the Programme should be taken into account in this respect. The revised reporting requirements were introduced two years ago and are</w:t>
      </w:r>
      <w:r>
        <w:rPr>
          <w:noProof/>
        </w:rPr>
        <w:t xml:space="preserve"> now starting to produce interesting findings on the achievements of the Programme, in particular in the technical assistance area. These findings tie in with the main results of the external evaluation carried out by an independent evaluator in 2014, whic</w:t>
      </w:r>
      <w:r>
        <w:rPr>
          <w:noProof/>
        </w:rPr>
        <w:t>h was the input for the Commission’s report</w:t>
      </w:r>
      <w:r>
        <w:rPr>
          <w:rStyle w:val="FootnoteReference"/>
          <w:noProof/>
        </w:rPr>
        <w:footnoteReference w:id="42"/>
      </w:r>
      <w:r>
        <w:rPr>
          <w:noProof/>
        </w:rPr>
        <w:t xml:space="preserve"> on the achievement of the objectives of the Hercule II Programme (2007-2013). For 2015, the Commission will aim at further enhancing the quality of reporting on the Programme and it will also simplify and stream</w:t>
      </w:r>
      <w:r>
        <w:rPr>
          <w:noProof/>
        </w:rPr>
        <w:t xml:space="preserve">line, as far as possible, the administrative procedures that applicants and grant beneficiaries have to comply with to secure funding under the Programme. </w:t>
      </w:r>
      <w:r>
        <w:rPr>
          <w:noProof/>
          <w:lang w:eastAsia="de-DE"/>
        </w:rPr>
        <w:br w:type="page"/>
      </w:r>
    </w:p>
    <w:p w:rsidR="00446B0D" w:rsidRDefault="008F1B69">
      <w:pPr>
        <w:pStyle w:val="Heading1"/>
        <w:jc w:val="center"/>
        <w:rPr>
          <w:noProof/>
          <w:u w:val="single"/>
        </w:rPr>
      </w:pPr>
      <w:bookmarkStart w:id="54" w:name="_Toc421687707"/>
      <w:bookmarkStart w:id="55" w:name="_Toc423960211"/>
      <w:r>
        <w:rPr>
          <w:noProof/>
          <w:u w:val="single"/>
        </w:rPr>
        <w:lastRenderedPageBreak/>
        <w:t xml:space="preserve">Annex 1: Grants and contracts </w:t>
      </w:r>
      <w:bookmarkEnd w:id="54"/>
      <w:r>
        <w:rPr>
          <w:noProof/>
          <w:u w:val="single"/>
        </w:rPr>
        <w:t>awarded and finalised in 2014</w:t>
      </w:r>
      <w:bookmarkEnd w:id="55"/>
    </w:p>
    <w:p w:rsidR="00446B0D" w:rsidRDefault="00446B0D">
      <w:pPr>
        <w:rPr>
          <w:b/>
          <w:noProof/>
        </w:rPr>
      </w:pPr>
    </w:p>
    <w:p w:rsidR="00446B0D" w:rsidRDefault="008F1B69">
      <w:pPr>
        <w:rPr>
          <w:b/>
          <w:noProof/>
          <w:sz w:val="20"/>
          <w:szCs w:val="20"/>
        </w:rPr>
      </w:pPr>
      <w:r>
        <w:rPr>
          <w:b/>
          <w:noProof/>
          <w:sz w:val="20"/>
          <w:szCs w:val="20"/>
        </w:rPr>
        <w:t xml:space="preserve">Table 1 — Technical Assistance grants </w:t>
      </w:r>
      <w:r>
        <w:rPr>
          <w:b/>
          <w:noProof/>
          <w:sz w:val="20"/>
          <w:szCs w:val="20"/>
        </w:rPr>
        <w:t>awarded in 2014</w:t>
      </w:r>
    </w:p>
    <w:tbl>
      <w:tblPr>
        <w:tblpPr w:leftFromText="141" w:rightFromText="141" w:vertAnchor="text" w:tblpXSpec="center" w:tblpY="1"/>
        <w:tblOverlap w:val="never"/>
        <w:tblW w:w="9406" w:type="dxa"/>
        <w:tblLayout w:type="fixed"/>
        <w:tblLook w:val="04A0" w:firstRow="1" w:lastRow="0" w:firstColumn="1" w:lastColumn="0" w:noHBand="0" w:noVBand="1"/>
      </w:tblPr>
      <w:tblGrid>
        <w:gridCol w:w="452"/>
        <w:gridCol w:w="709"/>
        <w:gridCol w:w="2976"/>
        <w:gridCol w:w="2977"/>
        <w:gridCol w:w="1559"/>
        <w:gridCol w:w="733"/>
      </w:tblGrid>
      <w:tr w:rsidR="00446B0D">
        <w:trPr>
          <w:trHeight w:val="525"/>
        </w:trPr>
        <w:tc>
          <w:tcPr>
            <w:tcW w:w="452" w:type="dxa"/>
            <w:tcBorders>
              <w:bottom w:val="single" w:sz="12" w:space="0" w:color="auto"/>
              <w:right w:val="single" w:sz="12" w:space="0" w:color="auto"/>
            </w:tcBorders>
            <w:shd w:val="clear" w:color="000000" w:fill="auto"/>
            <w:vAlign w:val="center"/>
          </w:tcPr>
          <w:p w:rsidR="00446B0D" w:rsidRDefault="00446B0D">
            <w:pPr>
              <w:spacing w:before="0" w:after="0"/>
              <w:jc w:val="center"/>
              <w:rPr>
                <w:b/>
                <w:bCs/>
                <w:noProof/>
                <w:sz w:val="20"/>
                <w:szCs w:val="20"/>
                <w:lang w:eastAsia="en-GB"/>
              </w:rPr>
            </w:pPr>
          </w:p>
        </w:tc>
        <w:tc>
          <w:tcPr>
            <w:tcW w:w="709" w:type="dxa"/>
            <w:tcBorders>
              <w:top w:val="single" w:sz="12" w:space="0" w:color="auto"/>
              <w:left w:val="single" w:sz="12" w:space="0" w:color="auto"/>
              <w:bottom w:val="single" w:sz="12" w:space="0" w:color="auto"/>
              <w:right w:val="single" w:sz="8" w:space="0" w:color="auto"/>
            </w:tcBorders>
            <w:shd w:val="clear" w:color="000000" w:fill="E6E6E6"/>
            <w:vAlign w:val="center"/>
          </w:tcPr>
          <w:p w:rsidR="00446B0D" w:rsidRDefault="008F1B69">
            <w:pPr>
              <w:spacing w:before="0" w:after="0"/>
              <w:jc w:val="center"/>
              <w:rPr>
                <w:b/>
                <w:bCs/>
                <w:noProof/>
                <w:sz w:val="18"/>
                <w:szCs w:val="18"/>
                <w:lang w:eastAsia="en-GB"/>
              </w:rPr>
            </w:pPr>
            <w:r>
              <w:rPr>
                <w:b/>
                <w:bCs/>
                <w:noProof/>
                <w:sz w:val="18"/>
                <w:szCs w:val="18"/>
                <w:lang w:eastAsia="en-GB"/>
              </w:rPr>
              <w:t>MS</w:t>
            </w:r>
          </w:p>
        </w:tc>
        <w:tc>
          <w:tcPr>
            <w:tcW w:w="2976" w:type="dxa"/>
            <w:tcBorders>
              <w:top w:val="single" w:sz="12" w:space="0" w:color="auto"/>
              <w:left w:val="nil"/>
              <w:bottom w:val="single" w:sz="12" w:space="0" w:color="auto"/>
              <w:right w:val="single" w:sz="8" w:space="0" w:color="auto"/>
            </w:tcBorders>
            <w:shd w:val="clear" w:color="000000" w:fill="E6E6E6"/>
            <w:vAlign w:val="center"/>
          </w:tcPr>
          <w:p w:rsidR="00446B0D" w:rsidRDefault="008F1B69">
            <w:pPr>
              <w:spacing w:before="0" w:after="0"/>
              <w:jc w:val="center"/>
              <w:rPr>
                <w:b/>
                <w:bCs/>
                <w:noProof/>
                <w:sz w:val="18"/>
                <w:szCs w:val="18"/>
                <w:lang w:eastAsia="en-GB"/>
              </w:rPr>
            </w:pPr>
            <w:r>
              <w:rPr>
                <w:b/>
                <w:bCs/>
                <w:noProof/>
                <w:sz w:val="18"/>
                <w:szCs w:val="18"/>
                <w:lang w:eastAsia="en-GB"/>
              </w:rPr>
              <w:t>Beneficiary</w:t>
            </w:r>
          </w:p>
        </w:tc>
        <w:tc>
          <w:tcPr>
            <w:tcW w:w="2977" w:type="dxa"/>
            <w:tcBorders>
              <w:top w:val="single" w:sz="12" w:space="0" w:color="auto"/>
              <w:left w:val="nil"/>
              <w:bottom w:val="single" w:sz="12" w:space="0" w:color="auto"/>
              <w:right w:val="single" w:sz="8" w:space="0" w:color="auto"/>
            </w:tcBorders>
            <w:shd w:val="clear" w:color="000000" w:fill="E6E6E6"/>
            <w:vAlign w:val="center"/>
          </w:tcPr>
          <w:p w:rsidR="00446B0D" w:rsidRDefault="008F1B69">
            <w:pPr>
              <w:spacing w:before="0" w:after="0"/>
              <w:jc w:val="center"/>
              <w:rPr>
                <w:b/>
                <w:bCs/>
                <w:noProof/>
                <w:sz w:val="18"/>
                <w:szCs w:val="18"/>
                <w:lang w:eastAsia="en-GB"/>
              </w:rPr>
            </w:pPr>
            <w:r>
              <w:rPr>
                <w:b/>
                <w:bCs/>
                <w:noProof/>
                <w:sz w:val="18"/>
                <w:szCs w:val="18"/>
                <w:lang w:eastAsia="en-GB"/>
              </w:rPr>
              <w:t>Subject</w:t>
            </w:r>
          </w:p>
        </w:tc>
        <w:tc>
          <w:tcPr>
            <w:tcW w:w="1559" w:type="dxa"/>
            <w:tcBorders>
              <w:top w:val="single" w:sz="12" w:space="0" w:color="auto"/>
              <w:left w:val="nil"/>
              <w:bottom w:val="single" w:sz="12" w:space="0" w:color="auto"/>
              <w:right w:val="single" w:sz="8" w:space="0" w:color="auto"/>
            </w:tcBorders>
            <w:shd w:val="clear" w:color="000000" w:fill="E6E6E6"/>
            <w:vAlign w:val="center"/>
          </w:tcPr>
          <w:p w:rsidR="00446B0D" w:rsidRDefault="008F1B69">
            <w:pPr>
              <w:spacing w:before="0" w:after="0"/>
              <w:jc w:val="center"/>
              <w:rPr>
                <w:b/>
                <w:bCs/>
                <w:noProof/>
                <w:sz w:val="20"/>
                <w:szCs w:val="20"/>
                <w:lang w:eastAsia="en-GB"/>
              </w:rPr>
            </w:pPr>
            <w:r>
              <w:rPr>
                <w:b/>
                <w:bCs/>
                <w:noProof/>
                <w:sz w:val="18"/>
                <w:szCs w:val="18"/>
                <w:lang w:eastAsia="en-GB"/>
              </w:rPr>
              <w:t>Total Awarded in Euro</w:t>
            </w:r>
          </w:p>
        </w:tc>
        <w:tc>
          <w:tcPr>
            <w:tcW w:w="733" w:type="dxa"/>
            <w:tcBorders>
              <w:top w:val="single" w:sz="12" w:space="0" w:color="auto"/>
              <w:left w:val="nil"/>
              <w:bottom w:val="single" w:sz="12" w:space="0" w:color="auto"/>
              <w:right w:val="single" w:sz="12" w:space="0" w:color="auto"/>
            </w:tcBorders>
            <w:shd w:val="clear" w:color="000000" w:fill="E6E6E6"/>
            <w:vAlign w:val="center"/>
          </w:tcPr>
          <w:p w:rsidR="00446B0D" w:rsidRDefault="008F1B69">
            <w:pPr>
              <w:spacing w:before="0" w:after="0"/>
              <w:jc w:val="center"/>
              <w:rPr>
                <w:b/>
                <w:bCs/>
                <w:noProof/>
                <w:sz w:val="18"/>
                <w:szCs w:val="18"/>
                <w:lang w:eastAsia="en-GB"/>
              </w:rPr>
            </w:pPr>
            <w:r>
              <w:rPr>
                <w:b/>
                <w:bCs/>
                <w:noProof/>
                <w:sz w:val="18"/>
                <w:szCs w:val="18"/>
                <w:lang w:eastAsia="en-GB"/>
              </w:rPr>
              <w:t>Co-fin %</w:t>
            </w:r>
          </w:p>
        </w:tc>
      </w:tr>
      <w:tr w:rsidR="00446B0D">
        <w:tc>
          <w:tcPr>
            <w:tcW w:w="452" w:type="dxa"/>
            <w:tcBorders>
              <w:top w:val="single" w:sz="12"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1</w:t>
            </w:r>
          </w:p>
        </w:tc>
        <w:tc>
          <w:tcPr>
            <w:tcW w:w="709" w:type="dxa"/>
            <w:tcBorders>
              <w:top w:val="single" w:sz="12"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LT</w:t>
            </w:r>
          </w:p>
        </w:tc>
        <w:tc>
          <w:tcPr>
            <w:tcW w:w="2976" w:type="dxa"/>
            <w:tcBorders>
              <w:top w:val="single" w:sz="12"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Lithuanian customs</w:t>
            </w:r>
          </w:p>
        </w:tc>
        <w:tc>
          <w:tcPr>
            <w:tcW w:w="2977" w:type="dxa"/>
            <w:tcBorders>
              <w:top w:val="single" w:sz="12"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Joint ANPRS Baltic States</w:t>
            </w:r>
          </w:p>
        </w:tc>
        <w:tc>
          <w:tcPr>
            <w:tcW w:w="1559" w:type="dxa"/>
            <w:tcBorders>
              <w:top w:val="single" w:sz="12"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noProof/>
                <w:sz w:val="20"/>
                <w:szCs w:val="20"/>
                <w:lang w:eastAsia="en-GB"/>
              </w:rPr>
            </w:pPr>
            <w:r>
              <w:rPr>
                <w:noProof/>
                <w:sz w:val="20"/>
                <w:szCs w:val="20"/>
                <w:lang w:eastAsia="en-GB"/>
              </w:rPr>
              <w:t>2 222 560</w:t>
            </w:r>
          </w:p>
        </w:tc>
        <w:tc>
          <w:tcPr>
            <w:tcW w:w="733" w:type="dxa"/>
            <w:tcBorders>
              <w:top w:val="single" w:sz="12"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2</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FR</w:t>
            </w:r>
          </w:p>
        </w:tc>
        <w:tc>
          <w:tcPr>
            <w:tcW w:w="297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French customs -Paris</w:t>
            </w:r>
          </w:p>
        </w:tc>
        <w:tc>
          <w:tcPr>
            <w:tcW w:w="2977"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Tracking services</w:t>
            </w:r>
          </w:p>
        </w:tc>
        <w:tc>
          <w:tcPr>
            <w:tcW w:w="155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noProof/>
                <w:sz w:val="20"/>
                <w:szCs w:val="20"/>
                <w:lang w:eastAsia="en-GB"/>
              </w:rPr>
            </w:pPr>
            <w:r>
              <w:rPr>
                <w:noProof/>
                <w:sz w:val="20"/>
                <w:szCs w:val="20"/>
                <w:lang w:eastAsia="en-GB"/>
              </w:rPr>
              <w:t>115 072</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3</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ES</w:t>
            </w:r>
          </w:p>
        </w:tc>
        <w:tc>
          <w:tcPr>
            <w:tcW w:w="297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Guardia Civil – Border command</w:t>
            </w:r>
          </w:p>
        </w:tc>
        <w:tc>
          <w:tcPr>
            <w:tcW w:w="2977"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Sniffer dogs</w:t>
            </w:r>
          </w:p>
        </w:tc>
        <w:tc>
          <w:tcPr>
            <w:tcW w:w="155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noProof/>
                <w:sz w:val="20"/>
                <w:szCs w:val="20"/>
                <w:lang w:eastAsia="en-GB"/>
              </w:rPr>
            </w:pPr>
            <w:r>
              <w:rPr>
                <w:noProof/>
                <w:sz w:val="20"/>
                <w:szCs w:val="20"/>
                <w:lang w:eastAsia="en-GB"/>
              </w:rPr>
              <w:t>233 527</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4</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FR</w:t>
            </w:r>
          </w:p>
        </w:tc>
        <w:tc>
          <w:tcPr>
            <w:tcW w:w="297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French customs -Marseille</w:t>
            </w:r>
          </w:p>
        </w:tc>
        <w:tc>
          <w:tcPr>
            <w:tcW w:w="2977"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Laboratory equipment</w:t>
            </w:r>
          </w:p>
        </w:tc>
        <w:tc>
          <w:tcPr>
            <w:tcW w:w="155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noProof/>
                <w:sz w:val="20"/>
                <w:szCs w:val="20"/>
                <w:lang w:eastAsia="en-GB"/>
              </w:rPr>
            </w:pPr>
            <w:r>
              <w:rPr>
                <w:noProof/>
                <w:sz w:val="20"/>
                <w:szCs w:val="20"/>
                <w:lang w:eastAsia="en-GB"/>
              </w:rPr>
              <w:t>104 000</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5</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BG</w:t>
            </w:r>
          </w:p>
        </w:tc>
        <w:tc>
          <w:tcPr>
            <w:tcW w:w="297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Bulgarian customs</w:t>
            </w:r>
          </w:p>
        </w:tc>
        <w:tc>
          <w:tcPr>
            <w:tcW w:w="2977"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 xml:space="preserve">x-ray scanners </w:t>
            </w:r>
          </w:p>
        </w:tc>
        <w:tc>
          <w:tcPr>
            <w:tcW w:w="155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noProof/>
                <w:sz w:val="20"/>
                <w:szCs w:val="20"/>
                <w:lang w:eastAsia="en-GB"/>
              </w:rPr>
            </w:pPr>
            <w:r>
              <w:rPr>
                <w:noProof/>
                <w:sz w:val="20"/>
                <w:szCs w:val="20"/>
                <w:lang w:eastAsia="en-GB"/>
              </w:rPr>
              <w:t>1 467 224</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6</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FR</w:t>
            </w:r>
          </w:p>
        </w:tc>
        <w:tc>
          <w:tcPr>
            <w:tcW w:w="297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French customs - Tourcoing</w:t>
            </w:r>
          </w:p>
        </w:tc>
        <w:tc>
          <w:tcPr>
            <w:tcW w:w="2977"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Sniffer dogs</w:t>
            </w:r>
          </w:p>
        </w:tc>
        <w:tc>
          <w:tcPr>
            <w:tcW w:w="155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noProof/>
                <w:sz w:val="20"/>
                <w:szCs w:val="20"/>
                <w:lang w:eastAsia="en-GB"/>
              </w:rPr>
            </w:pPr>
            <w:r>
              <w:rPr>
                <w:noProof/>
                <w:sz w:val="20"/>
                <w:szCs w:val="20"/>
                <w:lang w:eastAsia="en-GB"/>
              </w:rPr>
              <w:t>38 777</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7</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LT</w:t>
            </w:r>
          </w:p>
        </w:tc>
        <w:tc>
          <w:tcPr>
            <w:tcW w:w="297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FCIS Lithuania</w:t>
            </w:r>
          </w:p>
        </w:tc>
        <w:tc>
          <w:tcPr>
            <w:tcW w:w="2977"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Investigation equipment</w:t>
            </w:r>
          </w:p>
        </w:tc>
        <w:tc>
          <w:tcPr>
            <w:tcW w:w="155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noProof/>
                <w:sz w:val="20"/>
                <w:szCs w:val="20"/>
                <w:lang w:eastAsia="en-GB"/>
              </w:rPr>
            </w:pPr>
            <w:r>
              <w:rPr>
                <w:noProof/>
                <w:sz w:val="20"/>
                <w:szCs w:val="20"/>
                <w:lang w:eastAsia="en-GB"/>
              </w:rPr>
              <w:t>46 336</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8</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PL</w:t>
            </w:r>
          </w:p>
        </w:tc>
        <w:tc>
          <w:tcPr>
            <w:tcW w:w="297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Polish customs</w:t>
            </w:r>
          </w:p>
        </w:tc>
        <w:tc>
          <w:tcPr>
            <w:tcW w:w="2977"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Backscatter scanner</w:t>
            </w:r>
          </w:p>
        </w:tc>
        <w:tc>
          <w:tcPr>
            <w:tcW w:w="155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noProof/>
                <w:sz w:val="20"/>
                <w:szCs w:val="20"/>
                <w:lang w:eastAsia="en-GB"/>
              </w:rPr>
            </w:pPr>
            <w:r>
              <w:rPr>
                <w:noProof/>
                <w:sz w:val="20"/>
                <w:szCs w:val="20"/>
                <w:lang w:eastAsia="en-GB"/>
              </w:rPr>
              <w:t>852 800</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9</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MT</w:t>
            </w:r>
          </w:p>
        </w:tc>
        <w:tc>
          <w:tcPr>
            <w:tcW w:w="297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Maltese customs</w:t>
            </w:r>
          </w:p>
        </w:tc>
        <w:tc>
          <w:tcPr>
            <w:tcW w:w="2977"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Backscatter scanner</w:t>
            </w:r>
          </w:p>
        </w:tc>
        <w:tc>
          <w:tcPr>
            <w:tcW w:w="155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noProof/>
                <w:sz w:val="20"/>
                <w:szCs w:val="20"/>
                <w:lang w:eastAsia="en-GB"/>
              </w:rPr>
            </w:pPr>
            <w:r>
              <w:rPr>
                <w:noProof/>
                <w:sz w:val="20"/>
                <w:szCs w:val="20"/>
                <w:lang w:eastAsia="en-GB"/>
              </w:rPr>
              <w:t>584 000</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10</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ES</w:t>
            </w:r>
          </w:p>
        </w:tc>
        <w:tc>
          <w:tcPr>
            <w:tcW w:w="297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Guardia Civil</w:t>
            </w:r>
          </w:p>
        </w:tc>
        <w:tc>
          <w:tcPr>
            <w:tcW w:w="2977"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IMSI Catcher</w:t>
            </w:r>
          </w:p>
        </w:tc>
        <w:tc>
          <w:tcPr>
            <w:tcW w:w="155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noProof/>
                <w:sz w:val="20"/>
                <w:szCs w:val="20"/>
                <w:lang w:eastAsia="en-GB"/>
              </w:rPr>
            </w:pPr>
            <w:r>
              <w:rPr>
                <w:noProof/>
                <w:sz w:val="20"/>
                <w:szCs w:val="20"/>
                <w:lang w:eastAsia="en-GB"/>
              </w:rPr>
              <w:t>330 578</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11</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FR</w:t>
            </w:r>
          </w:p>
        </w:tc>
        <w:tc>
          <w:tcPr>
            <w:tcW w:w="297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French customs – Martinique</w:t>
            </w:r>
          </w:p>
        </w:tc>
        <w:tc>
          <w:tcPr>
            <w:tcW w:w="2977"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x-ray scanner</w:t>
            </w:r>
          </w:p>
        </w:tc>
        <w:tc>
          <w:tcPr>
            <w:tcW w:w="155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noProof/>
                <w:sz w:val="20"/>
                <w:szCs w:val="20"/>
                <w:lang w:eastAsia="en-GB"/>
              </w:rPr>
            </w:pPr>
            <w:r>
              <w:rPr>
                <w:noProof/>
                <w:sz w:val="20"/>
                <w:szCs w:val="20"/>
                <w:lang w:eastAsia="en-GB"/>
              </w:rPr>
              <w:t>100 167</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12</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SE</w:t>
            </w:r>
          </w:p>
        </w:tc>
        <w:tc>
          <w:tcPr>
            <w:tcW w:w="297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Swedish customs</w:t>
            </w:r>
          </w:p>
        </w:tc>
        <w:tc>
          <w:tcPr>
            <w:tcW w:w="2977"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 xml:space="preserve">ANPRS </w:t>
            </w:r>
          </w:p>
        </w:tc>
        <w:tc>
          <w:tcPr>
            <w:tcW w:w="155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noProof/>
                <w:sz w:val="20"/>
                <w:szCs w:val="20"/>
                <w:lang w:eastAsia="en-GB"/>
              </w:rPr>
            </w:pPr>
            <w:r>
              <w:rPr>
                <w:noProof/>
                <w:sz w:val="20"/>
                <w:szCs w:val="20"/>
                <w:lang w:eastAsia="en-GB"/>
              </w:rPr>
              <w:t>224 000</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13</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NL</w:t>
            </w:r>
          </w:p>
        </w:tc>
        <w:tc>
          <w:tcPr>
            <w:tcW w:w="297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FIOD Netherlands</w:t>
            </w:r>
          </w:p>
        </w:tc>
        <w:tc>
          <w:tcPr>
            <w:tcW w:w="2977"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 xml:space="preserve">Scanner </w:t>
            </w:r>
          </w:p>
        </w:tc>
        <w:tc>
          <w:tcPr>
            <w:tcW w:w="155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noProof/>
                <w:sz w:val="20"/>
                <w:szCs w:val="20"/>
                <w:lang w:eastAsia="en-GB"/>
              </w:rPr>
            </w:pPr>
            <w:r>
              <w:rPr>
                <w:noProof/>
                <w:sz w:val="20"/>
                <w:szCs w:val="20"/>
                <w:lang w:eastAsia="en-GB"/>
              </w:rPr>
              <w:t>261 180</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14</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FR</w:t>
            </w:r>
          </w:p>
        </w:tc>
        <w:tc>
          <w:tcPr>
            <w:tcW w:w="297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French customs – Montreuil</w:t>
            </w:r>
          </w:p>
        </w:tc>
        <w:tc>
          <w:tcPr>
            <w:tcW w:w="2977"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 xml:space="preserve">ANPRS </w:t>
            </w:r>
          </w:p>
        </w:tc>
        <w:tc>
          <w:tcPr>
            <w:tcW w:w="155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noProof/>
                <w:sz w:val="20"/>
                <w:szCs w:val="20"/>
                <w:lang w:eastAsia="en-GB"/>
              </w:rPr>
            </w:pPr>
            <w:r>
              <w:rPr>
                <w:noProof/>
                <w:sz w:val="20"/>
                <w:szCs w:val="20"/>
                <w:lang w:eastAsia="en-GB"/>
              </w:rPr>
              <w:t>209 598</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15</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BG</w:t>
            </w:r>
          </w:p>
        </w:tc>
        <w:tc>
          <w:tcPr>
            <w:tcW w:w="297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Bulgarian Home Office</w:t>
            </w:r>
          </w:p>
        </w:tc>
        <w:tc>
          <w:tcPr>
            <w:tcW w:w="2977"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Intelligence equipment purchase</w:t>
            </w:r>
          </w:p>
        </w:tc>
        <w:tc>
          <w:tcPr>
            <w:tcW w:w="155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noProof/>
                <w:sz w:val="20"/>
                <w:szCs w:val="20"/>
                <w:lang w:eastAsia="en-GB"/>
              </w:rPr>
            </w:pPr>
            <w:r>
              <w:rPr>
                <w:noProof/>
                <w:sz w:val="20"/>
                <w:szCs w:val="20"/>
                <w:lang w:eastAsia="en-GB"/>
              </w:rPr>
              <w:t>284 442</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16</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RO</w:t>
            </w:r>
          </w:p>
        </w:tc>
        <w:tc>
          <w:tcPr>
            <w:tcW w:w="297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Bistrita County Police</w:t>
            </w:r>
          </w:p>
        </w:tc>
        <w:tc>
          <w:tcPr>
            <w:tcW w:w="2977"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Cameras</w:t>
            </w:r>
          </w:p>
        </w:tc>
        <w:tc>
          <w:tcPr>
            <w:tcW w:w="155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noProof/>
                <w:sz w:val="20"/>
                <w:szCs w:val="20"/>
                <w:lang w:eastAsia="en-GB"/>
              </w:rPr>
            </w:pPr>
            <w:r>
              <w:rPr>
                <w:noProof/>
                <w:sz w:val="20"/>
                <w:szCs w:val="20"/>
                <w:lang w:eastAsia="en-GB"/>
              </w:rPr>
              <w:t xml:space="preserve">64 681 </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17</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PL</w:t>
            </w:r>
          </w:p>
        </w:tc>
        <w:tc>
          <w:tcPr>
            <w:tcW w:w="297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Polish customs</w:t>
            </w:r>
          </w:p>
        </w:tc>
        <w:tc>
          <w:tcPr>
            <w:tcW w:w="2977"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Forensic software &amp; equipment</w:t>
            </w:r>
          </w:p>
        </w:tc>
        <w:tc>
          <w:tcPr>
            <w:tcW w:w="155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noProof/>
                <w:sz w:val="20"/>
                <w:szCs w:val="20"/>
                <w:lang w:eastAsia="en-GB"/>
              </w:rPr>
            </w:pPr>
            <w:r>
              <w:rPr>
                <w:noProof/>
                <w:sz w:val="20"/>
                <w:szCs w:val="20"/>
                <w:lang w:eastAsia="en-GB"/>
              </w:rPr>
              <w:t>184 466</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18</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LV</w:t>
            </w:r>
          </w:p>
        </w:tc>
        <w:tc>
          <w:tcPr>
            <w:tcW w:w="297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KNAB Latvia</w:t>
            </w:r>
          </w:p>
        </w:tc>
        <w:tc>
          <w:tcPr>
            <w:tcW w:w="2977"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Forensic software &amp; equipment</w:t>
            </w:r>
          </w:p>
        </w:tc>
        <w:tc>
          <w:tcPr>
            <w:tcW w:w="155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noProof/>
                <w:sz w:val="20"/>
                <w:szCs w:val="20"/>
                <w:lang w:eastAsia="en-GB"/>
              </w:rPr>
            </w:pPr>
            <w:r>
              <w:rPr>
                <w:noProof/>
                <w:sz w:val="20"/>
                <w:szCs w:val="20"/>
                <w:lang w:eastAsia="en-GB"/>
              </w:rPr>
              <w:t>186 411</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19</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BE</w:t>
            </w:r>
          </w:p>
        </w:tc>
        <w:tc>
          <w:tcPr>
            <w:tcW w:w="297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Belgian customs</w:t>
            </w:r>
          </w:p>
        </w:tc>
        <w:tc>
          <w:tcPr>
            <w:tcW w:w="2977"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Forensic equipment</w:t>
            </w:r>
          </w:p>
        </w:tc>
        <w:tc>
          <w:tcPr>
            <w:tcW w:w="155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noProof/>
                <w:sz w:val="20"/>
                <w:szCs w:val="20"/>
                <w:lang w:eastAsia="en-GB"/>
              </w:rPr>
            </w:pPr>
            <w:r>
              <w:rPr>
                <w:noProof/>
                <w:sz w:val="20"/>
                <w:szCs w:val="20"/>
                <w:lang w:eastAsia="en-GB"/>
              </w:rPr>
              <w:t>42 520</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20</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EL</w:t>
            </w:r>
          </w:p>
        </w:tc>
        <w:tc>
          <w:tcPr>
            <w:tcW w:w="297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Greek customs</w:t>
            </w:r>
          </w:p>
        </w:tc>
        <w:tc>
          <w:tcPr>
            <w:tcW w:w="2977"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Destruction of seizures</w:t>
            </w:r>
          </w:p>
        </w:tc>
        <w:tc>
          <w:tcPr>
            <w:tcW w:w="155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noProof/>
                <w:sz w:val="20"/>
                <w:szCs w:val="20"/>
                <w:lang w:eastAsia="en-GB"/>
              </w:rPr>
            </w:pPr>
            <w:r>
              <w:rPr>
                <w:noProof/>
                <w:sz w:val="20"/>
                <w:szCs w:val="20"/>
                <w:lang w:eastAsia="en-GB"/>
              </w:rPr>
              <w:t>200 000</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single" w:sz="12"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21</w:t>
            </w:r>
          </w:p>
        </w:tc>
        <w:tc>
          <w:tcPr>
            <w:tcW w:w="709" w:type="dxa"/>
            <w:tcBorders>
              <w:top w:val="dashed" w:sz="4" w:space="0" w:color="auto"/>
              <w:left w:val="nil"/>
              <w:bottom w:val="single" w:sz="12"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PT</w:t>
            </w:r>
          </w:p>
        </w:tc>
        <w:tc>
          <w:tcPr>
            <w:tcW w:w="2976" w:type="dxa"/>
            <w:tcBorders>
              <w:top w:val="dashed" w:sz="4" w:space="0" w:color="auto"/>
              <w:left w:val="nil"/>
              <w:bottom w:val="single" w:sz="12"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Portuguese Judicial Police</w:t>
            </w:r>
          </w:p>
        </w:tc>
        <w:tc>
          <w:tcPr>
            <w:tcW w:w="2977" w:type="dxa"/>
            <w:tcBorders>
              <w:top w:val="dashed" w:sz="4" w:space="0" w:color="auto"/>
              <w:left w:val="nil"/>
              <w:bottom w:val="single" w:sz="12" w:space="0" w:color="auto"/>
              <w:right w:val="single" w:sz="8" w:space="0" w:color="auto"/>
            </w:tcBorders>
            <w:shd w:val="clear" w:color="auto" w:fill="auto"/>
            <w:vAlign w:val="center"/>
          </w:tcPr>
          <w:p w:rsidR="00446B0D" w:rsidRDefault="008F1B69">
            <w:pPr>
              <w:spacing w:before="0" w:after="0"/>
              <w:jc w:val="left"/>
              <w:rPr>
                <w:noProof/>
                <w:sz w:val="20"/>
                <w:szCs w:val="20"/>
                <w:lang w:eastAsia="en-GB"/>
              </w:rPr>
            </w:pPr>
            <w:r>
              <w:rPr>
                <w:noProof/>
                <w:sz w:val="20"/>
                <w:szCs w:val="20"/>
                <w:lang w:eastAsia="en-GB"/>
              </w:rPr>
              <w:t>Forensic software &amp; equipment</w:t>
            </w:r>
          </w:p>
        </w:tc>
        <w:tc>
          <w:tcPr>
            <w:tcW w:w="1559" w:type="dxa"/>
            <w:tcBorders>
              <w:top w:val="dashed" w:sz="4" w:space="0" w:color="auto"/>
              <w:left w:val="nil"/>
              <w:bottom w:val="single" w:sz="12" w:space="0" w:color="auto"/>
              <w:right w:val="single" w:sz="8" w:space="0" w:color="auto"/>
            </w:tcBorders>
            <w:shd w:val="clear" w:color="auto" w:fill="auto"/>
            <w:vAlign w:val="center"/>
          </w:tcPr>
          <w:p w:rsidR="00446B0D" w:rsidRDefault="008F1B69">
            <w:pPr>
              <w:spacing w:before="0" w:after="0"/>
              <w:jc w:val="right"/>
              <w:rPr>
                <w:noProof/>
                <w:sz w:val="20"/>
                <w:szCs w:val="20"/>
                <w:lang w:eastAsia="en-GB"/>
              </w:rPr>
            </w:pPr>
            <w:r>
              <w:rPr>
                <w:noProof/>
                <w:sz w:val="20"/>
                <w:szCs w:val="20"/>
                <w:lang w:eastAsia="en-GB"/>
              </w:rPr>
              <w:t>931 017</w:t>
            </w:r>
          </w:p>
        </w:tc>
        <w:tc>
          <w:tcPr>
            <w:tcW w:w="733" w:type="dxa"/>
            <w:tcBorders>
              <w:top w:val="dashed" w:sz="4" w:space="0" w:color="auto"/>
              <w:left w:val="nil"/>
              <w:bottom w:val="single" w:sz="12"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rPr>
          <w:gridBefore w:val="3"/>
          <w:wBefore w:w="4137" w:type="dxa"/>
          <w:trHeight w:val="303"/>
        </w:trPr>
        <w:tc>
          <w:tcPr>
            <w:tcW w:w="2977" w:type="dxa"/>
            <w:tcBorders>
              <w:top w:val="single" w:sz="12" w:space="0" w:color="auto"/>
              <w:left w:val="single" w:sz="12" w:space="0" w:color="auto"/>
              <w:bottom w:val="single" w:sz="12" w:space="0" w:color="auto"/>
              <w:right w:val="single" w:sz="8" w:space="0" w:color="auto"/>
            </w:tcBorders>
            <w:shd w:val="clear" w:color="auto" w:fill="D9D9D9"/>
            <w:vAlign w:val="center"/>
          </w:tcPr>
          <w:p w:rsidR="00446B0D" w:rsidRDefault="008F1B69">
            <w:pPr>
              <w:spacing w:before="0" w:after="0"/>
              <w:jc w:val="right"/>
              <w:rPr>
                <w:b/>
                <w:noProof/>
                <w:sz w:val="20"/>
                <w:szCs w:val="20"/>
                <w:lang w:eastAsia="en-GB"/>
              </w:rPr>
            </w:pPr>
            <w:r>
              <w:rPr>
                <w:b/>
                <w:bCs/>
                <w:noProof/>
                <w:sz w:val="20"/>
                <w:szCs w:val="20"/>
                <w:lang w:eastAsia="en-GB"/>
              </w:rPr>
              <w:t>Total</w:t>
            </w:r>
          </w:p>
        </w:tc>
        <w:tc>
          <w:tcPr>
            <w:tcW w:w="1559" w:type="dxa"/>
            <w:tcBorders>
              <w:top w:val="single" w:sz="12" w:space="0" w:color="auto"/>
              <w:left w:val="nil"/>
              <w:bottom w:val="single" w:sz="12" w:space="0" w:color="auto"/>
              <w:right w:val="single" w:sz="8" w:space="0" w:color="auto"/>
            </w:tcBorders>
            <w:shd w:val="clear" w:color="auto" w:fill="D9D9D9"/>
            <w:vAlign w:val="center"/>
          </w:tcPr>
          <w:p w:rsidR="00446B0D" w:rsidRDefault="008F1B69">
            <w:pPr>
              <w:spacing w:before="0" w:after="0"/>
              <w:jc w:val="right"/>
              <w:rPr>
                <w:b/>
                <w:noProof/>
                <w:sz w:val="20"/>
                <w:szCs w:val="20"/>
                <w:lang w:eastAsia="en-GB"/>
              </w:rPr>
            </w:pPr>
            <w:r>
              <w:rPr>
                <w:b/>
                <w:noProof/>
                <w:sz w:val="20"/>
                <w:szCs w:val="20"/>
                <w:lang w:eastAsia="en-GB"/>
              </w:rPr>
              <w:t>8 683 354</w:t>
            </w:r>
          </w:p>
        </w:tc>
        <w:tc>
          <w:tcPr>
            <w:tcW w:w="733" w:type="dxa"/>
            <w:tcBorders>
              <w:top w:val="single" w:sz="12" w:space="0" w:color="auto"/>
              <w:left w:val="nil"/>
              <w:bottom w:val="single" w:sz="12" w:space="0" w:color="auto"/>
              <w:right w:val="single" w:sz="12" w:space="0" w:color="auto"/>
            </w:tcBorders>
            <w:shd w:val="clear" w:color="auto" w:fill="D9D9D9"/>
            <w:vAlign w:val="center"/>
          </w:tcPr>
          <w:p w:rsidR="00446B0D" w:rsidRDefault="008F1B69">
            <w:pPr>
              <w:spacing w:before="0" w:after="0"/>
              <w:jc w:val="center"/>
              <w:rPr>
                <w:noProof/>
                <w:sz w:val="20"/>
                <w:szCs w:val="20"/>
                <w:lang w:eastAsia="en-GB"/>
              </w:rPr>
            </w:pPr>
            <w:r>
              <w:rPr>
                <w:noProof/>
                <w:sz w:val="20"/>
                <w:szCs w:val="20"/>
                <w:lang w:eastAsia="en-GB"/>
              </w:rPr>
              <w:t>80</w:t>
            </w:r>
          </w:p>
        </w:tc>
      </w:tr>
    </w:tbl>
    <w:p w:rsidR="00446B0D" w:rsidRDefault="00446B0D">
      <w:pPr>
        <w:pStyle w:val="Heading1"/>
        <w:rPr>
          <w:b w:val="0"/>
          <w:noProof/>
        </w:rPr>
      </w:pPr>
    </w:p>
    <w:p w:rsidR="00446B0D" w:rsidRDefault="008F1B69">
      <w:pPr>
        <w:pStyle w:val="Text1"/>
        <w:ind w:left="0"/>
        <w:rPr>
          <w:noProof/>
          <w:sz w:val="20"/>
          <w:szCs w:val="20"/>
        </w:rPr>
      </w:pPr>
      <w:r>
        <w:rPr>
          <w:b/>
          <w:noProof/>
          <w:sz w:val="20"/>
          <w:szCs w:val="20"/>
        </w:rPr>
        <w:t>Table 2 — Technical Assistance grants finalised in 2014</w:t>
      </w:r>
    </w:p>
    <w:tbl>
      <w:tblPr>
        <w:tblStyle w:val="TableGrid"/>
        <w:tblW w:w="0" w:type="auto"/>
        <w:tblInd w:w="-34" w:type="dxa"/>
        <w:tblBorders>
          <w:top w:val="single" w:sz="12" w:space="0" w:color="auto"/>
          <w:left w:val="single" w:sz="12" w:space="0" w:color="auto"/>
          <w:bottom w:val="single" w:sz="12" w:space="0" w:color="auto"/>
          <w:right w:val="single" w:sz="12" w:space="0" w:color="auto"/>
          <w:insideH w:val="dashed" w:sz="4" w:space="0" w:color="auto"/>
        </w:tblBorders>
        <w:tblLook w:val="04A0" w:firstRow="1" w:lastRow="0" w:firstColumn="1" w:lastColumn="0" w:noHBand="0" w:noVBand="1"/>
      </w:tblPr>
      <w:tblGrid>
        <w:gridCol w:w="426"/>
        <w:gridCol w:w="709"/>
        <w:gridCol w:w="2976"/>
        <w:gridCol w:w="2977"/>
        <w:gridCol w:w="1418"/>
        <w:gridCol w:w="815"/>
      </w:tblGrid>
      <w:tr w:rsidR="00446B0D">
        <w:tc>
          <w:tcPr>
            <w:tcW w:w="426" w:type="dxa"/>
            <w:tcBorders>
              <w:top w:val="nil"/>
              <w:left w:val="nil"/>
              <w:bottom w:val="single" w:sz="12" w:space="0" w:color="auto"/>
              <w:right w:val="single" w:sz="12" w:space="0" w:color="auto"/>
            </w:tcBorders>
          </w:tcPr>
          <w:p w:rsidR="00446B0D" w:rsidRDefault="00446B0D">
            <w:pPr>
              <w:pStyle w:val="Text1"/>
              <w:ind w:left="0"/>
              <w:rPr>
                <w:noProof/>
                <w:sz w:val="20"/>
                <w:szCs w:val="20"/>
              </w:rPr>
            </w:pPr>
          </w:p>
        </w:tc>
        <w:tc>
          <w:tcPr>
            <w:tcW w:w="709" w:type="dxa"/>
            <w:tcBorders>
              <w:top w:val="single" w:sz="12" w:space="0" w:color="auto"/>
              <w:left w:val="single" w:sz="12" w:space="0" w:color="auto"/>
              <w:bottom w:val="single" w:sz="12" w:space="0" w:color="auto"/>
            </w:tcBorders>
            <w:shd w:val="clear" w:color="auto" w:fill="C7C7C7" w:themeFill="background1" w:themeFillShade="D9"/>
            <w:vAlign w:val="center"/>
          </w:tcPr>
          <w:p w:rsidR="00446B0D" w:rsidRDefault="008F1B69">
            <w:pPr>
              <w:spacing w:before="0" w:after="0"/>
              <w:jc w:val="center"/>
              <w:rPr>
                <w:noProof/>
                <w:sz w:val="20"/>
                <w:szCs w:val="20"/>
              </w:rPr>
            </w:pPr>
            <w:r>
              <w:rPr>
                <w:b/>
                <w:bCs/>
                <w:noProof/>
                <w:sz w:val="18"/>
                <w:szCs w:val="18"/>
              </w:rPr>
              <w:t>MS</w:t>
            </w:r>
          </w:p>
        </w:tc>
        <w:tc>
          <w:tcPr>
            <w:tcW w:w="2976" w:type="dxa"/>
            <w:tcBorders>
              <w:top w:val="single" w:sz="12" w:space="0" w:color="auto"/>
              <w:bottom w:val="single" w:sz="12" w:space="0" w:color="auto"/>
            </w:tcBorders>
            <w:shd w:val="clear" w:color="auto" w:fill="C7C7C7" w:themeFill="background1" w:themeFillShade="D9"/>
            <w:vAlign w:val="center"/>
          </w:tcPr>
          <w:p w:rsidR="00446B0D" w:rsidRDefault="008F1B69">
            <w:pPr>
              <w:spacing w:before="0" w:after="0"/>
              <w:jc w:val="center"/>
              <w:rPr>
                <w:noProof/>
                <w:sz w:val="20"/>
                <w:szCs w:val="20"/>
              </w:rPr>
            </w:pPr>
            <w:r>
              <w:rPr>
                <w:b/>
                <w:bCs/>
                <w:noProof/>
                <w:sz w:val="18"/>
                <w:szCs w:val="18"/>
              </w:rPr>
              <w:t>Beneficiary</w:t>
            </w:r>
          </w:p>
        </w:tc>
        <w:tc>
          <w:tcPr>
            <w:tcW w:w="2977" w:type="dxa"/>
            <w:tcBorders>
              <w:top w:val="single" w:sz="12" w:space="0" w:color="auto"/>
              <w:bottom w:val="single" w:sz="12" w:space="0" w:color="auto"/>
            </w:tcBorders>
            <w:shd w:val="clear" w:color="auto" w:fill="C7C7C7" w:themeFill="background1" w:themeFillShade="D9"/>
            <w:vAlign w:val="center"/>
          </w:tcPr>
          <w:p w:rsidR="00446B0D" w:rsidRDefault="008F1B69">
            <w:pPr>
              <w:spacing w:before="0" w:after="0"/>
              <w:jc w:val="center"/>
              <w:rPr>
                <w:noProof/>
                <w:sz w:val="20"/>
                <w:szCs w:val="20"/>
              </w:rPr>
            </w:pPr>
            <w:r>
              <w:rPr>
                <w:b/>
                <w:bCs/>
                <w:noProof/>
                <w:sz w:val="18"/>
                <w:szCs w:val="18"/>
              </w:rPr>
              <w:t>Subject</w:t>
            </w:r>
          </w:p>
        </w:tc>
        <w:tc>
          <w:tcPr>
            <w:tcW w:w="1418" w:type="dxa"/>
            <w:tcBorders>
              <w:top w:val="single" w:sz="12" w:space="0" w:color="auto"/>
              <w:bottom w:val="single" w:sz="12" w:space="0" w:color="auto"/>
            </w:tcBorders>
            <w:shd w:val="clear" w:color="auto" w:fill="C7C7C7" w:themeFill="background1" w:themeFillShade="D9"/>
            <w:vAlign w:val="center"/>
          </w:tcPr>
          <w:p w:rsidR="00446B0D" w:rsidRDefault="008F1B69">
            <w:pPr>
              <w:spacing w:before="0" w:after="0"/>
              <w:jc w:val="center"/>
              <w:rPr>
                <w:noProof/>
                <w:sz w:val="20"/>
                <w:szCs w:val="20"/>
              </w:rPr>
            </w:pPr>
            <w:r>
              <w:rPr>
                <w:b/>
                <w:bCs/>
                <w:noProof/>
                <w:sz w:val="18"/>
                <w:szCs w:val="18"/>
              </w:rPr>
              <w:t>Amount paid</w:t>
            </w:r>
          </w:p>
        </w:tc>
        <w:tc>
          <w:tcPr>
            <w:tcW w:w="815" w:type="dxa"/>
            <w:tcBorders>
              <w:top w:val="single" w:sz="12" w:space="0" w:color="auto"/>
              <w:bottom w:val="single" w:sz="12" w:space="0" w:color="auto"/>
            </w:tcBorders>
            <w:shd w:val="clear" w:color="auto" w:fill="C7C7C7" w:themeFill="background1" w:themeFillShade="D9"/>
            <w:vAlign w:val="center"/>
          </w:tcPr>
          <w:p w:rsidR="00446B0D" w:rsidRDefault="008F1B69">
            <w:pPr>
              <w:spacing w:before="0" w:after="0"/>
              <w:jc w:val="center"/>
              <w:rPr>
                <w:noProof/>
                <w:sz w:val="20"/>
                <w:szCs w:val="20"/>
              </w:rPr>
            </w:pPr>
            <w:r>
              <w:rPr>
                <w:b/>
                <w:bCs/>
                <w:noProof/>
                <w:sz w:val="18"/>
                <w:szCs w:val="18"/>
              </w:rPr>
              <w:t>% grant to total cost</w:t>
            </w:r>
          </w:p>
        </w:tc>
      </w:tr>
      <w:tr w:rsidR="00446B0D">
        <w:tc>
          <w:tcPr>
            <w:tcW w:w="426" w:type="dxa"/>
            <w:tcBorders>
              <w:top w:val="single" w:sz="12" w:space="0" w:color="auto"/>
              <w:bottom w:val="dashed" w:sz="4" w:space="0" w:color="auto"/>
            </w:tcBorders>
            <w:vAlign w:val="center"/>
          </w:tcPr>
          <w:p w:rsidR="00446B0D" w:rsidRDefault="008F1B69">
            <w:pPr>
              <w:spacing w:before="0" w:after="0"/>
              <w:jc w:val="left"/>
              <w:rPr>
                <w:bCs/>
                <w:noProof/>
                <w:sz w:val="20"/>
                <w:szCs w:val="20"/>
              </w:rPr>
            </w:pPr>
            <w:r>
              <w:rPr>
                <w:bCs/>
                <w:noProof/>
                <w:sz w:val="20"/>
                <w:szCs w:val="20"/>
              </w:rPr>
              <w:t>1</w:t>
            </w:r>
          </w:p>
        </w:tc>
        <w:tc>
          <w:tcPr>
            <w:tcW w:w="709" w:type="dxa"/>
            <w:tcBorders>
              <w:top w:val="single" w:sz="12" w:space="0" w:color="auto"/>
              <w:bottom w:val="dashed" w:sz="4" w:space="0" w:color="auto"/>
            </w:tcBorders>
            <w:vAlign w:val="center"/>
          </w:tcPr>
          <w:p w:rsidR="00446B0D" w:rsidRDefault="008F1B69">
            <w:pPr>
              <w:spacing w:before="0" w:after="0"/>
              <w:jc w:val="center"/>
              <w:rPr>
                <w:bCs/>
                <w:noProof/>
                <w:sz w:val="20"/>
                <w:szCs w:val="20"/>
              </w:rPr>
            </w:pPr>
            <w:r>
              <w:rPr>
                <w:bCs/>
                <w:noProof/>
                <w:sz w:val="20"/>
                <w:szCs w:val="20"/>
              </w:rPr>
              <w:t>PL</w:t>
            </w:r>
          </w:p>
        </w:tc>
        <w:tc>
          <w:tcPr>
            <w:tcW w:w="2976" w:type="dxa"/>
            <w:tcBorders>
              <w:top w:val="single" w:sz="12" w:space="0" w:color="auto"/>
              <w:bottom w:val="dashed" w:sz="4" w:space="0" w:color="auto"/>
            </w:tcBorders>
            <w:vAlign w:val="center"/>
          </w:tcPr>
          <w:p w:rsidR="00446B0D" w:rsidRDefault="008F1B69">
            <w:pPr>
              <w:spacing w:before="0" w:after="0"/>
              <w:jc w:val="left"/>
              <w:rPr>
                <w:bCs/>
                <w:noProof/>
                <w:sz w:val="20"/>
                <w:szCs w:val="20"/>
              </w:rPr>
            </w:pPr>
            <w:r>
              <w:rPr>
                <w:bCs/>
                <w:noProof/>
                <w:sz w:val="20"/>
                <w:szCs w:val="20"/>
              </w:rPr>
              <w:t>Ministry of Finance, Treasury Intelligence Department</w:t>
            </w:r>
          </w:p>
        </w:tc>
        <w:tc>
          <w:tcPr>
            <w:tcW w:w="2977" w:type="dxa"/>
            <w:tcBorders>
              <w:top w:val="single" w:sz="12" w:space="0" w:color="auto"/>
              <w:bottom w:val="dashed" w:sz="4" w:space="0" w:color="auto"/>
            </w:tcBorders>
            <w:vAlign w:val="center"/>
          </w:tcPr>
          <w:p w:rsidR="00446B0D" w:rsidRDefault="008F1B69">
            <w:pPr>
              <w:spacing w:before="0" w:after="0"/>
              <w:jc w:val="left"/>
              <w:rPr>
                <w:bCs/>
                <w:noProof/>
                <w:sz w:val="20"/>
                <w:szCs w:val="20"/>
              </w:rPr>
            </w:pPr>
            <w:r>
              <w:rPr>
                <w:bCs/>
                <w:noProof/>
                <w:sz w:val="20"/>
                <w:szCs w:val="20"/>
              </w:rPr>
              <w:t>Modernisation of technical equipment</w:t>
            </w:r>
          </w:p>
        </w:tc>
        <w:tc>
          <w:tcPr>
            <w:tcW w:w="1418" w:type="dxa"/>
            <w:tcBorders>
              <w:top w:val="single" w:sz="12" w:space="0" w:color="auto"/>
              <w:bottom w:val="dashed" w:sz="4" w:space="0" w:color="auto"/>
            </w:tcBorders>
            <w:vAlign w:val="center"/>
          </w:tcPr>
          <w:p w:rsidR="00446B0D" w:rsidRDefault="008F1B69">
            <w:pPr>
              <w:spacing w:before="0" w:after="0"/>
              <w:jc w:val="right"/>
              <w:rPr>
                <w:bCs/>
                <w:noProof/>
                <w:sz w:val="20"/>
                <w:szCs w:val="20"/>
              </w:rPr>
            </w:pPr>
            <w:r>
              <w:rPr>
                <w:bCs/>
                <w:noProof/>
                <w:sz w:val="20"/>
                <w:szCs w:val="20"/>
              </w:rPr>
              <w:t>78 097</w:t>
            </w:r>
          </w:p>
        </w:tc>
        <w:tc>
          <w:tcPr>
            <w:tcW w:w="815" w:type="dxa"/>
            <w:tcBorders>
              <w:top w:val="single" w:sz="12" w:space="0" w:color="auto"/>
              <w:bottom w:val="dashed" w:sz="4" w:space="0" w:color="auto"/>
            </w:tcBorders>
            <w:vAlign w:val="center"/>
          </w:tcPr>
          <w:p w:rsidR="00446B0D" w:rsidRDefault="008F1B69">
            <w:pPr>
              <w:spacing w:before="0" w:after="0"/>
              <w:jc w:val="center"/>
              <w:rPr>
                <w:bCs/>
                <w:noProof/>
                <w:sz w:val="20"/>
                <w:szCs w:val="20"/>
              </w:rPr>
            </w:pPr>
            <w:r>
              <w:rPr>
                <w:bCs/>
                <w:noProof/>
                <w:sz w:val="20"/>
                <w:szCs w:val="20"/>
              </w:rPr>
              <w:t>49</w:t>
            </w:r>
          </w:p>
        </w:tc>
      </w:tr>
      <w:tr w:rsidR="00446B0D">
        <w:tc>
          <w:tcPr>
            <w:tcW w:w="426" w:type="dxa"/>
            <w:tcBorders>
              <w:top w:val="dashed" w:sz="4" w:space="0" w:color="auto"/>
              <w:bottom w:val="dashed" w:sz="4" w:space="0" w:color="auto"/>
            </w:tcBorders>
            <w:vAlign w:val="center"/>
          </w:tcPr>
          <w:p w:rsidR="00446B0D" w:rsidRDefault="008F1B69">
            <w:pPr>
              <w:spacing w:before="0" w:after="0"/>
              <w:jc w:val="left"/>
              <w:rPr>
                <w:bCs/>
                <w:noProof/>
                <w:sz w:val="20"/>
                <w:szCs w:val="20"/>
              </w:rPr>
            </w:pPr>
            <w:r>
              <w:rPr>
                <w:bCs/>
                <w:noProof/>
                <w:sz w:val="20"/>
                <w:szCs w:val="20"/>
              </w:rPr>
              <w:t>2</w:t>
            </w:r>
          </w:p>
        </w:tc>
        <w:tc>
          <w:tcPr>
            <w:tcW w:w="709" w:type="dxa"/>
            <w:tcBorders>
              <w:top w:val="dashed" w:sz="4" w:space="0" w:color="auto"/>
              <w:bottom w:val="dashed" w:sz="4" w:space="0" w:color="auto"/>
            </w:tcBorders>
            <w:vAlign w:val="center"/>
          </w:tcPr>
          <w:p w:rsidR="00446B0D" w:rsidRDefault="008F1B69">
            <w:pPr>
              <w:spacing w:before="0" w:after="0"/>
              <w:jc w:val="center"/>
              <w:rPr>
                <w:bCs/>
                <w:noProof/>
                <w:sz w:val="20"/>
                <w:szCs w:val="20"/>
              </w:rPr>
            </w:pPr>
            <w:r>
              <w:rPr>
                <w:bCs/>
                <w:noProof/>
                <w:sz w:val="20"/>
                <w:szCs w:val="20"/>
              </w:rPr>
              <w:t>HU</w:t>
            </w:r>
          </w:p>
        </w:tc>
        <w:tc>
          <w:tcPr>
            <w:tcW w:w="2976" w:type="dxa"/>
            <w:tcBorders>
              <w:top w:val="dashed" w:sz="4" w:space="0" w:color="auto"/>
              <w:bottom w:val="dashed" w:sz="4" w:space="0" w:color="auto"/>
            </w:tcBorders>
            <w:vAlign w:val="center"/>
          </w:tcPr>
          <w:p w:rsidR="00446B0D" w:rsidRDefault="008F1B69">
            <w:pPr>
              <w:spacing w:before="0" w:after="0"/>
              <w:jc w:val="left"/>
              <w:rPr>
                <w:bCs/>
                <w:noProof/>
                <w:sz w:val="20"/>
                <w:szCs w:val="20"/>
              </w:rPr>
            </w:pPr>
            <w:r>
              <w:rPr>
                <w:bCs/>
                <w:noProof/>
                <w:sz w:val="20"/>
                <w:szCs w:val="20"/>
              </w:rPr>
              <w:t xml:space="preserve">National Tax </w:t>
            </w:r>
            <w:r>
              <w:rPr>
                <w:bCs/>
                <w:noProof/>
                <w:sz w:val="20"/>
                <w:szCs w:val="20"/>
              </w:rPr>
              <w:t>and Customs Administration</w:t>
            </w:r>
          </w:p>
        </w:tc>
        <w:tc>
          <w:tcPr>
            <w:tcW w:w="2977" w:type="dxa"/>
            <w:tcBorders>
              <w:top w:val="dashed" w:sz="4" w:space="0" w:color="auto"/>
              <w:bottom w:val="dashed" w:sz="4" w:space="0" w:color="auto"/>
            </w:tcBorders>
            <w:vAlign w:val="center"/>
          </w:tcPr>
          <w:p w:rsidR="00446B0D" w:rsidRDefault="008F1B69">
            <w:pPr>
              <w:spacing w:before="0" w:after="0"/>
              <w:jc w:val="left"/>
              <w:rPr>
                <w:bCs/>
                <w:noProof/>
                <w:sz w:val="20"/>
                <w:szCs w:val="20"/>
              </w:rPr>
            </w:pPr>
            <w:r>
              <w:rPr>
                <w:bCs/>
                <w:noProof/>
                <w:sz w:val="20"/>
                <w:szCs w:val="20"/>
              </w:rPr>
              <w:t>Strengthening the eastern border section of Hungary</w:t>
            </w:r>
          </w:p>
        </w:tc>
        <w:tc>
          <w:tcPr>
            <w:tcW w:w="1418" w:type="dxa"/>
            <w:tcBorders>
              <w:top w:val="dashed" w:sz="4" w:space="0" w:color="auto"/>
              <w:bottom w:val="dashed" w:sz="4" w:space="0" w:color="auto"/>
            </w:tcBorders>
            <w:vAlign w:val="center"/>
          </w:tcPr>
          <w:p w:rsidR="00446B0D" w:rsidRDefault="008F1B69">
            <w:pPr>
              <w:spacing w:before="0" w:after="0"/>
              <w:jc w:val="right"/>
              <w:rPr>
                <w:bCs/>
                <w:noProof/>
                <w:sz w:val="20"/>
                <w:szCs w:val="20"/>
              </w:rPr>
            </w:pPr>
            <w:r>
              <w:rPr>
                <w:bCs/>
                <w:noProof/>
                <w:sz w:val="20"/>
                <w:szCs w:val="20"/>
              </w:rPr>
              <w:t>302 620</w:t>
            </w:r>
          </w:p>
        </w:tc>
        <w:tc>
          <w:tcPr>
            <w:tcW w:w="815" w:type="dxa"/>
            <w:tcBorders>
              <w:top w:val="dashed" w:sz="4" w:space="0" w:color="auto"/>
              <w:bottom w:val="dashed" w:sz="4" w:space="0" w:color="auto"/>
            </w:tcBorders>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tcBorders>
              <w:top w:val="dashed" w:sz="4" w:space="0" w:color="auto"/>
              <w:bottom w:val="dashed" w:sz="4" w:space="0" w:color="auto"/>
            </w:tcBorders>
            <w:vAlign w:val="center"/>
          </w:tcPr>
          <w:p w:rsidR="00446B0D" w:rsidRDefault="008F1B69">
            <w:pPr>
              <w:spacing w:before="0" w:after="0"/>
              <w:jc w:val="left"/>
              <w:rPr>
                <w:bCs/>
                <w:noProof/>
                <w:sz w:val="20"/>
                <w:szCs w:val="20"/>
              </w:rPr>
            </w:pPr>
            <w:r>
              <w:rPr>
                <w:bCs/>
                <w:noProof/>
                <w:sz w:val="20"/>
                <w:szCs w:val="20"/>
              </w:rPr>
              <w:t>3</w:t>
            </w:r>
          </w:p>
        </w:tc>
        <w:tc>
          <w:tcPr>
            <w:tcW w:w="709" w:type="dxa"/>
            <w:tcBorders>
              <w:top w:val="dashed" w:sz="4" w:space="0" w:color="auto"/>
              <w:bottom w:val="dashed" w:sz="4" w:space="0" w:color="auto"/>
            </w:tcBorders>
            <w:vAlign w:val="center"/>
          </w:tcPr>
          <w:p w:rsidR="00446B0D" w:rsidRDefault="008F1B69">
            <w:pPr>
              <w:spacing w:before="0" w:after="0"/>
              <w:jc w:val="center"/>
              <w:rPr>
                <w:bCs/>
                <w:noProof/>
                <w:sz w:val="20"/>
                <w:szCs w:val="20"/>
              </w:rPr>
            </w:pPr>
            <w:r>
              <w:rPr>
                <w:bCs/>
                <w:noProof/>
                <w:sz w:val="20"/>
                <w:szCs w:val="20"/>
              </w:rPr>
              <w:t>PL</w:t>
            </w:r>
          </w:p>
        </w:tc>
        <w:tc>
          <w:tcPr>
            <w:tcW w:w="2976" w:type="dxa"/>
            <w:tcBorders>
              <w:top w:val="dashed" w:sz="4" w:space="0" w:color="auto"/>
              <w:bottom w:val="dashed" w:sz="4" w:space="0" w:color="auto"/>
            </w:tcBorders>
            <w:vAlign w:val="center"/>
          </w:tcPr>
          <w:p w:rsidR="00446B0D" w:rsidRDefault="008F1B69">
            <w:pPr>
              <w:spacing w:before="0" w:after="0"/>
              <w:jc w:val="left"/>
              <w:rPr>
                <w:bCs/>
                <w:noProof/>
                <w:sz w:val="20"/>
                <w:szCs w:val="20"/>
              </w:rPr>
            </w:pPr>
            <w:r>
              <w:rPr>
                <w:bCs/>
                <w:noProof/>
                <w:sz w:val="20"/>
                <w:szCs w:val="20"/>
              </w:rPr>
              <w:t>Customs Chamber in Olsztyn</w:t>
            </w:r>
          </w:p>
        </w:tc>
        <w:tc>
          <w:tcPr>
            <w:tcW w:w="2977" w:type="dxa"/>
            <w:tcBorders>
              <w:top w:val="dashed" w:sz="4" w:space="0" w:color="auto"/>
              <w:bottom w:val="dashed" w:sz="4" w:space="0" w:color="auto"/>
            </w:tcBorders>
            <w:vAlign w:val="center"/>
          </w:tcPr>
          <w:p w:rsidR="00446B0D" w:rsidRDefault="008F1B69">
            <w:pPr>
              <w:spacing w:before="0" w:after="0"/>
              <w:jc w:val="left"/>
              <w:rPr>
                <w:bCs/>
                <w:noProof/>
                <w:sz w:val="20"/>
                <w:szCs w:val="20"/>
              </w:rPr>
            </w:pPr>
            <w:r>
              <w:rPr>
                <w:bCs/>
                <w:noProof/>
                <w:sz w:val="20"/>
                <w:szCs w:val="20"/>
              </w:rPr>
              <w:t>Procurement of operational equipment (x-ray scanner, video endoscope)</w:t>
            </w:r>
          </w:p>
        </w:tc>
        <w:tc>
          <w:tcPr>
            <w:tcW w:w="1418" w:type="dxa"/>
            <w:tcBorders>
              <w:top w:val="dashed" w:sz="4" w:space="0" w:color="auto"/>
              <w:bottom w:val="dashed" w:sz="4" w:space="0" w:color="auto"/>
            </w:tcBorders>
            <w:vAlign w:val="center"/>
          </w:tcPr>
          <w:p w:rsidR="00446B0D" w:rsidRDefault="008F1B69">
            <w:pPr>
              <w:spacing w:before="0" w:after="0"/>
              <w:jc w:val="right"/>
              <w:rPr>
                <w:bCs/>
                <w:noProof/>
                <w:sz w:val="20"/>
                <w:szCs w:val="20"/>
              </w:rPr>
            </w:pPr>
            <w:r>
              <w:rPr>
                <w:bCs/>
                <w:noProof/>
                <w:sz w:val="20"/>
                <w:szCs w:val="20"/>
              </w:rPr>
              <w:t>42 730</w:t>
            </w:r>
          </w:p>
        </w:tc>
        <w:tc>
          <w:tcPr>
            <w:tcW w:w="815" w:type="dxa"/>
            <w:tcBorders>
              <w:top w:val="dashed" w:sz="4" w:space="0" w:color="auto"/>
              <w:bottom w:val="dashed" w:sz="4" w:space="0" w:color="auto"/>
            </w:tcBorders>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tcBorders>
              <w:top w:val="dashed" w:sz="4" w:space="0" w:color="auto"/>
            </w:tcBorders>
            <w:vAlign w:val="center"/>
          </w:tcPr>
          <w:p w:rsidR="00446B0D" w:rsidRDefault="008F1B69">
            <w:pPr>
              <w:spacing w:before="0" w:after="0"/>
              <w:jc w:val="left"/>
              <w:rPr>
                <w:bCs/>
                <w:noProof/>
                <w:sz w:val="20"/>
                <w:szCs w:val="20"/>
              </w:rPr>
            </w:pPr>
            <w:r>
              <w:rPr>
                <w:bCs/>
                <w:noProof/>
                <w:sz w:val="20"/>
                <w:szCs w:val="20"/>
              </w:rPr>
              <w:t>4</w:t>
            </w:r>
          </w:p>
        </w:tc>
        <w:tc>
          <w:tcPr>
            <w:tcW w:w="709" w:type="dxa"/>
            <w:tcBorders>
              <w:top w:val="dashed" w:sz="4" w:space="0" w:color="auto"/>
            </w:tcBorders>
            <w:vAlign w:val="center"/>
          </w:tcPr>
          <w:p w:rsidR="00446B0D" w:rsidRDefault="008F1B69">
            <w:pPr>
              <w:spacing w:before="0" w:after="0"/>
              <w:jc w:val="center"/>
              <w:rPr>
                <w:bCs/>
                <w:noProof/>
                <w:sz w:val="20"/>
                <w:szCs w:val="20"/>
              </w:rPr>
            </w:pPr>
            <w:r>
              <w:rPr>
                <w:bCs/>
                <w:noProof/>
                <w:sz w:val="20"/>
                <w:szCs w:val="20"/>
              </w:rPr>
              <w:t>DE</w:t>
            </w:r>
          </w:p>
        </w:tc>
        <w:tc>
          <w:tcPr>
            <w:tcW w:w="2976" w:type="dxa"/>
            <w:tcBorders>
              <w:top w:val="dashed" w:sz="4" w:space="0" w:color="auto"/>
            </w:tcBorders>
            <w:vAlign w:val="center"/>
          </w:tcPr>
          <w:p w:rsidR="00446B0D" w:rsidRDefault="008F1B69">
            <w:pPr>
              <w:spacing w:before="0" w:after="0"/>
              <w:jc w:val="left"/>
              <w:rPr>
                <w:bCs/>
                <w:noProof/>
                <w:sz w:val="20"/>
                <w:szCs w:val="20"/>
              </w:rPr>
            </w:pPr>
            <w:r>
              <w:rPr>
                <w:bCs/>
                <w:noProof/>
                <w:sz w:val="20"/>
                <w:szCs w:val="20"/>
              </w:rPr>
              <w:t>Bundeskriminalamt – BKA</w:t>
            </w:r>
          </w:p>
        </w:tc>
        <w:tc>
          <w:tcPr>
            <w:tcW w:w="2977" w:type="dxa"/>
            <w:tcBorders>
              <w:top w:val="dashed" w:sz="4" w:space="0" w:color="auto"/>
            </w:tcBorders>
            <w:vAlign w:val="center"/>
          </w:tcPr>
          <w:p w:rsidR="00446B0D" w:rsidRDefault="008F1B69">
            <w:pPr>
              <w:spacing w:before="0" w:after="0"/>
              <w:jc w:val="left"/>
              <w:rPr>
                <w:bCs/>
                <w:noProof/>
                <w:sz w:val="20"/>
                <w:szCs w:val="20"/>
              </w:rPr>
            </w:pPr>
            <w:r>
              <w:rPr>
                <w:bCs/>
                <w:noProof/>
                <w:sz w:val="20"/>
                <w:szCs w:val="20"/>
              </w:rPr>
              <w:t xml:space="preserve">Purchase of technical </w:t>
            </w:r>
            <w:r>
              <w:rPr>
                <w:bCs/>
                <w:noProof/>
                <w:sz w:val="20"/>
                <w:szCs w:val="20"/>
              </w:rPr>
              <w:t>equipment</w:t>
            </w:r>
          </w:p>
        </w:tc>
        <w:tc>
          <w:tcPr>
            <w:tcW w:w="1418" w:type="dxa"/>
            <w:tcBorders>
              <w:top w:val="dashed" w:sz="4" w:space="0" w:color="auto"/>
            </w:tcBorders>
            <w:vAlign w:val="center"/>
          </w:tcPr>
          <w:p w:rsidR="00446B0D" w:rsidRDefault="008F1B69">
            <w:pPr>
              <w:spacing w:before="0" w:after="0"/>
              <w:jc w:val="right"/>
              <w:rPr>
                <w:bCs/>
                <w:noProof/>
                <w:sz w:val="20"/>
                <w:szCs w:val="20"/>
              </w:rPr>
            </w:pPr>
            <w:r>
              <w:rPr>
                <w:bCs/>
                <w:noProof/>
                <w:sz w:val="20"/>
                <w:szCs w:val="20"/>
              </w:rPr>
              <w:t>72 000</w:t>
            </w:r>
          </w:p>
        </w:tc>
        <w:tc>
          <w:tcPr>
            <w:tcW w:w="815" w:type="dxa"/>
            <w:tcBorders>
              <w:top w:val="dashed" w:sz="4" w:space="0" w:color="auto"/>
            </w:tcBorders>
            <w:vAlign w:val="center"/>
          </w:tcPr>
          <w:p w:rsidR="00446B0D" w:rsidRDefault="008F1B69">
            <w:pPr>
              <w:spacing w:before="0" w:after="0"/>
              <w:jc w:val="center"/>
              <w:rPr>
                <w:bCs/>
                <w:noProof/>
                <w:sz w:val="20"/>
                <w:szCs w:val="20"/>
              </w:rPr>
            </w:pPr>
            <w:r>
              <w:rPr>
                <w:bCs/>
                <w:noProof/>
                <w:sz w:val="20"/>
                <w:szCs w:val="20"/>
              </w:rPr>
              <w:t>46</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5</w:t>
            </w:r>
          </w:p>
        </w:tc>
        <w:tc>
          <w:tcPr>
            <w:tcW w:w="709" w:type="dxa"/>
            <w:vAlign w:val="center"/>
          </w:tcPr>
          <w:p w:rsidR="00446B0D" w:rsidRDefault="008F1B69">
            <w:pPr>
              <w:spacing w:before="0" w:after="0"/>
              <w:jc w:val="center"/>
              <w:rPr>
                <w:bCs/>
                <w:noProof/>
                <w:sz w:val="20"/>
                <w:szCs w:val="20"/>
              </w:rPr>
            </w:pPr>
            <w:r>
              <w:rPr>
                <w:bCs/>
                <w:noProof/>
                <w:sz w:val="20"/>
                <w:szCs w:val="20"/>
              </w:rPr>
              <w:t>FR</w:t>
            </w:r>
          </w:p>
        </w:tc>
        <w:tc>
          <w:tcPr>
            <w:tcW w:w="2976" w:type="dxa"/>
            <w:vAlign w:val="center"/>
          </w:tcPr>
          <w:p w:rsidR="00446B0D" w:rsidRDefault="008F1B69">
            <w:pPr>
              <w:spacing w:before="0" w:after="0"/>
              <w:jc w:val="left"/>
              <w:rPr>
                <w:bCs/>
                <w:noProof/>
                <w:sz w:val="20"/>
                <w:szCs w:val="20"/>
              </w:rPr>
            </w:pPr>
            <w:r>
              <w:rPr>
                <w:bCs/>
                <w:noProof/>
                <w:sz w:val="20"/>
                <w:szCs w:val="20"/>
              </w:rPr>
              <w:t>French Customs Laboratories</w:t>
            </w:r>
          </w:p>
        </w:tc>
        <w:tc>
          <w:tcPr>
            <w:tcW w:w="2977" w:type="dxa"/>
            <w:vAlign w:val="center"/>
          </w:tcPr>
          <w:p w:rsidR="00446B0D" w:rsidRDefault="008F1B69">
            <w:pPr>
              <w:spacing w:before="0" w:after="0"/>
              <w:jc w:val="left"/>
              <w:rPr>
                <w:bCs/>
                <w:noProof/>
                <w:sz w:val="20"/>
                <w:szCs w:val="20"/>
                <w:lang w:val="fr-BE"/>
              </w:rPr>
            </w:pPr>
            <w:r>
              <w:rPr>
                <w:bCs/>
                <w:noProof/>
                <w:sz w:val="20"/>
                <w:szCs w:val="20"/>
                <w:lang w:val="fr-BE"/>
              </w:rPr>
              <w:t>Lutte contre la contrebande et la contrefaçon des cigarettes</w:t>
            </w:r>
          </w:p>
        </w:tc>
        <w:tc>
          <w:tcPr>
            <w:tcW w:w="1418" w:type="dxa"/>
            <w:vAlign w:val="center"/>
          </w:tcPr>
          <w:p w:rsidR="00446B0D" w:rsidRDefault="008F1B69">
            <w:pPr>
              <w:spacing w:before="0" w:after="0"/>
              <w:jc w:val="right"/>
              <w:rPr>
                <w:bCs/>
                <w:noProof/>
                <w:sz w:val="20"/>
                <w:szCs w:val="20"/>
              </w:rPr>
            </w:pPr>
            <w:r>
              <w:rPr>
                <w:bCs/>
                <w:noProof/>
                <w:sz w:val="20"/>
                <w:szCs w:val="20"/>
              </w:rPr>
              <w:t>94 871</w:t>
            </w:r>
          </w:p>
        </w:tc>
        <w:tc>
          <w:tcPr>
            <w:tcW w:w="815" w:type="dxa"/>
            <w:vAlign w:val="center"/>
          </w:tcPr>
          <w:p w:rsidR="00446B0D" w:rsidRDefault="008F1B69">
            <w:pPr>
              <w:spacing w:before="0" w:after="0"/>
              <w:jc w:val="center"/>
              <w:rPr>
                <w:bCs/>
                <w:noProof/>
                <w:sz w:val="20"/>
                <w:szCs w:val="20"/>
              </w:rPr>
            </w:pPr>
            <w:r>
              <w:rPr>
                <w:bCs/>
                <w:noProof/>
                <w:sz w:val="20"/>
                <w:szCs w:val="20"/>
              </w:rPr>
              <w:t>30</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6</w:t>
            </w:r>
          </w:p>
        </w:tc>
        <w:tc>
          <w:tcPr>
            <w:tcW w:w="709" w:type="dxa"/>
            <w:vAlign w:val="center"/>
          </w:tcPr>
          <w:p w:rsidR="00446B0D" w:rsidRDefault="008F1B69">
            <w:pPr>
              <w:spacing w:before="0" w:after="0"/>
              <w:jc w:val="center"/>
              <w:rPr>
                <w:bCs/>
                <w:noProof/>
                <w:sz w:val="20"/>
                <w:szCs w:val="20"/>
              </w:rPr>
            </w:pPr>
            <w:r>
              <w:rPr>
                <w:bCs/>
                <w:noProof/>
                <w:sz w:val="20"/>
                <w:szCs w:val="20"/>
              </w:rPr>
              <w:t>RO</w:t>
            </w:r>
          </w:p>
        </w:tc>
        <w:tc>
          <w:tcPr>
            <w:tcW w:w="2976" w:type="dxa"/>
            <w:vAlign w:val="center"/>
          </w:tcPr>
          <w:p w:rsidR="00446B0D" w:rsidRDefault="008F1B69">
            <w:pPr>
              <w:spacing w:before="0" w:after="0"/>
              <w:jc w:val="left"/>
              <w:rPr>
                <w:bCs/>
                <w:noProof/>
                <w:sz w:val="20"/>
                <w:szCs w:val="20"/>
              </w:rPr>
            </w:pPr>
            <w:r>
              <w:rPr>
                <w:bCs/>
                <w:noProof/>
                <w:sz w:val="20"/>
                <w:szCs w:val="20"/>
              </w:rPr>
              <w:t>National Anti-Corruption Directorate within the Office of the General Prosecutor</w:t>
            </w:r>
          </w:p>
        </w:tc>
        <w:tc>
          <w:tcPr>
            <w:tcW w:w="2977" w:type="dxa"/>
            <w:vAlign w:val="center"/>
          </w:tcPr>
          <w:p w:rsidR="00446B0D" w:rsidRDefault="008F1B69">
            <w:pPr>
              <w:spacing w:before="0" w:after="0"/>
              <w:jc w:val="left"/>
              <w:rPr>
                <w:bCs/>
                <w:noProof/>
                <w:sz w:val="20"/>
                <w:szCs w:val="20"/>
              </w:rPr>
            </w:pPr>
            <w:r>
              <w:rPr>
                <w:bCs/>
                <w:noProof/>
                <w:sz w:val="20"/>
                <w:szCs w:val="20"/>
              </w:rPr>
              <w:t>Surveillance equipment</w:t>
            </w:r>
          </w:p>
        </w:tc>
        <w:tc>
          <w:tcPr>
            <w:tcW w:w="1418" w:type="dxa"/>
            <w:vAlign w:val="center"/>
          </w:tcPr>
          <w:p w:rsidR="00446B0D" w:rsidRDefault="008F1B69">
            <w:pPr>
              <w:spacing w:before="0" w:after="0"/>
              <w:jc w:val="right"/>
              <w:rPr>
                <w:bCs/>
                <w:noProof/>
                <w:sz w:val="20"/>
                <w:szCs w:val="20"/>
              </w:rPr>
            </w:pPr>
            <w:r>
              <w:rPr>
                <w:bCs/>
                <w:noProof/>
                <w:sz w:val="20"/>
                <w:szCs w:val="20"/>
              </w:rPr>
              <w:t>43 679</w:t>
            </w:r>
          </w:p>
        </w:tc>
        <w:tc>
          <w:tcPr>
            <w:tcW w:w="815" w:type="dxa"/>
            <w:vAlign w:val="center"/>
          </w:tcPr>
          <w:p w:rsidR="00446B0D" w:rsidRDefault="008F1B69">
            <w:pPr>
              <w:spacing w:before="0" w:after="0"/>
              <w:jc w:val="center"/>
              <w:rPr>
                <w:bCs/>
                <w:noProof/>
                <w:sz w:val="20"/>
                <w:szCs w:val="20"/>
              </w:rPr>
            </w:pPr>
            <w:r>
              <w:rPr>
                <w:bCs/>
                <w:noProof/>
                <w:sz w:val="20"/>
                <w:szCs w:val="20"/>
              </w:rPr>
              <w:t>46</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7</w:t>
            </w:r>
          </w:p>
        </w:tc>
        <w:tc>
          <w:tcPr>
            <w:tcW w:w="709" w:type="dxa"/>
            <w:vAlign w:val="center"/>
          </w:tcPr>
          <w:p w:rsidR="00446B0D" w:rsidRDefault="008F1B69">
            <w:pPr>
              <w:spacing w:before="0" w:after="0"/>
              <w:jc w:val="center"/>
              <w:rPr>
                <w:bCs/>
                <w:noProof/>
                <w:sz w:val="20"/>
                <w:szCs w:val="20"/>
              </w:rPr>
            </w:pPr>
            <w:r>
              <w:rPr>
                <w:bCs/>
                <w:noProof/>
                <w:sz w:val="20"/>
                <w:szCs w:val="20"/>
              </w:rPr>
              <w:t>FI</w:t>
            </w:r>
          </w:p>
        </w:tc>
        <w:tc>
          <w:tcPr>
            <w:tcW w:w="2976" w:type="dxa"/>
            <w:vAlign w:val="center"/>
          </w:tcPr>
          <w:p w:rsidR="00446B0D" w:rsidRDefault="008F1B69">
            <w:pPr>
              <w:spacing w:before="0" w:after="0"/>
              <w:jc w:val="left"/>
              <w:rPr>
                <w:bCs/>
                <w:noProof/>
                <w:sz w:val="20"/>
                <w:szCs w:val="20"/>
              </w:rPr>
            </w:pPr>
            <w:r>
              <w:rPr>
                <w:bCs/>
                <w:noProof/>
                <w:sz w:val="20"/>
                <w:szCs w:val="20"/>
              </w:rPr>
              <w:t>Helsinki Police Department</w:t>
            </w:r>
          </w:p>
        </w:tc>
        <w:tc>
          <w:tcPr>
            <w:tcW w:w="2977" w:type="dxa"/>
            <w:vAlign w:val="center"/>
          </w:tcPr>
          <w:p w:rsidR="00446B0D" w:rsidRDefault="008F1B69">
            <w:pPr>
              <w:spacing w:before="0" w:after="0"/>
              <w:jc w:val="left"/>
              <w:rPr>
                <w:bCs/>
                <w:noProof/>
                <w:sz w:val="20"/>
                <w:szCs w:val="20"/>
              </w:rPr>
            </w:pPr>
            <w:r>
              <w:rPr>
                <w:bCs/>
                <w:noProof/>
                <w:sz w:val="20"/>
                <w:szCs w:val="20"/>
              </w:rPr>
              <w:t>Technical equipment for strengthening the investigational capacity of the Helsinki Police</w:t>
            </w:r>
          </w:p>
        </w:tc>
        <w:tc>
          <w:tcPr>
            <w:tcW w:w="1418" w:type="dxa"/>
            <w:vAlign w:val="center"/>
          </w:tcPr>
          <w:p w:rsidR="00446B0D" w:rsidRDefault="008F1B69">
            <w:pPr>
              <w:spacing w:before="0" w:after="0"/>
              <w:jc w:val="right"/>
              <w:rPr>
                <w:bCs/>
                <w:noProof/>
                <w:sz w:val="20"/>
                <w:szCs w:val="20"/>
              </w:rPr>
            </w:pPr>
            <w:r>
              <w:rPr>
                <w:bCs/>
                <w:noProof/>
                <w:sz w:val="20"/>
                <w:szCs w:val="20"/>
              </w:rPr>
              <w:t>115 619</w:t>
            </w:r>
          </w:p>
        </w:tc>
        <w:tc>
          <w:tcPr>
            <w:tcW w:w="815" w:type="dxa"/>
            <w:vAlign w:val="center"/>
          </w:tcPr>
          <w:p w:rsidR="00446B0D" w:rsidRDefault="008F1B69">
            <w:pPr>
              <w:spacing w:before="0" w:after="0"/>
              <w:jc w:val="center"/>
              <w:rPr>
                <w:bCs/>
                <w:noProof/>
                <w:sz w:val="20"/>
                <w:szCs w:val="20"/>
              </w:rPr>
            </w:pPr>
            <w:r>
              <w:rPr>
                <w:bCs/>
                <w:noProof/>
                <w:sz w:val="20"/>
                <w:szCs w:val="20"/>
              </w:rPr>
              <w:t>48</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8</w:t>
            </w:r>
          </w:p>
        </w:tc>
        <w:tc>
          <w:tcPr>
            <w:tcW w:w="709" w:type="dxa"/>
            <w:vAlign w:val="center"/>
          </w:tcPr>
          <w:p w:rsidR="00446B0D" w:rsidRDefault="008F1B69">
            <w:pPr>
              <w:spacing w:before="0" w:after="0"/>
              <w:jc w:val="center"/>
              <w:rPr>
                <w:bCs/>
                <w:noProof/>
                <w:sz w:val="20"/>
                <w:szCs w:val="20"/>
              </w:rPr>
            </w:pPr>
            <w:r>
              <w:rPr>
                <w:bCs/>
                <w:noProof/>
                <w:sz w:val="20"/>
                <w:szCs w:val="20"/>
              </w:rPr>
              <w:t>IE</w:t>
            </w:r>
          </w:p>
        </w:tc>
        <w:tc>
          <w:tcPr>
            <w:tcW w:w="2976" w:type="dxa"/>
            <w:vAlign w:val="center"/>
          </w:tcPr>
          <w:p w:rsidR="00446B0D" w:rsidRDefault="008F1B69">
            <w:pPr>
              <w:spacing w:before="0" w:after="0"/>
              <w:jc w:val="left"/>
              <w:rPr>
                <w:bCs/>
                <w:noProof/>
                <w:sz w:val="20"/>
                <w:szCs w:val="20"/>
              </w:rPr>
            </w:pPr>
            <w:r>
              <w:rPr>
                <w:bCs/>
                <w:noProof/>
                <w:sz w:val="20"/>
                <w:szCs w:val="20"/>
              </w:rPr>
              <w:t>Irish Tax and Customs, Office of the Revenue Commissioners</w:t>
            </w:r>
          </w:p>
        </w:tc>
        <w:tc>
          <w:tcPr>
            <w:tcW w:w="2977" w:type="dxa"/>
            <w:vAlign w:val="center"/>
          </w:tcPr>
          <w:p w:rsidR="00446B0D" w:rsidRDefault="008F1B69">
            <w:pPr>
              <w:spacing w:before="0" w:after="0"/>
              <w:jc w:val="left"/>
              <w:rPr>
                <w:bCs/>
                <w:noProof/>
                <w:sz w:val="20"/>
                <w:szCs w:val="20"/>
              </w:rPr>
            </w:pPr>
            <w:r>
              <w:rPr>
                <w:bCs/>
                <w:noProof/>
                <w:sz w:val="20"/>
                <w:szCs w:val="20"/>
              </w:rPr>
              <w:t>Mobile x-ray inspections van</w:t>
            </w:r>
          </w:p>
        </w:tc>
        <w:tc>
          <w:tcPr>
            <w:tcW w:w="1418" w:type="dxa"/>
            <w:vAlign w:val="center"/>
          </w:tcPr>
          <w:p w:rsidR="00446B0D" w:rsidRDefault="008F1B69">
            <w:pPr>
              <w:spacing w:before="0" w:after="0"/>
              <w:jc w:val="right"/>
              <w:rPr>
                <w:bCs/>
                <w:noProof/>
                <w:sz w:val="20"/>
                <w:szCs w:val="20"/>
              </w:rPr>
            </w:pPr>
            <w:r>
              <w:rPr>
                <w:bCs/>
                <w:noProof/>
                <w:sz w:val="20"/>
                <w:szCs w:val="20"/>
              </w:rPr>
              <w:t>95 000</w:t>
            </w:r>
          </w:p>
        </w:tc>
        <w:tc>
          <w:tcPr>
            <w:tcW w:w="815" w:type="dxa"/>
            <w:vAlign w:val="center"/>
          </w:tcPr>
          <w:p w:rsidR="00446B0D" w:rsidRDefault="008F1B69">
            <w:pPr>
              <w:spacing w:before="0" w:after="0"/>
              <w:jc w:val="center"/>
              <w:rPr>
                <w:bCs/>
                <w:noProof/>
                <w:sz w:val="20"/>
                <w:szCs w:val="20"/>
              </w:rPr>
            </w:pPr>
            <w:r>
              <w:rPr>
                <w:bCs/>
                <w:noProof/>
                <w:sz w:val="20"/>
                <w:szCs w:val="20"/>
              </w:rPr>
              <w:t>49</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9</w:t>
            </w:r>
          </w:p>
        </w:tc>
        <w:tc>
          <w:tcPr>
            <w:tcW w:w="709" w:type="dxa"/>
            <w:vAlign w:val="center"/>
          </w:tcPr>
          <w:p w:rsidR="00446B0D" w:rsidRDefault="008F1B69">
            <w:pPr>
              <w:spacing w:before="0" w:after="0"/>
              <w:jc w:val="center"/>
              <w:rPr>
                <w:bCs/>
                <w:noProof/>
                <w:sz w:val="20"/>
                <w:szCs w:val="20"/>
              </w:rPr>
            </w:pPr>
            <w:r>
              <w:rPr>
                <w:bCs/>
                <w:noProof/>
                <w:sz w:val="20"/>
                <w:szCs w:val="20"/>
              </w:rPr>
              <w:t>ES</w:t>
            </w:r>
          </w:p>
        </w:tc>
        <w:tc>
          <w:tcPr>
            <w:tcW w:w="2976" w:type="dxa"/>
            <w:vAlign w:val="center"/>
          </w:tcPr>
          <w:p w:rsidR="00446B0D" w:rsidRDefault="008F1B69">
            <w:pPr>
              <w:spacing w:before="0" w:after="0"/>
              <w:jc w:val="left"/>
              <w:rPr>
                <w:bCs/>
                <w:noProof/>
                <w:sz w:val="20"/>
                <w:szCs w:val="20"/>
                <w:lang w:val="es-ES"/>
              </w:rPr>
            </w:pPr>
            <w:r>
              <w:rPr>
                <w:bCs/>
                <w:noProof/>
                <w:sz w:val="20"/>
                <w:szCs w:val="20"/>
                <w:lang w:val="es-ES"/>
              </w:rPr>
              <w:t xml:space="preserve">Dirección general </w:t>
            </w:r>
            <w:r>
              <w:rPr>
                <w:bCs/>
                <w:noProof/>
                <w:sz w:val="20"/>
                <w:szCs w:val="20"/>
                <w:lang w:val="es-ES"/>
              </w:rPr>
              <w:t>de la policía y de la Guardia Civil</w:t>
            </w:r>
          </w:p>
        </w:tc>
        <w:tc>
          <w:tcPr>
            <w:tcW w:w="2977" w:type="dxa"/>
            <w:vAlign w:val="center"/>
          </w:tcPr>
          <w:p w:rsidR="00446B0D" w:rsidRDefault="008F1B69">
            <w:pPr>
              <w:spacing w:before="0" w:after="0"/>
              <w:jc w:val="left"/>
              <w:rPr>
                <w:bCs/>
                <w:noProof/>
                <w:sz w:val="20"/>
                <w:szCs w:val="20"/>
              </w:rPr>
            </w:pPr>
            <w:r>
              <w:rPr>
                <w:bCs/>
                <w:noProof/>
                <w:sz w:val="20"/>
                <w:szCs w:val="20"/>
              </w:rPr>
              <w:t>Technical equipment</w:t>
            </w:r>
          </w:p>
        </w:tc>
        <w:tc>
          <w:tcPr>
            <w:tcW w:w="1418" w:type="dxa"/>
            <w:vAlign w:val="center"/>
          </w:tcPr>
          <w:p w:rsidR="00446B0D" w:rsidRDefault="008F1B69">
            <w:pPr>
              <w:spacing w:before="0" w:after="0"/>
              <w:jc w:val="right"/>
              <w:rPr>
                <w:bCs/>
                <w:noProof/>
                <w:sz w:val="20"/>
                <w:szCs w:val="20"/>
              </w:rPr>
            </w:pPr>
            <w:r>
              <w:rPr>
                <w:bCs/>
                <w:noProof/>
                <w:sz w:val="20"/>
                <w:szCs w:val="20"/>
              </w:rPr>
              <w:t>162 053</w:t>
            </w:r>
          </w:p>
        </w:tc>
        <w:tc>
          <w:tcPr>
            <w:tcW w:w="815" w:type="dxa"/>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lastRenderedPageBreak/>
              <w:t>10</w:t>
            </w:r>
          </w:p>
        </w:tc>
        <w:tc>
          <w:tcPr>
            <w:tcW w:w="709" w:type="dxa"/>
            <w:vAlign w:val="center"/>
          </w:tcPr>
          <w:p w:rsidR="00446B0D" w:rsidRDefault="008F1B69">
            <w:pPr>
              <w:spacing w:before="0" w:after="0"/>
              <w:jc w:val="center"/>
              <w:rPr>
                <w:bCs/>
                <w:noProof/>
                <w:sz w:val="20"/>
                <w:szCs w:val="20"/>
              </w:rPr>
            </w:pPr>
            <w:r>
              <w:rPr>
                <w:bCs/>
                <w:noProof/>
                <w:sz w:val="20"/>
                <w:szCs w:val="20"/>
              </w:rPr>
              <w:t>EE</w:t>
            </w:r>
          </w:p>
        </w:tc>
        <w:tc>
          <w:tcPr>
            <w:tcW w:w="2976" w:type="dxa"/>
            <w:vAlign w:val="center"/>
          </w:tcPr>
          <w:p w:rsidR="00446B0D" w:rsidRDefault="008F1B69">
            <w:pPr>
              <w:spacing w:before="0" w:after="0"/>
              <w:jc w:val="left"/>
              <w:rPr>
                <w:bCs/>
                <w:noProof/>
                <w:sz w:val="20"/>
                <w:szCs w:val="20"/>
              </w:rPr>
            </w:pPr>
            <w:r>
              <w:rPr>
                <w:bCs/>
                <w:noProof/>
                <w:sz w:val="20"/>
                <w:szCs w:val="20"/>
              </w:rPr>
              <w:t>Estonian Tax and Customs Board</w:t>
            </w:r>
          </w:p>
        </w:tc>
        <w:tc>
          <w:tcPr>
            <w:tcW w:w="2977" w:type="dxa"/>
            <w:vAlign w:val="center"/>
          </w:tcPr>
          <w:p w:rsidR="00446B0D" w:rsidRDefault="008F1B69">
            <w:pPr>
              <w:spacing w:before="0" w:after="0"/>
              <w:jc w:val="left"/>
              <w:rPr>
                <w:bCs/>
                <w:noProof/>
                <w:sz w:val="20"/>
                <w:szCs w:val="20"/>
              </w:rPr>
            </w:pPr>
            <w:r>
              <w:rPr>
                <w:bCs/>
                <w:noProof/>
                <w:sz w:val="20"/>
                <w:szCs w:val="20"/>
              </w:rPr>
              <w:t>Monitoring device for GSM communications</w:t>
            </w:r>
          </w:p>
        </w:tc>
        <w:tc>
          <w:tcPr>
            <w:tcW w:w="1418" w:type="dxa"/>
            <w:vAlign w:val="center"/>
          </w:tcPr>
          <w:p w:rsidR="00446B0D" w:rsidRDefault="008F1B69">
            <w:pPr>
              <w:spacing w:before="0" w:after="0"/>
              <w:jc w:val="right"/>
              <w:rPr>
                <w:bCs/>
                <w:noProof/>
                <w:sz w:val="20"/>
                <w:szCs w:val="20"/>
              </w:rPr>
            </w:pPr>
            <w:r>
              <w:rPr>
                <w:bCs/>
                <w:noProof/>
                <w:sz w:val="20"/>
                <w:szCs w:val="20"/>
              </w:rPr>
              <w:t>87 225</w:t>
            </w:r>
          </w:p>
        </w:tc>
        <w:tc>
          <w:tcPr>
            <w:tcW w:w="815" w:type="dxa"/>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11</w:t>
            </w:r>
          </w:p>
        </w:tc>
        <w:tc>
          <w:tcPr>
            <w:tcW w:w="709" w:type="dxa"/>
            <w:vAlign w:val="center"/>
          </w:tcPr>
          <w:p w:rsidR="00446B0D" w:rsidRDefault="008F1B69">
            <w:pPr>
              <w:spacing w:before="0" w:after="0"/>
              <w:jc w:val="center"/>
              <w:rPr>
                <w:bCs/>
                <w:noProof/>
                <w:sz w:val="20"/>
                <w:szCs w:val="20"/>
              </w:rPr>
            </w:pPr>
            <w:r>
              <w:rPr>
                <w:bCs/>
                <w:noProof/>
                <w:sz w:val="20"/>
                <w:szCs w:val="20"/>
              </w:rPr>
              <w:t>RO</w:t>
            </w:r>
          </w:p>
        </w:tc>
        <w:tc>
          <w:tcPr>
            <w:tcW w:w="2976" w:type="dxa"/>
            <w:vAlign w:val="center"/>
          </w:tcPr>
          <w:p w:rsidR="00446B0D" w:rsidRDefault="008F1B69">
            <w:pPr>
              <w:spacing w:before="0" w:after="0"/>
              <w:jc w:val="left"/>
              <w:rPr>
                <w:bCs/>
                <w:noProof/>
                <w:sz w:val="20"/>
                <w:szCs w:val="20"/>
              </w:rPr>
            </w:pPr>
            <w:r>
              <w:rPr>
                <w:bCs/>
                <w:noProof/>
                <w:sz w:val="20"/>
                <w:szCs w:val="20"/>
              </w:rPr>
              <w:t>General Inspectorate of the Romanian Police</w:t>
            </w:r>
          </w:p>
        </w:tc>
        <w:tc>
          <w:tcPr>
            <w:tcW w:w="2977" w:type="dxa"/>
            <w:vAlign w:val="center"/>
          </w:tcPr>
          <w:p w:rsidR="00446B0D" w:rsidRDefault="008F1B69">
            <w:pPr>
              <w:spacing w:before="0" w:after="0"/>
              <w:jc w:val="left"/>
              <w:rPr>
                <w:bCs/>
                <w:noProof/>
                <w:sz w:val="20"/>
                <w:szCs w:val="20"/>
              </w:rPr>
            </w:pPr>
            <w:r>
              <w:rPr>
                <w:bCs/>
                <w:noProof/>
                <w:sz w:val="20"/>
                <w:szCs w:val="20"/>
              </w:rPr>
              <w:t xml:space="preserve">Strengthening the operational capacity for </w:t>
            </w:r>
            <w:r>
              <w:rPr>
                <w:bCs/>
                <w:noProof/>
                <w:sz w:val="20"/>
                <w:szCs w:val="20"/>
              </w:rPr>
              <w:t>fighting cross-border criminal economic activities</w:t>
            </w:r>
          </w:p>
        </w:tc>
        <w:tc>
          <w:tcPr>
            <w:tcW w:w="1418" w:type="dxa"/>
            <w:vAlign w:val="center"/>
          </w:tcPr>
          <w:p w:rsidR="00446B0D" w:rsidRDefault="008F1B69">
            <w:pPr>
              <w:spacing w:before="0" w:after="0"/>
              <w:jc w:val="right"/>
              <w:rPr>
                <w:bCs/>
                <w:noProof/>
                <w:sz w:val="20"/>
                <w:szCs w:val="20"/>
              </w:rPr>
            </w:pPr>
            <w:r>
              <w:rPr>
                <w:bCs/>
                <w:noProof/>
                <w:sz w:val="20"/>
                <w:szCs w:val="20"/>
              </w:rPr>
              <w:t>250 000</w:t>
            </w:r>
          </w:p>
        </w:tc>
        <w:tc>
          <w:tcPr>
            <w:tcW w:w="815" w:type="dxa"/>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12</w:t>
            </w:r>
          </w:p>
        </w:tc>
        <w:tc>
          <w:tcPr>
            <w:tcW w:w="709" w:type="dxa"/>
            <w:vAlign w:val="center"/>
          </w:tcPr>
          <w:p w:rsidR="00446B0D" w:rsidRDefault="008F1B69">
            <w:pPr>
              <w:spacing w:before="0" w:after="0"/>
              <w:jc w:val="center"/>
              <w:rPr>
                <w:bCs/>
                <w:noProof/>
                <w:sz w:val="20"/>
                <w:szCs w:val="20"/>
              </w:rPr>
            </w:pPr>
            <w:r>
              <w:rPr>
                <w:bCs/>
                <w:noProof/>
                <w:sz w:val="20"/>
                <w:szCs w:val="20"/>
              </w:rPr>
              <w:t>LU</w:t>
            </w:r>
          </w:p>
        </w:tc>
        <w:tc>
          <w:tcPr>
            <w:tcW w:w="2976" w:type="dxa"/>
            <w:vAlign w:val="center"/>
          </w:tcPr>
          <w:p w:rsidR="00446B0D" w:rsidRDefault="008F1B69">
            <w:pPr>
              <w:spacing w:before="0" w:after="0"/>
              <w:jc w:val="left"/>
              <w:rPr>
                <w:bCs/>
                <w:noProof/>
                <w:sz w:val="20"/>
                <w:szCs w:val="20"/>
                <w:lang w:val="fr-BE"/>
              </w:rPr>
            </w:pPr>
            <w:r>
              <w:rPr>
                <w:bCs/>
                <w:noProof/>
                <w:sz w:val="20"/>
                <w:szCs w:val="20"/>
                <w:lang w:val="fr-BE"/>
              </w:rPr>
              <w:t>Unité Spéciale de la Police Grand-Ducale</w:t>
            </w:r>
          </w:p>
        </w:tc>
        <w:tc>
          <w:tcPr>
            <w:tcW w:w="2977" w:type="dxa"/>
            <w:vAlign w:val="center"/>
          </w:tcPr>
          <w:p w:rsidR="00446B0D" w:rsidRDefault="008F1B69">
            <w:pPr>
              <w:spacing w:before="0" w:after="0"/>
              <w:jc w:val="left"/>
              <w:rPr>
                <w:bCs/>
                <w:noProof/>
                <w:sz w:val="20"/>
                <w:szCs w:val="20"/>
              </w:rPr>
            </w:pPr>
            <w:r>
              <w:rPr>
                <w:bCs/>
                <w:noProof/>
                <w:sz w:val="20"/>
                <w:szCs w:val="20"/>
              </w:rPr>
              <w:t>Technical tracking and observation equipment</w:t>
            </w:r>
          </w:p>
        </w:tc>
        <w:tc>
          <w:tcPr>
            <w:tcW w:w="1418" w:type="dxa"/>
            <w:vAlign w:val="center"/>
          </w:tcPr>
          <w:p w:rsidR="00446B0D" w:rsidRDefault="008F1B69">
            <w:pPr>
              <w:spacing w:before="0" w:after="0"/>
              <w:jc w:val="right"/>
              <w:rPr>
                <w:bCs/>
                <w:noProof/>
                <w:sz w:val="20"/>
                <w:szCs w:val="20"/>
              </w:rPr>
            </w:pPr>
            <w:r>
              <w:rPr>
                <w:bCs/>
                <w:noProof/>
                <w:sz w:val="20"/>
                <w:szCs w:val="20"/>
              </w:rPr>
              <w:t>38 427</w:t>
            </w:r>
          </w:p>
        </w:tc>
        <w:tc>
          <w:tcPr>
            <w:tcW w:w="815" w:type="dxa"/>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13</w:t>
            </w:r>
          </w:p>
        </w:tc>
        <w:tc>
          <w:tcPr>
            <w:tcW w:w="709" w:type="dxa"/>
            <w:vAlign w:val="center"/>
          </w:tcPr>
          <w:p w:rsidR="00446B0D" w:rsidRDefault="008F1B69">
            <w:pPr>
              <w:spacing w:before="0" w:after="0"/>
              <w:jc w:val="center"/>
              <w:rPr>
                <w:bCs/>
                <w:noProof/>
                <w:sz w:val="20"/>
                <w:szCs w:val="20"/>
              </w:rPr>
            </w:pPr>
            <w:r>
              <w:rPr>
                <w:bCs/>
                <w:noProof/>
                <w:sz w:val="20"/>
                <w:szCs w:val="20"/>
              </w:rPr>
              <w:t>LV</w:t>
            </w:r>
          </w:p>
        </w:tc>
        <w:tc>
          <w:tcPr>
            <w:tcW w:w="2976" w:type="dxa"/>
            <w:vAlign w:val="center"/>
          </w:tcPr>
          <w:p w:rsidR="00446B0D" w:rsidRDefault="008F1B69">
            <w:pPr>
              <w:spacing w:before="0" w:after="0"/>
              <w:jc w:val="left"/>
              <w:rPr>
                <w:bCs/>
                <w:noProof/>
                <w:sz w:val="20"/>
                <w:szCs w:val="20"/>
              </w:rPr>
            </w:pPr>
            <w:r>
              <w:rPr>
                <w:bCs/>
                <w:noProof/>
                <w:sz w:val="20"/>
                <w:szCs w:val="20"/>
              </w:rPr>
              <w:t>Latvian State Revenue Service</w:t>
            </w:r>
          </w:p>
        </w:tc>
        <w:tc>
          <w:tcPr>
            <w:tcW w:w="2977" w:type="dxa"/>
            <w:vAlign w:val="center"/>
          </w:tcPr>
          <w:p w:rsidR="00446B0D" w:rsidRDefault="008F1B69">
            <w:pPr>
              <w:spacing w:before="0" w:after="0"/>
              <w:jc w:val="left"/>
              <w:rPr>
                <w:bCs/>
                <w:noProof/>
                <w:sz w:val="20"/>
                <w:szCs w:val="20"/>
              </w:rPr>
            </w:pPr>
            <w:r>
              <w:rPr>
                <w:bCs/>
                <w:noProof/>
                <w:sz w:val="20"/>
                <w:szCs w:val="20"/>
              </w:rPr>
              <w:t>Purchase of a fuel unloading system</w:t>
            </w:r>
          </w:p>
        </w:tc>
        <w:tc>
          <w:tcPr>
            <w:tcW w:w="1418" w:type="dxa"/>
            <w:vAlign w:val="center"/>
          </w:tcPr>
          <w:p w:rsidR="00446B0D" w:rsidRDefault="008F1B69">
            <w:pPr>
              <w:spacing w:before="0" w:after="0"/>
              <w:jc w:val="right"/>
              <w:rPr>
                <w:bCs/>
                <w:noProof/>
                <w:sz w:val="20"/>
                <w:szCs w:val="20"/>
              </w:rPr>
            </w:pPr>
            <w:r>
              <w:rPr>
                <w:bCs/>
                <w:noProof/>
                <w:sz w:val="20"/>
                <w:szCs w:val="20"/>
              </w:rPr>
              <w:t>58 800</w:t>
            </w:r>
          </w:p>
        </w:tc>
        <w:tc>
          <w:tcPr>
            <w:tcW w:w="815" w:type="dxa"/>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14</w:t>
            </w:r>
          </w:p>
        </w:tc>
        <w:tc>
          <w:tcPr>
            <w:tcW w:w="709" w:type="dxa"/>
            <w:vAlign w:val="center"/>
          </w:tcPr>
          <w:p w:rsidR="00446B0D" w:rsidRDefault="008F1B69">
            <w:pPr>
              <w:spacing w:before="0" w:after="0"/>
              <w:jc w:val="center"/>
              <w:rPr>
                <w:bCs/>
                <w:noProof/>
                <w:sz w:val="20"/>
                <w:szCs w:val="20"/>
              </w:rPr>
            </w:pPr>
            <w:r>
              <w:rPr>
                <w:bCs/>
                <w:noProof/>
                <w:sz w:val="20"/>
                <w:szCs w:val="20"/>
              </w:rPr>
              <w:t>ES</w:t>
            </w:r>
          </w:p>
        </w:tc>
        <w:tc>
          <w:tcPr>
            <w:tcW w:w="2976" w:type="dxa"/>
            <w:vAlign w:val="center"/>
          </w:tcPr>
          <w:p w:rsidR="00446B0D" w:rsidRDefault="008F1B69">
            <w:pPr>
              <w:spacing w:before="0" w:after="0"/>
              <w:jc w:val="left"/>
              <w:rPr>
                <w:bCs/>
                <w:noProof/>
                <w:sz w:val="20"/>
                <w:szCs w:val="20"/>
                <w:lang w:val="es-ES"/>
              </w:rPr>
            </w:pPr>
            <w:r>
              <w:rPr>
                <w:bCs/>
                <w:noProof/>
                <w:sz w:val="20"/>
                <w:szCs w:val="20"/>
                <w:lang w:val="es-ES"/>
              </w:rPr>
              <w:t>Dirección general de la Policiá y de la Guardia Civil</w:t>
            </w:r>
          </w:p>
        </w:tc>
        <w:tc>
          <w:tcPr>
            <w:tcW w:w="2977" w:type="dxa"/>
            <w:vAlign w:val="center"/>
          </w:tcPr>
          <w:p w:rsidR="00446B0D" w:rsidRDefault="008F1B69">
            <w:pPr>
              <w:spacing w:before="0" w:after="0"/>
              <w:jc w:val="left"/>
              <w:rPr>
                <w:bCs/>
                <w:noProof/>
                <w:sz w:val="20"/>
                <w:szCs w:val="20"/>
              </w:rPr>
            </w:pPr>
            <w:r>
              <w:rPr>
                <w:bCs/>
                <w:noProof/>
                <w:sz w:val="20"/>
                <w:szCs w:val="20"/>
              </w:rPr>
              <w:t>Purchase of technical equipment</w:t>
            </w:r>
          </w:p>
        </w:tc>
        <w:tc>
          <w:tcPr>
            <w:tcW w:w="1418" w:type="dxa"/>
            <w:vAlign w:val="center"/>
          </w:tcPr>
          <w:p w:rsidR="00446B0D" w:rsidRDefault="008F1B69">
            <w:pPr>
              <w:spacing w:before="0" w:after="0"/>
              <w:jc w:val="right"/>
              <w:rPr>
                <w:bCs/>
                <w:noProof/>
                <w:sz w:val="20"/>
                <w:szCs w:val="20"/>
              </w:rPr>
            </w:pPr>
            <w:r>
              <w:rPr>
                <w:bCs/>
                <w:noProof/>
                <w:sz w:val="20"/>
                <w:szCs w:val="20"/>
              </w:rPr>
              <w:t>210 730</w:t>
            </w:r>
          </w:p>
        </w:tc>
        <w:tc>
          <w:tcPr>
            <w:tcW w:w="815" w:type="dxa"/>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15</w:t>
            </w:r>
          </w:p>
        </w:tc>
        <w:tc>
          <w:tcPr>
            <w:tcW w:w="709" w:type="dxa"/>
            <w:vAlign w:val="center"/>
          </w:tcPr>
          <w:p w:rsidR="00446B0D" w:rsidRDefault="008F1B69">
            <w:pPr>
              <w:spacing w:before="0" w:after="0"/>
              <w:jc w:val="center"/>
              <w:rPr>
                <w:bCs/>
                <w:noProof/>
                <w:sz w:val="20"/>
                <w:szCs w:val="20"/>
              </w:rPr>
            </w:pPr>
            <w:r>
              <w:rPr>
                <w:bCs/>
                <w:noProof/>
                <w:sz w:val="20"/>
                <w:szCs w:val="20"/>
              </w:rPr>
              <w:t>RO</w:t>
            </w:r>
          </w:p>
        </w:tc>
        <w:tc>
          <w:tcPr>
            <w:tcW w:w="2976" w:type="dxa"/>
            <w:vAlign w:val="center"/>
          </w:tcPr>
          <w:p w:rsidR="00446B0D" w:rsidRDefault="008F1B69">
            <w:pPr>
              <w:spacing w:before="0" w:after="0"/>
              <w:jc w:val="left"/>
              <w:rPr>
                <w:bCs/>
                <w:noProof/>
                <w:sz w:val="20"/>
                <w:szCs w:val="20"/>
              </w:rPr>
            </w:pPr>
            <w:r>
              <w:rPr>
                <w:bCs/>
                <w:noProof/>
                <w:sz w:val="20"/>
                <w:szCs w:val="20"/>
              </w:rPr>
              <w:t>National Anti-Corruption Directorate (DNA) within the Office of the General Prosecutor</w:t>
            </w:r>
          </w:p>
        </w:tc>
        <w:tc>
          <w:tcPr>
            <w:tcW w:w="2977" w:type="dxa"/>
            <w:vAlign w:val="center"/>
          </w:tcPr>
          <w:p w:rsidR="00446B0D" w:rsidRDefault="008F1B69">
            <w:pPr>
              <w:spacing w:before="0" w:after="0"/>
              <w:jc w:val="left"/>
              <w:rPr>
                <w:bCs/>
                <w:noProof/>
                <w:sz w:val="20"/>
                <w:szCs w:val="20"/>
              </w:rPr>
            </w:pPr>
            <w:r>
              <w:rPr>
                <w:bCs/>
                <w:noProof/>
                <w:sz w:val="20"/>
                <w:szCs w:val="20"/>
              </w:rPr>
              <w:t>Technical support in fighting corruption</w:t>
            </w:r>
          </w:p>
        </w:tc>
        <w:tc>
          <w:tcPr>
            <w:tcW w:w="1418" w:type="dxa"/>
            <w:vAlign w:val="center"/>
          </w:tcPr>
          <w:p w:rsidR="00446B0D" w:rsidRDefault="008F1B69">
            <w:pPr>
              <w:spacing w:before="0" w:after="0"/>
              <w:jc w:val="right"/>
              <w:rPr>
                <w:bCs/>
                <w:noProof/>
                <w:sz w:val="20"/>
                <w:szCs w:val="20"/>
              </w:rPr>
            </w:pPr>
            <w:r>
              <w:rPr>
                <w:bCs/>
                <w:noProof/>
                <w:sz w:val="20"/>
                <w:szCs w:val="20"/>
              </w:rPr>
              <w:t>80 048</w:t>
            </w:r>
          </w:p>
        </w:tc>
        <w:tc>
          <w:tcPr>
            <w:tcW w:w="815" w:type="dxa"/>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16</w:t>
            </w:r>
          </w:p>
        </w:tc>
        <w:tc>
          <w:tcPr>
            <w:tcW w:w="709" w:type="dxa"/>
            <w:vAlign w:val="center"/>
          </w:tcPr>
          <w:p w:rsidR="00446B0D" w:rsidRDefault="008F1B69">
            <w:pPr>
              <w:spacing w:before="0" w:after="0"/>
              <w:jc w:val="center"/>
              <w:rPr>
                <w:bCs/>
                <w:noProof/>
                <w:sz w:val="20"/>
                <w:szCs w:val="20"/>
              </w:rPr>
            </w:pPr>
            <w:r>
              <w:rPr>
                <w:bCs/>
                <w:noProof/>
                <w:sz w:val="20"/>
                <w:szCs w:val="20"/>
              </w:rPr>
              <w:t>BE</w:t>
            </w:r>
          </w:p>
        </w:tc>
        <w:tc>
          <w:tcPr>
            <w:tcW w:w="2976" w:type="dxa"/>
            <w:vAlign w:val="center"/>
          </w:tcPr>
          <w:p w:rsidR="00446B0D" w:rsidRDefault="008F1B69">
            <w:pPr>
              <w:spacing w:before="0" w:after="0"/>
              <w:jc w:val="left"/>
              <w:rPr>
                <w:bCs/>
                <w:noProof/>
                <w:sz w:val="20"/>
                <w:szCs w:val="20"/>
              </w:rPr>
            </w:pPr>
            <w:r>
              <w:rPr>
                <w:bCs/>
                <w:noProof/>
                <w:sz w:val="20"/>
                <w:szCs w:val="20"/>
              </w:rPr>
              <w:t>Belgian</w:t>
            </w:r>
            <w:r>
              <w:rPr>
                <w:bCs/>
                <w:noProof/>
                <w:sz w:val="20"/>
                <w:szCs w:val="20"/>
              </w:rPr>
              <w:t xml:space="preserve"> Federal Police</w:t>
            </w:r>
          </w:p>
        </w:tc>
        <w:tc>
          <w:tcPr>
            <w:tcW w:w="2977" w:type="dxa"/>
            <w:vAlign w:val="center"/>
          </w:tcPr>
          <w:p w:rsidR="00446B0D" w:rsidRDefault="008F1B69">
            <w:pPr>
              <w:spacing w:before="0" w:after="0"/>
              <w:jc w:val="left"/>
              <w:rPr>
                <w:bCs/>
                <w:noProof/>
                <w:sz w:val="20"/>
                <w:szCs w:val="20"/>
              </w:rPr>
            </w:pPr>
            <w:r>
              <w:rPr>
                <w:bCs/>
                <w:noProof/>
                <w:sz w:val="20"/>
                <w:szCs w:val="20"/>
              </w:rPr>
              <w:t>Investigation support</w:t>
            </w:r>
          </w:p>
        </w:tc>
        <w:tc>
          <w:tcPr>
            <w:tcW w:w="1418" w:type="dxa"/>
            <w:vAlign w:val="center"/>
          </w:tcPr>
          <w:p w:rsidR="00446B0D" w:rsidRDefault="008F1B69">
            <w:pPr>
              <w:spacing w:before="0" w:after="0"/>
              <w:jc w:val="right"/>
              <w:rPr>
                <w:bCs/>
                <w:noProof/>
                <w:sz w:val="20"/>
                <w:szCs w:val="20"/>
              </w:rPr>
            </w:pPr>
            <w:r>
              <w:rPr>
                <w:bCs/>
                <w:noProof/>
                <w:sz w:val="20"/>
                <w:szCs w:val="20"/>
              </w:rPr>
              <w:t>104 424</w:t>
            </w:r>
          </w:p>
        </w:tc>
        <w:tc>
          <w:tcPr>
            <w:tcW w:w="815" w:type="dxa"/>
            <w:vAlign w:val="center"/>
          </w:tcPr>
          <w:p w:rsidR="00446B0D" w:rsidRDefault="008F1B69">
            <w:pPr>
              <w:spacing w:before="0" w:after="0"/>
              <w:jc w:val="center"/>
              <w:rPr>
                <w:bCs/>
                <w:noProof/>
                <w:sz w:val="20"/>
                <w:szCs w:val="20"/>
              </w:rPr>
            </w:pPr>
            <w:r>
              <w:rPr>
                <w:bCs/>
                <w:noProof/>
                <w:sz w:val="20"/>
                <w:szCs w:val="20"/>
              </w:rPr>
              <w:t>49</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17</w:t>
            </w:r>
          </w:p>
        </w:tc>
        <w:tc>
          <w:tcPr>
            <w:tcW w:w="709" w:type="dxa"/>
            <w:vAlign w:val="center"/>
          </w:tcPr>
          <w:p w:rsidR="00446B0D" w:rsidRDefault="008F1B69">
            <w:pPr>
              <w:spacing w:before="0" w:after="0"/>
              <w:jc w:val="center"/>
              <w:rPr>
                <w:bCs/>
                <w:noProof/>
                <w:sz w:val="20"/>
                <w:szCs w:val="20"/>
              </w:rPr>
            </w:pPr>
            <w:r>
              <w:rPr>
                <w:bCs/>
                <w:noProof/>
                <w:sz w:val="20"/>
                <w:szCs w:val="20"/>
              </w:rPr>
              <w:t>HU</w:t>
            </w:r>
          </w:p>
        </w:tc>
        <w:tc>
          <w:tcPr>
            <w:tcW w:w="2976" w:type="dxa"/>
            <w:vAlign w:val="center"/>
          </w:tcPr>
          <w:p w:rsidR="00446B0D" w:rsidRDefault="008F1B69">
            <w:pPr>
              <w:spacing w:before="0" w:after="0"/>
              <w:jc w:val="left"/>
              <w:rPr>
                <w:bCs/>
                <w:noProof/>
                <w:sz w:val="20"/>
                <w:szCs w:val="20"/>
              </w:rPr>
            </w:pPr>
            <w:r>
              <w:rPr>
                <w:bCs/>
                <w:noProof/>
                <w:sz w:val="20"/>
                <w:szCs w:val="20"/>
              </w:rPr>
              <w:t>National Protective Service</w:t>
            </w:r>
          </w:p>
        </w:tc>
        <w:tc>
          <w:tcPr>
            <w:tcW w:w="2977" w:type="dxa"/>
            <w:vAlign w:val="center"/>
          </w:tcPr>
          <w:p w:rsidR="00446B0D" w:rsidRDefault="008F1B69">
            <w:pPr>
              <w:spacing w:before="0" w:after="0"/>
              <w:jc w:val="left"/>
              <w:rPr>
                <w:bCs/>
                <w:noProof/>
                <w:sz w:val="20"/>
                <w:szCs w:val="20"/>
              </w:rPr>
            </w:pPr>
            <w:r>
              <w:rPr>
                <w:bCs/>
                <w:noProof/>
                <w:sz w:val="20"/>
                <w:szCs w:val="20"/>
              </w:rPr>
              <w:t>Investigational capacity enhancement in the field of the fight against corruption.</w:t>
            </w:r>
          </w:p>
        </w:tc>
        <w:tc>
          <w:tcPr>
            <w:tcW w:w="1418" w:type="dxa"/>
            <w:vAlign w:val="center"/>
          </w:tcPr>
          <w:p w:rsidR="00446B0D" w:rsidRDefault="008F1B69">
            <w:pPr>
              <w:spacing w:before="0" w:after="0"/>
              <w:jc w:val="right"/>
              <w:rPr>
                <w:bCs/>
                <w:noProof/>
                <w:sz w:val="20"/>
                <w:szCs w:val="20"/>
              </w:rPr>
            </w:pPr>
            <w:r>
              <w:rPr>
                <w:bCs/>
                <w:noProof/>
                <w:sz w:val="20"/>
                <w:szCs w:val="20"/>
              </w:rPr>
              <w:t>18 073</w:t>
            </w:r>
          </w:p>
        </w:tc>
        <w:tc>
          <w:tcPr>
            <w:tcW w:w="815" w:type="dxa"/>
            <w:vAlign w:val="center"/>
          </w:tcPr>
          <w:p w:rsidR="00446B0D" w:rsidRDefault="008F1B69">
            <w:pPr>
              <w:spacing w:before="0" w:after="0"/>
              <w:jc w:val="center"/>
              <w:rPr>
                <w:bCs/>
                <w:noProof/>
                <w:sz w:val="20"/>
                <w:szCs w:val="20"/>
              </w:rPr>
            </w:pPr>
            <w:r>
              <w:rPr>
                <w:bCs/>
                <w:noProof/>
                <w:sz w:val="20"/>
                <w:szCs w:val="20"/>
              </w:rPr>
              <w:t>48</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18</w:t>
            </w:r>
          </w:p>
        </w:tc>
        <w:tc>
          <w:tcPr>
            <w:tcW w:w="709" w:type="dxa"/>
            <w:vAlign w:val="center"/>
          </w:tcPr>
          <w:p w:rsidR="00446B0D" w:rsidRDefault="008F1B69">
            <w:pPr>
              <w:spacing w:before="0" w:after="0"/>
              <w:jc w:val="center"/>
              <w:rPr>
                <w:bCs/>
                <w:noProof/>
                <w:sz w:val="20"/>
                <w:szCs w:val="20"/>
              </w:rPr>
            </w:pPr>
            <w:r>
              <w:rPr>
                <w:bCs/>
                <w:noProof/>
                <w:sz w:val="20"/>
                <w:szCs w:val="20"/>
              </w:rPr>
              <w:t>IT</w:t>
            </w:r>
          </w:p>
        </w:tc>
        <w:tc>
          <w:tcPr>
            <w:tcW w:w="2976" w:type="dxa"/>
            <w:vAlign w:val="center"/>
          </w:tcPr>
          <w:p w:rsidR="00446B0D" w:rsidRDefault="008F1B69">
            <w:pPr>
              <w:spacing w:before="0" w:after="0"/>
              <w:jc w:val="left"/>
              <w:rPr>
                <w:bCs/>
                <w:noProof/>
                <w:sz w:val="20"/>
                <w:szCs w:val="20"/>
              </w:rPr>
            </w:pPr>
            <w:r>
              <w:rPr>
                <w:bCs/>
                <w:noProof/>
                <w:sz w:val="20"/>
                <w:szCs w:val="20"/>
              </w:rPr>
              <w:t>Guardia di Finanza</w:t>
            </w:r>
          </w:p>
        </w:tc>
        <w:tc>
          <w:tcPr>
            <w:tcW w:w="2977" w:type="dxa"/>
            <w:vAlign w:val="center"/>
          </w:tcPr>
          <w:p w:rsidR="00446B0D" w:rsidRDefault="008F1B69">
            <w:pPr>
              <w:spacing w:before="0" w:after="0"/>
              <w:jc w:val="left"/>
              <w:rPr>
                <w:bCs/>
                <w:noProof/>
                <w:sz w:val="20"/>
                <w:szCs w:val="20"/>
              </w:rPr>
            </w:pPr>
            <w:r>
              <w:rPr>
                <w:bCs/>
                <w:noProof/>
                <w:sz w:val="20"/>
                <w:szCs w:val="20"/>
              </w:rPr>
              <w:t xml:space="preserve">Investigation tools for the prevention of cigarette </w:t>
            </w:r>
            <w:r>
              <w:rPr>
                <w:bCs/>
                <w:noProof/>
                <w:sz w:val="20"/>
                <w:szCs w:val="20"/>
              </w:rPr>
              <w:t>smuggling in the EU</w:t>
            </w:r>
          </w:p>
        </w:tc>
        <w:tc>
          <w:tcPr>
            <w:tcW w:w="1418" w:type="dxa"/>
            <w:vAlign w:val="center"/>
          </w:tcPr>
          <w:p w:rsidR="00446B0D" w:rsidRDefault="008F1B69">
            <w:pPr>
              <w:spacing w:before="0" w:after="0"/>
              <w:jc w:val="right"/>
              <w:rPr>
                <w:bCs/>
                <w:noProof/>
                <w:sz w:val="20"/>
                <w:szCs w:val="20"/>
              </w:rPr>
            </w:pPr>
            <w:r>
              <w:rPr>
                <w:bCs/>
                <w:noProof/>
                <w:sz w:val="20"/>
                <w:szCs w:val="20"/>
              </w:rPr>
              <w:t>349 472</w:t>
            </w:r>
          </w:p>
        </w:tc>
        <w:tc>
          <w:tcPr>
            <w:tcW w:w="815" w:type="dxa"/>
            <w:vAlign w:val="center"/>
          </w:tcPr>
          <w:p w:rsidR="00446B0D" w:rsidRDefault="008F1B69">
            <w:pPr>
              <w:spacing w:before="0" w:after="0"/>
              <w:jc w:val="center"/>
              <w:rPr>
                <w:bCs/>
                <w:noProof/>
                <w:sz w:val="20"/>
                <w:szCs w:val="20"/>
              </w:rPr>
            </w:pPr>
            <w:r>
              <w:rPr>
                <w:bCs/>
                <w:noProof/>
                <w:sz w:val="20"/>
                <w:szCs w:val="20"/>
              </w:rPr>
              <w:t>48</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19</w:t>
            </w:r>
          </w:p>
        </w:tc>
        <w:tc>
          <w:tcPr>
            <w:tcW w:w="709" w:type="dxa"/>
            <w:vAlign w:val="center"/>
          </w:tcPr>
          <w:p w:rsidR="00446B0D" w:rsidRDefault="008F1B69">
            <w:pPr>
              <w:spacing w:before="0" w:after="0"/>
              <w:jc w:val="center"/>
              <w:rPr>
                <w:bCs/>
                <w:noProof/>
                <w:sz w:val="20"/>
                <w:szCs w:val="20"/>
              </w:rPr>
            </w:pPr>
            <w:r>
              <w:rPr>
                <w:bCs/>
                <w:noProof/>
                <w:sz w:val="20"/>
                <w:szCs w:val="20"/>
              </w:rPr>
              <w:t>RO</w:t>
            </w:r>
          </w:p>
        </w:tc>
        <w:tc>
          <w:tcPr>
            <w:tcW w:w="2976" w:type="dxa"/>
            <w:vAlign w:val="center"/>
          </w:tcPr>
          <w:p w:rsidR="00446B0D" w:rsidRDefault="008F1B69">
            <w:pPr>
              <w:spacing w:before="0" w:after="0"/>
              <w:jc w:val="left"/>
              <w:rPr>
                <w:bCs/>
                <w:noProof/>
                <w:sz w:val="20"/>
                <w:szCs w:val="20"/>
              </w:rPr>
            </w:pPr>
            <w:r>
              <w:rPr>
                <w:bCs/>
                <w:noProof/>
                <w:sz w:val="20"/>
                <w:szCs w:val="20"/>
              </w:rPr>
              <w:t>Anti-Corruption General Directorate</w:t>
            </w:r>
          </w:p>
        </w:tc>
        <w:tc>
          <w:tcPr>
            <w:tcW w:w="2977" w:type="dxa"/>
            <w:vAlign w:val="center"/>
          </w:tcPr>
          <w:p w:rsidR="00446B0D" w:rsidRDefault="008F1B69">
            <w:pPr>
              <w:spacing w:before="0" w:after="0"/>
              <w:jc w:val="left"/>
              <w:rPr>
                <w:bCs/>
                <w:noProof/>
                <w:sz w:val="20"/>
                <w:szCs w:val="20"/>
              </w:rPr>
            </w:pPr>
            <w:r>
              <w:rPr>
                <w:bCs/>
                <w:noProof/>
                <w:sz w:val="20"/>
                <w:szCs w:val="20"/>
              </w:rPr>
              <w:t>Support for implementing the provisions of the National Action Plan for preventing and countering tax evasion</w:t>
            </w:r>
          </w:p>
        </w:tc>
        <w:tc>
          <w:tcPr>
            <w:tcW w:w="1418" w:type="dxa"/>
            <w:vAlign w:val="center"/>
          </w:tcPr>
          <w:p w:rsidR="00446B0D" w:rsidRDefault="008F1B69">
            <w:pPr>
              <w:spacing w:before="0" w:after="0"/>
              <w:jc w:val="right"/>
              <w:rPr>
                <w:bCs/>
                <w:noProof/>
                <w:sz w:val="20"/>
                <w:szCs w:val="20"/>
              </w:rPr>
            </w:pPr>
            <w:r>
              <w:rPr>
                <w:bCs/>
                <w:noProof/>
                <w:sz w:val="20"/>
                <w:szCs w:val="20"/>
              </w:rPr>
              <w:t>108 340</w:t>
            </w:r>
          </w:p>
        </w:tc>
        <w:tc>
          <w:tcPr>
            <w:tcW w:w="815" w:type="dxa"/>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20</w:t>
            </w:r>
          </w:p>
        </w:tc>
        <w:tc>
          <w:tcPr>
            <w:tcW w:w="709" w:type="dxa"/>
            <w:vAlign w:val="center"/>
          </w:tcPr>
          <w:p w:rsidR="00446B0D" w:rsidRDefault="008F1B69">
            <w:pPr>
              <w:spacing w:before="0" w:after="0"/>
              <w:jc w:val="center"/>
              <w:rPr>
                <w:bCs/>
                <w:noProof/>
                <w:sz w:val="20"/>
                <w:szCs w:val="20"/>
              </w:rPr>
            </w:pPr>
            <w:r>
              <w:rPr>
                <w:bCs/>
                <w:noProof/>
                <w:sz w:val="20"/>
                <w:szCs w:val="20"/>
              </w:rPr>
              <w:t>LV</w:t>
            </w:r>
          </w:p>
        </w:tc>
        <w:tc>
          <w:tcPr>
            <w:tcW w:w="2976" w:type="dxa"/>
            <w:vAlign w:val="center"/>
          </w:tcPr>
          <w:p w:rsidR="00446B0D" w:rsidRDefault="008F1B69">
            <w:pPr>
              <w:spacing w:before="0" w:after="0"/>
              <w:jc w:val="left"/>
              <w:rPr>
                <w:bCs/>
                <w:noProof/>
                <w:sz w:val="20"/>
                <w:szCs w:val="20"/>
              </w:rPr>
            </w:pPr>
            <w:r>
              <w:rPr>
                <w:bCs/>
                <w:noProof/>
                <w:sz w:val="20"/>
                <w:szCs w:val="20"/>
              </w:rPr>
              <w:t>State Border Guard of the Republic of Latvia</w:t>
            </w:r>
          </w:p>
        </w:tc>
        <w:tc>
          <w:tcPr>
            <w:tcW w:w="2977" w:type="dxa"/>
            <w:vAlign w:val="center"/>
          </w:tcPr>
          <w:p w:rsidR="00446B0D" w:rsidRDefault="008F1B69">
            <w:pPr>
              <w:spacing w:before="0" w:after="0"/>
              <w:jc w:val="left"/>
              <w:rPr>
                <w:bCs/>
                <w:noProof/>
                <w:sz w:val="20"/>
                <w:szCs w:val="20"/>
              </w:rPr>
            </w:pPr>
            <w:r>
              <w:rPr>
                <w:bCs/>
                <w:noProof/>
                <w:sz w:val="20"/>
                <w:szCs w:val="20"/>
              </w:rPr>
              <w:t xml:space="preserve">Sniffer </w:t>
            </w:r>
            <w:r>
              <w:rPr>
                <w:bCs/>
                <w:noProof/>
                <w:sz w:val="20"/>
                <w:szCs w:val="20"/>
              </w:rPr>
              <w:t>dogs</w:t>
            </w:r>
          </w:p>
        </w:tc>
        <w:tc>
          <w:tcPr>
            <w:tcW w:w="1418" w:type="dxa"/>
            <w:vAlign w:val="center"/>
          </w:tcPr>
          <w:p w:rsidR="00446B0D" w:rsidRDefault="008F1B69">
            <w:pPr>
              <w:spacing w:before="0" w:after="0"/>
              <w:jc w:val="right"/>
              <w:rPr>
                <w:bCs/>
                <w:noProof/>
                <w:sz w:val="20"/>
                <w:szCs w:val="20"/>
              </w:rPr>
            </w:pPr>
            <w:r>
              <w:rPr>
                <w:bCs/>
                <w:noProof/>
                <w:sz w:val="20"/>
                <w:szCs w:val="20"/>
              </w:rPr>
              <w:t>12 747</w:t>
            </w:r>
          </w:p>
        </w:tc>
        <w:tc>
          <w:tcPr>
            <w:tcW w:w="815" w:type="dxa"/>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21</w:t>
            </w:r>
          </w:p>
        </w:tc>
        <w:tc>
          <w:tcPr>
            <w:tcW w:w="709" w:type="dxa"/>
            <w:vAlign w:val="center"/>
          </w:tcPr>
          <w:p w:rsidR="00446B0D" w:rsidRDefault="008F1B69">
            <w:pPr>
              <w:spacing w:before="0" w:after="0"/>
              <w:jc w:val="center"/>
              <w:rPr>
                <w:bCs/>
                <w:noProof/>
                <w:sz w:val="20"/>
                <w:szCs w:val="20"/>
              </w:rPr>
            </w:pPr>
            <w:r>
              <w:rPr>
                <w:bCs/>
                <w:noProof/>
                <w:sz w:val="20"/>
                <w:szCs w:val="20"/>
              </w:rPr>
              <w:t>ES</w:t>
            </w:r>
          </w:p>
        </w:tc>
        <w:tc>
          <w:tcPr>
            <w:tcW w:w="2976" w:type="dxa"/>
            <w:vAlign w:val="center"/>
          </w:tcPr>
          <w:p w:rsidR="00446B0D" w:rsidRDefault="008F1B69">
            <w:pPr>
              <w:spacing w:before="0" w:after="0"/>
              <w:jc w:val="left"/>
              <w:rPr>
                <w:bCs/>
                <w:noProof/>
                <w:sz w:val="20"/>
                <w:szCs w:val="20"/>
              </w:rPr>
            </w:pPr>
            <w:r>
              <w:rPr>
                <w:bCs/>
                <w:noProof/>
                <w:sz w:val="20"/>
                <w:szCs w:val="20"/>
              </w:rPr>
              <w:t>AEAT – Spanish Customs)</w:t>
            </w:r>
          </w:p>
        </w:tc>
        <w:tc>
          <w:tcPr>
            <w:tcW w:w="2977" w:type="dxa"/>
            <w:vAlign w:val="center"/>
          </w:tcPr>
          <w:p w:rsidR="00446B0D" w:rsidRDefault="008F1B69">
            <w:pPr>
              <w:spacing w:before="0" w:after="0"/>
              <w:jc w:val="left"/>
              <w:rPr>
                <w:bCs/>
                <w:noProof/>
                <w:sz w:val="20"/>
                <w:szCs w:val="20"/>
              </w:rPr>
            </w:pPr>
            <w:r>
              <w:rPr>
                <w:bCs/>
                <w:noProof/>
                <w:sz w:val="20"/>
                <w:szCs w:val="20"/>
              </w:rPr>
              <w:t>Purchase of technical equipment</w:t>
            </w:r>
          </w:p>
        </w:tc>
        <w:tc>
          <w:tcPr>
            <w:tcW w:w="1418" w:type="dxa"/>
            <w:vAlign w:val="center"/>
          </w:tcPr>
          <w:p w:rsidR="00446B0D" w:rsidRDefault="008F1B69">
            <w:pPr>
              <w:spacing w:before="0" w:after="0"/>
              <w:jc w:val="right"/>
              <w:rPr>
                <w:bCs/>
                <w:noProof/>
                <w:sz w:val="20"/>
                <w:szCs w:val="20"/>
              </w:rPr>
            </w:pPr>
            <w:r>
              <w:rPr>
                <w:bCs/>
                <w:noProof/>
                <w:sz w:val="20"/>
                <w:szCs w:val="20"/>
              </w:rPr>
              <w:t>160 875</w:t>
            </w:r>
          </w:p>
        </w:tc>
        <w:tc>
          <w:tcPr>
            <w:tcW w:w="815" w:type="dxa"/>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22</w:t>
            </w:r>
          </w:p>
        </w:tc>
        <w:tc>
          <w:tcPr>
            <w:tcW w:w="709" w:type="dxa"/>
            <w:vAlign w:val="center"/>
          </w:tcPr>
          <w:p w:rsidR="00446B0D" w:rsidRDefault="008F1B69">
            <w:pPr>
              <w:spacing w:before="0" w:after="0"/>
              <w:jc w:val="center"/>
              <w:rPr>
                <w:bCs/>
                <w:noProof/>
                <w:sz w:val="20"/>
                <w:szCs w:val="20"/>
              </w:rPr>
            </w:pPr>
            <w:r>
              <w:rPr>
                <w:bCs/>
                <w:noProof/>
                <w:sz w:val="20"/>
                <w:szCs w:val="20"/>
              </w:rPr>
              <w:t>IT</w:t>
            </w:r>
          </w:p>
        </w:tc>
        <w:tc>
          <w:tcPr>
            <w:tcW w:w="2976" w:type="dxa"/>
            <w:vAlign w:val="center"/>
          </w:tcPr>
          <w:p w:rsidR="00446B0D" w:rsidRDefault="008F1B69">
            <w:pPr>
              <w:spacing w:before="0" w:after="0"/>
              <w:jc w:val="left"/>
              <w:rPr>
                <w:bCs/>
                <w:noProof/>
                <w:sz w:val="20"/>
                <w:szCs w:val="20"/>
              </w:rPr>
            </w:pPr>
            <w:r>
              <w:rPr>
                <w:bCs/>
                <w:noProof/>
                <w:sz w:val="20"/>
                <w:szCs w:val="20"/>
              </w:rPr>
              <w:t>Guardia di Finanza</w:t>
            </w:r>
          </w:p>
        </w:tc>
        <w:tc>
          <w:tcPr>
            <w:tcW w:w="2977" w:type="dxa"/>
            <w:vAlign w:val="center"/>
          </w:tcPr>
          <w:p w:rsidR="00446B0D" w:rsidRDefault="008F1B69">
            <w:pPr>
              <w:spacing w:before="0" w:after="0"/>
              <w:jc w:val="left"/>
              <w:rPr>
                <w:bCs/>
                <w:noProof/>
                <w:sz w:val="20"/>
                <w:szCs w:val="20"/>
              </w:rPr>
            </w:pPr>
            <w:r>
              <w:rPr>
                <w:bCs/>
                <w:noProof/>
                <w:sz w:val="20"/>
                <w:szCs w:val="20"/>
              </w:rPr>
              <w:t>Mobile forensics tools in the fight against fraud</w:t>
            </w:r>
          </w:p>
        </w:tc>
        <w:tc>
          <w:tcPr>
            <w:tcW w:w="1418" w:type="dxa"/>
            <w:vAlign w:val="center"/>
          </w:tcPr>
          <w:p w:rsidR="00446B0D" w:rsidRDefault="008F1B69">
            <w:pPr>
              <w:spacing w:before="0" w:after="0"/>
              <w:jc w:val="right"/>
              <w:rPr>
                <w:bCs/>
                <w:noProof/>
                <w:sz w:val="20"/>
                <w:szCs w:val="20"/>
              </w:rPr>
            </w:pPr>
            <w:r>
              <w:rPr>
                <w:bCs/>
                <w:noProof/>
                <w:sz w:val="20"/>
                <w:szCs w:val="20"/>
              </w:rPr>
              <w:t>224 811</w:t>
            </w:r>
          </w:p>
        </w:tc>
        <w:tc>
          <w:tcPr>
            <w:tcW w:w="815" w:type="dxa"/>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23</w:t>
            </w:r>
          </w:p>
        </w:tc>
        <w:tc>
          <w:tcPr>
            <w:tcW w:w="709" w:type="dxa"/>
            <w:vAlign w:val="center"/>
          </w:tcPr>
          <w:p w:rsidR="00446B0D" w:rsidRDefault="008F1B69">
            <w:pPr>
              <w:spacing w:before="0" w:after="0"/>
              <w:jc w:val="center"/>
              <w:rPr>
                <w:bCs/>
                <w:noProof/>
                <w:sz w:val="20"/>
                <w:szCs w:val="20"/>
              </w:rPr>
            </w:pPr>
            <w:r>
              <w:rPr>
                <w:bCs/>
                <w:noProof/>
                <w:sz w:val="20"/>
                <w:szCs w:val="20"/>
              </w:rPr>
              <w:t>EL</w:t>
            </w:r>
          </w:p>
        </w:tc>
        <w:tc>
          <w:tcPr>
            <w:tcW w:w="2976" w:type="dxa"/>
            <w:vAlign w:val="center"/>
          </w:tcPr>
          <w:p w:rsidR="00446B0D" w:rsidRDefault="008F1B69">
            <w:pPr>
              <w:spacing w:before="0" w:after="0"/>
              <w:jc w:val="left"/>
              <w:rPr>
                <w:bCs/>
                <w:noProof/>
                <w:sz w:val="20"/>
                <w:szCs w:val="20"/>
              </w:rPr>
            </w:pPr>
            <w:r>
              <w:rPr>
                <w:bCs/>
                <w:noProof/>
                <w:sz w:val="20"/>
                <w:szCs w:val="20"/>
              </w:rPr>
              <w:t>Greek Ministry of Citizen Protection</w:t>
            </w:r>
          </w:p>
        </w:tc>
        <w:tc>
          <w:tcPr>
            <w:tcW w:w="2977" w:type="dxa"/>
            <w:vAlign w:val="center"/>
          </w:tcPr>
          <w:p w:rsidR="00446B0D" w:rsidRDefault="008F1B69">
            <w:pPr>
              <w:spacing w:before="0" w:after="0"/>
              <w:jc w:val="left"/>
              <w:rPr>
                <w:bCs/>
                <w:noProof/>
                <w:sz w:val="20"/>
                <w:szCs w:val="20"/>
              </w:rPr>
            </w:pPr>
            <w:r>
              <w:rPr>
                <w:bCs/>
                <w:noProof/>
                <w:sz w:val="20"/>
                <w:szCs w:val="20"/>
              </w:rPr>
              <w:t>Investigation support equipment</w:t>
            </w:r>
          </w:p>
        </w:tc>
        <w:tc>
          <w:tcPr>
            <w:tcW w:w="1418" w:type="dxa"/>
            <w:vAlign w:val="center"/>
          </w:tcPr>
          <w:p w:rsidR="00446B0D" w:rsidRDefault="008F1B69">
            <w:pPr>
              <w:spacing w:before="0" w:after="0"/>
              <w:jc w:val="right"/>
              <w:rPr>
                <w:bCs/>
                <w:noProof/>
                <w:sz w:val="20"/>
                <w:szCs w:val="20"/>
              </w:rPr>
            </w:pPr>
            <w:r>
              <w:rPr>
                <w:bCs/>
                <w:noProof/>
                <w:sz w:val="20"/>
                <w:szCs w:val="20"/>
              </w:rPr>
              <w:t>54 332</w:t>
            </w:r>
          </w:p>
        </w:tc>
        <w:tc>
          <w:tcPr>
            <w:tcW w:w="815" w:type="dxa"/>
            <w:vAlign w:val="center"/>
          </w:tcPr>
          <w:p w:rsidR="00446B0D" w:rsidRDefault="008F1B69">
            <w:pPr>
              <w:spacing w:before="0" w:after="0"/>
              <w:jc w:val="center"/>
              <w:rPr>
                <w:bCs/>
                <w:noProof/>
                <w:sz w:val="20"/>
                <w:szCs w:val="20"/>
              </w:rPr>
            </w:pPr>
            <w:r>
              <w:rPr>
                <w:bCs/>
                <w:noProof/>
                <w:sz w:val="20"/>
                <w:szCs w:val="20"/>
              </w:rPr>
              <w:t>49</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24</w:t>
            </w:r>
          </w:p>
        </w:tc>
        <w:tc>
          <w:tcPr>
            <w:tcW w:w="709" w:type="dxa"/>
            <w:vAlign w:val="center"/>
          </w:tcPr>
          <w:p w:rsidR="00446B0D" w:rsidRDefault="008F1B69">
            <w:pPr>
              <w:spacing w:before="0" w:after="0"/>
              <w:jc w:val="center"/>
              <w:rPr>
                <w:bCs/>
                <w:noProof/>
                <w:sz w:val="20"/>
                <w:szCs w:val="20"/>
              </w:rPr>
            </w:pPr>
            <w:r>
              <w:rPr>
                <w:bCs/>
                <w:noProof/>
                <w:sz w:val="20"/>
                <w:szCs w:val="20"/>
              </w:rPr>
              <w:t>SK</w:t>
            </w:r>
          </w:p>
        </w:tc>
        <w:tc>
          <w:tcPr>
            <w:tcW w:w="2976" w:type="dxa"/>
            <w:vAlign w:val="center"/>
          </w:tcPr>
          <w:p w:rsidR="00446B0D" w:rsidRDefault="008F1B69">
            <w:pPr>
              <w:spacing w:before="0" w:after="0"/>
              <w:jc w:val="left"/>
              <w:rPr>
                <w:bCs/>
                <w:noProof/>
                <w:sz w:val="20"/>
                <w:szCs w:val="20"/>
              </w:rPr>
            </w:pPr>
            <w:r>
              <w:rPr>
                <w:bCs/>
                <w:noProof/>
                <w:sz w:val="20"/>
                <w:szCs w:val="20"/>
              </w:rPr>
              <w:t>Financial Directorate of the Slovak Republic</w:t>
            </w:r>
          </w:p>
        </w:tc>
        <w:tc>
          <w:tcPr>
            <w:tcW w:w="2977" w:type="dxa"/>
            <w:vAlign w:val="center"/>
          </w:tcPr>
          <w:p w:rsidR="00446B0D" w:rsidRDefault="008F1B69">
            <w:pPr>
              <w:spacing w:before="0" w:after="0"/>
              <w:jc w:val="left"/>
              <w:rPr>
                <w:bCs/>
                <w:noProof/>
                <w:sz w:val="20"/>
                <w:szCs w:val="20"/>
              </w:rPr>
            </w:pPr>
            <w:r>
              <w:rPr>
                <w:bCs/>
                <w:noProof/>
                <w:sz w:val="20"/>
                <w:szCs w:val="20"/>
              </w:rPr>
              <w:t>Technical equipment used by the Slovak Customs in the fight against cigarette smuggling</w:t>
            </w:r>
          </w:p>
        </w:tc>
        <w:tc>
          <w:tcPr>
            <w:tcW w:w="1418" w:type="dxa"/>
            <w:vAlign w:val="center"/>
          </w:tcPr>
          <w:p w:rsidR="00446B0D" w:rsidRDefault="008F1B69">
            <w:pPr>
              <w:spacing w:before="0" w:after="0"/>
              <w:jc w:val="right"/>
              <w:rPr>
                <w:bCs/>
                <w:noProof/>
                <w:sz w:val="20"/>
                <w:szCs w:val="20"/>
              </w:rPr>
            </w:pPr>
            <w:r>
              <w:rPr>
                <w:bCs/>
                <w:noProof/>
                <w:sz w:val="20"/>
                <w:szCs w:val="20"/>
              </w:rPr>
              <w:t>56 350</w:t>
            </w:r>
          </w:p>
        </w:tc>
        <w:tc>
          <w:tcPr>
            <w:tcW w:w="815" w:type="dxa"/>
            <w:vAlign w:val="center"/>
          </w:tcPr>
          <w:p w:rsidR="00446B0D" w:rsidRDefault="008F1B69">
            <w:pPr>
              <w:spacing w:before="0" w:after="0"/>
              <w:jc w:val="center"/>
              <w:rPr>
                <w:bCs/>
                <w:noProof/>
                <w:sz w:val="20"/>
                <w:szCs w:val="20"/>
              </w:rPr>
            </w:pPr>
            <w:r>
              <w:rPr>
                <w:bCs/>
                <w:noProof/>
                <w:sz w:val="20"/>
                <w:szCs w:val="20"/>
              </w:rPr>
              <w:t>49</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25</w:t>
            </w:r>
          </w:p>
        </w:tc>
        <w:tc>
          <w:tcPr>
            <w:tcW w:w="709" w:type="dxa"/>
            <w:vAlign w:val="center"/>
          </w:tcPr>
          <w:p w:rsidR="00446B0D" w:rsidRDefault="008F1B69">
            <w:pPr>
              <w:spacing w:before="0" w:after="0"/>
              <w:jc w:val="center"/>
              <w:rPr>
                <w:bCs/>
                <w:noProof/>
                <w:sz w:val="20"/>
                <w:szCs w:val="20"/>
              </w:rPr>
            </w:pPr>
            <w:r>
              <w:rPr>
                <w:bCs/>
                <w:noProof/>
                <w:sz w:val="20"/>
                <w:szCs w:val="20"/>
              </w:rPr>
              <w:t>IE</w:t>
            </w:r>
          </w:p>
        </w:tc>
        <w:tc>
          <w:tcPr>
            <w:tcW w:w="2976" w:type="dxa"/>
            <w:vAlign w:val="center"/>
          </w:tcPr>
          <w:p w:rsidR="00446B0D" w:rsidRDefault="008F1B69">
            <w:pPr>
              <w:spacing w:before="0" w:after="0"/>
              <w:jc w:val="left"/>
              <w:rPr>
                <w:bCs/>
                <w:noProof/>
                <w:sz w:val="20"/>
                <w:szCs w:val="20"/>
              </w:rPr>
            </w:pPr>
            <w:r>
              <w:rPr>
                <w:bCs/>
                <w:noProof/>
                <w:sz w:val="20"/>
                <w:szCs w:val="20"/>
              </w:rPr>
              <w:t>Office of the Revenue Commissioners, Investigations &amp; Prosecutions Division</w:t>
            </w:r>
          </w:p>
        </w:tc>
        <w:tc>
          <w:tcPr>
            <w:tcW w:w="2977" w:type="dxa"/>
            <w:vAlign w:val="center"/>
          </w:tcPr>
          <w:p w:rsidR="00446B0D" w:rsidRDefault="008F1B69">
            <w:pPr>
              <w:spacing w:before="0" w:after="0"/>
              <w:jc w:val="left"/>
              <w:rPr>
                <w:bCs/>
                <w:noProof/>
                <w:sz w:val="20"/>
                <w:szCs w:val="20"/>
              </w:rPr>
            </w:pPr>
            <w:r>
              <w:rPr>
                <w:bCs/>
                <w:noProof/>
                <w:sz w:val="20"/>
                <w:szCs w:val="20"/>
              </w:rPr>
              <w:t xml:space="preserve">x-ray </w:t>
            </w:r>
            <w:r>
              <w:rPr>
                <w:bCs/>
                <w:noProof/>
                <w:sz w:val="20"/>
                <w:szCs w:val="20"/>
              </w:rPr>
              <w:t>scanners</w:t>
            </w:r>
          </w:p>
        </w:tc>
        <w:tc>
          <w:tcPr>
            <w:tcW w:w="1418" w:type="dxa"/>
            <w:vAlign w:val="center"/>
          </w:tcPr>
          <w:p w:rsidR="00446B0D" w:rsidRDefault="008F1B69">
            <w:pPr>
              <w:spacing w:before="0" w:after="0"/>
              <w:jc w:val="right"/>
              <w:rPr>
                <w:bCs/>
                <w:noProof/>
                <w:sz w:val="20"/>
                <w:szCs w:val="20"/>
              </w:rPr>
            </w:pPr>
            <w:r>
              <w:rPr>
                <w:bCs/>
                <w:noProof/>
                <w:sz w:val="20"/>
                <w:szCs w:val="20"/>
              </w:rPr>
              <w:t>45 000</w:t>
            </w:r>
          </w:p>
        </w:tc>
        <w:tc>
          <w:tcPr>
            <w:tcW w:w="815" w:type="dxa"/>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26</w:t>
            </w:r>
          </w:p>
        </w:tc>
        <w:tc>
          <w:tcPr>
            <w:tcW w:w="709" w:type="dxa"/>
            <w:vAlign w:val="center"/>
          </w:tcPr>
          <w:p w:rsidR="00446B0D" w:rsidRDefault="008F1B69">
            <w:pPr>
              <w:spacing w:before="0" w:after="0"/>
              <w:jc w:val="center"/>
              <w:rPr>
                <w:bCs/>
                <w:noProof/>
                <w:sz w:val="20"/>
                <w:szCs w:val="20"/>
              </w:rPr>
            </w:pPr>
            <w:r>
              <w:rPr>
                <w:bCs/>
                <w:noProof/>
                <w:sz w:val="20"/>
                <w:szCs w:val="20"/>
              </w:rPr>
              <w:t>BE</w:t>
            </w:r>
          </w:p>
        </w:tc>
        <w:tc>
          <w:tcPr>
            <w:tcW w:w="2976" w:type="dxa"/>
            <w:vAlign w:val="center"/>
          </w:tcPr>
          <w:p w:rsidR="00446B0D" w:rsidRDefault="008F1B69">
            <w:pPr>
              <w:spacing w:before="0" w:after="0"/>
              <w:jc w:val="left"/>
              <w:rPr>
                <w:bCs/>
                <w:noProof/>
                <w:sz w:val="20"/>
                <w:szCs w:val="20"/>
              </w:rPr>
            </w:pPr>
            <w:r>
              <w:rPr>
                <w:bCs/>
                <w:noProof/>
                <w:sz w:val="20"/>
                <w:szCs w:val="20"/>
              </w:rPr>
              <w:t>Service Public Fédéral Finances</w:t>
            </w:r>
          </w:p>
        </w:tc>
        <w:tc>
          <w:tcPr>
            <w:tcW w:w="2977" w:type="dxa"/>
            <w:vAlign w:val="center"/>
          </w:tcPr>
          <w:p w:rsidR="00446B0D" w:rsidRDefault="008F1B69">
            <w:pPr>
              <w:spacing w:before="0" w:after="0"/>
              <w:jc w:val="left"/>
              <w:rPr>
                <w:bCs/>
                <w:noProof/>
                <w:sz w:val="20"/>
                <w:szCs w:val="20"/>
                <w:lang w:val="fr-BE"/>
              </w:rPr>
            </w:pPr>
            <w:r>
              <w:rPr>
                <w:bCs/>
                <w:noProof/>
                <w:sz w:val="20"/>
                <w:szCs w:val="20"/>
                <w:lang w:val="fr-BE"/>
              </w:rPr>
              <w:t>Assistance technique d’aide à l’enquête</w:t>
            </w:r>
          </w:p>
        </w:tc>
        <w:tc>
          <w:tcPr>
            <w:tcW w:w="1418" w:type="dxa"/>
            <w:vAlign w:val="center"/>
          </w:tcPr>
          <w:p w:rsidR="00446B0D" w:rsidRDefault="008F1B69">
            <w:pPr>
              <w:spacing w:before="0" w:after="0"/>
              <w:jc w:val="right"/>
              <w:rPr>
                <w:bCs/>
                <w:noProof/>
                <w:sz w:val="20"/>
                <w:szCs w:val="20"/>
              </w:rPr>
            </w:pPr>
            <w:r>
              <w:rPr>
                <w:bCs/>
                <w:noProof/>
                <w:sz w:val="20"/>
                <w:szCs w:val="20"/>
              </w:rPr>
              <w:t>15 578</w:t>
            </w:r>
          </w:p>
        </w:tc>
        <w:tc>
          <w:tcPr>
            <w:tcW w:w="815" w:type="dxa"/>
            <w:vAlign w:val="center"/>
          </w:tcPr>
          <w:p w:rsidR="00446B0D" w:rsidRDefault="008F1B69">
            <w:pPr>
              <w:spacing w:before="0" w:after="0"/>
              <w:jc w:val="center"/>
              <w:rPr>
                <w:bCs/>
                <w:noProof/>
                <w:sz w:val="20"/>
                <w:szCs w:val="20"/>
              </w:rPr>
            </w:pPr>
            <w:r>
              <w:rPr>
                <w:bCs/>
                <w:noProof/>
                <w:sz w:val="20"/>
                <w:szCs w:val="20"/>
              </w:rPr>
              <w:t>49</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27</w:t>
            </w:r>
          </w:p>
        </w:tc>
        <w:tc>
          <w:tcPr>
            <w:tcW w:w="709" w:type="dxa"/>
            <w:vAlign w:val="center"/>
          </w:tcPr>
          <w:p w:rsidR="00446B0D" w:rsidRDefault="008F1B69">
            <w:pPr>
              <w:spacing w:before="0" w:after="0"/>
              <w:jc w:val="center"/>
              <w:rPr>
                <w:bCs/>
                <w:noProof/>
                <w:sz w:val="20"/>
                <w:szCs w:val="20"/>
              </w:rPr>
            </w:pPr>
            <w:r>
              <w:rPr>
                <w:bCs/>
                <w:noProof/>
                <w:sz w:val="20"/>
                <w:szCs w:val="20"/>
              </w:rPr>
              <w:t>PL</w:t>
            </w:r>
          </w:p>
        </w:tc>
        <w:tc>
          <w:tcPr>
            <w:tcW w:w="2976" w:type="dxa"/>
            <w:vAlign w:val="center"/>
          </w:tcPr>
          <w:p w:rsidR="00446B0D" w:rsidRDefault="008F1B69">
            <w:pPr>
              <w:spacing w:before="0" w:after="0"/>
              <w:jc w:val="left"/>
              <w:rPr>
                <w:bCs/>
                <w:noProof/>
                <w:sz w:val="20"/>
                <w:szCs w:val="20"/>
              </w:rPr>
            </w:pPr>
            <w:r>
              <w:rPr>
                <w:bCs/>
                <w:noProof/>
                <w:sz w:val="20"/>
                <w:szCs w:val="20"/>
              </w:rPr>
              <w:t>Regional Police Headquarters Lublin (KWP)</w:t>
            </w:r>
          </w:p>
        </w:tc>
        <w:tc>
          <w:tcPr>
            <w:tcW w:w="2977" w:type="dxa"/>
            <w:vAlign w:val="center"/>
          </w:tcPr>
          <w:p w:rsidR="00446B0D" w:rsidRDefault="008F1B69">
            <w:pPr>
              <w:spacing w:before="0" w:after="0"/>
              <w:jc w:val="left"/>
              <w:rPr>
                <w:bCs/>
                <w:noProof/>
                <w:sz w:val="20"/>
                <w:szCs w:val="20"/>
              </w:rPr>
            </w:pPr>
            <w:r>
              <w:rPr>
                <w:bCs/>
                <w:noProof/>
                <w:sz w:val="20"/>
                <w:szCs w:val="20"/>
              </w:rPr>
              <w:t>Investigation support equipment</w:t>
            </w:r>
          </w:p>
        </w:tc>
        <w:tc>
          <w:tcPr>
            <w:tcW w:w="1418" w:type="dxa"/>
            <w:vAlign w:val="center"/>
          </w:tcPr>
          <w:p w:rsidR="00446B0D" w:rsidRDefault="008F1B69">
            <w:pPr>
              <w:spacing w:before="0" w:after="0"/>
              <w:jc w:val="right"/>
              <w:rPr>
                <w:bCs/>
                <w:noProof/>
                <w:sz w:val="20"/>
                <w:szCs w:val="20"/>
              </w:rPr>
            </w:pPr>
            <w:r>
              <w:rPr>
                <w:bCs/>
                <w:noProof/>
                <w:sz w:val="20"/>
                <w:szCs w:val="20"/>
              </w:rPr>
              <w:t>80 000</w:t>
            </w:r>
          </w:p>
        </w:tc>
        <w:tc>
          <w:tcPr>
            <w:tcW w:w="815" w:type="dxa"/>
            <w:vAlign w:val="center"/>
          </w:tcPr>
          <w:p w:rsidR="00446B0D" w:rsidRDefault="008F1B69">
            <w:pPr>
              <w:spacing w:before="0" w:after="0"/>
              <w:jc w:val="center"/>
              <w:rPr>
                <w:bCs/>
                <w:noProof/>
                <w:sz w:val="20"/>
                <w:szCs w:val="20"/>
              </w:rPr>
            </w:pPr>
            <w:r>
              <w:rPr>
                <w:bCs/>
                <w:noProof/>
                <w:sz w:val="20"/>
                <w:szCs w:val="20"/>
              </w:rPr>
              <w:t>44</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28</w:t>
            </w:r>
          </w:p>
        </w:tc>
        <w:tc>
          <w:tcPr>
            <w:tcW w:w="709" w:type="dxa"/>
            <w:vAlign w:val="center"/>
          </w:tcPr>
          <w:p w:rsidR="00446B0D" w:rsidRDefault="008F1B69">
            <w:pPr>
              <w:spacing w:before="0" w:after="0"/>
              <w:jc w:val="center"/>
              <w:rPr>
                <w:bCs/>
                <w:noProof/>
                <w:sz w:val="20"/>
                <w:szCs w:val="20"/>
              </w:rPr>
            </w:pPr>
            <w:r>
              <w:rPr>
                <w:bCs/>
                <w:noProof/>
                <w:sz w:val="20"/>
                <w:szCs w:val="20"/>
              </w:rPr>
              <w:t>BE</w:t>
            </w:r>
          </w:p>
        </w:tc>
        <w:tc>
          <w:tcPr>
            <w:tcW w:w="2976" w:type="dxa"/>
            <w:vAlign w:val="center"/>
          </w:tcPr>
          <w:p w:rsidR="00446B0D" w:rsidRDefault="008F1B69">
            <w:pPr>
              <w:spacing w:before="0" w:after="0"/>
              <w:jc w:val="left"/>
              <w:rPr>
                <w:bCs/>
                <w:noProof/>
                <w:sz w:val="20"/>
                <w:szCs w:val="20"/>
              </w:rPr>
            </w:pPr>
            <w:r>
              <w:rPr>
                <w:bCs/>
                <w:noProof/>
                <w:sz w:val="20"/>
                <w:szCs w:val="20"/>
              </w:rPr>
              <w:t xml:space="preserve">Belgian Federal Ministry of Finance – Belgian </w:t>
            </w:r>
            <w:r>
              <w:rPr>
                <w:bCs/>
                <w:noProof/>
                <w:sz w:val="20"/>
                <w:szCs w:val="20"/>
              </w:rPr>
              <w:t>Customs</w:t>
            </w:r>
          </w:p>
        </w:tc>
        <w:tc>
          <w:tcPr>
            <w:tcW w:w="2977" w:type="dxa"/>
            <w:vAlign w:val="center"/>
          </w:tcPr>
          <w:p w:rsidR="00446B0D" w:rsidRDefault="008F1B69">
            <w:pPr>
              <w:spacing w:before="0" w:after="0"/>
              <w:jc w:val="left"/>
              <w:rPr>
                <w:bCs/>
                <w:noProof/>
                <w:sz w:val="20"/>
                <w:szCs w:val="20"/>
                <w:lang w:val="fr-BE"/>
              </w:rPr>
            </w:pPr>
            <w:r>
              <w:rPr>
                <w:bCs/>
                <w:noProof/>
                <w:sz w:val="20"/>
                <w:szCs w:val="20"/>
                <w:lang w:val="fr-BE"/>
              </w:rPr>
              <w:t>Assistance technique d’aide à l’enquête</w:t>
            </w:r>
          </w:p>
        </w:tc>
        <w:tc>
          <w:tcPr>
            <w:tcW w:w="1418" w:type="dxa"/>
            <w:vAlign w:val="center"/>
          </w:tcPr>
          <w:p w:rsidR="00446B0D" w:rsidRDefault="008F1B69">
            <w:pPr>
              <w:spacing w:before="0" w:after="0"/>
              <w:jc w:val="right"/>
              <w:rPr>
                <w:bCs/>
                <w:noProof/>
                <w:sz w:val="20"/>
                <w:szCs w:val="20"/>
              </w:rPr>
            </w:pPr>
            <w:r>
              <w:rPr>
                <w:bCs/>
                <w:noProof/>
                <w:sz w:val="20"/>
                <w:szCs w:val="20"/>
              </w:rPr>
              <w:t>26 916</w:t>
            </w:r>
          </w:p>
        </w:tc>
        <w:tc>
          <w:tcPr>
            <w:tcW w:w="815" w:type="dxa"/>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29</w:t>
            </w:r>
          </w:p>
        </w:tc>
        <w:tc>
          <w:tcPr>
            <w:tcW w:w="709" w:type="dxa"/>
            <w:vAlign w:val="center"/>
          </w:tcPr>
          <w:p w:rsidR="00446B0D" w:rsidRDefault="008F1B69">
            <w:pPr>
              <w:spacing w:before="0" w:after="0"/>
              <w:jc w:val="center"/>
              <w:rPr>
                <w:bCs/>
                <w:noProof/>
                <w:sz w:val="20"/>
                <w:szCs w:val="20"/>
              </w:rPr>
            </w:pPr>
            <w:r>
              <w:rPr>
                <w:bCs/>
                <w:noProof/>
                <w:sz w:val="20"/>
                <w:szCs w:val="20"/>
              </w:rPr>
              <w:t>CZ</w:t>
            </w:r>
          </w:p>
        </w:tc>
        <w:tc>
          <w:tcPr>
            <w:tcW w:w="2976" w:type="dxa"/>
            <w:vAlign w:val="center"/>
          </w:tcPr>
          <w:p w:rsidR="00446B0D" w:rsidRDefault="008F1B69">
            <w:pPr>
              <w:spacing w:before="0" w:after="0"/>
              <w:jc w:val="left"/>
              <w:rPr>
                <w:bCs/>
                <w:noProof/>
                <w:sz w:val="20"/>
                <w:szCs w:val="20"/>
              </w:rPr>
            </w:pPr>
            <w:r>
              <w:rPr>
                <w:bCs/>
                <w:noProof/>
                <w:sz w:val="20"/>
                <w:szCs w:val="20"/>
              </w:rPr>
              <w:t>General Directors of Customs - GDC</w:t>
            </w:r>
          </w:p>
        </w:tc>
        <w:tc>
          <w:tcPr>
            <w:tcW w:w="2977" w:type="dxa"/>
            <w:vAlign w:val="center"/>
          </w:tcPr>
          <w:p w:rsidR="00446B0D" w:rsidRDefault="008F1B69">
            <w:pPr>
              <w:spacing w:before="0" w:after="0"/>
              <w:jc w:val="left"/>
              <w:rPr>
                <w:bCs/>
                <w:noProof/>
                <w:sz w:val="20"/>
                <w:szCs w:val="20"/>
              </w:rPr>
            </w:pPr>
            <w:r>
              <w:rPr>
                <w:bCs/>
                <w:noProof/>
                <w:sz w:val="20"/>
                <w:szCs w:val="20"/>
              </w:rPr>
              <w:t>Special audio tool for investigation</w:t>
            </w:r>
          </w:p>
        </w:tc>
        <w:tc>
          <w:tcPr>
            <w:tcW w:w="1418" w:type="dxa"/>
            <w:vAlign w:val="center"/>
          </w:tcPr>
          <w:p w:rsidR="00446B0D" w:rsidRDefault="008F1B69">
            <w:pPr>
              <w:spacing w:before="0" w:after="0"/>
              <w:jc w:val="right"/>
              <w:rPr>
                <w:bCs/>
                <w:noProof/>
                <w:sz w:val="20"/>
                <w:szCs w:val="20"/>
              </w:rPr>
            </w:pPr>
            <w:r>
              <w:rPr>
                <w:bCs/>
                <w:noProof/>
                <w:sz w:val="20"/>
                <w:szCs w:val="20"/>
              </w:rPr>
              <w:t>78 097</w:t>
            </w:r>
          </w:p>
        </w:tc>
        <w:tc>
          <w:tcPr>
            <w:tcW w:w="815" w:type="dxa"/>
            <w:vAlign w:val="center"/>
          </w:tcPr>
          <w:p w:rsidR="00446B0D" w:rsidRDefault="008F1B69">
            <w:pPr>
              <w:spacing w:before="0" w:after="0"/>
              <w:jc w:val="center"/>
              <w:rPr>
                <w:bCs/>
                <w:noProof/>
                <w:sz w:val="20"/>
                <w:szCs w:val="20"/>
              </w:rPr>
            </w:pPr>
            <w:r>
              <w:rPr>
                <w:bCs/>
                <w:noProof/>
                <w:sz w:val="20"/>
                <w:szCs w:val="20"/>
              </w:rPr>
              <w:t>49</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30</w:t>
            </w:r>
          </w:p>
        </w:tc>
        <w:tc>
          <w:tcPr>
            <w:tcW w:w="709" w:type="dxa"/>
            <w:vAlign w:val="center"/>
          </w:tcPr>
          <w:p w:rsidR="00446B0D" w:rsidRDefault="008F1B69">
            <w:pPr>
              <w:spacing w:before="0" w:after="0"/>
              <w:jc w:val="center"/>
              <w:rPr>
                <w:bCs/>
                <w:noProof/>
                <w:sz w:val="20"/>
                <w:szCs w:val="20"/>
              </w:rPr>
            </w:pPr>
            <w:r>
              <w:rPr>
                <w:bCs/>
                <w:noProof/>
                <w:sz w:val="20"/>
                <w:szCs w:val="20"/>
              </w:rPr>
              <w:t>HU</w:t>
            </w:r>
          </w:p>
        </w:tc>
        <w:tc>
          <w:tcPr>
            <w:tcW w:w="2976" w:type="dxa"/>
            <w:vAlign w:val="center"/>
          </w:tcPr>
          <w:p w:rsidR="00446B0D" w:rsidRDefault="008F1B69">
            <w:pPr>
              <w:spacing w:before="0" w:after="0"/>
              <w:jc w:val="left"/>
              <w:rPr>
                <w:bCs/>
                <w:noProof/>
                <w:sz w:val="20"/>
                <w:szCs w:val="20"/>
              </w:rPr>
            </w:pPr>
            <w:r>
              <w:rPr>
                <w:bCs/>
                <w:noProof/>
                <w:sz w:val="20"/>
                <w:szCs w:val="20"/>
              </w:rPr>
              <w:t>Special Service for National Security – SSNS</w:t>
            </w:r>
          </w:p>
        </w:tc>
        <w:tc>
          <w:tcPr>
            <w:tcW w:w="2977" w:type="dxa"/>
            <w:vAlign w:val="center"/>
          </w:tcPr>
          <w:p w:rsidR="00446B0D" w:rsidRDefault="008F1B69">
            <w:pPr>
              <w:spacing w:before="0" w:after="0"/>
              <w:jc w:val="left"/>
              <w:rPr>
                <w:bCs/>
                <w:noProof/>
                <w:sz w:val="20"/>
                <w:szCs w:val="20"/>
              </w:rPr>
            </w:pPr>
            <w:r>
              <w:rPr>
                <w:bCs/>
                <w:noProof/>
                <w:sz w:val="20"/>
                <w:szCs w:val="20"/>
              </w:rPr>
              <w:t>Investigation support and technical equipment</w:t>
            </w:r>
          </w:p>
        </w:tc>
        <w:tc>
          <w:tcPr>
            <w:tcW w:w="1418" w:type="dxa"/>
            <w:vAlign w:val="center"/>
          </w:tcPr>
          <w:p w:rsidR="00446B0D" w:rsidRDefault="008F1B69">
            <w:pPr>
              <w:spacing w:before="0" w:after="0"/>
              <w:jc w:val="right"/>
              <w:rPr>
                <w:bCs/>
                <w:noProof/>
                <w:sz w:val="20"/>
                <w:szCs w:val="20"/>
              </w:rPr>
            </w:pPr>
            <w:r>
              <w:rPr>
                <w:bCs/>
                <w:noProof/>
                <w:sz w:val="20"/>
                <w:szCs w:val="20"/>
              </w:rPr>
              <w:t>259 100</w:t>
            </w:r>
          </w:p>
        </w:tc>
        <w:tc>
          <w:tcPr>
            <w:tcW w:w="815" w:type="dxa"/>
            <w:vAlign w:val="center"/>
          </w:tcPr>
          <w:p w:rsidR="00446B0D" w:rsidRDefault="008F1B69">
            <w:pPr>
              <w:spacing w:before="0" w:after="0"/>
              <w:jc w:val="center"/>
              <w:rPr>
                <w:bCs/>
                <w:noProof/>
                <w:sz w:val="20"/>
                <w:szCs w:val="20"/>
              </w:rPr>
            </w:pPr>
            <w:r>
              <w:rPr>
                <w:bCs/>
                <w:noProof/>
                <w:sz w:val="20"/>
                <w:szCs w:val="20"/>
              </w:rPr>
              <w:t>37</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31</w:t>
            </w:r>
          </w:p>
        </w:tc>
        <w:tc>
          <w:tcPr>
            <w:tcW w:w="709" w:type="dxa"/>
            <w:vAlign w:val="center"/>
          </w:tcPr>
          <w:p w:rsidR="00446B0D" w:rsidRDefault="008F1B69">
            <w:pPr>
              <w:spacing w:before="0" w:after="0"/>
              <w:jc w:val="center"/>
              <w:rPr>
                <w:bCs/>
                <w:noProof/>
                <w:sz w:val="20"/>
                <w:szCs w:val="20"/>
              </w:rPr>
            </w:pPr>
            <w:r>
              <w:rPr>
                <w:bCs/>
                <w:noProof/>
                <w:sz w:val="20"/>
                <w:szCs w:val="20"/>
              </w:rPr>
              <w:t>ES</w:t>
            </w:r>
          </w:p>
        </w:tc>
        <w:tc>
          <w:tcPr>
            <w:tcW w:w="2976" w:type="dxa"/>
            <w:vAlign w:val="center"/>
          </w:tcPr>
          <w:p w:rsidR="00446B0D" w:rsidRDefault="008F1B69">
            <w:pPr>
              <w:spacing w:before="0" w:after="0"/>
              <w:jc w:val="left"/>
              <w:rPr>
                <w:bCs/>
                <w:noProof/>
                <w:sz w:val="20"/>
                <w:szCs w:val="20"/>
              </w:rPr>
            </w:pPr>
            <w:r>
              <w:rPr>
                <w:bCs/>
                <w:noProof/>
                <w:sz w:val="20"/>
                <w:szCs w:val="20"/>
              </w:rPr>
              <w:t xml:space="preserve">Spanish Customs </w:t>
            </w:r>
          </w:p>
        </w:tc>
        <w:tc>
          <w:tcPr>
            <w:tcW w:w="2977" w:type="dxa"/>
            <w:vAlign w:val="center"/>
          </w:tcPr>
          <w:p w:rsidR="00446B0D" w:rsidRDefault="008F1B69">
            <w:pPr>
              <w:spacing w:before="0" w:after="0"/>
              <w:jc w:val="left"/>
              <w:rPr>
                <w:bCs/>
                <w:noProof/>
                <w:sz w:val="20"/>
                <w:szCs w:val="20"/>
              </w:rPr>
            </w:pPr>
            <w:r>
              <w:rPr>
                <w:bCs/>
                <w:noProof/>
                <w:sz w:val="20"/>
                <w:szCs w:val="20"/>
              </w:rPr>
              <w:t>Giro-stabilised night and day vision system</w:t>
            </w:r>
          </w:p>
        </w:tc>
        <w:tc>
          <w:tcPr>
            <w:tcW w:w="1418" w:type="dxa"/>
            <w:vAlign w:val="center"/>
          </w:tcPr>
          <w:p w:rsidR="00446B0D" w:rsidRDefault="008F1B69">
            <w:pPr>
              <w:spacing w:before="0" w:after="0"/>
              <w:jc w:val="right"/>
              <w:rPr>
                <w:bCs/>
                <w:noProof/>
                <w:sz w:val="20"/>
                <w:szCs w:val="20"/>
              </w:rPr>
            </w:pPr>
            <w:r>
              <w:rPr>
                <w:bCs/>
                <w:noProof/>
                <w:sz w:val="20"/>
                <w:szCs w:val="20"/>
              </w:rPr>
              <w:t>393 500</w:t>
            </w:r>
          </w:p>
        </w:tc>
        <w:tc>
          <w:tcPr>
            <w:tcW w:w="815" w:type="dxa"/>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32</w:t>
            </w:r>
          </w:p>
        </w:tc>
        <w:tc>
          <w:tcPr>
            <w:tcW w:w="709" w:type="dxa"/>
            <w:vAlign w:val="center"/>
          </w:tcPr>
          <w:p w:rsidR="00446B0D" w:rsidRDefault="008F1B69">
            <w:pPr>
              <w:spacing w:before="0" w:after="0"/>
              <w:jc w:val="center"/>
              <w:rPr>
                <w:bCs/>
                <w:noProof/>
                <w:sz w:val="20"/>
                <w:szCs w:val="20"/>
              </w:rPr>
            </w:pPr>
            <w:r>
              <w:rPr>
                <w:bCs/>
                <w:noProof/>
                <w:sz w:val="20"/>
                <w:szCs w:val="20"/>
              </w:rPr>
              <w:t>HU</w:t>
            </w:r>
          </w:p>
        </w:tc>
        <w:tc>
          <w:tcPr>
            <w:tcW w:w="2976" w:type="dxa"/>
            <w:vAlign w:val="center"/>
          </w:tcPr>
          <w:p w:rsidR="00446B0D" w:rsidRDefault="008F1B69">
            <w:pPr>
              <w:spacing w:before="0" w:after="0"/>
              <w:jc w:val="left"/>
              <w:rPr>
                <w:bCs/>
                <w:noProof/>
                <w:sz w:val="20"/>
                <w:szCs w:val="20"/>
              </w:rPr>
            </w:pPr>
            <w:r>
              <w:rPr>
                <w:bCs/>
                <w:noProof/>
                <w:sz w:val="20"/>
                <w:szCs w:val="20"/>
              </w:rPr>
              <w:t>Special Service for National Security – SSNS</w:t>
            </w:r>
          </w:p>
        </w:tc>
        <w:tc>
          <w:tcPr>
            <w:tcW w:w="2977" w:type="dxa"/>
            <w:vAlign w:val="center"/>
          </w:tcPr>
          <w:p w:rsidR="00446B0D" w:rsidRDefault="008F1B69">
            <w:pPr>
              <w:spacing w:before="0" w:after="0"/>
              <w:jc w:val="left"/>
              <w:rPr>
                <w:bCs/>
                <w:noProof/>
                <w:sz w:val="20"/>
                <w:szCs w:val="20"/>
              </w:rPr>
            </w:pPr>
            <w:r>
              <w:rPr>
                <w:bCs/>
                <w:noProof/>
                <w:sz w:val="20"/>
                <w:szCs w:val="20"/>
              </w:rPr>
              <w:t xml:space="preserve">Equipment for the fight against smuggling and counterfeiting of tobacco products in Hungary </w:t>
            </w:r>
          </w:p>
        </w:tc>
        <w:tc>
          <w:tcPr>
            <w:tcW w:w="1418" w:type="dxa"/>
            <w:vAlign w:val="center"/>
          </w:tcPr>
          <w:p w:rsidR="00446B0D" w:rsidRDefault="008F1B69">
            <w:pPr>
              <w:spacing w:before="0" w:after="0"/>
              <w:jc w:val="right"/>
              <w:rPr>
                <w:bCs/>
                <w:noProof/>
                <w:sz w:val="20"/>
                <w:szCs w:val="20"/>
              </w:rPr>
            </w:pPr>
            <w:r>
              <w:rPr>
                <w:bCs/>
                <w:noProof/>
                <w:sz w:val="20"/>
                <w:szCs w:val="20"/>
              </w:rPr>
              <w:t>389 877</w:t>
            </w:r>
          </w:p>
        </w:tc>
        <w:tc>
          <w:tcPr>
            <w:tcW w:w="815" w:type="dxa"/>
            <w:vAlign w:val="center"/>
          </w:tcPr>
          <w:p w:rsidR="00446B0D" w:rsidRDefault="008F1B69">
            <w:pPr>
              <w:spacing w:before="0" w:after="0"/>
              <w:jc w:val="center"/>
              <w:rPr>
                <w:bCs/>
                <w:noProof/>
                <w:sz w:val="20"/>
                <w:szCs w:val="20"/>
              </w:rPr>
            </w:pPr>
            <w:r>
              <w:rPr>
                <w:bCs/>
                <w:noProof/>
                <w:sz w:val="20"/>
                <w:szCs w:val="20"/>
              </w:rPr>
              <w:t>31</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33</w:t>
            </w:r>
          </w:p>
        </w:tc>
        <w:tc>
          <w:tcPr>
            <w:tcW w:w="709" w:type="dxa"/>
            <w:vAlign w:val="center"/>
          </w:tcPr>
          <w:p w:rsidR="00446B0D" w:rsidRDefault="008F1B69">
            <w:pPr>
              <w:spacing w:before="0" w:after="0"/>
              <w:jc w:val="center"/>
              <w:rPr>
                <w:bCs/>
                <w:noProof/>
                <w:sz w:val="20"/>
                <w:szCs w:val="20"/>
              </w:rPr>
            </w:pPr>
            <w:r>
              <w:rPr>
                <w:bCs/>
                <w:noProof/>
                <w:sz w:val="20"/>
                <w:szCs w:val="20"/>
              </w:rPr>
              <w:t>NL</w:t>
            </w:r>
          </w:p>
        </w:tc>
        <w:tc>
          <w:tcPr>
            <w:tcW w:w="2976" w:type="dxa"/>
            <w:vAlign w:val="center"/>
          </w:tcPr>
          <w:p w:rsidR="00446B0D" w:rsidRDefault="008F1B69">
            <w:pPr>
              <w:spacing w:before="0" w:after="0"/>
              <w:jc w:val="left"/>
              <w:rPr>
                <w:bCs/>
                <w:noProof/>
                <w:sz w:val="20"/>
                <w:szCs w:val="20"/>
              </w:rPr>
            </w:pPr>
            <w:r>
              <w:rPr>
                <w:bCs/>
                <w:noProof/>
                <w:sz w:val="20"/>
                <w:szCs w:val="20"/>
              </w:rPr>
              <w:t xml:space="preserve">Netherlands </w:t>
            </w:r>
            <w:r>
              <w:rPr>
                <w:bCs/>
                <w:noProof/>
                <w:sz w:val="20"/>
                <w:szCs w:val="20"/>
              </w:rPr>
              <w:t>Police Agency</w:t>
            </w:r>
          </w:p>
        </w:tc>
        <w:tc>
          <w:tcPr>
            <w:tcW w:w="2977" w:type="dxa"/>
            <w:vAlign w:val="center"/>
          </w:tcPr>
          <w:p w:rsidR="00446B0D" w:rsidRDefault="008F1B69">
            <w:pPr>
              <w:spacing w:before="0" w:after="0"/>
              <w:jc w:val="left"/>
              <w:rPr>
                <w:bCs/>
                <w:noProof/>
                <w:sz w:val="20"/>
                <w:szCs w:val="20"/>
              </w:rPr>
            </w:pPr>
            <w:r>
              <w:rPr>
                <w:bCs/>
                <w:noProof/>
                <w:sz w:val="20"/>
                <w:szCs w:val="20"/>
              </w:rPr>
              <w:t>Special equipment for improving fraud evidence-gathering abilities</w:t>
            </w:r>
          </w:p>
        </w:tc>
        <w:tc>
          <w:tcPr>
            <w:tcW w:w="1418" w:type="dxa"/>
            <w:vAlign w:val="center"/>
          </w:tcPr>
          <w:p w:rsidR="00446B0D" w:rsidRDefault="008F1B69">
            <w:pPr>
              <w:spacing w:before="0" w:after="0"/>
              <w:jc w:val="right"/>
              <w:rPr>
                <w:bCs/>
                <w:noProof/>
                <w:sz w:val="20"/>
                <w:szCs w:val="20"/>
              </w:rPr>
            </w:pPr>
            <w:r>
              <w:rPr>
                <w:bCs/>
                <w:noProof/>
                <w:sz w:val="20"/>
                <w:szCs w:val="20"/>
              </w:rPr>
              <w:t>43 464</w:t>
            </w:r>
          </w:p>
        </w:tc>
        <w:tc>
          <w:tcPr>
            <w:tcW w:w="815" w:type="dxa"/>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34</w:t>
            </w:r>
          </w:p>
        </w:tc>
        <w:tc>
          <w:tcPr>
            <w:tcW w:w="709" w:type="dxa"/>
            <w:vAlign w:val="center"/>
          </w:tcPr>
          <w:p w:rsidR="00446B0D" w:rsidRDefault="008F1B69">
            <w:pPr>
              <w:spacing w:before="0" w:after="0"/>
              <w:jc w:val="center"/>
              <w:rPr>
                <w:bCs/>
                <w:noProof/>
                <w:sz w:val="20"/>
                <w:szCs w:val="20"/>
              </w:rPr>
            </w:pPr>
            <w:r>
              <w:rPr>
                <w:bCs/>
                <w:noProof/>
                <w:sz w:val="20"/>
                <w:szCs w:val="20"/>
              </w:rPr>
              <w:t>BE</w:t>
            </w:r>
          </w:p>
        </w:tc>
        <w:tc>
          <w:tcPr>
            <w:tcW w:w="2976" w:type="dxa"/>
            <w:vAlign w:val="center"/>
          </w:tcPr>
          <w:p w:rsidR="00446B0D" w:rsidRDefault="008F1B69">
            <w:pPr>
              <w:spacing w:before="0" w:after="0"/>
              <w:jc w:val="left"/>
              <w:rPr>
                <w:bCs/>
                <w:noProof/>
                <w:sz w:val="20"/>
                <w:szCs w:val="20"/>
              </w:rPr>
            </w:pPr>
            <w:r>
              <w:rPr>
                <w:bCs/>
                <w:noProof/>
                <w:sz w:val="20"/>
                <w:szCs w:val="20"/>
              </w:rPr>
              <w:t>Belgian Customs and Excise Administration</w:t>
            </w:r>
          </w:p>
        </w:tc>
        <w:tc>
          <w:tcPr>
            <w:tcW w:w="2977" w:type="dxa"/>
            <w:vAlign w:val="center"/>
          </w:tcPr>
          <w:p w:rsidR="00446B0D" w:rsidRDefault="008F1B69">
            <w:pPr>
              <w:spacing w:before="0" w:after="0"/>
              <w:jc w:val="left"/>
              <w:rPr>
                <w:bCs/>
                <w:noProof/>
                <w:sz w:val="20"/>
                <w:szCs w:val="20"/>
              </w:rPr>
            </w:pPr>
            <w:r>
              <w:rPr>
                <w:bCs/>
                <w:noProof/>
                <w:sz w:val="20"/>
                <w:szCs w:val="20"/>
              </w:rPr>
              <w:t>Scanners</w:t>
            </w:r>
          </w:p>
        </w:tc>
        <w:tc>
          <w:tcPr>
            <w:tcW w:w="1418" w:type="dxa"/>
            <w:vAlign w:val="center"/>
          </w:tcPr>
          <w:p w:rsidR="00446B0D" w:rsidRDefault="008F1B69">
            <w:pPr>
              <w:spacing w:before="0" w:after="0"/>
              <w:jc w:val="right"/>
              <w:rPr>
                <w:bCs/>
                <w:noProof/>
                <w:sz w:val="20"/>
                <w:szCs w:val="20"/>
              </w:rPr>
            </w:pPr>
            <w:r>
              <w:rPr>
                <w:bCs/>
                <w:noProof/>
                <w:sz w:val="20"/>
                <w:szCs w:val="20"/>
              </w:rPr>
              <w:t>547 315</w:t>
            </w:r>
          </w:p>
        </w:tc>
        <w:tc>
          <w:tcPr>
            <w:tcW w:w="815" w:type="dxa"/>
            <w:vAlign w:val="center"/>
          </w:tcPr>
          <w:p w:rsidR="00446B0D" w:rsidRDefault="008F1B69">
            <w:pPr>
              <w:spacing w:before="0" w:after="0"/>
              <w:jc w:val="center"/>
              <w:rPr>
                <w:bCs/>
                <w:noProof/>
                <w:sz w:val="20"/>
                <w:szCs w:val="20"/>
              </w:rPr>
            </w:pPr>
            <w:r>
              <w:rPr>
                <w:bCs/>
                <w:noProof/>
                <w:sz w:val="20"/>
                <w:szCs w:val="20"/>
              </w:rPr>
              <w:t>49</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35</w:t>
            </w:r>
          </w:p>
        </w:tc>
        <w:tc>
          <w:tcPr>
            <w:tcW w:w="709" w:type="dxa"/>
            <w:vAlign w:val="center"/>
          </w:tcPr>
          <w:p w:rsidR="00446B0D" w:rsidRDefault="008F1B69">
            <w:pPr>
              <w:spacing w:before="0" w:after="0"/>
              <w:jc w:val="center"/>
              <w:rPr>
                <w:bCs/>
                <w:noProof/>
                <w:sz w:val="20"/>
                <w:szCs w:val="20"/>
              </w:rPr>
            </w:pPr>
            <w:r>
              <w:rPr>
                <w:bCs/>
                <w:noProof/>
                <w:sz w:val="20"/>
                <w:szCs w:val="20"/>
              </w:rPr>
              <w:t>EE</w:t>
            </w:r>
          </w:p>
        </w:tc>
        <w:tc>
          <w:tcPr>
            <w:tcW w:w="2976" w:type="dxa"/>
            <w:vAlign w:val="center"/>
          </w:tcPr>
          <w:p w:rsidR="00446B0D" w:rsidRDefault="008F1B69">
            <w:pPr>
              <w:spacing w:before="0" w:after="0"/>
              <w:jc w:val="left"/>
              <w:rPr>
                <w:bCs/>
                <w:noProof/>
                <w:sz w:val="20"/>
                <w:szCs w:val="20"/>
              </w:rPr>
            </w:pPr>
            <w:r>
              <w:rPr>
                <w:bCs/>
                <w:noProof/>
                <w:sz w:val="20"/>
                <w:szCs w:val="20"/>
              </w:rPr>
              <w:t>Estonian Police and Border Guard Board – Central Criminal Police</w:t>
            </w:r>
          </w:p>
        </w:tc>
        <w:tc>
          <w:tcPr>
            <w:tcW w:w="2977" w:type="dxa"/>
            <w:vAlign w:val="center"/>
          </w:tcPr>
          <w:p w:rsidR="00446B0D" w:rsidRDefault="008F1B69">
            <w:pPr>
              <w:spacing w:before="0" w:after="0"/>
              <w:jc w:val="left"/>
              <w:rPr>
                <w:bCs/>
                <w:noProof/>
                <w:sz w:val="20"/>
                <w:szCs w:val="20"/>
              </w:rPr>
            </w:pPr>
            <w:r>
              <w:rPr>
                <w:bCs/>
                <w:noProof/>
                <w:sz w:val="20"/>
                <w:szCs w:val="20"/>
              </w:rPr>
              <w:t xml:space="preserve">Technical support for </w:t>
            </w:r>
            <w:r>
              <w:rPr>
                <w:bCs/>
                <w:noProof/>
                <w:sz w:val="20"/>
                <w:szCs w:val="20"/>
              </w:rPr>
              <w:t xml:space="preserve">detecting the presence of cigarettes and </w:t>
            </w:r>
            <w:r>
              <w:rPr>
                <w:bCs/>
                <w:noProof/>
                <w:sz w:val="20"/>
                <w:szCs w:val="20"/>
              </w:rPr>
              <w:lastRenderedPageBreak/>
              <w:t>tobacco</w:t>
            </w:r>
          </w:p>
        </w:tc>
        <w:tc>
          <w:tcPr>
            <w:tcW w:w="1418" w:type="dxa"/>
            <w:vAlign w:val="center"/>
          </w:tcPr>
          <w:p w:rsidR="00446B0D" w:rsidRDefault="008F1B69">
            <w:pPr>
              <w:spacing w:before="0" w:after="0"/>
              <w:jc w:val="right"/>
              <w:rPr>
                <w:bCs/>
                <w:noProof/>
                <w:sz w:val="20"/>
                <w:szCs w:val="20"/>
              </w:rPr>
            </w:pPr>
            <w:r>
              <w:rPr>
                <w:bCs/>
                <w:noProof/>
                <w:sz w:val="20"/>
                <w:szCs w:val="20"/>
              </w:rPr>
              <w:lastRenderedPageBreak/>
              <w:t>174 000</w:t>
            </w:r>
          </w:p>
        </w:tc>
        <w:tc>
          <w:tcPr>
            <w:tcW w:w="815" w:type="dxa"/>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lastRenderedPageBreak/>
              <w:t>36</w:t>
            </w:r>
          </w:p>
        </w:tc>
        <w:tc>
          <w:tcPr>
            <w:tcW w:w="709" w:type="dxa"/>
            <w:vAlign w:val="center"/>
          </w:tcPr>
          <w:p w:rsidR="00446B0D" w:rsidRDefault="008F1B69">
            <w:pPr>
              <w:spacing w:before="0" w:after="0"/>
              <w:jc w:val="center"/>
              <w:rPr>
                <w:bCs/>
                <w:noProof/>
                <w:sz w:val="20"/>
                <w:szCs w:val="20"/>
              </w:rPr>
            </w:pPr>
            <w:r>
              <w:rPr>
                <w:bCs/>
                <w:noProof/>
                <w:sz w:val="20"/>
                <w:szCs w:val="20"/>
              </w:rPr>
              <w:t>LT</w:t>
            </w:r>
          </w:p>
        </w:tc>
        <w:tc>
          <w:tcPr>
            <w:tcW w:w="2976" w:type="dxa"/>
            <w:vAlign w:val="center"/>
          </w:tcPr>
          <w:p w:rsidR="00446B0D" w:rsidRDefault="008F1B69">
            <w:pPr>
              <w:spacing w:before="0" w:after="0"/>
              <w:jc w:val="left"/>
              <w:rPr>
                <w:bCs/>
                <w:noProof/>
                <w:sz w:val="20"/>
                <w:szCs w:val="20"/>
              </w:rPr>
            </w:pPr>
            <w:r>
              <w:rPr>
                <w:bCs/>
                <w:noProof/>
                <w:sz w:val="20"/>
                <w:szCs w:val="20"/>
              </w:rPr>
              <w:t>Special investigation service of the Republic of Lithuania</w:t>
            </w:r>
          </w:p>
        </w:tc>
        <w:tc>
          <w:tcPr>
            <w:tcW w:w="2977" w:type="dxa"/>
            <w:vAlign w:val="center"/>
          </w:tcPr>
          <w:p w:rsidR="00446B0D" w:rsidRDefault="008F1B69">
            <w:pPr>
              <w:spacing w:before="0" w:after="0"/>
              <w:jc w:val="left"/>
              <w:rPr>
                <w:bCs/>
                <w:noProof/>
                <w:sz w:val="20"/>
                <w:szCs w:val="20"/>
              </w:rPr>
            </w:pPr>
            <w:r>
              <w:rPr>
                <w:bCs/>
                <w:noProof/>
                <w:sz w:val="20"/>
                <w:szCs w:val="20"/>
              </w:rPr>
              <w:t>Special investigation tools</w:t>
            </w:r>
          </w:p>
        </w:tc>
        <w:tc>
          <w:tcPr>
            <w:tcW w:w="1418" w:type="dxa"/>
            <w:vAlign w:val="center"/>
          </w:tcPr>
          <w:p w:rsidR="00446B0D" w:rsidRDefault="008F1B69">
            <w:pPr>
              <w:spacing w:before="0" w:after="0"/>
              <w:jc w:val="right"/>
              <w:rPr>
                <w:bCs/>
                <w:noProof/>
                <w:sz w:val="20"/>
                <w:szCs w:val="20"/>
              </w:rPr>
            </w:pPr>
            <w:r>
              <w:rPr>
                <w:bCs/>
                <w:noProof/>
                <w:sz w:val="20"/>
                <w:szCs w:val="20"/>
              </w:rPr>
              <w:t>80 513</w:t>
            </w:r>
          </w:p>
        </w:tc>
        <w:tc>
          <w:tcPr>
            <w:tcW w:w="815" w:type="dxa"/>
            <w:vAlign w:val="center"/>
          </w:tcPr>
          <w:p w:rsidR="00446B0D" w:rsidRDefault="008F1B69">
            <w:pPr>
              <w:spacing w:before="0" w:after="0"/>
              <w:jc w:val="center"/>
              <w:rPr>
                <w:bCs/>
                <w:noProof/>
                <w:sz w:val="20"/>
                <w:szCs w:val="20"/>
              </w:rPr>
            </w:pPr>
            <w:r>
              <w:rPr>
                <w:bCs/>
                <w:noProof/>
                <w:sz w:val="20"/>
                <w:szCs w:val="20"/>
              </w:rPr>
              <w:t>49</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37</w:t>
            </w:r>
          </w:p>
        </w:tc>
        <w:tc>
          <w:tcPr>
            <w:tcW w:w="709" w:type="dxa"/>
            <w:vAlign w:val="center"/>
          </w:tcPr>
          <w:p w:rsidR="00446B0D" w:rsidRDefault="008F1B69">
            <w:pPr>
              <w:spacing w:before="0" w:after="0"/>
              <w:jc w:val="center"/>
              <w:rPr>
                <w:bCs/>
                <w:noProof/>
                <w:sz w:val="20"/>
                <w:szCs w:val="20"/>
              </w:rPr>
            </w:pPr>
            <w:r>
              <w:rPr>
                <w:bCs/>
                <w:noProof/>
                <w:sz w:val="20"/>
                <w:szCs w:val="20"/>
              </w:rPr>
              <w:t>PL</w:t>
            </w:r>
          </w:p>
        </w:tc>
        <w:tc>
          <w:tcPr>
            <w:tcW w:w="2976" w:type="dxa"/>
            <w:vAlign w:val="center"/>
          </w:tcPr>
          <w:p w:rsidR="00446B0D" w:rsidRDefault="008F1B69">
            <w:pPr>
              <w:spacing w:before="0" w:after="0"/>
              <w:jc w:val="left"/>
              <w:rPr>
                <w:bCs/>
                <w:noProof/>
                <w:sz w:val="20"/>
                <w:szCs w:val="20"/>
              </w:rPr>
            </w:pPr>
            <w:r>
              <w:rPr>
                <w:bCs/>
                <w:noProof/>
                <w:sz w:val="20"/>
                <w:szCs w:val="20"/>
              </w:rPr>
              <w:t>Central Anti-corruption Bureau, Warsaw</w:t>
            </w:r>
          </w:p>
        </w:tc>
        <w:tc>
          <w:tcPr>
            <w:tcW w:w="2977" w:type="dxa"/>
            <w:vAlign w:val="center"/>
          </w:tcPr>
          <w:p w:rsidR="00446B0D" w:rsidRDefault="008F1B69">
            <w:pPr>
              <w:spacing w:before="0" w:after="0"/>
              <w:jc w:val="left"/>
              <w:rPr>
                <w:bCs/>
                <w:noProof/>
                <w:sz w:val="20"/>
                <w:szCs w:val="20"/>
              </w:rPr>
            </w:pPr>
            <w:r>
              <w:rPr>
                <w:bCs/>
                <w:noProof/>
                <w:sz w:val="20"/>
                <w:szCs w:val="20"/>
              </w:rPr>
              <w:t xml:space="preserve">Purchase of digital radio-communication </w:t>
            </w:r>
            <w:r>
              <w:rPr>
                <w:bCs/>
                <w:noProof/>
                <w:sz w:val="20"/>
                <w:szCs w:val="20"/>
              </w:rPr>
              <w:t>equipment and development of technical security countermeasures.</w:t>
            </w:r>
          </w:p>
        </w:tc>
        <w:tc>
          <w:tcPr>
            <w:tcW w:w="1418" w:type="dxa"/>
            <w:vAlign w:val="center"/>
          </w:tcPr>
          <w:p w:rsidR="00446B0D" w:rsidRDefault="008F1B69">
            <w:pPr>
              <w:spacing w:before="0" w:after="0"/>
              <w:jc w:val="right"/>
              <w:rPr>
                <w:bCs/>
                <w:noProof/>
                <w:sz w:val="20"/>
                <w:szCs w:val="20"/>
              </w:rPr>
            </w:pPr>
            <w:r>
              <w:rPr>
                <w:bCs/>
                <w:noProof/>
                <w:sz w:val="20"/>
                <w:szCs w:val="20"/>
              </w:rPr>
              <w:t>41 736</w:t>
            </w:r>
          </w:p>
        </w:tc>
        <w:tc>
          <w:tcPr>
            <w:tcW w:w="815" w:type="dxa"/>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38</w:t>
            </w:r>
          </w:p>
        </w:tc>
        <w:tc>
          <w:tcPr>
            <w:tcW w:w="709" w:type="dxa"/>
            <w:vAlign w:val="center"/>
          </w:tcPr>
          <w:p w:rsidR="00446B0D" w:rsidRDefault="008F1B69">
            <w:pPr>
              <w:spacing w:before="0" w:after="0"/>
              <w:jc w:val="center"/>
              <w:rPr>
                <w:bCs/>
                <w:noProof/>
                <w:sz w:val="20"/>
                <w:szCs w:val="20"/>
              </w:rPr>
            </w:pPr>
            <w:r>
              <w:rPr>
                <w:bCs/>
                <w:noProof/>
                <w:sz w:val="20"/>
                <w:szCs w:val="20"/>
              </w:rPr>
              <w:t>IE</w:t>
            </w:r>
          </w:p>
        </w:tc>
        <w:tc>
          <w:tcPr>
            <w:tcW w:w="2976" w:type="dxa"/>
            <w:vAlign w:val="center"/>
          </w:tcPr>
          <w:p w:rsidR="00446B0D" w:rsidRDefault="008F1B69">
            <w:pPr>
              <w:spacing w:before="0" w:after="0"/>
              <w:jc w:val="left"/>
              <w:rPr>
                <w:bCs/>
                <w:noProof/>
                <w:sz w:val="20"/>
                <w:szCs w:val="20"/>
              </w:rPr>
            </w:pPr>
            <w:r>
              <w:rPr>
                <w:bCs/>
                <w:noProof/>
                <w:sz w:val="20"/>
                <w:szCs w:val="20"/>
              </w:rPr>
              <w:t>Central Intelligence &amp; Drugs Enforcement, Revenue, IPD – Irish Customs</w:t>
            </w:r>
          </w:p>
        </w:tc>
        <w:tc>
          <w:tcPr>
            <w:tcW w:w="2977" w:type="dxa"/>
            <w:vAlign w:val="center"/>
          </w:tcPr>
          <w:p w:rsidR="00446B0D" w:rsidRDefault="008F1B69">
            <w:pPr>
              <w:spacing w:before="0" w:after="0"/>
              <w:jc w:val="left"/>
              <w:rPr>
                <w:bCs/>
                <w:noProof/>
                <w:sz w:val="20"/>
                <w:szCs w:val="20"/>
              </w:rPr>
            </w:pPr>
            <w:r>
              <w:rPr>
                <w:bCs/>
                <w:noProof/>
                <w:sz w:val="20"/>
                <w:szCs w:val="20"/>
              </w:rPr>
              <w:t>Enhanced tobacco detection capability – Sniffer dogs</w:t>
            </w:r>
          </w:p>
        </w:tc>
        <w:tc>
          <w:tcPr>
            <w:tcW w:w="1418" w:type="dxa"/>
            <w:vAlign w:val="center"/>
          </w:tcPr>
          <w:p w:rsidR="00446B0D" w:rsidRDefault="008F1B69">
            <w:pPr>
              <w:spacing w:before="0" w:after="0"/>
              <w:jc w:val="right"/>
              <w:rPr>
                <w:bCs/>
                <w:noProof/>
                <w:sz w:val="20"/>
                <w:szCs w:val="20"/>
              </w:rPr>
            </w:pPr>
            <w:r>
              <w:rPr>
                <w:bCs/>
                <w:noProof/>
                <w:sz w:val="20"/>
                <w:szCs w:val="20"/>
              </w:rPr>
              <w:t>12 151</w:t>
            </w:r>
          </w:p>
        </w:tc>
        <w:tc>
          <w:tcPr>
            <w:tcW w:w="815" w:type="dxa"/>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39</w:t>
            </w:r>
          </w:p>
        </w:tc>
        <w:tc>
          <w:tcPr>
            <w:tcW w:w="709" w:type="dxa"/>
            <w:vAlign w:val="center"/>
          </w:tcPr>
          <w:p w:rsidR="00446B0D" w:rsidRDefault="008F1B69">
            <w:pPr>
              <w:spacing w:before="0" w:after="0"/>
              <w:jc w:val="center"/>
              <w:rPr>
                <w:bCs/>
                <w:noProof/>
                <w:sz w:val="20"/>
                <w:szCs w:val="20"/>
              </w:rPr>
            </w:pPr>
            <w:r>
              <w:rPr>
                <w:bCs/>
                <w:noProof/>
                <w:sz w:val="20"/>
                <w:szCs w:val="20"/>
              </w:rPr>
              <w:t>HU</w:t>
            </w:r>
          </w:p>
        </w:tc>
        <w:tc>
          <w:tcPr>
            <w:tcW w:w="2976" w:type="dxa"/>
            <w:vAlign w:val="center"/>
          </w:tcPr>
          <w:p w:rsidR="00446B0D" w:rsidRDefault="008F1B69">
            <w:pPr>
              <w:spacing w:before="0" w:after="0"/>
              <w:jc w:val="left"/>
              <w:rPr>
                <w:bCs/>
                <w:noProof/>
                <w:sz w:val="20"/>
                <w:szCs w:val="20"/>
              </w:rPr>
            </w:pPr>
            <w:r>
              <w:rPr>
                <w:bCs/>
                <w:noProof/>
                <w:sz w:val="20"/>
                <w:szCs w:val="20"/>
              </w:rPr>
              <w:t xml:space="preserve">National Tax and Customs </w:t>
            </w:r>
            <w:r>
              <w:rPr>
                <w:bCs/>
                <w:noProof/>
                <w:sz w:val="20"/>
                <w:szCs w:val="20"/>
              </w:rPr>
              <w:t>Administration (NTCA)</w:t>
            </w:r>
          </w:p>
        </w:tc>
        <w:tc>
          <w:tcPr>
            <w:tcW w:w="2977" w:type="dxa"/>
            <w:vAlign w:val="center"/>
          </w:tcPr>
          <w:p w:rsidR="00446B0D" w:rsidRDefault="008F1B69">
            <w:pPr>
              <w:spacing w:before="0" w:after="0"/>
              <w:jc w:val="left"/>
              <w:rPr>
                <w:bCs/>
                <w:noProof/>
                <w:sz w:val="20"/>
                <w:szCs w:val="20"/>
              </w:rPr>
            </w:pPr>
            <w:r>
              <w:rPr>
                <w:bCs/>
                <w:noProof/>
                <w:sz w:val="20"/>
                <w:szCs w:val="20"/>
              </w:rPr>
              <w:t>Equipment to fight against fraud and cigarette smuggling</w:t>
            </w:r>
          </w:p>
        </w:tc>
        <w:tc>
          <w:tcPr>
            <w:tcW w:w="1418" w:type="dxa"/>
            <w:vAlign w:val="center"/>
          </w:tcPr>
          <w:p w:rsidR="00446B0D" w:rsidRDefault="008F1B69">
            <w:pPr>
              <w:spacing w:before="0" w:after="0"/>
              <w:jc w:val="right"/>
              <w:rPr>
                <w:bCs/>
                <w:noProof/>
                <w:sz w:val="20"/>
                <w:szCs w:val="20"/>
              </w:rPr>
            </w:pPr>
            <w:r>
              <w:rPr>
                <w:bCs/>
                <w:noProof/>
                <w:sz w:val="20"/>
                <w:szCs w:val="20"/>
              </w:rPr>
              <w:t>211 943</w:t>
            </w:r>
          </w:p>
        </w:tc>
        <w:tc>
          <w:tcPr>
            <w:tcW w:w="815" w:type="dxa"/>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40</w:t>
            </w:r>
          </w:p>
        </w:tc>
        <w:tc>
          <w:tcPr>
            <w:tcW w:w="709" w:type="dxa"/>
            <w:vAlign w:val="center"/>
          </w:tcPr>
          <w:p w:rsidR="00446B0D" w:rsidRDefault="008F1B69">
            <w:pPr>
              <w:spacing w:before="0" w:after="0"/>
              <w:jc w:val="center"/>
              <w:rPr>
                <w:bCs/>
                <w:noProof/>
                <w:sz w:val="20"/>
                <w:szCs w:val="20"/>
              </w:rPr>
            </w:pPr>
            <w:r>
              <w:rPr>
                <w:bCs/>
                <w:noProof/>
                <w:sz w:val="20"/>
                <w:szCs w:val="20"/>
              </w:rPr>
              <w:t>DE</w:t>
            </w:r>
          </w:p>
        </w:tc>
        <w:tc>
          <w:tcPr>
            <w:tcW w:w="2976" w:type="dxa"/>
            <w:vAlign w:val="center"/>
          </w:tcPr>
          <w:p w:rsidR="00446B0D" w:rsidRDefault="008F1B69">
            <w:pPr>
              <w:spacing w:before="0" w:after="0"/>
              <w:jc w:val="left"/>
              <w:rPr>
                <w:bCs/>
                <w:noProof/>
                <w:sz w:val="20"/>
                <w:szCs w:val="20"/>
              </w:rPr>
            </w:pPr>
            <w:r>
              <w:rPr>
                <w:bCs/>
                <w:noProof/>
                <w:sz w:val="20"/>
                <w:szCs w:val="20"/>
              </w:rPr>
              <w:t>GSG9 der Bundespolizei</w:t>
            </w:r>
          </w:p>
        </w:tc>
        <w:tc>
          <w:tcPr>
            <w:tcW w:w="2977" w:type="dxa"/>
            <w:vAlign w:val="center"/>
          </w:tcPr>
          <w:p w:rsidR="00446B0D" w:rsidRDefault="008F1B69">
            <w:pPr>
              <w:spacing w:before="0" w:after="0"/>
              <w:jc w:val="left"/>
              <w:rPr>
                <w:bCs/>
                <w:noProof/>
                <w:sz w:val="20"/>
                <w:szCs w:val="20"/>
              </w:rPr>
            </w:pPr>
            <w:r>
              <w:rPr>
                <w:bCs/>
                <w:noProof/>
                <w:sz w:val="20"/>
                <w:szCs w:val="20"/>
              </w:rPr>
              <w:t>Technical equipment to monitor persons and vehicles</w:t>
            </w:r>
          </w:p>
        </w:tc>
        <w:tc>
          <w:tcPr>
            <w:tcW w:w="1418" w:type="dxa"/>
            <w:vAlign w:val="center"/>
          </w:tcPr>
          <w:p w:rsidR="00446B0D" w:rsidRDefault="008F1B69">
            <w:pPr>
              <w:spacing w:before="0" w:after="0"/>
              <w:jc w:val="right"/>
              <w:rPr>
                <w:bCs/>
                <w:noProof/>
                <w:sz w:val="20"/>
                <w:szCs w:val="20"/>
              </w:rPr>
            </w:pPr>
            <w:r>
              <w:rPr>
                <w:bCs/>
                <w:noProof/>
                <w:sz w:val="20"/>
                <w:szCs w:val="20"/>
              </w:rPr>
              <w:t>108 698</w:t>
            </w:r>
          </w:p>
        </w:tc>
        <w:tc>
          <w:tcPr>
            <w:tcW w:w="815" w:type="dxa"/>
            <w:vAlign w:val="center"/>
          </w:tcPr>
          <w:p w:rsidR="00446B0D" w:rsidRDefault="008F1B69">
            <w:pPr>
              <w:spacing w:before="0" w:after="0"/>
              <w:jc w:val="center"/>
              <w:rPr>
                <w:bCs/>
                <w:noProof/>
                <w:sz w:val="20"/>
                <w:szCs w:val="20"/>
              </w:rPr>
            </w:pPr>
            <w:r>
              <w:rPr>
                <w:bCs/>
                <w:noProof/>
                <w:sz w:val="20"/>
                <w:szCs w:val="20"/>
              </w:rPr>
              <w:t>48</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41</w:t>
            </w:r>
          </w:p>
        </w:tc>
        <w:tc>
          <w:tcPr>
            <w:tcW w:w="709" w:type="dxa"/>
            <w:vAlign w:val="center"/>
          </w:tcPr>
          <w:p w:rsidR="00446B0D" w:rsidRDefault="008F1B69">
            <w:pPr>
              <w:spacing w:before="0" w:after="0"/>
              <w:jc w:val="center"/>
              <w:rPr>
                <w:bCs/>
                <w:noProof/>
                <w:sz w:val="20"/>
                <w:szCs w:val="20"/>
              </w:rPr>
            </w:pPr>
            <w:r>
              <w:rPr>
                <w:bCs/>
                <w:noProof/>
                <w:sz w:val="20"/>
                <w:szCs w:val="20"/>
              </w:rPr>
              <w:t>FI</w:t>
            </w:r>
          </w:p>
        </w:tc>
        <w:tc>
          <w:tcPr>
            <w:tcW w:w="2976" w:type="dxa"/>
            <w:vAlign w:val="center"/>
          </w:tcPr>
          <w:p w:rsidR="00446B0D" w:rsidRDefault="008F1B69">
            <w:pPr>
              <w:spacing w:before="0" w:after="0"/>
              <w:jc w:val="left"/>
              <w:rPr>
                <w:bCs/>
                <w:noProof/>
                <w:sz w:val="20"/>
                <w:szCs w:val="20"/>
              </w:rPr>
            </w:pPr>
            <w:r>
              <w:rPr>
                <w:bCs/>
                <w:noProof/>
                <w:sz w:val="20"/>
                <w:szCs w:val="20"/>
              </w:rPr>
              <w:t>Finnish Customs – Tulli – Enforcement department, Control Unit</w:t>
            </w:r>
          </w:p>
        </w:tc>
        <w:tc>
          <w:tcPr>
            <w:tcW w:w="2977" w:type="dxa"/>
            <w:vAlign w:val="center"/>
          </w:tcPr>
          <w:p w:rsidR="00446B0D" w:rsidRDefault="008F1B69">
            <w:pPr>
              <w:spacing w:before="0" w:after="0"/>
              <w:jc w:val="left"/>
              <w:rPr>
                <w:bCs/>
                <w:noProof/>
                <w:sz w:val="20"/>
                <w:szCs w:val="20"/>
              </w:rPr>
            </w:pPr>
            <w:r>
              <w:rPr>
                <w:bCs/>
                <w:noProof/>
                <w:sz w:val="20"/>
                <w:szCs w:val="20"/>
              </w:rPr>
              <w:t>Mobile x-ray scanner</w:t>
            </w:r>
          </w:p>
        </w:tc>
        <w:tc>
          <w:tcPr>
            <w:tcW w:w="1418" w:type="dxa"/>
            <w:vAlign w:val="center"/>
          </w:tcPr>
          <w:p w:rsidR="00446B0D" w:rsidRDefault="008F1B69">
            <w:pPr>
              <w:spacing w:before="0" w:after="0"/>
              <w:jc w:val="right"/>
              <w:rPr>
                <w:bCs/>
                <w:noProof/>
                <w:sz w:val="20"/>
                <w:szCs w:val="20"/>
              </w:rPr>
            </w:pPr>
            <w:r>
              <w:rPr>
                <w:bCs/>
                <w:noProof/>
                <w:sz w:val="20"/>
                <w:szCs w:val="20"/>
              </w:rPr>
              <w:t>734 507</w:t>
            </w:r>
          </w:p>
        </w:tc>
        <w:tc>
          <w:tcPr>
            <w:tcW w:w="815" w:type="dxa"/>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vAlign w:val="center"/>
          </w:tcPr>
          <w:p w:rsidR="00446B0D" w:rsidRDefault="008F1B69">
            <w:pPr>
              <w:spacing w:before="0" w:after="0"/>
              <w:jc w:val="left"/>
              <w:rPr>
                <w:bCs/>
                <w:noProof/>
                <w:sz w:val="20"/>
                <w:szCs w:val="20"/>
              </w:rPr>
            </w:pPr>
            <w:r>
              <w:rPr>
                <w:bCs/>
                <w:noProof/>
                <w:sz w:val="20"/>
                <w:szCs w:val="20"/>
              </w:rPr>
              <w:t>42</w:t>
            </w:r>
          </w:p>
        </w:tc>
        <w:tc>
          <w:tcPr>
            <w:tcW w:w="709" w:type="dxa"/>
            <w:vAlign w:val="center"/>
          </w:tcPr>
          <w:p w:rsidR="00446B0D" w:rsidRDefault="008F1B69">
            <w:pPr>
              <w:spacing w:before="0" w:after="0"/>
              <w:jc w:val="center"/>
              <w:rPr>
                <w:bCs/>
                <w:noProof/>
                <w:sz w:val="20"/>
                <w:szCs w:val="20"/>
              </w:rPr>
            </w:pPr>
            <w:r>
              <w:rPr>
                <w:bCs/>
                <w:noProof/>
                <w:sz w:val="20"/>
                <w:szCs w:val="20"/>
              </w:rPr>
              <w:t>DE</w:t>
            </w:r>
          </w:p>
        </w:tc>
        <w:tc>
          <w:tcPr>
            <w:tcW w:w="2976" w:type="dxa"/>
            <w:vAlign w:val="center"/>
          </w:tcPr>
          <w:p w:rsidR="00446B0D" w:rsidRDefault="008F1B69">
            <w:pPr>
              <w:spacing w:before="0" w:after="0"/>
              <w:jc w:val="left"/>
              <w:rPr>
                <w:bCs/>
                <w:noProof/>
                <w:sz w:val="20"/>
                <w:szCs w:val="20"/>
              </w:rPr>
            </w:pPr>
            <w:r>
              <w:rPr>
                <w:bCs/>
                <w:noProof/>
                <w:sz w:val="20"/>
                <w:szCs w:val="20"/>
              </w:rPr>
              <w:t>Bundeskriminalamt (BKA) Meckenheim</w:t>
            </w:r>
          </w:p>
        </w:tc>
        <w:tc>
          <w:tcPr>
            <w:tcW w:w="2977" w:type="dxa"/>
            <w:vAlign w:val="center"/>
          </w:tcPr>
          <w:p w:rsidR="00446B0D" w:rsidRDefault="008F1B69">
            <w:pPr>
              <w:spacing w:before="0" w:after="0"/>
              <w:jc w:val="left"/>
              <w:rPr>
                <w:bCs/>
                <w:noProof/>
                <w:sz w:val="20"/>
                <w:szCs w:val="20"/>
              </w:rPr>
            </w:pPr>
            <w:r>
              <w:rPr>
                <w:bCs/>
                <w:noProof/>
                <w:sz w:val="20"/>
                <w:szCs w:val="20"/>
              </w:rPr>
              <w:t>Investigation support equipment</w:t>
            </w:r>
          </w:p>
        </w:tc>
        <w:tc>
          <w:tcPr>
            <w:tcW w:w="1418" w:type="dxa"/>
            <w:vAlign w:val="center"/>
          </w:tcPr>
          <w:p w:rsidR="00446B0D" w:rsidRDefault="008F1B69">
            <w:pPr>
              <w:spacing w:before="0" w:after="0"/>
              <w:jc w:val="right"/>
              <w:rPr>
                <w:bCs/>
                <w:noProof/>
                <w:sz w:val="20"/>
                <w:szCs w:val="20"/>
              </w:rPr>
            </w:pPr>
            <w:r>
              <w:rPr>
                <w:bCs/>
                <w:noProof/>
                <w:sz w:val="20"/>
                <w:szCs w:val="20"/>
              </w:rPr>
              <w:t>80 371</w:t>
            </w:r>
          </w:p>
        </w:tc>
        <w:tc>
          <w:tcPr>
            <w:tcW w:w="815" w:type="dxa"/>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tcBorders>
              <w:bottom w:val="dashed" w:sz="4" w:space="0" w:color="auto"/>
            </w:tcBorders>
            <w:vAlign w:val="center"/>
          </w:tcPr>
          <w:p w:rsidR="00446B0D" w:rsidRDefault="008F1B69">
            <w:pPr>
              <w:spacing w:before="0" w:after="0"/>
              <w:jc w:val="left"/>
              <w:rPr>
                <w:bCs/>
                <w:noProof/>
                <w:sz w:val="20"/>
                <w:szCs w:val="20"/>
              </w:rPr>
            </w:pPr>
            <w:r>
              <w:rPr>
                <w:bCs/>
                <w:noProof/>
                <w:sz w:val="20"/>
                <w:szCs w:val="20"/>
              </w:rPr>
              <w:t>43</w:t>
            </w:r>
          </w:p>
        </w:tc>
        <w:tc>
          <w:tcPr>
            <w:tcW w:w="709" w:type="dxa"/>
            <w:tcBorders>
              <w:bottom w:val="dashed" w:sz="4" w:space="0" w:color="auto"/>
            </w:tcBorders>
            <w:vAlign w:val="center"/>
          </w:tcPr>
          <w:p w:rsidR="00446B0D" w:rsidRDefault="008F1B69">
            <w:pPr>
              <w:spacing w:before="0" w:after="0"/>
              <w:jc w:val="center"/>
              <w:rPr>
                <w:bCs/>
                <w:noProof/>
                <w:sz w:val="20"/>
                <w:szCs w:val="20"/>
              </w:rPr>
            </w:pPr>
            <w:r>
              <w:rPr>
                <w:bCs/>
                <w:noProof/>
                <w:sz w:val="20"/>
                <w:szCs w:val="20"/>
              </w:rPr>
              <w:t>LT</w:t>
            </w:r>
          </w:p>
        </w:tc>
        <w:tc>
          <w:tcPr>
            <w:tcW w:w="2976" w:type="dxa"/>
            <w:tcBorders>
              <w:bottom w:val="dashed" w:sz="4" w:space="0" w:color="auto"/>
            </w:tcBorders>
            <w:vAlign w:val="center"/>
          </w:tcPr>
          <w:p w:rsidR="00446B0D" w:rsidRDefault="008F1B69">
            <w:pPr>
              <w:spacing w:before="0" w:after="0"/>
              <w:jc w:val="left"/>
              <w:rPr>
                <w:bCs/>
                <w:noProof/>
                <w:sz w:val="20"/>
                <w:szCs w:val="20"/>
              </w:rPr>
            </w:pPr>
            <w:r>
              <w:rPr>
                <w:bCs/>
                <w:noProof/>
                <w:sz w:val="20"/>
                <w:szCs w:val="20"/>
              </w:rPr>
              <w:t>Lithuanian Customs Criminal Service</w:t>
            </w:r>
          </w:p>
        </w:tc>
        <w:tc>
          <w:tcPr>
            <w:tcW w:w="2977" w:type="dxa"/>
            <w:vAlign w:val="center"/>
          </w:tcPr>
          <w:p w:rsidR="00446B0D" w:rsidRDefault="008F1B69">
            <w:pPr>
              <w:spacing w:before="0" w:after="0"/>
              <w:jc w:val="left"/>
              <w:rPr>
                <w:bCs/>
                <w:noProof/>
                <w:sz w:val="20"/>
                <w:szCs w:val="20"/>
              </w:rPr>
            </w:pPr>
            <w:r>
              <w:rPr>
                <w:bCs/>
                <w:noProof/>
                <w:sz w:val="20"/>
                <w:szCs w:val="20"/>
              </w:rPr>
              <w:t>Special technical equipment for facilitating investigations</w:t>
            </w:r>
          </w:p>
        </w:tc>
        <w:tc>
          <w:tcPr>
            <w:tcW w:w="1418" w:type="dxa"/>
            <w:vAlign w:val="center"/>
          </w:tcPr>
          <w:p w:rsidR="00446B0D" w:rsidRDefault="008F1B69">
            <w:pPr>
              <w:spacing w:before="0" w:after="0"/>
              <w:jc w:val="right"/>
              <w:rPr>
                <w:bCs/>
                <w:noProof/>
                <w:sz w:val="20"/>
                <w:szCs w:val="20"/>
              </w:rPr>
            </w:pPr>
            <w:r>
              <w:rPr>
                <w:bCs/>
                <w:noProof/>
                <w:sz w:val="20"/>
                <w:szCs w:val="20"/>
              </w:rPr>
              <w:t>117 151</w:t>
            </w:r>
          </w:p>
        </w:tc>
        <w:tc>
          <w:tcPr>
            <w:tcW w:w="815" w:type="dxa"/>
            <w:vAlign w:val="center"/>
          </w:tcPr>
          <w:p w:rsidR="00446B0D" w:rsidRDefault="008F1B69">
            <w:pPr>
              <w:spacing w:before="0" w:after="0"/>
              <w:jc w:val="center"/>
              <w:rPr>
                <w:bCs/>
                <w:noProof/>
                <w:sz w:val="20"/>
                <w:szCs w:val="20"/>
              </w:rPr>
            </w:pPr>
            <w:r>
              <w:rPr>
                <w:bCs/>
                <w:noProof/>
                <w:sz w:val="20"/>
                <w:szCs w:val="20"/>
              </w:rPr>
              <w:t>50</w:t>
            </w:r>
          </w:p>
        </w:tc>
      </w:tr>
      <w:tr w:rsidR="00446B0D">
        <w:tc>
          <w:tcPr>
            <w:tcW w:w="426" w:type="dxa"/>
            <w:tcBorders>
              <w:top w:val="dashed" w:sz="4" w:space="0" w:color="auto"/>
              <w:bottom w:val="single" w:sz="12" w:space="0" w:color="auto"/>
            </w:tcBorders>
            <w:vAlign w:val="center"/>
          </w:tcPr>
          <w:p w:rsidR="00446B0D" w:rsidRDefault="008F1B69">
            <w:pPr>
              <w:spacing w:before="0" w:after="0"/>
              <w:jc w:val="left"/>
              <w:rPr>
                <w:bCs/>
                <w:noProof/>
                <w:sz w:val="20"/>
                <w:szCs w:val="20"/>
              </w:rPr>
            </w:pPr>
            <w:r>
              <w:rPr>
                <w:bCs/>
                <w:noProof/>
                <w:sz w:val="20"/>
                <w:szCs w:val="20"/>
              </w:rPr>
              <w:t>44</w:t>
            </w:r>
          </w:p>
        </w:tc>
        <w:tc>
          <w:tcPr>
            <w:tcW w:w="709" w:type="dxa"/>
            <w:tcBorders>
              <w:top w:val="dashed" w:sz="4" w:space="0" w:color="auto"/>
              <w:bottom w:val="single" w:sz="12" w:space="0" w:color="auto"/>
            </w:tcBorders>
            <w:vAlign w:val="center"/>
          </w:tcPr>
          <w:p w:rsidR="00446B0D" w:rsidRDefault="008F1B69">
            <w:pPr>
              <w:spacing w:before="0" w:after="0"/>
              <w:jc w:val="center"/>
              <w:rPr>
                <w:bCs/>
                <w:noProof/>
                <w:sz w:val="20"/>
                <w:szCs w:val="20"/>
              </w:rPr>
            </w:pPr>
            <w:r>
              <w:rPr>
                <w:bCs/>
                <w:noProof/>
                <w:sz w:val="20"/>
                <w:szCs w:val="20"/>
              </w:rPr>
              <w:t>PL</w:t>
            </w:r>
          </w:p>
        </w:tc>
        <w:tc>
          <w:tcPr>
            <w:tcW w:w="2976" w:type="dxa"/>
            <w:tcBorders>
              <w:top w:val="dashed" w:sz="4" w:space="0" w:color="auto"/>
              <w:bottom w:val="single" w:sz="12" w:space="0" w:color="auto"/>
            </w:tcBorders>
            <w:vAlign w:val="center"/>
          </w:tcPr>
          <w:p w:rsidR="00446B0D" w:rsidRDefault="008F1B69">
            <w:pPr>
              <w:spacing w:before="0" w:after="0"/>
              <w:jc w:val="left"/>
              <w:rPr>
                <w:bCs/>
                <w:noProof/>
                <w:sz w:val="20"/>
                <w:szCs w:val="20"/>
              </w:rPr>
            </w:pPr>
            <w:r>
              <w:rPr>
                <w:bCs/>
                <w:noProof/>
                <w:sz w:val="20"/>
                <w:szCs w:val="20"/>
              </w:rPr>
              <w:t xml:space="preserve">Central Bureau of </w:t>
            </w:r>
            <w:r>
              <w:rPr>
                <w:bCs/>
                <w:noProof/>
                <w:sz w:val="20"/>
                <w:szCs w:val="20"/>
              </w:rPr>
              <w:t>Investigation – Warsaw</w:t>
            </w:r>
          </w:p>
        </w:tc>
        <w:tc>
          <w:tcPr>
            <w:tcW w:w="2977" w:type="dxa"/>
            <w:tcBorders>
              <w:bottom w:val="single" w:sz="12" w:space="0" w:color="auto"/>
            </w:tcBorders>
            <w:vAlign w:val="center"/>
          </w:tcPr>
          <w:p w:rsidR="00446B0D" w:rsidRDefault="008F1B69">
            <w:pPr>
              <w:spacing w:before="0" w:after="0"/>
              <w:jc w:val="left"/>
              <w:rPr>
                <w:bCs/>
                <w:noProof/>
                <w:sz w:val="20"/>
                <w:szCs w:val="20"/>
              </w:rPr>
            </w:pPr>
            <w:r>
              <w:rPr>
                <w:bCs/>
                <w:noProof/>
                <w:sz w:val="20"/>
                <w:szCs w:val="20"/>
              </w:rPr>
              <w:t>Electronic surveillance equipment and training to detect illicit consignments of tobacco products</w:t>
            </w:r>
          </w:p>
        </w:tc>
        <w:tc>
          <w:tcPr>
            <w:tcW w:w="1418" w:type="dxa"/>
            <w:tcBorders>
              <w:bottom w:val="single" w:sz="12" w:space="0" w:color="auto"/>
            </w:tcBorders>
            <w:vAlign w:val="center"/>
          </w:tcPr>
          <w:p w:rsidR="00446B0D" w:rsidRDefault="008F1B69">
            <w:pPr>
              <w:spacing w:before="0" w:after="0"/>
              <w:jc w:val="right"/>
              <w:rPr>
                <w:bCs/>
                <w:noProof/>
                <w:sz w:val="20"/>
                <w:szCs w:val="20"/>
              </w:rPr>
            </w:pPr>
            <w:r>
              <w:rPr>
                <w:bCs/>
                <w:noProof/>
                <w:sz w:val="20"/>
                <w:szCs w:val="20"/>
              </w:rPr>
              <w:t>399 641</w:t>
            </w:r>
          </w:p>
        </w:tc>
        <w:tc>
          <w:tcPr>
            <w:tcW w:w="815" w:type="dxa"/>
            <w:tcBorders>
              <w:bottom w:val="single" w:sz="12" w:space="0" w:color="auto"/>
            </w:tcBorders>
            <w:vAlign w:val="center"/>
          </w:tcPr>
          <w:p w:rsidR="00446B0D" w:rsidRDefault="008F1B69">
            <w:pPr>
              <w:spacing w:before="0" w:after="0"/>
              <w:jc w:val="center"/>
              <w:rPr>
                <w:bCs/>
                <w:noProof/>
                <w:sz w:val="20"/>
                <w:szCs w:val="20"/>
              </w:rPr>
            </w:pPr>
            <w:r>
              <w:rPr>
                <w:bCs/>
                <w:noProof/>
                <w:sz w:val="20"/>
                <w:szCs w:val="20"/>
              </w:rPr>
              <w:t>50</w:t>
            </w:r>
          </w:p>
        </w:tc>
      </w:tr>
      <w:tr w:rsidR="00446B0D">
        <w:trPr>
          <w:trHeight w:val="355"/>
        </w:trPr>
        <w:tc>
          <w:tcPr>
            <w:tcW w:w="426" w:type="dxa"/>
            <w:tcBorders>
              <w:top w:val="single" w:sz="12" w:space="0" w:color="auto"/>
              <w:left w:val="nil"/>
              <w:bottom w:val="nil"/>
              <w:right w:val="nil"/>
            </w:tcBorders>
          </w:tcPr>
          <w:p w:rsidR="00446B0D" w:rsidRDefault="00446B0D">
            <w:pPr>
              <w:spacing w:before="0" w:after="0"/>
              <w:jc w:val="center"/>
              <w:rPr>
                <w:bCs/>
                <w:noProof/>
                <w:sz w:val="20"/>
                <w:szCs w:val="20"/>
              </w:rPr>
            </w:pPr>
          </w:p>
        </w:tc>
        <w:tc>
          <w:tcPr>
            <w:tcW w:w="709" w:type="dxa"/>
            <w:tcBorders>
              <w:top w:val="single" w:sz="12" w:space="0" w:color="auto"/>
              <w:left w:val="nil"/>
              <w:bottom w:val="nil"/>
              <w:right w:val="nil"/>
            </w:tcBorders>
          </w:tcPr>
          <w:p w:rsidR="00446B0D" w:rsidRDefault="00446B0D">
            <w:pPr>
              <w:spacing w:before="0" w:after="0"/>
              <w:jc w:val="center"/>
              <w:rPr>
                <w:bCs/>
                <w:noProof/>
                <w:sz w:val="20"/>
                <w:szCs w:val="20"/>
              </w:rPr>
            </w:pPr>
          </w:p>
        </w:tc>
        <w:tc>
          <w:tcPr>
            <w:tcW w:w="2976" w:type="dxa"/>
            <w:tcBorders>
              <w:top w:val="single" w:sz="12" w:space="0" w:color="auto"/>
              <w:left w:val="nil"/>
              <w:bottom w:val="nil"/>
              <w:right w:val="single" w:sz="12" w:space="0" w:color="auto"/>
            </w:tcBorders>
          </w:tcPr>
          <w:p w:rsidR="00446B0D" w:rsidRDefault="00446B0D">
            <w:pPr>
              <w:spacing w:before="0" w:after="0"/>
              <w:jc w:val="left"/>
              <w:rPr>
                <w:bCs/>
                <w:noProof/>
                <w:sz w:val="20"/>
                <w:szCs w:val="20"/>
              </w:rPr>
            </w:pPr>
          </w:p>
        </w:tc>
        <w:tc>
          <w:tcPr>
            <w:tcW w:w="2977" w:type="dxa"/>
            <w:tcBorders>
              <w:top w:val="single" w:sz="12" w:space="0" w:color="auto"/>
              <w:left w:val="single" w:sz="12" w:space="0" w:color="auto"/>
              <w:bottom w:val="single" w:sz="12" w:space="0" w:color="auto"/>
            </w:tcBorders>
            <w:shd w:val="clear" w:color="auto" w:fill="C7C7C7" w:themeFill="background1" w:themeFillShade="D9"/>
            <w:vAlign w:val="center"/>
          </w:tcPr>
          <w:p w:rsidR="00446B0D" w:rsidRDefault="008F1B69">
            <w:pPr>
              <w:spacing w:before="0" w:after="0"/>
              <w:jc w:val="right"/>
              <w:rPr>
                <w:b/>
                <w:bCs/>
                <w:noProof/>
                <w:sz w:val="20"/>
                <w:szCs w:val="20"/>
              </w:rPr>
            </w:pPr>
            <w:r>
              <w:rPr>
                <w:b/>
                <w:bCs/>
                <w:noProof/>
                <w:sz w:val="20"/>
                <w:szCs w:val="20"/>
              </w:rPr>
              <w:t xml:space="preserve">Total </w:t>
            </w:r>
          </w:p>
        </w:tc>
        <w:tc>
          <w:tcPr>
            <w:tcW w:w="1418" w:type="dxa"/>
            <w:tcBorders>
              <w:top w:val="single" w:sz="12" w:space="0" w:color="auto"/>
              <w:bottom w:val="single" w:sz="12" w:space="0" w:color="auto"/>
            </w:tcBorders>
            <w:shd w:val="clear" w:color="auto" w:fill="C7C7C7" w:themeFill="background1" w:themeFillShade="D9"/>
            <w:vAlign w:val="center"/>
          </w:tcPr>
          <w:p w:rsidR="00446B0D" w:rsidRDefault="008F1B69">
            <w:pPr>
              <w:spacing w:before="0" w:after="0"/>
              <w:jc w:val="right"/>
              <w:rPr>
                <w:b/>
                <w:bCs/>
                <w:noProof/>
                <w:sz w:val="20"/>
                <w:szCs w:val="20"/>
              </w:rPr>
            </w:pPr>
            <w:r>
              <w:rPr>
                <w:b/>
                <w:bCs/>
                <w:noProof/>
                <w:sz w:val="20"/>
                <w:szCs w:val="20"/>
              </w:rPr>
              <w:t>6 660 881</w:t>
            </w:r>
          </w:p>
        </w:tc>
        <w:tc>
          <w:tcPr>
            <w:tcW w:w="815" w:type="dxa"/>
            <w:tcBorders>
              <w:top w:val="single" w:sz="12" w:space="0" w:color="auto"/>
              <w:bottom w:val="single" w:sz="12" w:space="0" w:color="auto"/>
            </w:tcBorders>
            <w:shd w:val="clear" w:color="auto" w:fill="C7C7C7" w:themeFill="background1" w:themeFillShade="D9"/>
            <w:vAlign w:val="center"/>
          </w:tcPr>
          <w:p w:rsidR="00446B0D" w:rsidRDefault="008F1B69">
            <w:pPr>
              <w:spacing w:before="0" w:after="0"/>
              <w:jc w:val="center"/>
              <w:rPr>
                <w:b/>
                <w:bCs/>
                <w:noProof/>
                <w:sz w:val="20"/>
                <w:szCs w:val="20"/>
              </w:rPr>
            </w:pPr>
            <w:r>
              <w:rPr>
                <w:b/>
                <w:bCs/>
                <w:noProof/>
                <w:sz w:val="20"/>
                <w:szCs w:val="20"/>
              </w:rPr>
              <w:t>48</w:t>
            </w:r>
          </w:p>
        </w:tc>
      </w:tr>
    </w:tbl>
    <w:p w:rsidR="00446B0D" w:rsidRDefault="00446B0D">
      <w:pPr>
        <w:pStyle w:val="Text1"/>
        <w:rPr>
          <w:noProof/>
        </w:rPr>
      </w:pPr>
    </w:p>
    <w:p w:rsidR="00446B0D" w:rsidRDefault="008F1B69">
      <w:pPr>
        <w:rPr>
          <w:b/>
          <w:noProof/>
          <w:sz w:val="20"/>
          <w:szCs w:val="20"/>
        </w:rPr>
      </w:pPr>
      <w:r>
        <w:rPr>
          <w:b/>
          <w:noProof/>
          <w:sz w:val="20"/>
          <w:szCs w:val="20"/>
        </w:rPr>
        <w:t>Table 3 — Databases that were contracted under the Hercule III budget in 2014</w:t>
      </w:r>
    </w:p>
    <w:tbl>
      <w:tblPr>
        <w:tblW w:w="90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8"/>
        <w:gridCol w:w="1881"/>
        <w:gridCol w:w="4693"/>
        <w:gridCol w:w="2067"/>
      </w:tblGrid>
      <w:tr w:rsidR="00446B0D">
        <w:trPr>
          <w:trHeight w:val="296"/>
        </w:trPr>
        <w:tc>
          <w:tcPr>
            <w:tcW w:w="428" w:type="dxa"/>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bottom"/>
          </w:tcPr>
          <w:p w:rsidR="00446B0D" w:rsidRDefault="00446B0D">
            <w:pPr>
              <w:rPr>
                <w:b/>
                <w:bCs/>
                <w:noProof/>
                <w:sz w:val="20"/>
                <w:szCs w:val="20"/>
                <w:lang w:eastAsia="en-GB"/>
              </w:rPr>
            </w:pPr>
          </w:p>
        </w:tc>
        <w:tc>
          <w:tcPr>
            <w:tcW w:w="1881" w:type="dxa"/>
            <w:tcBorders>
              <w:top w:val="single" w:sz="12" w:space="0" w:color="auto"/>
              <w:left w:val="single" w:sz="12" w:space="0" w:color="auto"/>
              <w:bottom w:val="single" w:sz="12" w:space="0" w:color="auto"/>
            </w:tcBorders>
            <w:shd w:val="clear" w:color="auto" w:fill="D9D9D9"/>
            <w:noWrap/>
            <w:tcMar>
              <w:top w:w="15" w:type="dxa"/>
              <w:left w:w="15" w:type="dxa"/>
              <w:bottom w:w="0" w:type="dxa"/>
              <w:right w:w="15" w:type="dxa"/>
            </w:tcMar>
            <w:vAlign w:val="center"/>
          </w:tcPr>
          <w:p w:rsidR="00446B0D" w:rsidRDefault="008F1B69">
            <w:pPr>
              <w:spacing w:before="0" w:after="0"/>
              <w:jc w:val="center"/>
              <w:rPr>
                <w:b/>
                <w:bCs/>
                <w:noProof/>
                <w:sz w:val="20"/>
                <w:szCs w:val="20"/>
                <w:lang w:eastAsia="en-GB"/>
              </w:rPr>
            </w:pPr>
            <w:r>
              <w:rPr>
                <w:b/>
                <w:bCs/>
                <w:noProof/>
                <w:sz w:val="20"/>
                <w:szCs w:val="20"/>
                <w:lang w:eastAsia="en-GB"/>
              </w:rPr>
              <w:t>Name</w:t>
            </w:r>
          </w:p>
        </w:tc>
        <w:tc>
          <w:tcPr>
            <w:tcW w:w="4693" w:type="dxa"/>
            <w:tcBorders>
              <w:top w:val="single" w:sz="12" w:space="0" w:color="auto"/>
              <w:bottom w:val="single" w:sz="12" w:space="0" w:color="auto"/>
            </w:tcBorders>
            <w:shd w:val="clear" w:color="auto" w:fill="D9D9D9"/>
            <w:noWrap/>
            <w:tcMar>
              <w:top w:w="15" w:type="dxa"/>
              <w:left w:w="15" w:type="dxa"/>
              <w:bottom w:w="0" w:type="dxa"/>
              <w:right w:w="15" w:type="dxa"/>
            </w:tcMar>
            <w:vAlign w:val="center"/>
          </w:tcPr>
          <w:p w:rsidR="00446B0D" w:rsidRDefault="008F1B69">
            <w:pPr>
              <w:spacing w:before="0" w:after="0"/>
              <w:ind w:right="168"/>
              <w:jc w:val="center"/>
              <w:rPr>
                <w:b/>
                <w:bCs/>
                <w:noProof/>
                <w:sz w:val="20"/>
                <w:szCs w:val="20"/>
                <w:lang w:eastAsia="en-GB"/>
              </w:rPr>
            </w:pPr>
            <w:r>
              <w:rPr>
                <w:b/>
                <w:bCs/>
                <w:noProof/>
                <w:sz w:val="20"/>
                <w:szCs w:val="20"/>
                <w:lang w:eastAsia="en-GB"/>
              </w:rPr>
              <w:t>Content</w:t>
            </w:r>
          </w:p>
        </w:tc>
        <w:tc>
          <w:tcPr>
            <w:tcW w:w="2067" w:type="dxa"/>
            <w:tcBorders>
              <w:top w:val="single" w:sz="12" w:space="0" w:color="auto"/>
              <w:bottom w:val="single" w:sz="12" w:space="0" w:color="auto"/>
            </w:tcBorders>
            <w:shd w:val="clear" w:color="auto" w:fill="D9D9D9"/>
            <w:noWrap/>
            <w:tcMar>
              <w:top w:w="15" w:type="dxa"/>
              <w:left w:w="15" w:type="dxa"/>
              <w:bottom w:w="0" w:type="dxa"/>
              <w:right w:w="15" w:type="dxa"/>
            </w:tcMar>
            <w:vAlign w:val="center"/>
          </w:tcPr>
          <w:p w:rsidR="00446B0D" w:rsidRDefault="008F1B69">
            <w:pPr>
              <w:spacing w:before="0" w:after="0"/>
              <w:jc w:val="center"/>
              <w:rPr>
                <w:b/>
                <w:bCs/>
                <w:noProof/>
                <w:sz w:val="20"/>
                <w:szCs w:val="20"/>
                <w:lang w:eastAsia="en-GB"/>
              </w:rPr>
            </w:pPr>
            <w:r>
              <w:rPr>
                <w:b/>
                <w:bCs/>
                <w:noProof/>
                <w:sz w:val="20"/>
                <w:szCs w:val="20"/>
                <w:lang w:eastAsia="en-GB"/>
              </w:rPr>
              <w:t xml:space="preserve">Total </w:t>
            </w:r>
            <w:r>
              <w:rPr>
                <w:b/>
                <w:bCs/>
                <w:noProof/>
                <w:sz w:val="20"/>
                <w:szCs w:val="20"/>
                <w:lang w:eastAsia="en-GB"/>
              </w:rPr>
              <w:t>Price in Euro</w:t>
            </w:r>
          </w:p>
        </w:tc>
      </w:tr>
      <w:tr w:rsidR="00446B0D">
        <w:trPr>
          <w:trHeight w:val="522"/>
        </w:trPr>
        <w:tc>
          <w:tcPr>
            <w:tcW w:w="428" w:type="dxa"/>
            <w:tcBorders>
              <w:top w:val="single" w:sz="12" w:space="0" w:color="auto"/>
              <w:bottom w:val="dashed" w:sz="4" w:space="0" w:color="auto"/>
            </w:tcBorders>
            <w:shd w:val="clear" w:color="auto" w:fill="auto"/>
            <w:tcMar>
              <w:top w:w="15" w:type="dxa"/>
              <w:left w:w="15" w:type="dxa"/>
              <w:bottom w:w="0" w:type="dxa"/>
              <w:right w:w="15" w:type="dxa"/>
            </w:tcMar>
            <w:vAlign w:val="center"/>
          </w:tcPr>
          <w:p w:rsidR="00446B0D" w:rsidRDefault="008F1B69">
            <w:pPr>
              <w:spacing w:before="0" w:after="0"/>
              <w:jc w:val="center"/>
              <w:rPr>
                <w:bCs/>
                <w:noProof/>
                <w:sz w:val="20"/>
                <w:szCs w:val="20"/>
                <w:lang w:eastAsia="en-GB"/>
              </w:rPr>
            </w:pPr>
            <w:r>
              <w:rPr>
                <w:bCs/>
                <w:noProof/>
                <w:sz w:val="20"/>
                <w:szCs w:val="20"/>
                <w:lang w:eastAsia="en-GB"/>
              </w:rPr>
              <w:t>1</w:t>
            </w:r>
          </w:p>
        </w:tc>
        <w:tc>
          <w:tcPr>
            <w:tcW w:w="1881" w:type="dxa"/>
            <w:tcBorders>
              <w:top w:val="single" w:sz="12" w:space="0" w:color="auto"/>
              <w:bottom w:val="dashed" w:sz="4" w:space="0" w:color="auto"/>
              <w:right w:val="single" w:sz="8" w:space="0" w:color="auto"/>
            </w:tcBorders>
            <w:shd w:val="clear" w:color="auto" w:fill="auto"/>
            <w:tcMar>
              <w:top w:w="15" w:type="dxa"/>
              <w:left w:w="15" w:type="dxa"/>
              <w:bottom w:w="0" w:type="dxa"/>
              <w:right w:w="15" w:type="dxa"/>
            </w:tcMar>
            <w:vAlign w:val="center"/>
          </w:tcPr>
          <w:p w:rsidR="00446B0D" w:rsidRDefault="008F1B69">
            <w:pPr>
              <w:spacing w:before="0" w:after="0"/>
              <w:ind w:left="139"/>
              <w:jc w:val="left"/>
              <w:rPr>
                <w:bCs/>
                <w:i/>
                <w:noProof/>
                <w:sz w:val="20"/>
                <w:szCs w:val="20"/>
                <w:lang w:eastAsia="en-GB"/>
              </w:rPr>
            </w:pPr>
            <w:r>
              <w:rPr>
                <w:bCs/>
                <w:i/>
                <w:noProof/>
                <w:sz w:val="20"/>
                <w:szCs w:val="20"/>
                <w:lang w:eastAsia="en-GB"/>
              </w:rPr>
              <w:t>CTI</w:t>
            </w:r>
          </w:p>
        </w:tc>
        <w:tc>
          <w:tcPr>
            <w:tcW w:w="4693" w:type="dxa"/>
            <w:tcBorders>
              <w:top w:val="single" w:sz="12" w:space="0" w:color="auto"/>
              <w:left w:val="single" w:sz="8" w:space="0" w:color="auto"/>
              <w:bottom w:val="dashed" w:sz="4" w:space="0" w:color="auto"/>
            </w:tcBorders>
            <w:shd w:val="clear" w:color="auto" w:fill="auto"/>
            <w:tcMar>
              <w:top w:w="15" w:type="dxa"/>
              <w:left w:w="15" w:type="dxa"/>
              <w:bottom w:w="0" w:type="dxa"/>
              <w:right w:w="15" w:type="dxa"/>
            </w:tcMar>
            <w:vAlign w:val="center"/>
          </w:tcPr>
          <w:p w:rsidR="00446B0D" w:rsidRDefault="008F1B69">
            <w:pPr>
              <w:spacing w:before="0" w:after="0"/>
              <w:ind w:left="101" w:right="168"/>
              <w:jc w:val="left"/>
              <w:rPr>
                <w:bCs/>
                <w:i/>
                <w:noProof/>
                <w:sz w:val="20"/>
                <w:szCs w:val="20"/>
                <w:lang w:eastAsia="en-GB"/>
              </w:rPr>
            </w:pPr>
            <w:r>
              <w:rPr>
                <w:bCs/>
                <w:i/>
                <w:noProof/>
                <w:sz w:val="20"/>
                <w:szCs w:val="20"/>
                <w:lang w:eastAsia="en-GB"/>
              </w:rPr>
              <w:t>China Trade Information: Detailed shipments of Chinese imports and exports</w:t>
            </w:r>
          </w:p>
        </w:tc>
        <w:tc>
          <w:tcPr>
            <w:tcW w:w="2067" w:type="dxa"/>
            <w:tcBorders>
              <w:top w:val="single" w:sz="12" w:space="0" w:color="auto"/>
              <w:bottom w:val="dashed" w:sz="4" w:space="0" w:color="auto"/>
            </w:tcBorders>
            <w:shd w:val="clear" w:color="auto" w:fill="auto"/>
            <w:vAlign w:val="center"/>
          </w:tcPr>
          <w:p w:rsidR="00446B0D" w:rsidRDefault="008F1B69">
            <w:pPr>
              <w:spacing w:before="0" w:after="0"/>
              <w:ind w:left="101"/>
              <w:jc w:val="right"/>
              <w:rPr>
                <w:bCs/>
                <w:i/>
                <w:noProof/>
                <w:sz w:val="20"/>
                <w:szCs w:val="20"/>
                <w:lang w:eastAsia="en-GB"/>
              </w:rPr>
            </w:pPr>
            <w:r>
              <w:rPr>
                <w:bCs/>
                <w:i/>
                <w:noProof/>
                <w:sz w:val="20"/>
                <w:szCs w:val="20"/>
                <w:lang w:eastAsia="en-GB"/>
              </w:rPr>
              <w:t>59 960*</w:t>
            </w:r>
          </w:p>
        </w:tc>
      </w:tr>
      <w:tr w:rsidR="00446B0D">
        <w:trPr>
          <w:trHeight w:val="510"/>
        </w:trPr>
        <w:tc>
          <w:tcPr>
            <w:tcW w:w="428" w:type="dxa"/>
            <w:tcBorders>
              <w:top w:val="dashed" w:sz="4" w:space="0" w:color="auto"/>
              <w:bottom w:val="dashed" w:sz="4" w:space="0" w:color="auto"/>
            </w:tcBorders>
            <w:shd w:val="clear" w:color="auto" w:fill="auto"/>
            <w:tcMar>
              <w:top w:w="15" w:type="dxa"/>
              <w:left w:w="15" w:type="dxa"/>
              <w:bottom w:w="0" w:type="dxa"/>
              <w:right w:w="15" w:type="dxa"/>
            </w:tcMar>
            <w:vAlign w:val="center"/>
          </w:tcPr>
          <w:p w:rsidR="00446B0D" w:rsidRDefault="008F1B69">
            <w:pPr>
              <w:spacing w:before="0" w:after="0"/>
              <w:jc w:val="center"/>
              <w:rPr>
                <w:bCs/>
                <w:noProof/>
                <w:sz w:val="20"/>
                <w:szCs w:val="20"/>
                <w:lang w:eastAsia="en-GB"/>
              </w:rPr>
            </w:pPr>
            <w:r>
              <w:rPr>
                <w:bCs/>
                <w:noProof/>
                <w:sz w:val="20"/>
                <w:szCs w:val="20"/>
                <w:lang w:eastAsia="en-GB"/>
              </w:rPr>
              <w:t>2</w:t>
            </w:r>
          </w:p>
        </w:tc>
        <w:tc>
          <w:tcPr>
            <w:tcW w:w="1881" w:type="dxa"/>
            <w:tcBorders>
              <w:top w:val="dashed" w:sz="4" w:space="0" w:color="auto"/>
              <w:bottom w:val="dashed" w:sz="4" w:space="0" w:color="auto"/>
              <w:right w:val="single" w:sz="8" w:space="0" w:color="auto"/>
            </w:tcBorders>
            <w:shd w:val="clear" w:color="auto" w:fill="auto"/>
            <w:tcMar>
              <w:top w:w="15" w:type="dxa"/>
              <w:left w:w="15" w:type="dxa"/>
              <w:bottom w:w="0" w:type="dxa"/>
              <w:right w:w="15" w:type="dxa"/>
            </w:tcMar>
            <w:vAlign w:val="center"/>
          </w:tcPr>
          <w:p w:rsidR="00446B0D" w:rsidRDefault="008F1B69">
            <w:pPr>
              <w:spacing w:before="0" w:after="0"/>
              <w:ind w:left="139"/>
              <w:jc w:val="left"/>
              <w:rPr>
                <w:bCs/>
                <w:noProof/>
                <w:sz w:val="20"/>
                <w:szCs w:val="20"/>
                <w:lang w:eastAsia="en-GB"/>
              </w:rPr>
            </w:pPr>
            <w:r>
              <w:rPr>
                <w:bCs/>
                <w:noProof/>
                <w:sz w:val="20"/>
                <w:szCs w:val="20"/>
                <w:lang w:eastAsia="en-GB"/>
              </w:rPr>
              <w:t>NTELX</w:t>
            </w:r>
          </w:p>
        </w:tc>
        <w:tc>
          <w:tcPr>
            <w:tcW w:w="4693" w:type="dxa"/>
            <w:tcBorders>
              <w:top w:val="dashed" w:sz="4" w:space="0" w:color="auto"/>
              <w:left w:val="single" w:sz="8" w:space="0" w:color="auto"/>
              <w:bottom w:val="dashed" w:sz="4" w:space="0" w:color="auto"/>
            </w:tcBorders>
            <w:shd w:val="clear" w:color="auto" w:fill="auto"/>
            <w:tcMar>
              <w:top w:w="15" w:type="dxa"/>
              <w:left w:w="15" w:type="dxa"/>
              <w:bottom w:w="0" w:type="dxa"/>
              <w:right w:w="15" w:type="dxa"/>
            </w:tcMar>
            <w:vAlign w:val="center"/>
          </w:tcPr>
          <w:p w:rsidR="00446B0D" w:rsidRDefault="008F1B69">
            <w:pPr>
              <w:spacing w:before="0" w:after="0"/>
              <w:jc w:val="left"/>
              <w:rPr>
                <w:bCs/>
                <w:noProof/>
                <w:sz w:val="20"/>
                <w:szCs w:val="20"/>
                <w:lang w:eastAsia="en-GB"/>
              </w:rPr>
            </w:pPr>
            <w:r>
              <w:rPr>
                <w:bCs/>
                <w:noProof/>
                <w:sz w:val="20"/>
                <w:szCs w:val="20"/>
                <w:lang w:eastAsia="en-GB"/>
              </w:rPr>
              <w:t xml:space="preserve">  Information on ship manifests</w:t>
            </w:r>
          </w:p>
        </w:tc>
        <w:tc>
          <w:tcPr>
            <w:tcW w:w="2067" w:type="dxa"/>
            <w:tcBorders>
              <w:top w:val="dashed" w:sz="4" w:space="0" w:color="auto"/>
              <w:bottom w:val="dashed" w:sz="4" w:space="0" w:color="auto"/>
            </w:tcBorders>
            <w:shd w:val="clear" w:color="auto" w:fill="auto"/>
            <w:vAlign w:val="center"/>
          </w:tcPr>
          <w:p w:rsidR="00446B0D" w:rsidRDefault="008F1B69">
            <w:pPr>
              <w:spacing w:before="0" w:after="0"/>
              <w:ind w:left="101"/>
              <w:jc w:val="right"/>
              <w:rPr>
                <w:bCs/>
                <w:noProof/>
                <w:sz w:val="20"/>
                <w:szCs w:val="20"/>
                <w:lang w:eastAsia="en-GB"/>
              </w:rPr>
            </w:pPr>
            <w:r>
              <w:rPr>
                <w:bCs/>
                <w:noProof/>
                <w:sz w:val="20"/>
                <w:szCs w:val="20"/>
                <w:lang w:eastAsia="en-GB"/>
              </w:rPr>
              <w:t>732 000</w:t>
            </w:r>
          </w:p>
        </w:tc>
      </w:tr>
      <w:tr w:rsidR="00446B0D">
        <w:trPr>
          <w:trHeight w:val="404"/>
        </w:trPr>
        <w:tc>
          <w:tcPr>
            <w:tcW w:w="428" w:type="dxa"/>
            <w:tcBorders>
              <w:top w:val="dashed" w:sz="4" w:space="0" w:color="auto"/>
              <w:bottom w:val="dashed" w:sz="4" w:space="0" w:color="auto"/>
            </w:tcBorders>
            <w:shd w:val="clear" w:color="auto" w:fill="auto"/>
            <w:tcMar>
              <w:top w:w="15" w:type="dxa"/>
              <w:left w:w="15" w:type="dxa"/>
              <w:bottom w:w="0" w:type="dxa"/>
              <w:right w:w="15" w:type="dxa"/>
            </w:tcMar>
            <w:vAlign w:val="center"/>
          </w:tcPr>
          <w:p w:rsidR="00446B0D" w:rsidRDefault="008F1B69">
            <w:pPr>
              <w:spacing w:before="0" w:after="0"/>
              <w:jc w:val="center"/>
              <w:rPr>
                <w:bCs/>
                <w:noProof/>
                <w:sz w:val="20"/>
                <w:szCs w:val="20"/>
                <w:lang w:eastAsia="en-GB"/>
              </w:rPr>
            </w:pPr>
            <w:r>
              <w:rPr>
                <w:bCs/>
                <w:noProof/>
                <w:sz w:val="20"/>
                <w:szCs w:val="20"/>
                <w:lang w:eastAsia="en-GB"/>
              </w:rPr>
              <w:t>3</w:t>
            </w:r>
          </w:p>
        </w:tc>
        <w:tc>
          <w:tcPr>
            <w:tcW w:w="1881" w:type="dxa"/>
            <w:tcBorders>
              <w:top w:val="dashed" w:sz="4" w:space="0" w:color="auto"/>
              <w:bottom w:val="dashed" w:sz="4" w:space="0" w:color="auto"/>
              <w:right w:val="single" w:sz="8" w:space="0" w:color="auto"/>
            </w:tcBorders>
            <w:shd w:val="clear" w:color="auto" w:fill="auto"/>
            <w:tcMar>
              <w:top w:w="15" w:type="dxa"/>
              <w:left w:w="15" w:type="dxa"/>
              <w:bottom w:w="0" w:type="dxa"/>
              <w:right w:w="15" w:type="dxa"/>
            </w:tcMar>
            <w:vAlign w:val="center"/>
          </w:tcPr>
          <w:p w:rsidR="00446B0D" w:rsidRDefault="008F1B69">
            <w:pPr>
              <w:spacing w:before="0" w:after="0"/>
              <w:ind w:left="139"/>
              <w:jc w:val="left"/>
              <w:rPr>
                <w:bCs/>
                <w:noProof/>
                <w:sz w:val="20"/>
                <w:szCs w:val="20"/>
                <w:lang w:eastAsia="en-GB"/>
              </w:rPr>
            </w:pPr>
            <w:r>
              <w:rPr>
                <w:bCs/>
                <w:noProof/>
                <w:sz w:val="20"/>
                <w:szCs w:val="20"/>
                <w:lang w:eastAsia="en-GB"/>
              </w:rPr>
              <w:t>GTI</w:t>
            </w:r>
          </w:p>
        </w:tc>
        <w:tc>
          <w:tcPr>
            <w:tcW w:w="4693" w:type="dxa"/>
            <w:tcBorders>
              <w:top w:val="dashed" w:sz="4" w:space="0" w:color="auto"/>
              <w:left w:val="single" w:sz="8" w:space="0" w:color="auto"/>
              <w:bottom w:val="dashed" w:sz="4" w:space="0" w:color="auto"/>
            </w:tcBorders>
            <w:shd w:val="clear" w:color="auto" w:fill="auto"/>
            <w:tcMar>
              <w:top w:w="15" w:type="dxa"/>
              <w:left w:w="15" w:type="dxa"/>
              <w:bottom w:w="0" w:type="dxa"/>
              <w:right w:w="15" w:type="dxa"/>
            </w:tcMar>
            <w:vAlign w:val="center"/>
          </w:tcPr>
          <w:p w:rsidR="00446B0D" w:rsidRDefault="008F1B69">
            <w:pPr>
              <w:spacing w:before="0" w:after="0"/>
              <w:ind w:left="101" w:right="168"/>
              <w:jc w:val="left"/>
              <w:rPr>
                <w:bCs/>
                <w:noProof/>
                <w:sz w:val="20"/>
                <w:szCs w:val="20"/>
                <w:lang w:eastAsia="en-GB"/>
              </w:rPr>
            </w:pPr>
            <w:r>
              <w:rPr>
                <w:bCs/>
                <w:noProof/>
                <w:sz w:val="20"/>
                <w:szCs w:val="20"/>
                <w:lang w:eastAsia="en-GB"/>
              </w:rPr>
              <w:t>Global Trade Information Services</w:t>
            </w:r>
          </w:p>
        </w:tc>
        <w:tc>
          <w:tcPr>
            <w:tcW w:w="2067" w:type="dxa"/>
            <w:tcBorders>
              <w:top w:val="dashed" w:sz="4" w:space="0" w:color="auto"/>
              <w:bottom w:val="dashed" w:sz="4" w:space="0" w:color="auto"/>
            </w:tcBorders>
            <w:shd w:val="clear" w:color="auto" w:fill="auto"/>
            <w:vAlign w:val="center"/>
          </w:tcPr>
          <w:p w:rsidR="00446B0D" w:rsidRDefault="008F1B69">
            <w:pPr>
              <w:spacing w:before="0" w:after="0"/>
              <w:ind w:left="101"/>
              <w:jc w:val="right"/>
              <w:rPr>
                <w:bCs/>
                <w:noProof/>
                <w:sz w:val="20"/>
                <w:szCs w:val="20"/>
                <w:lang w:eastAsia="en-GB"/>
              </w:rPr>
            </w:pPr>
            <w:r>
              <w:rPr>
                <w:bCs/>
                <w:noProof/>
                <w:sz w:val="20"/>
                <w:szCs w:val="20"/>
                <w:lang w:eastAsia="en-GB"/>
              </w:rPr>
              <w:t>200 000</w:t>
            </w:r>
          </w:p>
        </w:tc>
      </w:tr>
      <w:tr w:rsidR="00446B0D">
        <w:trPr>
          <w:trHeight w:val="581"/>
        </w:trPr>
        <w:tc>
          <w:tcPr>
            <w:tcW w:w="428" w:type="dxa"/>
            <w:vMerge w:val="restart"/>
            <w:tcBorders>
              <w:top w:val="dashed" w:sz="4" w:space="0" w:color="auto"/>
              <w:bottom w:val="dashed" w:sz="4" w:space="0" w:color="auto"/>
            </w:tcBorders>
            <w:shd w:val="clear" w:color="auto" w:fill="auto"/>
            <w:tcMar>
              <w:top w:w="15" w:type="dxa"/>
              <w:left w:w="15" w:type="dxa"/>
              <w:bottom w:w="0" w:type="dxa"/>
              <w:right w:w="15" w:type="dxa"/>
            </w:tcMar>
            <w:vAlign w:val="center"/>
          </w:tcPr>
          <w:p w:rsidR="00446B0D" w:rsidRDefault="008F1B69">
            <w:pPr>
              <w:spacing w:before="0" w:after="0"/>
              <w:jc w:val="center"/>
              <w:rPr>
                <w:bCs/>
                <w:noProof/>
                <w:sz w:val="20"/>
                <w:szCs w:val="20"/>
                <w:lang w:eastAsia="en-GB"/>
              </w:rPr>
            </w:pPr>
            <w:r>
              <w:rPr>
                <w:bCs/>
                <w:noProof/>
                <w:sz w:val="20"/>
                <w:szCs w:val="20"/>
                <w:lang w:eastAsia="en-GB"/>
              </w:rPr>
              <w:t>4</w:t>
            </w:r>
          </w:p>
        </w:tc>
        <w:tc>
          <w:tcPr>
            <w:tcW w:w="1881" w:type="dxa"/>
            <w:tcBorders>
              <w:top w:val="dashed" w:sz="4" w:space="0" w:color="auto"/>
              <w:bottom w:val="dashed" w:sz="4" w:space="0" w:color="auto"/>
              <w:right w:val="single" w:sz="8" w:space="0" w:color="auto"/>
            </w:tcBorders>
            <w:shd w:val="clear" w:color="auto" w:fill="auto"/>
            <w:tcMar>
              <w:top w:w="15" w:type="dxa"/>
              <w:left w:w="15" w:type="dxa"/>
              <w:bottom w:w="0" w:type="dxa"/>
              <w:right w:w="15" w:type="dxa"/>
            </w:tcMar>
            <w:vAlign w:val="center"/>
          </w:tcPr>
          <w:p w:rsidR="00446B0D" w:rsidRDefault="008F1B69">
            <w:pPr>
              <w:spacing w:before="0" w:after="0"/>
              <w:ind w:left="139"/>
              <w:jc w:val="left"/>
              <w:rPr>
                <w:bCs/>
                <w:noProof/>
                <w:sz w:val="20"/>
                <w:szCs w:val="20"/>
                <w:lang w:eastAsia="en-GB"/>
              </w:rPr>
            </w:pPr>
            <w:r>
              <w:rPr>
                <w:bCs/>
                <w:noProof/>
                <w:sz w:val="20"/>
                <w:szCs w:val="20"/>
                <w:lang w:eastAsia="en-GB"/>
              </w:rPr>
              <w:t>GRS</w:t>
            </w:r>
          </w:p>
          <w:p w:rsidR="00446B0D" w:rsidRDefault="00446B0D">
            <w:pPr>
              <w:spacing w:before="0" w:after="0"/>
              <w:ind w:left="139"/>
              <w:jc w:val="left"/>
              <w:rPr>
                <w:bCs/>
                <w:noProof/>
                <w:sz w:val="20"/>
                <w:szCs w:val="20"/>
                <w:lang w:eastAsia="en-GB"/>
              </w:rPr>
            </w:pPr>
          </w:p>
        </w:tc>
        <w:tc>
          <w:tcPr>
            <w:tcW w:w="4693" w:type="dxa"/>
            <w:tcBorders>
              <w:top w:val="dashed" w:sz="4" w:space="0" w:color="auto"/>
              <w:left w:val="single" w:sz="8" w:space="0" w:color="auto"/>
              <w:bottom w:val="dashed" w:sz="4" w:space="0" w:color="auto"/>
            </w:tcBorders>
            <w:shd w:val="clear" w:color="auto" w:fill="auto"/>
            <w:tcMar>
              <w:top w:w="15" w:type="dxa"/>
              <w:left w:w="15" w:type="dxa"/>
              <w:bottom w:w="0" w:type="dxa"/>
              <w:right w:w="15" w:type="dxa"/>
            </w:tcMar>
            <w:vAlign w:val="center"/>
          </w:tcPr>
          <w:p w:rsidR="00446B0D" w:rsidRDefault="008F1B69">
            <w:pPr>
              <w:spacing w:before="0" w:after="0"/>
              <w:ind w:left="101" w:right="168"/>
              <w:jc w:val="left"/>
              <w:rPr>
                <w:bCs/>
                <w:noProof/>
                <w:sz w:val="20"/>
                <w:szCs w:val="20"/>
                <w:lang w:eastAsia="en-GB"/>
              </w:rPr>
            </w:pPr>
            <w:r>
              <w:rPr>
                <w:bCs/>
                <w:noProof/>
                <w:sz w:val="20"/>
                <w:szCs w:val="20"/>
                <w:lang w:eastAsia="en-GB"/>
              </w:rPr>
              <w:t xml:space="preserve">Global Reference Solution: contains basic </w:t>
            </w:r>
            <w:r>
              <w:rPr>
                <w:bCs/>
                <w:noProof/>
                <w:sz w:val="20"/>
                <w:szCs w:val="20"/>
                <w:lang w:eastAsia="en-GB"/>
              </w:rPr>
              <w:t>company information from all over the world and gives information on links between companies</w:t>
            </w:r>
          </w:p>
        </w:tc>
        <w:tc>
          <w:tcPr>
            <w:tcW w:w="2067" w:type="dxa"/>
            <w:vMerge w:val="restart"/>
            <w:tcBorders>
              <w:top w:val="dashed" w:sz="4" w:space="0" w:color="auto"/>
              <w:bottom w:val="dashed" w:sz="4" w:space="0" w:color="auto"/>
            </w:tcBorders>
            <w:shd w:val="clear" w:color="auto" w:fill="auto"/>
            <w:vAlign w:val="center"/>
          </w:tcPr>
          <w:p w:rsidR="00446B0D" w:rsidRDefault="008F1B69">
            <w:pPr>
              <w:spacing w:before="0" w:after="0"/>
              <w:ind w:left="101"/>
              <w:jc w:val="right"/>
              <w:rPr>
                <w:bCs/>
                <w:noProof/>
                <w:sz w:val="20"/>
                <w:szCs w:val="20"/>
                <w:lang w:eastAsia="en-GB"/>
              </w:rPr>
            </w:pPr>
            <w:r>
              <w:rPr>
                <w:bCs/>
                <w:noProof/>
                <w:sz w:val="20"/>
                <w:szCs w:val="20"/>
                <w:lang w:eastAsia="en-GB"/>
              </w:rPr>
              <w:t>575 000</w:t>
            </w:r>
          </w:p>
        </w:tc>
      </w:tr>
      <w:tr w:rsidR="00446B0D">
        <w:trPr>
          <w:trHeight w:val="580"/>
        </w:trPr>
        <w:tc>
          <w:tcPr>
            <w:tcW w:w="428" w:type="dxa"/>
            <w:vMerge/>
            <w:tcBorders>
              <w:top w:val="dashed" w:sz="4" w:space="0" w:color="auto"/>
              <w:bottom w:val="dashed" w:sz="4" w:space="0" w:color="auto"/>
            </w:tcBorders>
            <w:shd w:val="clear" w:color="auto" w:fill="auto"/>
            <w:tcMar>
              <w:top w:w="15" w:type="dxa"/>
              <w:left w:w="15" w:type="dxa"/>
              <w:bottom w:w="0" w:type="dxa"/>
              <w:right w:w="15" w:type="dxa"/>
            </w:tcMar>
            <w:vAlign w:val="center"/>
          </w:tcPr>
          <w:p w:rsidR="00446B0D" w:rsidRDefault="00446B0D">
            <w:pPr>
              <w:spacing w:before="0" w:after="0"/>
              <w:jc w:val="center"/>
              <w:rPr>
                <w:bCs/>
                <w:noProof/>
                <w:sz w:val="20"/>
                <w:szCs w:val="20"/>
                <w:lang w:eastAsia="en-GB"/>
              </w:rPr>
            </w:pPr>
          </w:p>
        </w:tc>
        <w:tc>
          <w:tcPr>
            <w:tcW w:w="1881" w:type="dxa"/>
            <w:tcBorders>
              <w:top w:val="dashed" w:sz="4" w:space="0" w:color="auto"/>
              <w:bottom w:val="dashed" w:sz="4" w:space="0" w:color="auto"/>
              <w:right w:val="single" w:sz="8" w:space="0" w:color="auto"/>
            </w:tcBorders>
            <w:shd w:val="clear" w:color="auto" w:fill="auto"/>
            <w:tcMar>
              <w:top w:w="15" w:type="dxa"/>
              <w:left w:w="15" w:type="dxa"/>
              <w:bottom w:w="0" w:type="dxa"/>
              <w:right w:w="15" w:type="dxa"/>
            </w:tcMar>
            <w:vAlign w:val="center"/>
          </w:tcPr>
          <w:p w:rsidR="00446B0D" w:rsidRDefault="008F1B69">
            <w:pPr>
              <w:spacing w:before="0" w:after="0"/>
              <w:ind w:left="139"/>
              <w:jc w:val="left"/>
              <w:rPr>
                <w:bCs/>
                <w:noProof/>
                <w:sz w:val="20"/>
                <w:szCs w:val="20"/>
                <w:lang w:eastAsia="en-GB"/>
              </w:rPr>
            </w:pPr>
            <w:r>
              <w:rPr>
                <w:bCs/>
                <w:noProof/>
                <w:sz w:val="20"/>
                <w:szCs w:val="20"/>
                <w:lang w:eastAsia="en-GB"/>
              </w:rPr>
              <w:t>D&amp;B reporting system</w:t>
            </w:r>
          </w:p>
        </w:tc>
        <w:tc>
          <w:tcPr>
            <w:tcW w:w="4693" w:type="dxa"/>
            <w:tcBorders>
              <w:top w:val="dashed" w:sz="4" w:space="0" w:color="auto"/>
              <w:left w:val="single" w:sz="8" w:space="0" w:color="auto"/>
              <w:bottom w:val="dashed" w:sz="4" w:space="0" w:color="auto"/>
            </w:tcBorders>
            <w:shd w:val="clear" w:color="auto" w:fill="auto"/>
            <w:tcMar>
              <w:top w:w="15" w:type="dxa"/>
              <w:left w:w="15" w:type="dxa"/>
              <w:bottom w:w="0" w:type="dxa"/>
              <w:right w:w="15" w:type="dxa"/>
            </w:tcMar>
            <w:vAlign w:val="center"/>
          </w:tcPr>
          <w:p w:rsidR="00446B0D" w:rsidRDefault="008F1B69">
            <w:pPr>
              <w:spacing w:before="0" w:after="0"/>
              <w:ind w:left="101" w:right="168"/>
              <w:jc w:val="left"/>
              <w:rPr>
                <w:bCs/>
                <w:noProof/>
                <w:sz w:val="20"/>
                <w:szCs w:val="20"/>
                <w:lang w:eastAsia="en-GB"/>
              </w:rPr>
            </w:pPr>
            <w:r>
              <w:rPr>
                <w:bCs/>
                <w:noProof/>
                <w:sz w:val="20"/>
                <w:szCs w:val="20"/>
                <w:lang w:eastAsia="en-GB"/>
              </w:rPr>
              <w:t>Dun &amp; Bradstreet: Financial details of companies all over the world</w:t>
            </w:r>
          </w:p>
        </w:tc>
        <w:tc>
          <w:tcPr>
            <w:tcW w:w="2067" w:type="dxa"/>
            <w:vMerge/>
            <w:tcBorders>
              <w:top w:val="dashed" w:sz="4" w:space="0" w:color="auto"/>
              <w:bottom w:val="dashed" w:sz="4" w:space="0" w:color="auto"/>
            </w:tcBorders>
            <w:shd w:val="clear" w:color="auto" w:fill="auto"/>
            <w:vAlign w:val="center"/>
          </w:tcPr>
          <w:p w:rsidR="00446B0D" w:rsidRDefault="00446B0D">
            <w:pPr>
              <w:spacing w:before="0" w:after="0"/>
              <w:ind w:left="101"/>
              <w:jc w:val="right"/>
              <w:rPr>
                <w:bCs/>
                <w:noProof/>
                <w:sz w:val="20"/>
                <w:szCs w:val="20"/>
                <w:lang w:eastAsia="en-GB"/>
              </w:rPr>
            </w:pPr>
          </w:p>
        </w:tc>
      </w:tr>
      <w:tr w:rsidR="00446B0D">
        <w:trPr>
          <w:trHeight w:val="495"/>
        </w:trPr>
        <w:tc>
          <w:tcPr>
            <w:tcW w:w="428" w:type="dxa"/>
            <w:tcBorders>
              <w:top w:val="dashed" w:sz="4" w:space="0" w:color="auto"/>
              <w:bottom w:val="single" w:sz="12" w:space="0" w:color="auto"/>
            </w:tcBorders>
            <w:shd w:val="clear" w:color="auto" w:fill="auto"/>
            <w:tcMar>
              <w:top w:w="15" w:type="dxa"/>
              <w:left w:w="15" w:type="dxa"/>
              <w:bottom w:w="0" w:type="dxa"/>
              <w:right w:w="15" w:type="dxa"/>
            </w:tcMar>
            <w:vAlign w:val="center"/>
          </w:tcPr>
          <w:p w:rsidR="00446B0D" w:rsidRDefault="008F1B69">
            <w:pPr>
              <w:spacing w:before="0" w:after="0"/>
              <w:jc w:val="center"/>
              <w:rPr>
                <w:bCs/>
                <w:noProof/>
                <w:sz w:val="20"/>
                <w:szCs w:val="20"/>
                <w:lang w:eastAsia="en-GB"/>
              </w:rPr>
            </w:pPr>
            <w:r>
              <w:rPr>
                <w:bCs/>
                <w:noProof/>
                <w:sz w:val="20"/>
                <w:szCs w:val="20"/>
                <w:lang w:eastAsia="en-GB"/>
              </w:rPr>
              <w:t>5</w:t>
            </w:r>
          </w:p>
        </w:tc>
        <w:tc>
          <w:tcPr>
            <w:tcW w:w="1881" w:type="dxa"/>
            <w:tcBorders>
              <w:top w:val="dashed" w:sz="4" w:space="0" w:color="auto"/>
              <w:bottom w:val="single" w:sz="12" w:space="0" w:color="auto"/>
              <w:right w:val="single" w:sz="8" w:space="0" w:color="auto"/>
            </w:tcBorders>
            <w:shd w:val="clear" w:color="auto" w:fill="auto"/>
            <w:tcMar>
              <w:top w:w="15" w:type="dxa"/>
              <w:left w:w="15" w:type="dxa"/>
              <w:bottom w:w="0" w:type="dxa"/>
              <w:right w:w="15" w:type="dxa"/>
            </w:tcMar>
            <w:vAlign w:val="center"/>
          </w:tcPr>
          <w:p w:rsidR="00446B0D" w:rsidRDefault="008F1B69">
            <w:pPr>
              <w:spacing w:before="0" w:after="0"/>
              <w:ind w:left="139"/>
              <w:jc w:val="left"/>
              <w:rPr>
                <w:bCs/>
                <w:noProof/>
                <w:sz w:val="20"/>
                <w:szCs w:val="20"/>
                <w:lang w:eastAsia="en-GB"/>
              </w:rPr>
            </w:pPr>
            <w:r>
              <w:rPr>
                <w:bCs/>
                <w:noProof/>
                <w:sz w:val="20"/>
                <w:szCs w:val="20"/>
                <w:lang w:eastAsia="en-GB"/>
              </w:rPr>
              <w:t>SEASEARCHER</w:t>
            </w:r>
          </w:p>
        </w:tc>
        <w:tc>
          <w:tcPr>
            <w:tcW w:w="4693" w:type="dxa"/>
            <w:tcBorders>
              <w:top w:val="dashed" w:sz="4" w:space="0" w:color="auto"/>
              <w:left w:val="single" w:sz="8" w:space="0" w:color="auto"/>
              <w:bottom w:val="single" w:sz="12" w:space="0" w:color="auto"/>
            </w:tcBorders>
            <w:shd w:val="clear" w:color="auto" w:fill="auto"/>
            <w:tcMar>
              <w:top w:w="15" w:type="dxa"/>
              <w:left w:w="15" w:type="dxa"/>
              <w:bottom w:w="0" w:type="dxa"/>
              <w:right w:w="15" w:type="dxa"/>
            </w:tcMar>
            <w:vAlign w:val="center"/>
          </w:tcPr>
          <w:p w:rsidR="00446B0D" w:rsidRDefault="008F1B69">
            <w:pPr>
              <w:spacing w:before="0" w:after="0"/>
              <w:ind w:left="101" w:right="168"/>
              <w:jc w:val="left"/>
              <w:rPr>
                <w:bCs/>
                <w:noProof/>
                <w:sz w:val="20"/>
                <w:szCs w:val="20"/>
                <w:lang w:eastAsia="en-GB"/>
              </w:rPr>
            </w:pPr>
            <w:r>
              <w:rPr>
                <w:bCs/>
                <w:noProof/>
                <w:sz w:val="20"/>
                <w:szCs w:val="20"/>
                <w:lang w:eastAsia="en-GB"/>
              </w:rPr>
              <w:t>Information on vessels and vessel movements</w:t>
            </w:r>
          </w:p>
        </w:tc>
        <w:tc>
          <w:tcPr>
            <w:tcW w:w="2067" w:type="dxa"/>
            <w:tcBorders>
              <w:top w:val="dashed" w:sz="4" w:space="0" w:color="auto"/>
              <w:bottom w:val="single" w:sz="12" w:space="0" w:color="auto"/>
            </w:tcBorders>
            <w:shd w:val="clear" w:color="auto" w:fill="auto"/>
            <w:vAlign w:val="center"/>
          </w:tcPr>
          <w:p w:rsidR="00446B0D" w:rsidRDefault="008F1B69">
            <w:pPr>
              <w:spacing w:before="0" w:after="0"/>
              <w:ind w:left="101"/>
              <w:jc w:val="right"/>
              <w:rPr>
                <w:bCs/>
                <w:noProof/>
                <w:sz w:val="20"/>
                <w:szCs w:val="20"/>
                <w:lang w:eastAsia="en-GB"/>
              </w:rPr>
            </w:pPr>
            <w:r>
              <w:rPr>
                <w:bCs/>
                <w:noProof/>
                <w:sz w:val="20"/>
                <w:szCs w:val="20"/>
                <w:lang w:eastAsia="en-GB"/>
              </w:rPr>
              <w:t>249 480</w:t>
            </w:r>
          </w:p>
        </w:tc>
      </w:tr>
      <w:tr w:rsidR="00446B0D">
        <w:trPr>
          <w:trHeight w:val="314"/>
        </w:trPr>
        <w:tc>
          <w:tcPr>
            <w:tcW w:w="428" w:type="dxa"/>
            <w:tcBorders>
              <w:top w:val="single" w:sz="12" w:space="0" w:color="auto"/>
              <w:left w:val="nil"/>
              <w:bottom w:val="nil"/>
              <w:right w:val="nil"/>
            </w:tcBorders>
            <w:shd w:val="clear" w:color="auto" w:fill="auto"/>
            <w:tcMar>
              <w:top w:w="15" w:type="dxa"/>
              <w:left w:w="15" w:type="dxa"/>
              <w:bottom w:w="0" w:type="dxa"/>
              <w:right w:w="15" w:type="dxa"/>
            </w:tcMar>
            <w:vAlign w:val="center"/>
          </w:tcPr>
          <w:p w:rsidR="00446B0D" w:rsidRDefault="008F1B69">
            <w:pPr>
              <w:spacing w:before="0" w:after="0"/>
              <w:jc w:val="center"/>
              <w:rPr>
                <w:bCs/>
                <w:noProof/>
                <w:sz w:val="20"/>
                <w:szCs w:val="20"/>
              </w:rPr>
            </w:pPr>
            <w:r>
              <w:rPr>
                <w:bCs/>
                <w:noProof/>
                <w:sz w:val="20"/>
                <w:szCs w:val="20"/>
              </w:rPr>
              <w:t> </w:t>
            </w:r>
          </w:p>
        </w:tc>
        <w:tc>
          <w:tcPr>
            <w:tcW w:w="1880" w:type="dxa"/>
            <w:tcBorders>
              <w:top w:val="single" w:sz="12" w:space="0" w:color="auto"/>
              <w:left w:val="nil"/>
              <w:bottom w:val="nil"/>
              <w:right w:val="single" w:sz="12" w:space="0" w:color="auto"/>
            </w:tcBorders>
            <w:shd w:val="clear" w:color="auto" w:fill="auto"/>
            <w:tcMar>
              <w:top w:w="0" w:type="dxa"/>
              <w:left w:w="108" w:type="dxa"/>
              <w:bottom w:w="0" w:type="dxa"/>
              <w:right w:w="108" w:type="dxa"/>
            </w:tcMar>
          </w:tcPr>
          <w:p w:rsidR="00446B0D" w:rsidRDefault="00446B0D">
            <w:pPr>
              <w:spacing w:before="0" w:after="0"/>
              <w:jc w:val="left"/>
              <w:rPr>
                <w:bCs/>
                <w:noProof/>
                <w:sz w:val="20"/>
                <w:szCs w:val="20"/>
              </w:rPr>
            </w:pPr>
          </w:p>
        </w:tc>
        <w:tc>
          <w:tcPr>
            <w:tcW w:w="4694" w:type="dxa"/>
            <w:tcBorders>
              <w:top w:val="single" w:sz="12" w:space="0" w:color="auto"/>
              <w:left w:val="single" w:sz="12" w:space="0" w:color="auto"/>
              <w:bottom w:val="single" w:sz="12" w:space="0" w:color="auto"/>
            </w:tcBorders>
            <w:shd w:val="clear" w:color="auto" w:fill="C7C7C7" w:themeFill="background1" w:themeFillShade="D9"/>
          </w:tcPr>
          <w:p w:rsidR="00446B0D" w:rsidRDefault="008F1B69">
            <w:pPr>
              <w:spacing w:before="0" w:after="0"/>
              <w:jc w:val="left"/>
              <w:rPr>
                <w:b/>
                <w:bCs/>
                <w:noProof/>
                <w:sz w:val="20"/>
                <w:szCs w:val="20"/>
              </w:rPr>
            </w:pPr>
            <w:r>
              <w:rPr>
                <w:b/>
                <w:bCs/>
                <w:noProof/>
                <w:sz w:val="20"/>
                <w:szCs w:val="20"/>
              </w:rPr>
              <w:t>Total committed under 2014 budget</w:t>
            </w:r>
          </w:p>
        </w:tc>
        <w:tc>
          <w:tcPr>
            <w:tcW w:w="2067" w:type="dxa"/>
            <w:tcBorders>
              <w:top w:val="single" w:sz="12" w:space="0" w:color="auto"/>
              <w:bottom w:val="single" w:sz="12" w:space="0" w:color="auto"/>
            </w:tcBorders>
            <w:shd w:val="clear" w:color="auto" w:fill="C7C7C7" w:themeFill="background1" w:themeFillShade="D9"/>
          </w:tcPr>
          <w:p w:rsidR="00446B0D" w:rsidRDefault="008F1B69">
            <w:pPr>
              <w:spacing w:before="0" w:after="0"/>
              <w:jc w:val="right"/>
              <w:rPr>
                <w:b/>
                <w:bCs/>
                <w:noProof/>
                <w:sz w:val="20"/>
                <w:szCs w:val="20"/>
              </w:rPr>
            </w:pPr>
            <w:r>
              <w:rPr>
                <w:b/>
                <w:bCs/>
                <w:noProof/>
                <w:sz w:val="20"/>
                <w:szCs w:val="20"/>
              </w:rPr>
              <w:t xml:space="preserve">1 756 480 </w:t>
            </w:r>
          </w:p>
        </w:tc>
      </w:tr>
    </w:tbl>
    <w:p w:rsidR="00446B0D" w:rsidRDefault="008F1B69">
      <w:pPr>
        <w:rPr>
          <w:i/>
          <w:noProof/>
          <w:sz w:val="20"/>
          <w:szCs w:val="20"/>
          <w:lang w:eastAsia="de-DE"/>
        </w:rPr>
      </w:pPr>
      <w:r>
        <w:rPr>
          <w:i/>
          <w:noProof/>
          <w:sz w:val="20"/>
          <w:szCs w:val="20"/>
          <w:lang w:eastAsia="de-DE"/>
        </w:rPr>
        <w:t>* The CTI subscription for 2014 was already committed in 2013 under the Hercule II budget and is not included in the total.</w:t>
      </w:r>
    </w:p>
    <w:p w:rsidR="00446B0D" w:rsidRDefault="008F1B69">
      <w:pPr>
        <w:spacing w:before="0" w:after="200" w:line="276" w:lineRule="auto"/>
        <w:jc w:val="left"/>
        <w:rPr>
          <w:b/>
          <w:noProof/>
        </w:rPr>
      </w:pPr>
      <w:r>
        <w:rPr>
          <w:b/>
          <w:noProof/>
        </w:rPr>
        <w:br w:type="page"/>
      </w:r>
    </w:p>
    <w:p w:rsidR="00446B0D" w:rsidRDefault="008F1B69">
      <w:pPr>
        <w:rPr>
          <w:b/>
          <w:noProof/>
          <w:sz w:val="20"/>
          <w:szCs w:val="20"/>
        </w:rPr>
      </w:pPr>
      <w:r>
        <w:rPr>
          <w:b/>
          <w:noProof/>
          <w:sz w:val="20"/>
          <w:szCs w:val="20"/>
        </w:rPr>
        <w:lastRenderedPageBreak/>
        <w:t>Table 4 — Training grants awarded in 2014</w:t>
      </w:r>
    </w:p>
    <w:tbl>
      <w:tblPr>
        <w:tblpPr w:leftFromText="141" w:rightFromText="141" w:vertAnchor="text" w:tblpXSpec="center" w:tblpY="1"/>
        <w:tblOverlap w:val="never"/>
        <w:tblW w:w="9406" w:type="dxa"/>
        <w:tblLayout w:type="fixed"/>
        <w:tblLook w:val="04A0" w:firstRow="1" w:lastRow="0" w:firstColumn="1" w:lastColumn="0" w:noHBand="0" w:noVBand="1"/>
      </w:tblPr>
      <w:tblGrid>
        <w:gridCol w:w="452"/>
        <w:gridCol w:w="709"/>
        <w:gridCol w:w="2491"/>
        <w:gridCol w:w="3686"/>
        <w:gridCol w:w="1335"/>
        <w:gridCol w:w="733"/>
      </w:tblGrid>
      <w:tr w:rsidR="00446B0D">
        <w:trPr>
          <w:trHeight w:val="525"/>
        </w:trPr>
        <w:tc>
          <w:tcPr>
            <w:tcW w:w="452" w:type="dxa"/>
            <w:tcBorders>
              <w:bottom w:val="single" w:sz="12" w:space="0" w:color="auto"/>
              <w:right w:val="single" w:sz="12" w:space="0" w:color="auto"/>
            </w:tcBorders>
            <w:shd w:val="clear" w:color="000000" w:fill="auto"/>
            <w:vAlign w:val="center"/>
          </w:tcPr>
          <w:p w:rsidR="00446B0D" w:rsidRDefault="00446B0D">
            <w:pPr>
              <w:spacing w:before="0" w:after="0"/>
              <w:jc w:val="center"/>
              <w:rPr>
                <w:b/>
                <w:bCs/>
                <w:noProof/>
                <w:sz w:val="20"/>
                <w:szCs w:val="20"/>
                <w:lang w:eastAsia="en-GB"/>
              </w:rPr>
            </w:pPr>
          </w:p>
        </w:tc>
        <w:tc>
          <w:tcPr>
            <w:tcW w:w="709" w:type="dxa"/>
            <w:tcBorders>
              <w:top w:val="single" w:sz="12" w:space="0" w:color="auto"/>
              <w:left w:val="single" w:sz="12" w:space="0" w:color="auto"/>
              <w:bottom w:val="single" w:sz="12" w:space="0" w:color="auto"/>
              <w:right w:val="single" w:sz="8" w:space="0" w:color="auto"/>
            </w:tcBorders>
            <w:shd w:val="clear" w:color="000000" w:fill="E6E6E6"/>
            <w:vAlign w:val="center"/>
          </w:tcPr>
          <w:p w:rsidR="00446B0D" w:rsidRDefault="008F1B69">
            <w:pPr>
              <w:spacing w:before="0" w:after="0"/>
              <w:jc w:val="center"/>
              <w:rPr>
                <w:b/>
                <w:bCs/>
                <w:noProof/>
                <w:sz w:val="18"/>
                <w:szCs w:val="18"/>
                <w:lang w:eastAsia="en-GB"/>
              </w:rPr>
            </w:pPr>
            <w:r>
              <w:rPr>
                <w:b/>
                <w:bCs/>
                <w:noProof/>
                <w:sz w:val="18"/>
                <w:szCs w:val="18"/>
                <w:lang w:eastAsia="en-GB"/>
              </w:rPr>
              <w:t>MS</w:t>
            </w:r>
          </w:p>
        </w:tc>
        <w:tc>
          <w:tcPr>
            <w:tcW w:w="2491" w:type="dxa"/>
            <w:tcBorders>
              <w:top w:val="single" w:sz="12" w:space="0" w:color="auto"/>
              <w:left w:val="nil"/>
              <w:bottom w:val="single" w:sz="12" w:space="0" w:color="auto"/>
              <w:right w:val="single" w:sz="8" w:space="0" w:color="auto"/>
            </w:tcBorders>
            <w:shd w:val="clear" w:color="000000" w:fill="E6E6E6"/>
            <w:vAlign w:val="center"/>
          </w:tcPr>
          <w:p w:rsidR="00446B0D" w:rsidRDefault="008F1B69">
            <w:pPr>
              <w:spacing w:before="0" w:after="0"/>
              <w:jc w:val="center"/>
              <w:rPr>
                <w:b/>
                <w:bCs/>
                <w:noProof/>
                <w:sz w:val="18"/>
                <w:szCs w:val="18"/>
                <w:lang w:eastAsia="en-GB"/>
              </w:rPr>
            </w:pPr>
            <w:r>
              <w:rPr>
                <w:b/>
                <w:bCs/>
                <w:noProof/>
                <w:sz w:val="18"/>
                <w:szCs w:val="18"/>
                <w:lang w:eastAsia="en-GB"/>
              </w:rPr>
              <w:t>Beneficiary</w:t>
            </w:r>
          </w:p>
        </w:tc>
        <w:tc>
          <w:tcPr>
            <w:tcW w:w="3686" w:type="dxa"/>
            <w:tcBorders>
              <w:top w:val="single" w:sz="12" w:space="0" w:color="auto"/>
              <w:left w:val="nil"/>
              <w:bottom w:val="single" w:sz="12" w:space="0" w:color="auto"/>
              <w:right w:val="single" w:sz="8" w:space="0" w:color="auto"/>
            </w:tcBorders>
            <w:shd w:val="clear" w:color="000000" w:fill="E6E6E6"/>
            <w:vAlign w:val="center"/>
          </w:tcPr>
          <w:p w:rsidR="00446B0D" w:rsidRDefault="008F1B69">
            <w:pPr>
              <w:spacing w:before="0" w:after="0"/>
              <w:jc w:val="center"/>
              <w:rPr>
                <w:b/>
                <w:bCs/>
                <w:noProof/>
                <w:sz w:val="18"/>
                <w:szCs w:val="18"/>
                <w:lang w:eastAsia="en-GB"/>
              </w:rPr>
            </w:pPr>
            <w:r>
              <w:rPr>
                <w:b/>
                <w:bCs/>
                <w:noProof/>
                <w:sz w:val="18"/>
                <w:szCs w:val="18"/>
                <w:lang w:eastAsia="en-GB"/>
              </w:rPr>
              <w:t>Subject</w:t>
            </w:r>
          </w:p>
        </w:tc>
        <w:tc>
          <w:tcPr>
            <w:tcW w:w="1335" w:type="dxa"/>
            <w:tcBorders>
              <w:top w:val="single" w:sz="12" w:space="0" w:color="auto"/>
              <w:left w:val="nil"/>
              <w:bottom w:val="single" w:sz="12" w:space="0" w:color="auto"/>
              <w:right w:val="single" w:sz="8" w:space="0" w:color="auto"/>
            </w:tcBorders>
            <w:shd w:val="clear" w:color="000000" w:fill="E6E6E6"/>
            <w:vAlign w:val="center"/>
          </w:tcPr>
          <w:p w:rsidR="00446B0D" w:rsidRDefault="008F1B69">
            <w:pPr>
              <w:spacing w:before="0" w:after="0"/>
              <w:jc w:val="center"/>
              <w:rPr>
                <w:b/>
                <w:bCs/>
                <w:noProof/>
                <w:sz w:val="20"/>
                <w:szCs w:val="20"/>
                <w:lang w:eastAsia="en-GB"/>
              </w:rPr>
            </w:pPr>
            <w:r>
              <w:rPr>
                <w:b/>
                <w:bCs/>
                <w:noProof/>
                <w:sz w:val="18"/>
                <w:szCs w:val="18"/>
                <w:lang w:eastAsia="en-GB"/>
              </w:rPr>
              <w:t>Commitments in Euro</w:t>
            </w:r>
          </w:p>
        </w:tc>
        <w:tc>
          <w:tcPr>
            <w:tcW w:w="733" w:type="dxa"/>
            <w:tcBorders>
              <w:top w:val="single" w:sz="12" w:space="0" w:color="auto"/>
              <w:left w:val="nil"/>
              <w:bottom w:val="single" w:sz="12" w:space="0" w:color="auto"/>
              <w:right w:val="single" w:sz="12" w:space="0" w:color="auto"/>
            </w:tcBorders>
            <w:shd w:val="clear" w:color="000000" w:fill="E6E6E6"/>
            <w:vAlign w:val="center"/>
          </w:tcPr>
          <w:p w:rsidR="00446B0D" w:rsidRDefault="008F1B69">
            <w:pPr>
              <w:spacing w:before="0" w:after="0"/>
              <w:jc w:val="center"/>
              <w:rPr>
                <w:b/>
                <w:bCs/>
                <w:noProof/>
                <w:sz w:val="18"/>
                <w:szCs w:val="18"/>
                <w:lang w:eastAsia="en-GB"/>
              </w:rPr>
            </w:pPr>
            <w:r>
              <w:rPr>
                <w:b/>
                <w:bCs/>
                <w:noProof/>
                <w:sz w:val="18"/>
                <w:szCs w:val="18"/>
                <w:lang w:eastAsia="en-GB"/>
              </w:rPr>
              <w:t>Co-fin %</w:t>
            </w:r>
          </w:p>
        </w:tc>
      </w:tr>
      <w:tr w:rsidR="00446B0D">
        <w:tc>
          <w:tcPr>
            <w:tcW w:w="452" w:type="dxa"/>
            <w:tcBorders>
              <w:top w:val="single" w:sz="12"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1</w:t>
            </w:r>
          </w:p>
        </w:tc>
        <w:tc>
          <w:tcPr>
            <w:tcW w:w="709" w:type="dxa"/>
            <w:tcBorders>
              <w:top w:val="single" w:sz="12"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RO</w:t>
            </w:r>
          </w:p>
        </w:tc>
        <w:tc>
          <w:tcPr>
            <w:tcW w:w="2491" w:type="dxa"/>
            <w:tcBorders>
              <w:top w:val="single" w:sz="12"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bCs/>
                <w:noProof/>
                <w:sz w:val="20"/>
                <w:szCs w:val="20"/>
                <w:lang w:eastAsia="en-GB"/>
              </w:rPr>
            </w:pPr>
            <w:r>
              <w:rPr>
                <w:bCs/>
                <w:noProof/>
                <w:sz w:val="20"/>
                <w:szCs w:val="20"/>
                <w:lang w:eastAsia="en-GB"/>
              </w:rPr>
              <w:t>Dolj County Police Inspectorate</w:t>
            </w:r>
          </w:p>
        </w:tc>
        <w:tc>
          <w:tcPr>
            <w:tcW w:w="3686" w:type="dxa"/>
            <w:tcBorders>
              <w:top w:val="single" w:sz="12"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bCs/>
                <w:noProof/>
                <w:sz w:val="20"/>
                <w:szCs w:val="20"/>
                <w:lang w:eastAsia="en-GB"/>
              </w:rPr>
            </w:pPr>
            <w:r>
              <w:rPr>
                <w:bCs/>
                <w:noProof/>
                <w:sz w:val="20"/>
                <w:szCs w:val="20"/>
                <w:lang w:eastAsia="en-GB"/>
              </w:rPr>
              <w:t>INTACT-INcreasing the Awareness of law enforcement agencies involved in the fight against smuggling and counterfeiting of tobacco products in Romania, Hungary, Bulgaria</w:t>
            </w:r>
          </w:p>
        </w:tc>
        <w:tc>
          <w:tcPr>
            <w:tcW w:w="1335" w:type="dxa"/>
            <w:tcBorders>
              <w:top w:val="single" w:sz="12"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bCs/>
                <w:noProof/>
                <w:sz w:val="20"/>
                <w:szCs w:val="20"/>
                <w:lang w:eastAsia="en-GB"/>
              </w:rPr>
            </w:pPr>
            <w:r>
              <w:rPr>
                <w:bCs/>
                <w:noProof/>
                <w:sz w:val="20"/>
                <w:szCs w:val="20"/>
                <w:lang w:eastAsia="en-GB"/>
              </w:rPr>
              <w:t>68 696</w:t>
            </w:r>
          </w:p>
        </w:tc>
        <w:tc>
          <w:tcPr>
            <w:tcW w:w="733" w:type="dxa"/>
            <w:tcBorders>
              <w:top w:val="single" w:sz="12"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2</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LT</w:t>
            </w:r>
          </w:p>
        </w:tc>
        <w:tc>
          <w:tcPr>
            <w:tcW w:w="2491"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bCs/>
                <w:noProof/>
                <w:sz w:val="20"/>
                <w:szCs w:val="20"/>
                <w:lang w:eastAsia="en-GB"/>
              </w:rPr>
            </w:pPr>
            <w:r>
              <w:rPr>
                <w:bCs/>
                <w:noProof/>
                <w:sz w:val="20"/>
                <w:szCs w:val="20"/>
                <w:lang w:eastAsia="en-GB"/>
              </w:rPr>
              <w:t xml:space="preserve">The </w:t>
            </w:r>
            <w:r>
              <w:rPr>
                <w:bCs/>
                <w:noProof/>
                <w:sz w:val="20"/>
                <w:szCs w:val="20"/>
                <w:lang w:eastAsia="en-GB"/>
              </w:rPr>
              <w:t>Financial Crime Investigation Service (FCIS)</w:t>
            </w:r>
          </w:p>
        </w:tc>
        <w:tc>
          <w:tcPr>
            <w:tcW w:w="368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bCs/>
                <w:noProof/>
                <w:sz w:val="20"/>
                <w:szCs w:val="20"/>
                <w:lang w:eastAsia="en-GB"/>
              </w:rPr>
            </w:pPr>
            <w:r>
              <w:rPr>
                <w:bCs/>
                <w:noProof/>
                <w:sz w:val="20"/>
                <w:szCs w:val="20"/>
                <w:lang w:eastAsia="en-GB"/>
              </w:rPr>
              <w:t>Towards more effective cross-border cooperation against fraud affecting the EU’s financial interests</w:t>
            </w:r>
          </w:p>
        </w:tc>
        <w:tc>
          <w:tcPr>
            <w:tcW w:w="1335"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bCs/>
                <w:noProof/>
                <w:sz w:val="20"/>
                <w:szCs w:val="20"/>
                <w:lang w:eastAsia="en-GB"/>
              </w:rPr>
            </w:pPr>
            <w:r>
              <w:rPr>
                <w:bCs/>
                <w:noProof/>
                <w:sz w:val="20"/>
                <w:szCs w:val="20"/>
                <w:lang w:eastAsia="en-GB"/>
              </w:rPr>
              <w:t>10 733</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77</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3</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IT</w:t>
            </w:r>
          </w:p>
        </w:tc>
        <w:tc>
          <w:tcPr>
            <w:tcW w:w="2491"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bCs/>
                <w:noProof/>
                <w:sz w:val="20"/>
                <w:szCs w:val="20"/>
                <w:lang w:val="it-IT" w:eastAsia="en-GB"/>
              </w:rPr>
            </w:pPr>
            <w:r>
              <w:rPr>
                <w:bCs/>
                <w:noProof/>
                <w:sz w:val="20"/>
                <w:szCs w:val="20"/>
                <w:lang w:val="it-IT" w:eastAsia="en-GB"/>
              </w:rPr>
              <w:t>Istituto Europeo per lo Sviluppo Socio Economico</w:t>
            </w:r>
          </w:p>
        </w:tc>
        <w:tc>
          <w:tcPr>
            <w:tcW w:w="368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bCs/>
                <w:noProof/>
                <w:sz w:val="20"/>
                <w:szCs w:val="20"/>
                <w:lang w:eastAsia="en-GB"/>
              </w:rPr>
            </w:pPr>
            <w:r>
              <w:rPr>
                <w:bCs/>
                <w:noProof/>
                <w:sz w:val="20"/>
                <w:szCs w:val="20"/>
                <w:lang w:eastAsia="en-GB"/>
              </w:rPr>
              <w:t xml:space="preserve">EU-funded actions: rules, laws and best </w:t>
            </w:r>
            <w:r>
              <w:rPr>
                <w:bCs/>
                <w:noProof/>
                <w:sz w:val="20"/>
                <w:szCs w:val="20"/>
                <w:lang w:eastAsia="en-GB"/>
              </w:rPr>
              <w:t>practice sharing in the field of fraud prevention</w:t>
            </w:r>
          </w:p>
        </w:tc>
        <w:tc>
          <w:tcPr>
            <w:tcW w:w="1335"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bCs/>
                <w:noProof/>
                <w:sz w:val="20"/>
                <w:szCs w:val="20"/>
                <w:lang w:eastAsia="en-GB"/>
              </w:rPr>
            </w:pPr>
            <w:r>
              <w:rPr>
                <w:bCs/>
                <w:noProof/>
                <w:sz w:val="20"/>
                <w:szCs w:val="20"/>
                <w:lang w:eastAsia="en-GB"/>
              </w:rPr>
              <w:t>76 347.</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4</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HU</w:t>
            </w:r>
          </w:p>
        </w:tc>
        <w:tc>
          <w:tcPr>
            <w:tcW w:w="2491"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bCs/>
                <w:noProof/>
                <w:sz w:val="20"/>
                <w:szCs w:val="20"/>
                <w:lang w:eastAsia="en-GB"/>
              </w:rPr>
            </w:pPr>
            <w:r>
              <w:rPr>
                <w:bCs/>
                <w:noProof/>
                <w:sz w:val="20"/>
                <w:szCs w:val="20"/>
                <w:lang w:eastAsia="en-GB"/>
              </w:rPr>
              <w:t>National Tax and Customs Administration of Hungary</w:t>
            </w:r>
          </w:p>
        </w:tc>
        <w:tc>
          <w:tcPr>
            <w:tcW w:w="368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bCs/>
                <w:noProof/>
                <w:sz w:val="20"/>
                <w:szCs w:val="20"/>
                <w:lang w:eastAsia="en-GB"/>
              </w:rPr>
            </w:pPr>
            <w:r>
              <w:rPr>
                <w:bCs/>
                <w:noProof/>
                <w:sz w:val="20"/>
                <w:szCs w:val="20"/>
                <w:lang w:eastAsia="en-GB"/>
              </w:rPr>
              <w:t xml:space="preserve">Enhancing international cooperation between the partner authorities involved to strengthen the fight against infringements affecting the </w:t>
            </w:r>
            <w:r>
              <w:rPr>
                <w:bCs/>
                <w:noProof/>
                <w:sz w:val="20"/>
                <w:szCs w:val="20"/>
                <w:lang w:eastAsia="en-GB"/>
              </w:rPr>
              <w:t>financial interests of the EU on the EU’s external and internal borders</w:t>
            </w:r>
          </w:p>
        </w:tc>
        <w:tc>
          <w:tcPr>
            <w:tcW w:w="1335"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bCs/>
                <w:noProof/>
                <w:sz w:val="20"/>
                <w:szCs w:val="20"/>
                <w:lang w:eastAsia="en-GB"/>
              </w:rPr>
            </w:pPr>
            <w:r>
              <w:rPr>
                <w:bCs/>
                <w:noProof/>
                <w:sz w:val="20"/>
                <w:szCs w:val="20"/>
                <w:lang w:eastAsia="en-GB"/>
              </w:rPr>
              <w:t>45 759</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5</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RO</w:t>
            </w:r>
          </w:p>
        </w:tc>
        <w:tc>
          <w:tcPr>
            <w:tcW w:w="2491"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bCs/>
                <w:noProof/>
                <w:sz w:val="20"/>
                <w:szCs w:val="20"/>
                <w:lang w:eastAsia="en-GB"/>
              </w:rPr>
            </w:pPr>
            <w:r>
              <w:rPr>
                <w:bCs/>
                <w:noProof/>
                <w:sz w:val="20"/>
                <w:szCs w:val="20"/>
                <w:lang w:eastAsia="en-GB"/>
              </w:rPr>
              <w:t>National Anticorruption Directorate within the Prosecutor’s Office attached to the High Court of Cassation and Justice</w:t>
            </w:r>
          </w:p>
        </w:tc>
        <w:tc>
          <w:tcPr>
            <w:tcW w:w="368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bCs/>
                <w:noProof/>
                <w:sz w:val="20"/>
                <w:szCs w:val="20"/>
                <w:lang w:eastAsia="en-GB"/>
              </w:rPr>
            </w:pPr>
            <w:r>
              <w:rPr>
                <w:bCs/>
                <w:noProof/>
                <w:sz w:val="20"/>
                <w:szCs w:val="20"/>
                <w:lang w:eastAsia="en-GB"/>
              </w:rPr>
              <w:t xml:space="preserve">Fraud in respect of EU revenue by simulated </w:t>
            </w:r>
            <w:r>
              <w:rPr>
                <w:bCs/>
                <w:noProof/>
                <w:sz w:val="20"/>
                <w:szCs w:val="20"/>
                <w:lang w:eastAsia="en-GB"/>
              </w:rPr>
              <w:t>customs operations - typologies and methods of investigation</w:t>
            </w:r>
          </w:p>
        </w:tc>
        <w:tc>
          <w:tcPr>
            <w:tcW w:w="1335"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bCs/>
                <w:noProof/>
                <w:sz w:val="20"/>
                <w:szCs w:val="20"/>
                <w:lang w:eastAsia="en-GB"/>
              </w:rPr>
            </w:pPr>
            <w:r>
              <w:rPr>
                <w:bCs/>
                <w:noProof/>
                <w:sz w:val="20"/>
                <w:szCs w:val="20"/>
                <w:lang w:eastAsia="en-GB"/>
              </w:rPr>
              <w:t>29 674</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6</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SK</w:t>
            </w:r>
          </w:p>
        </w:tc>
        <w:tc>
          <w:tcPr>
            <w:tcW w:w="2491"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bCs/>
                <w:noProof/>
                <w:sz w:val="20"/>
                <w:szCs w:val="20"/>
                <w:lang w:eastAsia="en-GB"/>
              </w:rPr>
            </w:pPr>
            <w:r>
              <w:rPr>
                <w:bCs/>
                <w:noProof/>
                <w:sz w:val="20"/>
                <w:szCs w:val="20"/>
                <w:lang w:eastAsia="en-GB"/>
              </w:rPr>
              <w:t>Financial Directorate of the Slovak Republic</w:t>
            </w:r>
          </w:p>
        </w:tc>
        <w:tc>
          <w:tcPr>
            <w:tcW w:w="368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bCs/>
                <w:noProof/>
                <w:sz w:val="20"/>
                <w:szCs w:val="20"/>
                <w:lang w:eastAsia="en-GB"/>
              </w:rPr>
            </w:pPr>
            <w:r>
              <w:rPr>
                <w:bCs/>
                <w:noProof/>
                <w:sz w:val="20"/>
                <w:szCs w:val="20"/>
                <w:lang w:eastAsia="en-GB"/>
              </w:rPr>
              <w:t>Training focused on detection of smuggled and counterfeited tobacco products in air, land and maritime container transport</w:t>
            </w:r>
          </w:p>
        </w:tc>
        <w:tc>
          <w:tcPr>
            <w:tcW w:w="1335"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bCs/>
                <w:noProof/>
                <w:sz w:val="20"/>
                <w:szCs w:val="20"/>
                <w:lang w:eastAsia="en-GB"/>
              </w:rPr>
            </w:pPr>
            <w:r>
              <w:rPr>
                <w:bCs/>
                <w:noProof/>
                <w:sz w:val="20"/>
                <w:szCs w:val="20"/>
                <w:lang w:eastAsia="en-GB"/>
              </w:rPr>
              <w:t>61 500</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7</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IT</w:t>
            </w:r>
          </w:p>
        </w:tc>
        <w:tc>
          <w:tcPr>
            <w:tcW w:w="2491"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bCs/>
                <w:noProof/>
                <w:sz w:val="20"/>
                <w:szCs w:val="20"/>
                <w:lang w:val="it-IT" w:eastAsia="en-GB"/>
              </w:rPr>
            </w:pPr>
            <w:r>
              <w:rPr>
                <w:bCs/>
                <w:noProof/>
                <w:sz w:val="20"/>
                <w:szCs w:val="20"/>
                <w:lang w:val="it-IT" w:eastAsia="en-GB"/>
              </w:rPr>
              <w:t>Agenzia Veneta per i Pagamenti in Agricoltura - Avepa</w:t>
            </w:r>
          </w:p>
        </w:tc>
        <w:tc>
          <w:tcPr>
            <w:tcW w:w="368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bCs/>
                <w:noProof/>
                <w:sz w:val="20"/>
                <w:szCs w:val="20"/>
                <w:lang w:eastAsia="en-GB"/>
              </w:rPr>
            </w:pPr>
            <w:r>
              <w:rPr>
                <w:bCs/>
                <w:noProof/>
                <w:sz w:val="20"/>
                <w:szCs w:val="20"/>
                <w:lang w:eastAsia="en-GB"/>
              </w:rPr>
              <w:t>A new leaf - Agricultural networking exchanging witnesses and leading experiences</w:t>
            </w:r>
          </w:p>
        </w:tc>
        <w:tc>
          <w:tcPr>
            <w:tcW w:w="1335"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bCs/>
                <w:noProof/>
                <w:sz w:val="20"/>
                <w:szCs w:val="20"/>
                <w:lang w:eastAsia="en-GB"/>
              </w:rPr>
            </w:pPr>
            <w:r>
              <w:rPr>
                <w:bCs/>
                <w:noProof/>
                <w:sz w:val="20"/>
                <w:szCs w:val="20"/>
                <w:lang w:eastAsia="en-GB"/>
              </w:rPr>
              <w:t>118 381</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8</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CZ</w:t>
            </w:r>
          </w:p>
        </w:tc>
        <w:tc>
          <w:tcPr>
            <w:tcW w:w="2491"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bCs/>
                <w:noProof/>
                <w:sz w:val="20"/>
                <w:szCs w:val="20"/>
                <w:lang w:eastAsia="en-GB"/>
              </w:rPr>
            </w:pPr>
            <w:r>
              <w:rPr>
                <w:bCs/>
                <w:noProof/>
                <w:sz w:val="20"/>
                <w:szCs w:val="20"/>
                <w:lang w:eastAsia="en-GB"/>
              </w:rPr>
              <w:t>Oživení, o.s.</w:t>
            </w:r>
          </w:p>
        </w:tc>
        <w:tc>
          <w:tcPr>
            <w:tcW w:w="368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bCs/>
                <w:noProof/>
                <w:sz w:val="20"/>
                <w:szCs w:val="20"/>
                <w:lang w:eastAsia="en-GB"/>
              </w:rPr>
            </w:pPr>
            <w:r>
              <w:rPr>
                <w:bCs/>
                <w:noProof/>
                <w:sz w:val="20"/>
                <w:szCs w:val="20"/>
                <w:lang w:eastAsia="en-GB"/>
              </w:rPr>
              <w:t>Whistleblowing: The way to protect the financial interests of the EU</w:t>
            </w:r>
          </w:p>
        </w:tc>
        <w:tc>
          <w:tcPr>
            <w:tcW w:w="1335"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bCs/>
                <w:noProof/>
                <w:sz w:val="20"/>
                <w:szCs w:val="20"/>
                <w:lang w:eastAsia="en-GB"/>
              </w:rPr>
            </w:pPr>
            <w:r>
              <w:rPr>
                <w:bCs/>
                <w:noProof/>
                <w:sz w:val="20"/>
                <w:szCs w:val="20"/>
                <w:lang w:eastAsia="en-GB"/>
              </w:rPr>
              <w:t>43 722</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9</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BG</w:t>
            </w:r>
          </w:p>
        </w:tc>
        <w:tc>
          <w:tcPr>
            <w:tcW w:w="2491"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bCs/>
                <w:noProof/>
                <w:sz w:val="20"/>
                <w:szCs w:val="20"/>
                <w:lang w:eastAsia="en-GB"/>
              </w:rPr>
            </w:pPr>
            <w:r>
              <w:rPr>
                <w:bCs/>
                <w:noProof/>
                <w:sz w:val="20"/>
                <w:szCs w:val="20"/>
                <w:lang w:eastAsia="en-GB"/>
              </w:rPr>
              <w:t>National Revenue Agency (NRA)</w:t>
            </w:r>
          </w:p>
        </w:tc>
        <w:tc>
          <w:tcPr>
            <w:tcW w:w="368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bCs/>
                <w:noProof/>
                <w:sz w:val="20"/>
                <w:szCs w:val="20"/>
                <w:lang w:eastAsia="en-GB"/>
              </w:rPr>
            </w:pPr>
            <w:r>
              <w:rPr>
                <w:bCs/>
                <w:noProof/>
                <w:sz w:val="20"/>
                <w:szCs w:val="20"/>
                <w:lang w:eastAsia="en-GB"/>
              </w:rPr>
              <w:t>Increasing NRA’s administrative capacity in preventing and investigating</w:t>
            </w:r>
          </w:p>
        </w:tc>
        <w:tc>
          <w:tcPr>
            <w:tcW w:w="1335"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bCs/>
                <w:noProof/>
                <w:sz w:val="20"/>
                <w:szCs w:val="20"/>
                <w:lang w:eastAsia="en-GB"/>
              </w:rPr>
            </w:pPr>
            <w:r>
              <w:rPr>
                <w:bCs/>
                <w:noProof/>
                <w:sz w:val="20"/>
                <w:szCs w:val="20"/>
                <w:lang w:eastAsia="en-GB"/>
              </w:rPr>
              <w:t>46 014</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10</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LV</w:t>
            </w:r>
          </w:p>
        </w:tc>
        <w:tc>
          <w:tcPr>
            <w:tcW w:w="2491"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bCs/>
                <w:noProof/>
                <w:sz w:val="20"/>
                <w:szCs w:val="20"/>
                <w:lang w:eastAsia="en-GB"/>
              </w:rPr>
            </w:pPr>
            <w:r>
              <w:rPr>
                <w:bCs/>
                <w:noProof/>
                <w:sz w:val="20"/>
                <w:szCs w:val="20"/>
                <w:lang w:eastAsia="en-GB"/>
              </w:rPr>
              <w:t>State Revenue Service of the Republic of Latvia</w:t>
            </w:r>
          </w:p>
        </w:tc>
        <w:tc>
          <w:tcPr>
            <w:tcW w:w="368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bCs/>
                <w:noProof/>
                <w:sz w:val="20"/>
                <w:szCs w:val="20"/>
                <w:lang w:eastAsia="en-GB"/>
              </w:rPr>
            </w:pPr>
            <w:r>
              <w:rPr>
                <w:bCs/>
                <w:noProof/>
                <w:sz w:val="20"/>
                <w:szCs w:val="20"/>
                <w:lang w:eastAsia="en-GB"/>
              </w:rPr>
              <w:t>Seminar on detection and prevention of VAT fraud</w:t>
            </w:r>
          </w:p>
        </w:tc>
        <w:tc>
          <w:tcPr>
            <w:tcW w:w="1335"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bCs/>
                <w:noProof/>
                <w:sz w:val="20"/>
                <w:szCs w:val="20"/>
                <w:lang w:eastAsia="en-GB"/>
              </w:rPr>
            </w:pPr>
            <w:r>
              <w:rPr>
                <w:bCs/>
                <w:noProof/>
                <w:sz w:val="20"/>
                <w:szCs w:val="20"/>
                <w:lang w:eastAsia="en-GB"/>
              </w:rPr>
              <w:t>24 353</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c>
          <w:tcPr>
            <w:tcW w:w="452" w:type="dxa"/>
            <w:tcBorders>
              <w:top w:val="dashed" w:sz="4" w:space="0" w:color="auto"/>
              <w:left w:val="single" w:sz="12" w:space="0" w:color="auto"/>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11</w:t>
            </w:r>
          </w:p>
        </w:tc>
        <w:tc>
          <w:tcPr>
            <w:tcW w:w="709"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RO</w:t>
            </w:r>
          </w:p>
        </w:tc>
        <w:tc>
          <w:tcPr>
            <w:tcW w:w="2491"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bCs/>
                <w:noProof/>
                <w:sz w:val="20"/>
                <w:szCs w:val="20"/>
                <w:lang w:eastAsia="en-GB"/>
              </w:rPr>
            </w:pPr>
            <w:r>
              <w:rPr>
                <w:bCs/>
                <w:noProof/>
                <w:sz w:val="20"/>
                <w:szCs w:val="20"/>
                <w:lang w:eastAsia="en-GB"/>
              </w:rPr>
              <w:t>Freedom House Romania</w:t>
            </w:r>
          </w:p>
        </w:tc>
        <w:tc>
          <w:tcPr>
            <w:tcW w:w="3686"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bCs/>
                <w:noProof/>
                <w:sz w:val="20"/>
                <w:szCs w:val="20"/>
                <w:lang w:eastAsia="en-GB"/>
              </w:rPr>
            </w:pPr>
            <w:r>
              <w:rPr>
                <w:bCs/>
                <w:noProof/>
                <w:sz w:val="20"/>
                <w:szCs w:val="20"/>
                <w:lang w:eastAsia="en-GB"/>
              </w:rPr>
              <w:t>Better legal protection of the EU’s financial interests in Romanian public procurement</w:t>
            </w:r>
          </w:p>
        </w:tc>
        <w:tc>
          <w:tcPr>
            <w:tcW w:w="1335"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right"/>
              <w:rPr>
                <w:bCs/>
                <w:noProof/>
                <w:sz w:val="20"/>
                <w:szCs w:val="20"/>
                <w:lang w:eastAsia="en-GB"/>
              </w:rPr>
            </w:pPr>
            <w:r>
              <w:rPr>
                <w:bCs/>
                <w:noProof/>
                <w:sz w:val="20"/>
                <w:szCs w:val="20"/>
                <w:lang w:eastAsia="en-GB"/>
              </w:rPr>
              <w:t>69 030</w:t>
            </w:r>
          </w:p>
        </w:tc>
        <w:tc>
          <w:tcPr>
            <w:tcW w:w="733" w:type="dxa"/>
            <w:tcBorders>
              <w:top w:val="dashed" w:sz="4" w:space="0" w:color="auto"/>
              <w:left w:val="nil"/>
              <w:bottom w:val="dashed" w:sz="4"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rPr>
          <w:trHeight w:val="470"/>
        </w:trPr>
        <w:tc>
          <w:tcPr>
            <w:tcW w:w="452" w:type="dxa"/>
            <w:tcBorders>
              <w:top w:val="dashed" w:sz="4" w:space="0" w:color="auto"/>
              <w:left w:val="single" w:sz="12" w:space="0" w:color="auto"/>
              <w:bottom w:val="single" w:sz="12"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12</w:t>
            </w:r>
          </w:p>
        </w:tc>
        <w:tc>
          <w:tcPr>
            <w:tcW w:w="709" w:type="dxa"/>
            <w:tcBorders>
              <w:top w:val="dashed" w:sz="4" w:space="0" w:color="auto"/>
              <w:left w:val="nil"/>
              <w:bottom w:val="single" w:sz="12" w:space="0" w:color="auto"/>
              <w:right w:val="single" w:sz="8" w:space="0" w:color="auto"/>
            </w:tcBorders>
            <w:shd w:val="clear" w:color="auto" w:fill="auto"/>
            <w:vAlign w:val="center"/>
          </w:tcPr>
          <w:p w:rsidR="00446B0D" w:rsidRDefault="008F1B69">
            <w:pPr>
              <w:spacing w:before="0" w:after="0"/>
              <w:jc w:val="center"/>
              <w:rPr>
                <w:bCs/>
                <w:noProof/>
                <w:sz w:val="20"/>
                <w:szCs w:val="20"/>
                <w:lang w:eastAsia="en-GB"/>
              </w:rPr>
            </w:pPr>
            <w:r>
              <w:rPr>
                <w:bCs/>
                <w:noProof/>
                <w:sz w:val="20"/>
                <w:szCs w:val="20"/>
                <w:lang w:eastAsia="en-GB"/>
              </w:rPr>
              <w:t>PL</w:t>
            </w:r>
          </w:p>
        </w:tc>
        <w:tc>
          <w:tcPr>
            <w:tcW w:w="2491" w:type="dxa"/>
            <w:tcBorders>
              <w:top w:val="dashed" w:sz="4" w:space="0" w:color="auto"/>
              <w:left w:val="nil"/>
              <w:bottom w:val="single" w:sz="12" w:space="0" w:color="auto"/>
              <w:right w:val="single" w:sz="8" w:space="0" w:color="auto"/>
            </w:tcBorders>
            <w:shd w:val="clear" w:color="auto" w:fill="auto"/>
            <w:vAlign w:val="center"/>
          </w:tcPr>
          <w:p w:rsidR="00446B0D" w:rsidRDefault="008F1B69">
            <w:pPr>
              <w:spacing w:before="0" w:after="0"/>
              <w:jc w:val="left"/>
              <w:rPr>
                <w:bCs/>
                <w:noProof/>
                <w:sz w:val="20"/>
                <w:szCs w:val="20"/>
                <w:lang w:eastAsia="en-GB"/>
              </w:rPr>
            </w:pPr>
            <w:r>
              <w:rPr>
                <w:bCs/>
                <w:noProof/>
                <w:sz w:val="20"/>
                <w:szCs w:val="20"/>
                <w:lang w:eastAsia="en-GB"/>
              </w:rPr>
              <w:t>Provincial Police Headquarters in Gdańsk</w:t>
            </w:r>
          </w:p>
        </w:tc>
        <w:tc>
          <w:tcPr>
            <w:tcW w:w="3686" w:type="dxa"/>
            <w:tcBorders>
              <w:top w:val="dashed" w:sz="4" w:space="0" w:color="auto"/>
              <w:left w:val="nil"/>
              <w:bottom w:val="single" w:sz="12" w:space="0" w:color="auto"/>
              <w:right w:val="single" w:sz="8" w:space="0" w:color="auto"/>
            </w:tcBorders>
            <w:shd w:val="clear" w:color="auto" w:fill="auto"/>
            <w:vAlign w:val="center"/>
          </w:tcPr>
          <w:p w:rsidR="00446B0D" w:rsidRDefault="008F1B69">
            <w:pPr>
              <w:spacing w:before="0" w:after="0"/>
              <w:jc w:val="left"/>
              <w:rPr>
                <w:bCs/>
                <w:noProof/>
                <w:sz w:val="20"/>
                <w:szCs w:val="20"/>
                <w:lang w:eastAsia="en-GB"/>
              </w:rPr>
            </w:pPr>
            <w:r>
              <w:rPr>
                <w:bCs/>
                <w:noProof/>
                <w:sz w:val="20"/>
                <w:szCs w:val="20"/>
                <w:lang w:eastAsia="en-GB"/>
              </w:rPr>
              <w:t>Identifying illegal production and distribution of excise goods</w:t>
            </w:r>
          </w:p>
        </w:tc>
        <w:tc>
          <w:tcPr>
            <w:tcW w:w="1335" w:type="dxa"/>
            <w:tcBorders>
              <w:top w:val="dashed" w:sz="4" w:space="0" w:color="auto"/>
              <w:left w:val="nil"/>
              <w:bottom w:val="single" w:sz="12" w:space="0" w:color="auto"/>
              <w:right w:val="single" w:sz="8" w:space="0" w:color="auto"/>
            </w:tcBorders>
            <w:shd w:val="clear" w:color="auto" w:fill="auto"/>
            <w:vAlign w:val="center"/>
          </w:tcPr>
          <w:p w:rsidR="00446B0D" w:rsidRDefault="008F1B69">
            <w:pPr>
              <w:spacing w:before="0" w:after="0"/>
              <w:jc w:val="right"/>
              <w:rPr>
                <w:bCs/>
                <w:noProof/>
                <w:sz w:val="20"/>
                <w:szCs w:val="20"/>
                <w:lang w:eastAsia="en-GB"/>
              </w:rPr>
            </w:pPr>
            <w:r>
              <w:rPr>
                <w:bCs/>
                <w:noProof/>
                <w:sz w:val="20"/>
                <w:szCs w:val="20"/>
                <w:lang w:eastAsia="en-GB"/>
              </w:rPr>
              <w:t>27 778</w:t>
            </w:r>
          </w:p>
        </w:tc>
        <w:tc>
          <w:tcPr>
            <w:tcW w:w="733" w:type="dxa"/>
            <w:tcBorders>
              <w:top w:val="dashed" w:sz="4" w:space="0" w:color="auto"/>
              <w:left w:val="nil"/>
              <w:bottom w:val="single" w:sz="12" w:space="0" w:color="auto"/>
              <w:right w:val="single" w:sz="12" w:space="0" w:color="auto"/>
            </w:tcBorders>
            <w:shd w:val="clear" w:color="auto" w:fill="auto"/>
            <w:vAlign w:val="center"/>
          </w:tcPr>
          <w:p w:rsidR="00446B0D" w:rsidRDefault="008F1B69">
            <w:pPr>
              <w:spacing w:before="0" w:after="0"/>
              <w:jc w:val="center"/>
              <w:rPr>
                <w:noProof/>
                <w:sz w:val="20"/>
                <w:szCs w:val="20"/>
                <w:lang w:eastAsia="en-GB"/>
              </w:rPr>
            </w:pPr>
            <w:r>
              <w:rPr>
                <w:noProof/>
                <w:sz w:val="20"/>
                <w:szCs w:val="20"/>
                <w:lang w:eastAsia="en-GB"/>
              </w:rPr>
              <w:t>80</w:t>
            </w:r>
          </w:p>
        </w:tc>
      </w:tr>
      <w:tr w:rsidR="00446B0D">
        <w:trPr>
          <w:gridBefore w:val="3"/>
          <w:wBefore w:w="3652" w:type="dxa"/>
          <w:trHeight w:val="414"/>
        </w:trPr>
        <w:tc>
          <w:tcPr>
            <w:tcW w:w="3686" w:type="dxa"/>
            <w:tcBorders>
              <w:top w:val="single" w:sz="12" w:space="0" w:color="auto"/>
              <w:left w:val="single" w:sz="12" w:space="0" w:color="auto"/>
              <w:bottom w:val="single" w:sz="12" w:space="0" w:color="auto"/>
              <w:right w:val="single" w:sz="8" w:space="0" w:color="auto"/>
            </w:tcBorders>
            <w:shd w:val="clear" w:color="auto" w:fill="D9D9D9"/>
            <w:vAlign w:val="center"/>
          </w:tcPr>
          <w:p w:rsidR="00446B0D" w:rsidRDefault="008F1B69">
            <w:pPr>
              <w:spacing w:before="0" w:after="0"/>
              <w:jc w:val="right"/>
              <w:rPr>
                <w:b/>
                <w:noProof/>
                <w:sz w:val="20"/>
                <w:szCs w:val="20"/>
                <w:lang w:eastAsia="en-GB"/>
              </w:rPr>
            </w:pPr>
            <w:r>
              <w:rPr>
                <w:b/>
                <w:bCs/>
                <w:noProof/>
                <w:sz w:val="20"/>
                <w:szCs w:val="20"/>
                <w:lang w:eastAsia="en-GB"/>
              </w:rPr>
              <w:t>Total</w:t>
            </w:r>
          </w:p>
        </w:tc>
        <w:tc>
          <w:tcPr>
            <w:tcW w:w="1335" w:type="dxa"/>
            <w:tcBorders>
              <w:top w:val="single" w:sz="12" w:space="0" w:color="auto"/>
              <w:left w:val="nil"/>
              <w:bottom w:val="single" w:sz="12" w:space="0" w:color="auto"/>
              <w:right w:val="single" w:sz="8" w:space="0" w:color="auto"/>
            </w:tcBorders>
            <w:shd w:val="clear" w:color="auto" w:fill="D9D9D9"/>
            <w:vAlign w:val="center"/>
          </w:tcPr>
          <w:p w:rsidR="00446B0D" w:rsidRDefault="008F1B69">
            <w:pPr>
              <w:spacing w:before="0" w:after="0"/>
              <w:jc w:val="right"/>
              <w:rPr>
                <w:b/>
                <w:noProof/>
                <w:sz w:val="20"/>
                <w:szCs w:val="20"/>
                <w:lang w:eastAsia="en-GB"/>
              </w:rPr>
            </w:pPr>
            <w:r>
              <w:rPr>
                <w:b/>
                <w:noProof/>
                <w:sz w:val="20"/>
                <w:szCs w:val="20"/>
                <w:lang w:eastAsia="en-GB"/>
              </w:rPr>
              <w:t>621 986</w:t>
            </w:r>
          </w:p>
        </w:tc>
        <w:tc>
          <w:tcPr>
            <w:tcW w:w="733" w:type="dxa"/>
            <w:tcBorders>
              <w:top w:val="single" w:sz="12" w:space="0" w:color="auto"/>
              <w:left w:val="nil"/>
              <w:bottom w:val="single" w:sz="12" w:space="0" w:color="auto"/>
              <w:right w:val="single" w:sz="12" w:space="0" w:color="auto"/>
            </w:tcBorders>
            <w:shd w:val="clear" w:color="auto" w:fill="D9D9D9"/>
            <w:vAlign w:val="center"/>
          </w:tcPr>
          <w:p w:rsidR="00446B0D" w:rsidRDefault="008F1B69">
            <w:pPr>
              <w:spacing w:before="0" w:after="0"/>
              <w:jc w:val="center"/>
              <w:rPr>
                <w:noProof/>
                <w:sz w:val="20"/>
                <w:szCs w:val="20"/>
                <w:lang w:eastAsia="en-GB"/>
              </w:rPr>
            </w:pPr>
            <w:r>
              <w:rPr>
                <w:noProof/>
                <w:sz w:val="20"/>
                <w:szCs w:val="20"/>
                <w:lang w:eastAsia="en-GB"/>
              </w:rPr>
              <w:t>80</w:t>
            </w:r>
          </w:p>
        </w:tc>
      </w:tr>
    </w:tbl>
    <w:p w:rsidR="00446B0D" w:rsidRDefault="00446B0D">
      <w:pPr>
        <w:pStyle w:val="Text1"/>
        <w:ind w:left="0"/>
        <w:rPr>
          <w:noProof/>
        </w:rPr>
      </w:pPr>
    </w:p>
    <w:p w:rsidR="00446B0D" w:rsidRDefault="008F1B69">
      <w:pPr>
        <w:spacing w:before="0" w:after="200" w:line="276" w:lineRule="auto"/>
        <w:jc w:val="left"/>
        <w:rPr>
          <w:b/>
          <w:noProof/>
        </w:rPr>
      </w:pPr>
      <w:r>
        <w:rPr>
          <w:b/>
          <w:noProof/>
        </w:rPr>
        <w:br w:type="page"/>
      </w:r>
    </w:p>
    <w:p w:rsidR="00446B0D" w:rsidRDefault="008F1B69">
      <w:pPr>
        <w:rPr>
          <w:b/>
          <w:noProof/>
          <w:sz w:val="20"/>
          <w:szCs w:val="20"/>
        </w:rPr>
      </w:pPr>
      <w:r>
        <w:rPr>
          <w:b/>
          <w:noProof/>
          <w:sz w:val="20"/>
          <w:szCs w:val="20"/>
        </w:rPr>
        <w:lastRenderedPageBreak/>
        <w:t xml:space="preserve">Table 5 — </w:t>
      </w:r>
      <w:r>
        <w:rPr>
          <w:b/>
          <w:noProof/>
          <w:sz w:val="20"/>
          <w:szCs w:val="20"/>
        </w:rPr>
        <w:t>Procured conferences organised by the Commission in 2014</w:t>
      </w:r>
    </w:p>
    <w:tbl>
      <w:tblPr>
        <w:tblW w:w="9640" w:type="dxa"/>
        <w:tblInd w:w="-176" w:type="dxa"/>
        <w:tblLayout w:type="fixed"/>
        <w:tblLook w:val="04A0" w:firstRow="1" w:lastRow="0" w:firstColumn="1" w:lastColumn="0" w:noHBand="0" w:noVBand="1"/>
      </w:tblPr>
      <w:tblGrid>
        <w:gridCol w:w="568"/>
        <w:gridCol w:w="2126"/>
        <w:gridCol w:w="2835"/>
        <w:gridCol w:w="1418"/>
        <w:gridCol w:w="1417"/>
        <w:gridCol w:w="1276"/>
      </w:tblGrid>
      <w:tr w:rsidR="00446B0D">
        <w:trPr>
          <w:trHeight w:val="454"/>
          <w:tblHeader/>
        </w:trPr>
        <w:tc>
          <w:tcPr>
            <w:tcW w:w="568" w:type="dxa"/>
            <w:tcBorders>
              <w:bottom w:val="single" w:sz="12" w:space="0" w:color="auto"/>
              <w:right w:val="single" w:sz="12" w:space="0" w:color="auto"/>
            </w:tcBorders>
            <w:shd w:val="clear" w:color="auto" w:fill="auto"/>
            <w:vAlign w:val="center"/>
          </w:tcPr>
          <w:p w:rsidR="00446B0D" w:rsidRDefault="00446B0D">
            <w:pPr>
              <w:spacing w:before="0" w:after="0"/>
              <w:jc w:val="center"/>
              <w:rPr>
                <w:b/>
                <w:bCs/>
                <w:noProof/>
                <w:sz w:val="20"/>
                <w:szCs w:val="20"/>
                <w:lang w:eastAsia="en-GB"/>
              </w:rPr>
            </w:pPr>
          </w:p>
        </w:tc>
        <w:tc>
          <w:tcPr>
            <w:tcW w:w="2126" w:type="dxa"/>
            <w:tcBorders>
              <w:top w:val="single" w:sz="12" w:space="0" w:color="auto"/>
              <w:left w:val="single" w:sz="12" w:space="0" w:color="auto"/>
              <w:bottom w:val="single" w:sz="12" w:space="0" w:color="auto"/>
              <w:right w:val="single" w:sz="8" w:space="0" w:color="auto"/>
            </w:tcBorders>
            <w:shd w:val="clear" w:color="auto" w:fill="C7C7C7" w:themeFill="background1" w:themeFillShade="D9"/>
            <w:vAlign w:val="center"/>
          </w:tcPr>
          <w:p w:rsidR="00446B0D" w:rsidRDefault="008F1B69">
            <w:pPr>
              <w:spacing w:before="0" w:after="0"/>
              <w:jc w:val="center"/>
              <w:rPr>
                <w:b/>
                <w:bCs/>
                <w:noProof/>
                <w:sz w:val="20"/>
                <w:szCs w:val="20"/>
                <w:lang w:eastAsia="en-GB"/>
              </w:rPr>
            </w:pPr>
            <w:r>
              <w:rPr>
                <w:b/>
                <w:bCs/>
                <w:noProof/>
                <w:sz w:val="20"/>
                <w:szCs w:val="20"/>
                <w:lang w:eastAsia="en-GB"/>
              </w:rPr>
              <w:t>Dates</w:t>
            </w:r>
          </w:p>
        </w:tc>
        <w:tc>
          <w:tcPr>
            <w:tcW w:w="2835" w:type="dxa"/>
            <w:tcBorders>
              <w:top w:val="single" w:sz="12" w:space="0" w:color="auto"/>
              <w:left w:val="nil"/>
              <w:bottom w:val="single" w:sz="12" w:space="0" w:color="auto"/>
              <w:right w:val="single" w:sz="8" w:space="0" w:color="auto"/>
            </w:tcBorders>
            <w:shd w:val="clear" w:color="auto" w:fill="C7C7C7" w:themeFill="background1" w:themeFillShade="D9"/>
            <w:vAlign w:val="center"/>
          </w:tcPr>
          <w:p w:rsidR="00446B0D" w:rsidRDefault="008F1B69">
            <w:pPr>
              <w:spacing w:before="0" w:after="0"/>
              <w:jc w:val="center"/>
              <w:rPr>
                <w:b/>
                <w:bCs/>
                <w:noProof/>
                <w:sz w:val="20"/>
                <w:szCs w:val="20"/>
                <w:lang w:eastAsia="en-GB"/>
              </w:rPr>
            </w:pPr>
            <w:r>
              <w:rPr>
                <w:b/>
                <w:bCs/>
                <w:noProof/>
                <w:sz w:val="20"/>
                <w:szCs w:val="20"/>
                <w:lang w:eastAsia="en-GB"/>
              </w:rPr>
              <w:t>Conference Title</w:t>
            </w:r>
          </w:p>
        </w:tc>
        <w:tc>
          <w:tcPr>
            <w:tcW w:w="1418" w:type="dxa"/>
            <w:tcBorders>
              <w:top w:val="single" w:sz="12" w:space="0" w:color="auto"/>
              <w:left w:val="nil"/>
              <w:bottom w:val="single" w:sz="12" w:space="0" w:color="auto"/>
              <w:right w:val="single" w:sz="8" w:space="0" w:color="auto"/>
            </w:tcBorders>
            <w:shd w:val="clear" w:color="auto" w:fill="C7C7C7" w:themeFill="background1" w:themeFillShade="D9"/>
            <w:vAlign w:val="center"/>
          </w:tcPr>
          <w:p w:rsidR="00446B0D" w:rsidRDefault="008F1B69">
            <w:pPr>
              <w:spacing w:before="0" w:after="0"/>
              <w:jc w:val="center"/>
              <w:rPr>
                <w:b/>
                <w:bCs/>
                <w:noProof/>
                <w:sz w:val="20"/>
                <w:szCs w:val="20"/>
                <w:lang w:eastAsia="en-GB"/>
              </w:rPr>
            </w:pPr>
            <w:r>
              <w:rPr>
                <w:b/>
                <w:bCs/>
                <w:noProof/>
                <w:sz w:val="20"/>
                <w:szCs w:val="20"/>
                <w:lang w:eastAsia="en-GB"/>
              </w:rPr>
              <w:t>Location</w:t>
            </w:r>
          </w:p>
        </w:tc>
        <w:tc>
          <w:tcPr>
            <w:tcW w:w="1417" w:type="dxa"/>
            <w:tcBorders>
              <w:top w:val="single" w:sz="12" w:space="0" w:color="auto"/>
              <w:left w:val="nil"/>
              <w:bottom w:val="single" w:sz="12" w:space="0" w:color="auto"/>
              <w:right w:val="single" w:sz="8" w:space="0" w:color="auto"/>
            </w:tcBorders>
            <w:shd w:val="clear" w:color="auto" w:fill="C7C7C7" w:themeFill="background1" w:themeFillShade="D9"/>
            <w:vAlign w:val="center"/>
          </w:tcPr>
          <w:p w:rsidR="00446B0D" w:rsidRDefault="008F1B69">
            <w:pPr>
              <w:spacing w:before="0" w:after="0"/>
              <w:jc w:val="center"/>
              <w:rPr>
                <w:b/>
                <w:bCs/>
                <w:noProof/>
                <w:sz w:val="20"/>
                <w:szCs w:val="20"/>
                <w:lang w:eastAsia="en-GB"/>
              </w:rPr>
            </w:pPr>
            <w:r>
              <w:rPr>
                <w:b/>
                <w:bCs/>
                <w:noProof/>
                <w:sz w:val="20"/>
                <w:szCs w:val="20"/>
                <w:lang w:eastAsia="en-GB"/>
              </w:rPr>
              <w:t>No of participants</w:t>
            </w:r>
          </w:p>
        </w:tc>
        <w:tc>
          <w:tcPr>
            <w:tcW w:w="1276" w:type="dxa"/>
            <w:tcBorders>
              <w:top w:val="single" w:sz="12" w:space="0" w:color="auto"/>
              <w:left w:val="nil"/>
              <w:bottom w:val="single" w:sz="12" w:space="0" w:color="auto"/>
              <w:right w:val="single" w:sz="12" w:space="0" w:color="auto"/>
            </w:tcBorders>
            <w:shd w:val="clear" w:color="auto" w:fill="C7C7C7" w:themeFill="background1" w:themeFillShade="D9"/>
            <w:vAlign w:val="center"/>
          </w:tcPr>
          <w:p w:rsidR="00446B0D" w:rsidRDefault="008F1B69">
            <w:pPr>
              <w:spacing w:before="0" w:after="0"/>
              <w:jc w:val="center"/>
              <w:rPr>
                <w:b/>
                <w:bCs/>
                <w:noProof/>
                <w:sz w:val="20"/>
                <w:szCs w:val="20"/>
                <w:lang w:eastAsia="en-GB"/>
              </w:rPr>
            </w:pPr>
            <w:r>
              <w:rPr>
                <w:b/>
                <w:bCs/>
                <w:noProof/>
                <w:sz w:val="20"/>
                <w:szCs w:val="20"/>
                <w:lang w:eastAsia="en-GB"/>
              </w:rPr>
              <w:t>Amount paid in Euro</w:t>
            </w:r>
          </w:p>
        </w:tc>
      </w:tr>
      <w:tr w:rsidR="00446B0D">
        <w:trPr>
          <w:trHeight w:val="454"/>
        </w:trPr>
        <w:tc>
          <w:tcPr>
            <w:tcW w:w="568" w:type="dxa"/>
            <w:tcBorders>
              <w:top w:val="single" w:sz="12" w:space="0" w:color="auto"/>
              <w:left w:val="single" w:sz="12" w:space="0" w:color="auto"/>
              <w:bottom w:val="dashed" w:sz="4" w:space="0" w:color="auto"/>
              <w:right w:val="single" w:sz="8" w:space="0" w:color="auto"/>
            </w:tcBorders>
            <w:shd w:val="clear" w:color="000000" w:fill="EEECE1"/>
            <w:vAlign w:val="center"/>
          </w:tcPr>
          <w:p w:rsidR="00446B0D" w:rsidRDefault="008F1B69">
            <w:pPr>
              <w:spacing w:before="0" w:after="0"/>
              <w:jc w:val="center"/>
              <w:rPr>
                <w:b/>
                <w:bCs/>
                <w:noProof/>
                <w:sz w:val="20"/>
                <w:szCs w:val="20"/>
                <w:lang w:eastAsia="en-GB"/>
              </w:rPr>
            </w:pPr>
            <w:r>
              <w:rPr>
                <w:b/>
                <w:bCs/>
                <w:noProof/>
                <w:sz w:val="20"/>
                <w:szCs w:val="20"/>
                <w:lang w:eastAsia="en-GB"/>
              </w:rPr>
              <w:t>1</w:t>
            </w:r>
          </w:p>
        </w:tc>
        <w:tc>
          <w:tcPr>
            <w:tcW w:w="2126"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jc w:val="left"/>
              <w:rPr>
                <w:noProof/>
                <w:sz w:val="20"/>
                <w:szCs w:val="20"/>
                <w:lang w:eastAsia="en-GB"/>
              </w:rPr>
            </w:pPr>
            <w:r>
              <w:rPr>
                <w:noProof/>
                <w:sz w:val="20"/>
                <w:szCs w:val="20"/>
                <w:lang w:eastAsia="en-GB"/>
              </w:rPr>
              <w:t>6-9 October 2014</w:t>
            </w:r>
          </w:p>
        </w:tc>
        <w:tc>
          <w:tcPr>
            <w:tcW w:w="2835"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jc w:val="left"/>
              <w:rPr>
                <w:b/>
                <w:bCs/>
                <w:noProof/>
                <w:sz w:val="20"/>
                <w:szCs w:val="20"/>
                <w:lang w:eastAsia="en-GB"/>
              </w:rPr>
            </w:pPr>
            <w:r>
              <w:rPr>
                <w:noProof/>
                <w:sz w:val="20"/>
                <w:szCs w:val="20"/>
              </w:rPr>
              <w:t>19th Task Group Cigarettes Conference</w:t>
            </w:r>
          </w:p>
        </w:tc>
        <w:tc>
          <w:tcPr>
            <w:tcW w:w="1418"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rPr>
                <w:noProof/>
                <w:sz w:val="20"/>
                <w:szCs w:val="20"/>
              </w:rPr>
            </w:pPr>
            <w:r>
              <w:rPr>
                <w:noProof/>
                <w:sz w:val="20"/>
                <w:szCs w:val="20"/>
              </w:rPr>
              <w:t>Prague,</w:t>
            </w:r>
          </w:p>
          <w:p w:rsidR="00446B0D" w:rsidRDefault="008F1B69">
            <w:pPr>
              <w:spacing w:before="0" w:after="0"/>
              <w:rPr>
                <w:noProof/>
                <w:sz w:val="20"/>
                <w:szCs w:val="20"/>
                <w:lang w:eastAsia="en-GB"/>
              </w:rPr>
            </w:pPr>
            <w:r>
              <w:rPr>
                <w:noProof/>
                <w:sz w:val="20"/>
                <w:szCs w:val="20"/>
              </w:rPr>
              <w:t>Czech Republic</w:t>
            </w:r>
          </w:p>
        </w:tc>
        <w:tc>
          <w:tcPr>
            <w:tcW w:w="1417"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jc w:val="center"/>
              <w:rPr>
                <w:noProof/>
                <w:sz w:val="20"/>
                <w:szCs w:val="20"/>
                <w:lang w:eastAsia="en-GB"/>
              </w:rPr>
            </w:pPr>
            <w:r>
              <w:rPr>
                <w:noProof/>
                <w:sz w:val="20"/>
                <w:szCs w:val="20"/>
                <w:lang w:eastAsia="en-GB"/>
              </w:rPr>
              <w:t>93</w:t>
            </w:r>
          </w:p>
        </w:tc>
        <w:tc>
          <w:tcPr>
            <w:tcW w:w="1276" w:type="dxa"/>
            <w:tcBorders>
              <w:top w:val="single" w:sz="12" w:space="0" w:color="auto"/>
              <w:left w:val="nil"/>
              <w:bottom w:val="dashed" w:sz="4" w:space="0" w:color="auto"/>
              <w:right w:val="single" w:sz="12" w:space="0" w:color="auto"/>
            </w:tcBorders>
            <w:shd w:val="clear" w:color="000000" w:fill="EEECE1"/>
            <w:vAlign w:val="center"/>
          </w:tcPr>
          <w:p w:rsidR="00446B0D" w:rsidRDefault="008F1B69">
            <w:pPr>
              <w:spacing w:before="0" w:after="0"/>
              <w:jc w:val="right"/>
              <w:rPr>
                <w:noProof/>
                <w:sz w:val="20"/>
                <w:szCs w:val="20"/>
                <w:lang w:eastAsia="en-GB"/>
              </w:rPr>
            </w:pPr>
            <w:r>
              <w:rPr>
                <w:noProof/>
                <w:sz w:val="20"/>
                <w:szCs w:val="20"/>
                <w:lang w:eastAsia="en-GB"/>
              </w:rPr>
              <w:t>150 809</w:t>
            </w:r>
          </w:p>
        </w:tc>
      </w:tr>
      <w:tr w:rsidR="00446B0D">
        <w:trPr>
          <w:trHeight w:val="454"/>
        </w:trPr>
        <w:tc>
          <w:tcPr>
            <w:tcW w:w="9640" w:type="dxa"/>
            <w:gridSpan w:val="6"/>
            <w:tcBorders>
              <w:top w:val="dashed" w:sz="4" w:space="0" w:color="auto"/>
              <w:left w:val="single" w:sz="12" w:space="0" w:color="auto"/>
              <w:bottom w:val="single" w:sz="12" w:space="0" w:color="auto"/>
              <w:right w:val="single" w:sz="12" w:space="0" w:color="auto"/>
            </w:tcBorders>
            <w:shd w:val="clear" w:color="auto" w:fill="auto"/>
            <w:vAlign w:val="center"/>
          </w:tcPr>
          <w:p w:rsidR="00446B0D" w:rsidRDefault="008F1B69">
            <w:pPr>
              <w:spacing w:before="0" w:after="0"/>
              <w:rPr>
                <w:noProof/>
                <w:sz w:val="18"/>
                <w:szCs w:val="18"/>
                <w:lang w:eastAsia="en-GB"/>
              </w:rPr>
            </w:pPr>
            <w:r>
              <w:rPr>
                <w:noProof/>
                <w:sz w:val="18"/>
                <w:szCs w:val="18"/>
                <w:u w:val="single"/>
                <w:lang w:eastAsia="en-GB"/>
              </w:rPr>
              <w:t>Objectives</w:t>
            </w:r>
            <w:r>
              <w:rPr>
                <w:noProof/>
                <w:sz w:val="18"/>
                <w:szCs w:val="18"/>
                <w:lang w:eastAsia="en-GB"/>
              </w:rPr>
              <w:t xml:space="preserve">: </w:t>
            </w:r>
            <w:r>
              <w:rPr>
                <w:noProof/>
                <w:sz w:val="18"/>
                <w:szCs w:val="18"/>
              </w:rPr>
              <w:t xml:space="preserve">To strengthen international cooperation and coordination in the EU and with third countries through comparison and discussion of the most salient issues and most important criticalities and by exchange of best practices.  </w:t>
            </w:r>
          </w:p>
        </w:tc>
      </w:tr>
      <w:tr w:rsidR="00446B0D">
        <w:trPr>
          <w:trHeight w:val="454"/>
        </w:trPr>
        <w:tc>
          <w:tcPr>
            <w:tcW w:w="568" w:type="dxa"/>
            <w:tcBorders>
              <w:top w:val="single" w:sz="12" w:space="0" w:color="auto"/>
              <w:left w:val="single" w:sz="12" w:space="0" w:color="auto"/>
              <w:bottom w:val="dashed" w:sz="4" w:space="0" w:color="auto"/>
              <w:right w:val="single" w:sz="8" w:space="0" w:color="auto"/>
            </w:tcBorders>
            <w:shd w:val="clear" w:color="000000" w:fill="EEECE1"/>
            <w:vAlign w:val="center"/>
          </w:tcPr>
          <w:p w:rsidR="00446B0D" w:rsidRDefault="008F1B69">
            <w:pPr>
              <w:spacing w:before="0" w:after="0"/>
              <w:jc w:val="center"/>
              <w:rPr>
                <w:b/>
                <w:bCs/>
                <w:noProof/>
                <w:sz w:val="20"/>
                <w:szCs w:val="20"/>
                <w:lang w:eastAsia="en-GB"/>
              </w:rPr>
            </w:pPr>
            <w:r>
              <w:rPr>
                <w:b/>
                <w:bCs/>
                <w:noProof/>
                <w:sz w:val="20"/>
                <w:szCs w:val="20"/>
                <w:lang w:eastAsia="en-GB"/>
              </w:rPr>
              <w:t>2</w:t>
            </w:r>
          </w:p>
        </w:tc>
        <w:tc>
          <w:tcPr>
            <w:tcW w:w="2126"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rPr>
                <w:noProof/>
                <w:sz w:val="20"/>
                <w:szCs w:val="20"/>
                <w:lang w:eastAsia="en-GB"/>
              </w:rPr>
            </w:pPr>
            <w:r>
              <w:rPr>
                <w:noProof/>
                <w:sz w:val="20"/>
                <w:szCs w:val="20"/>
                <w:lang w:eastAsia="en-GB"/>
              </w:rPr>
              <w:t>13-14 October 2014</w:t>
            </w:r>
          </w:p>
        </w:tc>
        <w:tc>
          <w:tcPr>
            <w:tcW w:w="2835"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jc w:val="left"/>
              <w:rPr>
                <w:b/>
                <w:bCs/>
                <w:noProof/>
                <w:sz w:val="20"/>
                <w:szCs w:val="20"/>
                <w:lang w:eastAsia="en-GB"/>
              </w:rPr>
            </w:pPr>
            <w:r>
              <w:rPr>
                <w:noProof/>
                <w:sz w:val="20"/>
                <w:szCs w:val="20"/>
              </w:rPr>
              <w:t>Operational</w:t>
            </w:r>
            <w:r>
              <w:rPr>
                <w:noProof/>
                <w:sz w:val="20"/>
                <w:szCs w:val="20"/>
              </w:rPr>
              <w:t xml:space="preserve"> Aspects of Fighting Fraud in Structural Funds</w:t>
            </w:r>
          </w:p>
        </w:tc>
        <w:tc>
          <w:tcPr>
            <w:tcW w:w="1418"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rPr>
                <w:noProof/>
                <w:sz w:val="20"/>
                <w:szCs w:val="20"/>
                <w:lang w:eastAsia="en-GB"/>
              </w:rPr>
            </w:pPr>
            <w:r>
              <w:rPr>
                <w:noProof/>
                <w:sz w:val="20"/>
                <w:szCs w:val="20"/>
                <w:lang w:eastAsia="en-GB"/>
              </w:rPr>
              <w:t>Rome,</w:t>
            </w:r>
          </w:p>
          <w:p w:rsidR="00446B0D" w:rsidRDefault="008F1B69">
            <w:pPr>
              <w:spacing w:before="0" w:after="0"/>
              <w:rPr>
                <w:noProof/>
                <w:sz w:val="20"/>
                <w:szCs w:val="20"/>
                <w:lang w:eastAsia="en-GB"/>
              </w:rPr>
            </w:pPr>
            <w:r>
              <w:rPr>
                <w:noProof/>
                <w:sz w:val="20"/>
                <w:szCs w:val="20"/>
                <w:lang w:eastAsia="en-GB"/>
              </w:rPr>
              <w:t>Italy</w:t>
            </w:r>
          </w:p>
        </w:tc>
        <w:tc>
          <w:tcPr>
            <w:tcW w:w="1417"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jc w:val="center"/>
              <w:rPr>
                <w:noProof/>
                <w:sz w:val="20"/>
                <w:szCs w:val="20"/>
                <w:lang w:eastAsia="en-GB"/>
              </w:rPr>
            </w:pPr>
            <w:r>
              <w:rPr>
                <w:noProof/>
                <w:sz w:val="20"/>
                <w:szCs w:val="20"/>
                <w:lang w:eastAsia="en-GB"/>
              </w:rPr>
              <w:t>80</w:t>
            </w:r>
          </w:p>
        </w:tc>
        <w:tc>
          <w:tcPr>
            <w:tcW w:w="1276" w:type="dxa"/>
            <w:tcBorders>
              <w:top w:val="single" w:sz="12" w:space="0" w:color="auto"/>
              <w:left w:val="nil"/>
              <w:bottom w:val="dashed" w:sz="4" w:space="0" w:color="auto"/>
              <w:right w:val="single" w:sz="12" w:space="0" w:color="auto"/>
            </w:tcBorders>
            <w:shd w:val="clear" w:color="000000" w:fill="EEECE1"/>
            <w:vAlign w:val="center"/>
          </w:tcPr>
          <w:p w:rsidR="00446B0D" w:rsidRDefault="008F1B69">
            <w:pPr>
              <w:spacing w:before="0" w:after="0"/>
              <w:jc w:val="right"/>
              <w:rPr>
                <w:noProof/>
                <w:sz w:val="20"/>
                <w:szCs w:val="20"/>
                <w:lang w:eastAsia="en-GB"/>
              </w:rPr>
            </w:pPr>
            <w:r>
              <w:rPr>
                <w:noProof/>
                <w:sz w:val="20"/>
                <w:szCs w:val="20"/>
              </w:rPr>
              <w:t>125 284</w:t>
            </w:r>
          </w:p>
        </w:tc>
      </w:tr>
      <w:tr w:rsidR="00446B0D">
        <w:trPr>
          <w:trHeight w:val="454"/>
        </w:trPr>
        <w:tc>
          <w:tcPr>
            <w:tcW w:w="9640" w:type="dxa"/>
            <w:gridSpan w:val="6"/>
            <w:tcBorders>
              <w:top w:val="dashed" w:sz="4" w:space="0" w:color="auto"/>
              <w:left w:val="single" w:sz="12" w:space="0" w:color="auto"/>
              <w:bottom w:val="single" w:sz="12" w:space="0" w:color="auto"/>
              <w:right w:val="single" w:sz="12" w:space="0" w:color="auto"/>
            </w:tcBorders>
            <w:shd w:val="clear" w:color="auto" w:fill="auto"/>
            <w:vAlign w:val="center"/>
          </w:tcPr>
          <w:p w:rsidR="00446B0D" w:rsidRDefault="008F1B69">
            <w:pPr>
              <w:spacing w:before="0" w:after="0"/>
              <w:rPr>
                <w:i/>
                <w:noProof/>
                <w:sz w:val="20"/>
                <w:szCs w:val="20"/>
              </w:rPr>
            </w:pPr>
            <w:r>
              <w:rPr>
                <w:noProof/>
                <w:sz w:val="18"/>
                <w:szCs w:val="18"/>
                <w:u w:val="single"/>
                <w:lang w:eastAsia="en-GB"/>
              </w:rPr>
              <w:t>Objectives</w:t>
            </w:r>
            <w:r>
              <w:rPr>
                <w:noProof/>
                <w:sz w:val="18"/>
                <w:szCs w:val="18"/>
                <w:lang w:eastAsia="en-GB"/>
              </w:rPr>
              <w:t xml:space="preserve">: </w:t>
            </w:r>
            <w:r>
              <w:rPr>
                <w:noProof/>
                <w:sz w:val="18"/>
                <w:szCs w:val="18"/>
              </w:rPr>
              <w:t xml:space="preserve">Sharing best practice on the implementation of anti-fraud measures; Presenting to Member States challenges on Structural Funds fraud; Promoting cooperation between OLAF and </w:t>
            </w:r>
            <w:r>
              <w:rPr>
                <w:noProof/>
                <w:sz w:val="18"/>
                <w:szCs w:val="18"/>
              </w:rPr>
              <w:t>Member States; Promoting cooperation between administrative, law enforcement and judicial authorities in the Member States and at EU level; Describing success stories and offering support in facing difficulties.</w:t>
            </w:r>
            <w:r>
              <w:rPr>
                <w:noProof/>
                <w:sz w:val="20"/>
                <w:szCs w:val="20"/>
              </w:rPr>
              <w:t xml:space="preserve">  </w:t>
            </w:r>
          </w:p>
        </w:tc>
      </w:tr>
      <w:tr w:rsidR="00446B0D">
        <w:trPr>
          <w:trHeight w:val="454"/>
        </w:trPr>
        <w:tc>
          <w:tcPr>
            <w:tcW w:w="568" w:type="dxa"/>
            <w:tcBorders>
              <w:top w:val="single" w:sz="12" w:space="0" w:color="auto"/>
              <w:left w:val="single" w:sz="12" w:space="0" w:color="auto"/>
              <w:bottom w:val="dashed" w:sz="4" w:space="0" w:color="auto"/>
              <w:right w:val="single" w:sz="8" w:space="0" w:color="auto"/>
            </w:tcBorders>
            <w:shd w:val="clear" w:color="000000" w:fill="EEECE1"/>
            <w:vAlign w:val="center"/>
          </w:tcPr>
          <w:p w:rsidR="00446B0D" w:rsidRDefault="008F1B69">
            <w:pPr>
              <w:spacing w:before="0" w:after="0"/>
              <w:jc w:val="center"/>
              <w:rPr>
                <w:b/>
                <w:bCs/>
                <w:noProof/>
                <w:sz w:val="20"/>
                <w:szCs w:val="20"/>
                <w:lang w:eastAsia="en-GB"/>
              </w:rPr>
            </w:pPr>
            <w:r>
              <w:rPr>
                <w:b/>
                <w:bCs/>
                <w:noProof/>
                <w:sz w:val="20"/>
                <w:szCs w:val="20"/>
                <w:lang w:eastAsia="en-GB"/>
              </w:rPr>
              <w:t>3</w:t>
            </w:r>
          </w:p>
        </w:tc>
        <w:tc>
          <w:tcPr>
            <w:tcW w:w="2126"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jc w:val="left"/>
              <w:rPr>
                <w:noProof/>
                <w:sz w:val="20"/>
                <w:szCs w:val="20"/>
                <w:lang w:eastAsia="en-GB"/>
              </w:rPr>
            </w:pPr>
            <w:r>
              <w:rPr>
                <w:noProof/>
                <w:sz w:val="20"/>
                <w:szCs w:val="20"/>
                <w:lang w:eastAsia="en-GB"/>
              </w:rPr>
              <w:t>26-28 October 2014</w:t>
            </w:r>
          </w:p>
        </w:tc>
        <w:tc>
          <w:tcPr>
            <w:tcW w:w="2835"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ind w:left="34" w:hanging="34"/>
              <w:jc w:val="left"/>
              <w:rPr>
                <w:bCs/>
                <w:noProof/>
                <w:sz w:val="20"/>
                <w:szCs w:val="20"/>
                <w:lang w:eastAsia="en-GB"/>
              </w:rPr>
            </w:pPr>
            <w:r>
              <w:rPr>
                <w:bCs/>
                <w:noProof/>
                <w:sz w:val="20"/>
                <w:szCs w:val="20"/>
                <w:lang w:eastAsia="en-GB"/>
              </w:rPr>
              <w:t>12</w:t>
            </w:r>
            <w:r>
              <w:rPr>
                <w:bCs/>
                <w:noProof/>
                <w:sz w:val="20"/>
                <w:szCs w:val="20"/>
                <w:vertAlign w:val="superscript"/>
                <w:lang w:eastAsia="en-GB"/>
              </w:rPr>
              <w:t>th</w:t>
            </w:r>
            <w:r>
              <w:rPr>
                <w:bCs/>
                <w:noProof/>
                <w:sz w:val="20"/>
                <w:szCs w:val="20"/>
                <w:lang w:eastAsia="en-GB"/>
              </w:rPr>
              <w:t xml:space="preserve"> OLAF Conference of Fraud Prosecutors</w:t>
            </w:r>
          </w:p>
        </w:tc>
        <w:tc>
          <w:tcPr>
            <w:tcW w:w="1418"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rPr>
                <w:noProof/>
                <w:sz w:val="20"/>
                <w:szCs w:val="20"/>
                <w:lang w:eastAsia="en-GB"/>
              </w:rPr>
            </w:pPr>
            <w:r>
              <w:rPr>
                <w:noProof/>
                <w:sz w:val="20"/>
                <w:szCs w:val="20"/>
                <w:lang w:eastAsia="en-GB"/>
              </w:rPr>
              <w:t>Rome,</w:t>
            </w:r>
          </w:p>
          <w:p w:rsidR="00446B0D" w:rsidRDefault="008F1B69">
            <w:pPr>
              <w:spacing w:before="0" w:after="0"/>
              <w:rPr>
                <w:noProof/>
                <w:sz w:val="20"/>
                <w:szCs w:val="20"/>
                <w:lang w:eastAsia="en-GB"/>
              </w:rPr>
            </w:pPr>
            <w:r>
              <w:rPr>
                <w:noProof/>
                <w:sz w:val="20"/>
                <w:szCs w:val="20"/>
                <w:lang w:eastAsia="en-GB"/>
              </w:rPr>
              <w:t>Italy</w:t>
            </w:r>
          </w:p>
        </w:tc>
        <w:tc>
          <w:tcPr>
            <w:tcW w:w="1417"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jc w:val="center"/>
              <w:rPr>
                <w:noProof/>
                <w:sz w:val="20"/>
                <w:szCs w:val="20"/>
                <w:lang w:eastAsia="en-GB"/>
              </w:rPr>
            </w:pPr>
            <w:r>
              <w:rPr>
                <w:noProof/>
                <w:sz w:val="20"/>
                <w:szCs w:val="20"/>
                <w:lang w:eastAsia="en-GB"/>
              </w:rPr>
              <w:t>127</w:t>
            </w:r>
          </w:p>
        </w:tc>
        <w:tc>
          <w:tcPr>
            <w:tcW w:w="1276" w:type="dxa"/>
            <w:tcBorders>
              <w:top w:val="single" w:sz="12" w:space="0" w:color="auto"/>
              <w:left w:val="nil"/>
              <w:bottom w:val="dashed" w:sz="4" w:space="0" w:color="auto"/>
              <w:right w:val="single" w:sz="12" w:space="0" w:color="auto"/>
            </w:tcBorders>
            <w:shd w:val="clear" w:color="000000" w:fill="EEECE1"/>
            <w:vAlign w:val="center"/>
          </w:tcPr>
          <w:p w:rsidR="00446B0D" w:rsidRDefault="008F1B69">
            <w:pPr>
              <w:spacing w:before="0" w:after="0"/>
              <w:jc w:val="right"/>
              <w:rPr>
                <w:noProof/>
                <w:sz w:val="20"/>
                <w:szCs w:val="20"/>
                <w:lang w:eastAsia="en-GB"/>
              </w:rPr>
            </w:pPr>
            <w:r>
              <w:rPr>
                <w:noProof/>
                <w:sz w:val="20"/>
                <w:szCs w:val="20"/>
                <w:lang w:eastAsia="en-GB"/>
              </w:rPr>
              <w:t>168 533</w:t>
            </w:r>
          </w:p>
        </w:tc>
      </w:tr>
      <w:tr w:rsidR="00446B0D">
        <w:trPr>
          <w:trHeight w:val="454"/>
        </w:trPr>
        <w:tc>
          <w:tcPr>
            <w:tcW w:w="9640" w:type="dxa"/>
            <w:gridSpan w:val="6"/>
            <w:tcBorders>
              <w:top w:val="dashed" w:sz="4" w:space="0" w:color="auto"/>
              <w:left w:val="single" w:sz="12" w:space="0" w:color="auto"/>
              <w:bottom w:val="single" w:sz="12" w:space="0" w:color="auto"/>
              <w:right w:val="single" w:sz="12" w:space="0" w:color="auto"/>
            </w:tcBorders>
            <w:shd w:val="clear" w:color="auto" w:fill="auto"/>
            <w:vAlign w:val="center"/>
          </w:tcPr>
          <w:p w:rsidR="00446B0D" w:rsidRDefault="008F1B69">
            <w:pPr>
              <w:spacing w:before="0" w:after="0"/>
              <w:rPr>
                <w:noProof/>
                <w:sz w:val="18"/>
                <w:szCs w:val="18"/>
                <w:lang w:eastAsia="en-GB"/>
              </w:rPr>
            </w:pPr>
            <w:r>
              <w:rPr>
                <w:noProof/>
                <w:sz w:val="18"/>
                <w:szCs w:val="18"/>
                <w:u w:val="single"/>
                <w:lang w:eastAsia="en-GB"/>
              </w:rPr>
              <w:t>Objectives</w:t>
            </w:r>
            <w:r>
              <w:rPr>
                <w:noProof/>
                <w:sz w:val="18"/>
                <w:szCs w:val="18"/>
                <w:lang w:eastAsia="en-GB"/>
              </w:rPr>
              <w:t xml:space="preserve">: </w:t>
            </w:r>
            <w:r>
              <w:rPr>
                <w:noProof/>
                <w:sz w:val="18"/>
                <w:szCs w:val="18"/>
              </w:rPr>
              <w:t xml:space="preserve">To discuss with practitioners from all Member States the currently negotiated proposal for the establishment of a European Public Prosecutor’s Office (EPPO). The EPPO file is a </w:t>
            </w:r>
            <w:r>
              <w:rPr>
                <w:noProof/>
                <w:sz w:val="18"/>
                <w:szCs w:val="18"/>
              </w:rPr>
              <w:t>priority for the Commission and OLAF; once established, the EPPO could have a major impact on OLAF’s future competences and structure.</w:t>
            </w:r>
          </w:p>
        </w:tc>
      </w:tr>
      <w:tr w:rsidR="00446B0D">
        <w:trPr>
          <w:trHeight w:val="454"/>
        </w:trPr>
        <w:tc>
          <w:tcPr>
            <w:tcW w:w="568" w:type="dxa"/>
            <w:tcBorders>
              <w:top w:val="single" w:sz="12" w:space="0" w:color="auto"/>
              <w:left w:val="single" w:sz="12" w:space="0" w:color="auto"/>
              <w:bottom w:val="dashed" w:sz="4" w:space="0" w:color="auto"/>
              <w:right w:val="single" w:sz="8" w:space="0" w:color="auto"/>
            </w:tcBorders>
            <w:shd w:val="clear" w:color="000000" w:fill="EEECE1"/>
            <w:vAlign w:val="center"/>
          </w:tcPr>
          <w:p w:rsidR="00446B0D" w:rsidRDefault="008F1B69">
            <w:pPr>
              <w:spacing w:before="0" w:after="0"/>
              <w:jc w:val="center"/>
              <w:rPr>
                <w:b/>
                <w:bCs/>
                <w:noProof/>
                <w:sz w:val="20"/>
                <w:szCs w:val="20"/>
                <w:lang w:eastAsia="en-GB"/>
              </w:rPr>
            </w:pPr>
            <w:r>
              <w:rPr>
                <w:b/>
                <w:bCs/>
                <w:noProof/>
                <w:sz w:val="20"/>
                <w:szCs w:val="20"/>
                <w:lang w:eastAsia="en-GB"/>
              </w:rPr>
              <w:t>4</w:t>
            </w:r>
          </w:p>
        </w:tc>
        <w:tc>
          <w:tcPr>
            <w:tcW w:w="2126"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jc w:val="left"/>
              <w:rPr>
                <w:noProof/>
                <w:sz w:val="20"/>
                <w:szCs w:val="20"/>
                <w:lang w:eastAsia="en-GB"/>
              </w:rPr>
            </w:pPr>
            <w:r>
              <w:rPr>
                <w:noProof/>
                <w:sz w:val="20"/>
                <w:szCs w:val="20"/>
                <w:lang w:eastAsia="en-GB"/>
              </w:rPr>
              <w:t>24-26 September 2014</w:t>
            </w:r>
          </w:p>
        </w:tc>
        <w:tc>
          <w:tcPr>
            <w:tcW w:w="2835"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jc w:val="left"/>
              <w:rPr>
                <w:b/>
                <w:bCs/>
                <w:noProof/>
                <w:sz w:val="20"/>
                <w:szCs w:val="20"/>
                <w:lang w:eastAsia="en-GB"/>
              </w:rPr>
            </w:pPr>
            <w:r>
              <w:rPr>
                <w:noProof/>
                <w:sz w:val="20"/>
                <w:szCs w:val="20"/>
              </w:rPr>
              <w:t>AFCOS Training Conference</w:t>
            </w:r>
          </w:p>
        </w:tc>
        <w:tc>
          <w:tcPr>
            <w:tcW w:w="1418"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rPr>
                <w:noProof/>
                <w:sz w:val="20"/>
                <w:szCs w:val="20"/>
                <w:lang w:eastAsia="en-GB"/>
              </w:rPr>
            </w:pPr>
            <w:r>
              <w:rPr>
                <w:noProof/>
                <w:sz w:val="20"/>
                <w:szCs w:val="20"/>
                <w:lang w:eastAsia="en-GB"/>
              </w:rPr>
              <w:t>Sofia,</w:t>
            </w:r>
          </w:p>
          <w:p w:rsidR="00446B0D" w:rsidRDefault="008F1B69">
            <w:pPr>
              <w:spacing w:before="0" w:after="0"/>
              <w:rPr>
                <w:noProof/>
                <w:sz w:val="20"/>
                <w:szCs w:val="20"/>
                <w:lang w:eastAsia="en-GB"/>
              </w:rPr>
            </w:pPr>
            <w:r>
              <w:rPr>
                <w:noProof/>
                <w:sz w:val="20"/>
                <w:szCs w:val="20"/>
                <w:lang w:eastAsia="en-GB"/>
              </w:rPr>
              <w:t>Bulgaria</w:t>
            </w:r>
          </w:p>
        </w:tc>
        <w:tc>
          <w:tcPr>
            <w:tcW w:w="1417"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jc w:val="center"/>
              <w:rPr>
                <w:noProof/>
                <w:sz w:val="20"/>
                <w:szCs w:val="20"/>
                <w:lang w:eastAsia="en-GB"/>
              </w:rPr>
            </w:pPr>
            <w:r>
              <w:rPr>
                <w:noProof/>
                <w:sz w:val="20"/>
                <w:szCs w:val="20"/>
                <w:lang w:eastAsia="en-GB"/>
              </w:rPr>
              <w:t>60</w:t>
            </w:r>
          </w:p>
        </w:tc>
        <w:tc>
          <w:tcPr>
            <w:tcW w:w="1276" w:type="dxa"/>
            <w:tcBorders>
              <w:top w:val="single" w:sz="12" w:space="0" w:color="auto"/>
              <w:left w:val="nil"/>
              <w:bottom w:val="dashed" w:sz="4" w:space="0" w:color="auto"/>
              <w:right w:val="single" w:sz="12" w:space="0" w:color="auto"/>
            </w:tcBorders>
            <w:shd w:val="clear" w:color="000000" w:fill="EEECE1"/>
            <w:vAlign w:val="center"/>
          </w:tcPr>
          <w:p w:rsidR="00446B0D" w:rsidRDefault="008F1B69">
            <w:pPr>
              <w:spacing w:before="0" w:after="0"/>
              <w:jc w:val="right"/>
              <w:rPr>
                <w:noProof/>
                <w:sz w:val="20"/>
                <w:szCs w:val="20"/>
                <w:lang w:eastAsia="en-GB"/>
              </w:rPr>
            </w:pPr>
            <w:r>
              <w:rPr>
                <w:noProof/>
                <w:sz w:val="20"/>
                <w:szCs w:val="20"/>
                <w:lang w:eastAsia="en-GB"/>
              </w:rPr>
              <w:t>63 772</w:t>
            </w:r>
          </w:p>
        </w:tc>
      </w:tr>
      <w:tr w:rsidR="00446B0D">
        <w:trPr>
          <w:trHeight w:val="454"/>
        </w:trPr>
        <w:tc>
          <w:tcPr>
            <w:tcW w:w="9640" w:type="dxa"/>
            <w:gridSpan w:val="6"/>
            <w:tcBorders>
              <w:top w:val="dashed" w:sz="4" w:space="0" w:color="auto"/>
              <w:left w:val="single" w:sz="12" w:space="0" w:color="auto"/>
              <w:bottom w:val="single" w:sz="12" w:space="0" w:color="auto"/>
              <w:right w:val="single" w:sz="12" w:space="0" w:color="auto"/>
            </w:tcBorders>
            <w:shd w:val="clear" w:color="auto" w:fill="auto"/>
            <w:vAlign w:val="center"/>
          </w:tcPr>
          <w:p w:rsidR="00446B0D" w:rsidRDefault="008F1B69">
            <w:pPr>
              <w:spacing w:before="0" w:after="0"/>
              <w:rPr>
                <w:noProof/>
                <w:sz w:val="20"/>
                <w:szCs w:val="20"/>
                <w:lang w:eastAsia="en-GB"/>
              </w:rPr>
            </w:pPr>
            <w:r>
              <w:rPr>
                <w:noProof/>
                <w:sz w:val="18"/>
                <w:szCs w:val="18"/>
                <w:u w:val="single"/>
                <w:lang w:eastAsia="en-GB"/>
              </w:rPr>
              <w:t>Objectives</w:t>
            </w:r>
            <w:r>
              <w:rPr>
                <w:noProof/>
                <w:sz w:val="18"/>
                <w:szCs w:val="18"/>
                <w:lang w:eastAsia="en-GB"/>
              </w:rPr>
              <w:t xml:space="preserve">: </w:t>
            </w:r>
            <w:r>
              <w:rPr>
                <w:noProof/>
                <w:sz w:val="18"/>
                <w:szCs w:val="18"/>
              </w:rPr>
              <w:t xml:space="preserve">The main objectives of the </w:t>
            </w:r>
            <w:r>
              <w:rPr>
                <w:noProof/>
                <w:sz w:val="18"/>
                <w:szCs w:val="18"/>
              </w:rPr>
              <w:t>conference were: to bring together AFCOS and other relevant authorities’ representatives from the candidate countries, potential candidate countries and some of the Member States; to present the work of OLAF and AFCOS, their cooperation; to discuss challen</w:t>
            </w:r>
            <w:r>
              <w:rPr>
                <w:noProof/>
                <w:sz w:val="18"/>
                <w:szCs w:val="18"/>
              </w:rPr>
              <w:t>ges relevant to mutual cooperation; to share best practices and experience in the areas of protection of the EU’s financial interests and fight against fraud, which are especially important to countries joining the EU (e.g. functioning of AFCOS, investigat</w:t>
            </w:r>
            <w:r>
              <w:rPr>
                <w:noProof/>
                <w:sz w:val="18"/>
                <w:szCs w:val="18"/>
              </w:rPr>
              <w:t>ive cooperation, preparation of anti-fraud strategy, irregularity reporting).</w:t>
            </w:r>
          </w:p>
        </w:tc>
      </w:tr>
      <w:tr w:rsidR="00446B0D">
        <w:trPr>
          <w:trHeight w:val="454"/>
        </w:trPr>
        <w:tc>
          <w:tcPr>
            <w:tcW w:w="568" w:type="dxa"/>
            <w:tcBorders>
              <w:top w:val="single" w:sz="12" w:space="0" w:color="auto"/>
              <w:left w:val="single" w:sz="12" w:space="0" w:color="auto"/>
              <w:bottom w:val="dashed" w:sz="4" w:space="0" w:color="auto"/>
              <w:right w:val="single" w:sz="8" w:space="0" w:color="auto"/>
            </w:tcBorders>
            <w:shd w:val="clear" w:color="000000" w:fill="EEECE1"/>
            <w:vAlign w:val="center"/>
          </w:tcPr>
          <w:p w:rsidR="00446B0D" w:rsidRDefault="008F1B69">
            <w:pPr>
              <w:spacing w:before="0" w:after="0"/>
              <w:jc w:val="center"/>
              <w:rPr>
                <w:b/>
                <w:bCs/>
                <w:noProof/>
                <w:sz w:val="20"/>
                <w:szCs w:val="20"/>
                <w:lang w:eastAsia="en-GB"/>
              </w:rPr>
            </w:pPr>
            <w:r>
              <w:rPr>
                <w:b/>
                <w:bCs/>
                <w:noProof/>
                <w:sz w:val="20"/>
                <w:szCs w:val="20"/>
                <w:lang w:eastAsia="en-GB"/>
              </w:rPr>
              <w:t>5</w:t>
            </w:r>
          </w:p>
        </w:tc>
        <w:tc>
          <w:tcPr>
            <w:tcW w:w="2126"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jc w:val="left"/>
              <w:rPr>
                <w:noProof/>
                <w:sz w:val="20"/>
                <w:szCs w:val="20"/>
                <w:lang w:eastAsia="en-GB"/>
              </w:rPr>
            </w:pPr>
            <w:r>
              <w:rPr>
                <w:noProof/>
                <w:sz w:val="20"/>
                <w:szCs w:val="20"/>
                <w:lang w:eastAsia="en-GB"/>
              </w:rPr>
              <w:t>9-11 December 2014</w:t>
            </w:r>
          </w:p>
        </w:tc>
        <w:tc>
          <w:tcPr>
            <w:tcW w:w="2835"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jc w:val="left"/>
              <w:rPr>
                <w:b/>
                <w:bCs/>
                <w:noProof/>
                <w:sz w:val="20"/>
                <w:szCs w:val="20"/>
                <w:lang w:eastAsia="en-GB"/>
              </w:rPr>
            </w:pPr>
            <w:r>
              <w:rPr>
                <w:noProof/>
                <w:sz w:val="20"/>
                <w:szCs w:val="20"/>
              </w:rPr>
              <w:t>Regional Workshop on the Implementation of the FCTC Protocol</w:t>
            </w:r>
          </w:p>
        </w:tc>
        <w:tc>
          <w:tcPr>
            <w:tcW w:w="1418"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rPr>
                <w:noProof/>
                <w:sz w:val="20"/>
                <w:szCs w:val="20"/>
                <w:lang w:eastAsia="en-GB"/>
              </w:rPr>
            </w:pPr>
            <w:r>
              <w:rPr>
                <w:noProof/>
                <w:sz w:val="20"/>
                <w:szCs w:val="20"/>
              </w:rPr>
              <w:t>Naypyitaw,</w:t>
            </w:r>
          </w:p>
          <w:p w:rsidR="00446B0D" w:rsidRDefault="008F1B69">
            <w:pPr>
              <w:spacing w:before="0" w:after="0"/>
              <w:rPr>
                <w:noProof/>
                <w:sz w:val="20"/>
                <w:szCs w:val="20"/>
                <w:lang w:eastAsia="en-GB"/>
              </w:rPr>
            </w:pPr>
            <w:r>
              <w:rPr>
                <w:noProof/>
                <w:sz w:val="20"/>
                <w:szCs w:val="20"/>
                <w:lang w:eastAsia="en-GB"/>
              </w:rPr>
              <w:t>Myanmar</w:t>
            </w:r>
          </w:p>
        </w:tc>
        <w:tc>
          <w:tcPr>
            <w:tcW w:w="1417"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jc w:val="center"/>
              <w:rPr>
                <w:noProof/>
                <w:sz w:val="20"/>
                <w:szCs w:val="20"/>
                <w:lang w:eastAsia="en-GB"/>
              </w:rPr>
            </w:pPr>
            <w:r>
              <w:rPr>
                <w:noProof/>
                <w:sz w:val="20"/>
                <w:szCs w:val="20"/>
                <w:lang w:eastAsia="en-GB"/>
              </w:rPr>
              <w:t>50</w:t>
            </w:r>
          </w:p>
        </w:tc>
        <w:tc>
          <w:tcPr>
            <w:tcW w:w="1276" w:type="dxa"/>
            <w:tcBorders>
              <w:top w:val="single" w:sz="12" w:space="0" w:color="auto"/>
              <w:left w:val="nil"/>
              <w:bottom w:val="dashed" w:sz="4" w:space="0" w:color="auto"/>
              <w:right w:val="single" w:sz="12" w:space="0" w:color="auto"/>
            </w:tcBorders>
            <w:shd w:val="clear" w:color="000000" w:fill="EEECE1"/>
            <w:vAlign w:val="center"/>
          </w:tcPr>
          <w:p w:rsidR="00446B0D" w:rsidRDefault="008F1B69">
            <w:pPr>
              <w:spacing w:before="0" w:after="0"/>
              <w:jc w:val="right"/>
              <w:rPr>
                <w:noProof/>
                <w:sz w:val="20"/>
                <w:szCs w:val="20"/>
                <w:lang w:eastAsia="en-GB"/>
              </w:rPr>
            </w:pPr>
            <w:r>
              <w:rPr>
                <w:noProof/>
                <w:sz w:val="20"/>
                <w:szCs w:val="20"/>
                <w:lang w:eastAsia="en-GB"/>
              </w:rPr>
              <w:t>97 352</w:t>
            </w:r>
          </w:p>
        </w:tc>
      </w:tr>
      <w:tr w:rsidR="00446B0D">
        <w:trPr>
          <w:trHeight w:val="454"/>
        </w:trPr>
        <w:tc>
          <w:tcPr>
            <w:tcW w:w="9640" w:type="dxa"/>
            <w:gridSpan w:val="6"/>
            <w:tcBorders>
              <w:top w:val="dashed" w:sz="4" w:space="0" w:color="auto"/>
              <w:left w:val="single" w:sz="12" w:space="0" w:color="auto"/>
              <w:bottom w:val="single" w:sz="12" w:space="0" w:color="auto"/>
              <w:right w:val="single" w:sz="12" w:space="0" w:color="auto"/>
            </w:tcBorders>
            <w:shd w:val="clear" w:color="auto" w:fill="auto"/>
            <w:vAlign w:val="center"/>
          </w:tcPr>
          <w:p w:rsidR="00446B0D" w:rsidRDefault="008F1B69">
            <w:pPr>
              <w:spacing w:before="0" w:after="0"/>
              <w:rPr>
                <w:noProof/>
                <w:sz w:val="20"/>
                <w:szCs w:val="20"/>
                <w:lang w:eastAsia="en-GB"/>
              </w:rPr>
            </w:pPr>
            <w:r>
              <w:rPr>
                <w:noProof/>
                <w:sz w:val="18"/>
                <w:szCs w:val="18"/>
                <w:u w:val="single"/>
                <w:lang w:eastAsia="en-GB"/>
              </w:rPr>
              <w:t>Objectives</w:t>
            </w:r>
            <w:r>
              <w:rPr>
                <w:noProof/>
                <w:sz w:val="18"/>
                <w:szCs w:val="18"/>
                <w:lang w:eastAsia="en-GB"/>
              </w:rPr>
              <w:t xml:space="preserve">: </w:t>
            </w:r>
            <w:r>
              <w:rPr>
                <w:noProof/>
                <w:sz w:val="18"/>
                <w:szCs w:val="18"/>
              </w:rPr>
              <w:t xml:space="preserve">To promote the entry into force of the Framework </w:t>
            </w:r>
            <w:r>
              <w:rPr>
                <w:noProof/>
                <w:sz w:val="18"/>
                <w:szCs w:val="18"/>
              </w:rPr>
              <w:t>Convention Tobacco Control (FCTC) Protocol; To exchange views and information on ways to implement the Protocol after its entry into force.</w:t>
            </w:r>
          </w:p>
        </w:tc>
      </w:tr>
      <w:tr w:rsidR="00446B0D">
        <w:trPr>
          <w:trHeight w:val="454"/>
        </w:trPr>
        <w:tc>
          <w:tcPr>
            <w:tcW w:w="568" w:type="dxa"/>
            <w:tcBorders>
              <w:top w:val="single" w:sz="12" w:space="0" w:color="auto"/>
              <w:left w:val="single" w:sz="12" w:space="0" w:color="auto"/>
              <w:bottom w:val="dashed" w:sz="4" w:space="0" w:color="auto"/>
              <w:right w:val="single" w:sz="8" w:space="0" w:color="auto"/>
            </w:tcBorders>
            <w:shd w:val="clear" w:color="000000" w:fill="EEECE1"/>
            <w:vAlign w:val="center"/>
          </w:tcPr>
          <w:p w:rsidR="00446B0D" w:rsidRDefault="008F1B69">
            <w:pPr>
              <w:spacing w:before="0" w:after="0"/>
              <w:jc w:val="center"/>
              <w:rPr>
                <w:b/>
                <w:bCs/>
                <w:noProof/>
                <w:sz w:val="20"/>
                <w:szCs w:val="20"/>
                <w:lang w:eastAsia="en-GB"/>
              </w:rPr>
            </w:pPr>
            <w:r>
              <w:rPr>
                <w:b/>
                <w:bCs/>
                <w:noProof/>
                <w:sz w:val="20"/>
                <w:szCs w:val="20"/>
                <w:lang w:eastAsia="en-GB"/>
              </w:rPr>
              <w:t>6</w:t>
            </w:r>
          </w:p>
        </w:tc>
        <w:tc>
          <w:tcPr>
            <w:tcW w:w="2126"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jc w:val="left"/>
              <w:rPr>
                <w:noProof/>
                <w:sz w:val="20"/>
                <w:szCs w:val="20"/>
                <w:lang w:eastAsia="en-GB"/>
              </w:rPr>
            </w:pPr>
            <w:r>
              <w:rPr>
                <w:noProof/>
                <w:sz w:val="20"/>
                <w:szCs w:val="20"/>
                <w:lang w:eastAsia="en-GB"/>
              </w:rPr>
              <w:t>27 June 2014</w:t>
            </w:r>
          </w:p>
        </w:tc>
        <w:tc>
          <w:tcPr>
            <w:tcW w:w="2835"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jc w:val="left"/>
              <w:rPr>
                <w:bCs/>
                <w:noProof/>
                <w:sz w:val="20"/>
                <w:szCs w:val="20"/>
                <w:lang w:eastAsia="en-GB"/>
              </w:rPr>
            </w:pPr>
            <w:r>
              <w:rPr>
                <w:bCs/>
                <w:noProof/>
                <w:sz w:val="20"/>
                <w:szCs w:val="20"/>
                <w:lang w:eastAsia="en-GB"/>
              </w:rPr>
              <w:t>Debriefing meeting JCO Ermis</w:t>
            </w:r>
          </w:p>
        </w:tc>
        <w:tc>
          <w:tcPr>
            <w:tcW w:w="1418"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rPr>
                <w:noProof/>
                <w:sz w:val="20"/>
                <w:szCs w:val="20"/>
                <w:lang w:eastAsia="en-GB"/>
              </w:rPr>
            </w:pPr>
            <w:r>
              <w:rPr>
                <w:noProof/>
                <w:sz w:val="20"/>
                <w:szCs w:val="20"/>
                <w:lang w:eastAsia="en-GB"/>
              </w:rPr>
              <w:t>Athens, Greece</w:t>
            </w:r>
          </w:p>
        </w:tc>
        <w:tc>
          <w:tcPr>
            <w:tcW w:w="1417"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jc w:val="center"/>
              <w:rPr>
                <w:noProof/>
                <w:sz w:val="20"/>
                <w:szCs w:val="20"/>
                <w:lang w:eastAsia="en-GB"/>
              </w:rPr>
            </w:pPr>
            <w:r>
              <w:rPr>
                <w:noProof/>
                <w:sz w:val="20"/>
                <w:szCs w:val="20"/>
                <w:lang w:eastAsia="en-GB"/>
              </w:rPr>
              <w:t>38</w:t>
            </w:r>
          </w:p>
        </w:tc>
        <w:tc>
          <w:tcPr>
            <w:tcW w:w="1276" w:type="dxa"/>
            <w:tcBorders>
              <w:top w:val="single" w:sz="12" w:space="0" w:color="auto"/>
              <w:left w:val="nil"/>
              <w:bottom w:val="dashed" w:sz="4" w:space="0" w:color="auto"/>
              <w:right w:val="single" w:sz="12" w:space="0" w:color="auto"/>
            </w:tcBorders>
            <w:shd w:val="clear" w:color="000000" w:fill="EEECE1"/>
            <w:vAlign w:val="center"/>
          </w:tcPr>
          <w:p w:rsidR="00446B0D" w:rsidRDefault="008F1B69">
            <w:pPr>
              <w:spacing w:before="0" w:after="0"/>
              <w:jc w:val="right"/>
              <w:rPr>
                <w:noProof/>
                <w:sz w:val="20"/>
                <w:szCs w:val="20"/>
                <w:lang w:eastAsia="en-GB"/>
              </w:rPr>
            </w:pPr>
            <w:r>
              <w:rPr>
                <w:noProof/>
                <w:sz w:val="20"/>
                <w:szCs w:val="20"/>
                <w:lang w:eastAsia="en-GB"/>
              </w:rPr>
              <w:t>37 338</w:t>
            </w:r>
          </w:p>
        </w:tc>
      </w:tr>
      <w:tr w:rsidR="00446B0D">
        <w:trPr>
          <w:trHeight w:val="454"/>
        </w:trPr>
        <w:tc>
          <w:tcPr>
            <w:tcW w:w="9640" w:type="dxa"/>
            <w:gridSpan w:val="6"/>
            <w:tcBorders>
              <w:top w:val="dashed" w:sz="4" w:space="0" w:color="auto"/>
              <w:left w:val="single" w:sz="12" w:space="0" w:color="auto"/>
              <w:bottom w:val="single" w:sz="12" w:space="0" w:color="auto"/>
              <w:right w:val="single" w:sz="12" w:space="0" w:color="auto"/>
            </w:tcBorders>
            <w:shd w:val="clear" w:color="auto" w:fill="auto"/>
            <w:vAlign w:val="center"/>
          </w:tcPr>
          <w:p w:rsidR="00446B0D" w:rsidRDefault="008F1B69">
            <w:pPr>
              <w:spacing w:before="0" w:after="0"/>
              <w:rPr>
                <w:noProof/>
                <w:sz w:val="18"/>
                <w:szCs w:val="18"/>
                <w:lang w:eastAsia="en-GB"/>
              </w:rPr>
            </w:pPr>
            <w:r>
              <w:rPr>
                <w:noProof/>
                <w:sz w:val="18"/>
                <w:szCs w:val="18"/>
                <w:u w:val="single"/>
                <w:lang w:eastAsia="en-GB"/>
              </w:rPr>
              <w:t>Objectives</w:t>
            </w:r>
            <w:r>
              <w:rPr>
                <w:noProof/>
                <w:sz w:val="18"/>
                <w:szCs w:val="18"/>
                <w:lang w:eastAsia="en-GB"/>
              </w:rPr>
              <w:t>: Drawing up of r</w:t>
            </w:r>
            <w:r>
              <w:rPr>
                <w:noProof/>
                <w:sz w:val="18"/>
                <w:szCs w:val="18"/>
              </w:rPr>
              <w:t xml:space="preserve">ecommendations on </w:t>
            </w:r>
            <w:r>
              <w:rPr>
                <w:noProof/>
                <w:sz w:val="18"/>
                <w:szCs w:val="18"/>
              </w:rPr>
              <w:t>specific actions; exchange of information, best practices and anti-fraud methods, techniques and modus operandi; Improvement of operational cooperation between the Commission (OLAF) and its partners.</w:t>
            </w:r>
          </w:p>
        </w:tc>
      </w:tr>
      <w:tr w:rsidR="00446B0D">
        <w:trPr>
          <w:trHeight w:val="454"/>
        </w:trPr>
        <w:tc>
          <w:tcPr>
            <w:tcW w:w="568" w:type="dxa"/>
            <w:tcBorders>
              <w:top w:val="single" w:sz="12" w:space="0" w:color="auto"/>
              <w:left w:val="single" w:sz="12" w:space="0" w:color="auto"/>
              <w:bottom w:val="dashed" w:sz="4" w:space="0" w:color="auto"/>
              <w:right w:val="single" w:sz="8" w:space="0" w:color="auto"/>
            </w:tcBorders>
            <w:shd w:val="clear" w:color="000000" w:fill="EEECE1"/>
            <w:vAlign w:val="center"/>
          </w:tcPr>
          <w:p w:rsidR="00446B0D" w:rsidRDefault="008F1B69">
            <w:pPr>
              <w:spacing w:before="0" w:after="0"/>
              <w:jc w:val="center"/>
              <w:rPr>
                <w:b/>
                <w:bCs/>
                <w:noProof/>
                <w:sz w:val="20"/>
                <w:szCs w:val="20"/>
                <w:lang w:eastAsia="en-GB"/>
              </w:rPr>
            </w:pPr>
            <w:r>
              <w:rPr>
                <w:b/>
                <w:bCs/>
                <w:noProof/>
                <w:sz w:val="20"/>
                <w:szCs w:val="20"/>
                <w:lang w:eastAsia="en-GB"/>
              </w:rPr>
              <w:t>7</w:t>
            </w:r>
          </w:p>
        </w:tc>
        <w:tc>
          <w:tcPr>
            <w:tcW w:w="2126"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jc w:val="left"/>
              <w:rPr>
                <w:noProof/>
                <w:sz w:val="20"/>
                <w:szCs w:val="20"/>
                <w:lang w:eastAsia="en-GB"/>
              </w:rPr>
            </w:pPr>
            <w:r>
              <w:rPr>
                <w:noProof/>
                <w:sz w:val="20"/>
                <w:szCs w:val="20"/>
                <w:lang w:eastAsia="en-GB"/>
              </w:rPr>
              <w:t>4-5 September 2014</w:t>
            </w:r>
          </w:p>
        </w:tc>
        <w:tc>
          <w:tcPr>
            <w:tcW w:w="2835"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jc w:val="left"/>
              <w:rPr>
                <w:bCs/>
                <w:noProof/>
                <w:sz w:val="20"/>
                <w:szCs w:val="20"/>
                <w:lang w:eastAsia="en-GB"/>
              </w:rPr>
            </w:pPr>
            <w:r>
              <w:rPr>
                <w:bCs/>
                <w:noProof/>
                <w:sz w:val="20"/>
                <w:szCs w:val="20"/>
                <w:lang w:eastAsia="en-GB"/>
              </w:rPr>
              <w:t>Debriefing meeting JCO Snake</w:t>
            </w:r>
          </w:p>
        </w:tc>
        <w:tc>
          <w:tcPr>
            <w:tcW w:w="1418"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rPr>
                <w:noProof/>
                <w:sz w:val="20"/>
                <w:szCs w:val="20"/>
                <w:lang w:eastAsia="en-GB"/>
              </w:rPr>
            </w:pPr>
            <w:r>
              <w:rPr>
                <w:noProof/>
                <w:sz w:val="20"/>
                <w:szCs w:val="20"/>
                <w:lang w:eastAsia="en-GB"/>
              </w:rPr>
              <w:t>Brussels, Belgium</w:t>
            </w:r>
          </w:p>
        </w:tc>
        <w:tc>
          <w:tcPr>
            <w:tcW w:w="1417"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jc w:val="center"/>
              <w:rPr>
                <w:noProof/>
                <w:sz w:val="20"/>
                <w:szCs w:val="20"/>
                <w:lang w:eastAsia="en-GB"/>
              </w:rPr>
            </w:pPr>
            <w:r>
              <w:rPr>
                <w:noProof/>
                <w:sz w:val="20"/>
                <w:szCs w:val="20"/>
                <w:lang w:eastAsia="en-GB"/>
              </w:rPr>
              <w:t>47</w:t>
            </w:r>
          </w:p>
        </w:tc>
        <w:tc>
          <w:tcPr>
            <w:tcW w:w="1276" w:type="dxa"/>
            <w:tcBorders>
              <w:top w:val="single" w:sz="12" w:space="0" w:color="auto"/>
              <w:left w:val="nil"/>
              <w:bottom w:val="dashed" w:sz="4" w:space="0" w:color="auto"/>
              <w:right w:val="single" w:sz="12" w:space="0" w:color="auto"/>
            </w:tcBorders>
            <w:shd w:val="clear" w:color="000000" w:fill="EEECE1"/>
            <w:vAlign w:val="center"/>
          </w:tcPr>
          <w:p w:rsidR="00446B0D" w:rsidRDefault="008F1B69">
            <w:pPr>
              <w:spacing w:before="0" w:after="0"/>
              <w:jc w:val="right"/>
              <w:rPr>
                <w:noProof/>
                <w:sz w:val="20"/>
                <w:szCs w:val="20"/>
                <w:lang w:eastAsia="en-GB"/>
              </w:rPr>
            </w:pPr>
            <w:r>
              <w:rPr>
                <w:noProof/>
                <w:sz w:val="20"/>
                <w:szCs w:val="20"/>
                <w:lang w:eastAsia="en-GB"/>
              </w:rPr>
              <w:t>48 874</w:t>
            </w:r>
          </w:p>
        </w:tc>
      </w:tr>
      <w:tr w:rsidR="00446B0D">
        <w:trPr>
          <w:trHeight w:val="454"/>
        </w:trPr>
        <w:tc>
          <w:tcPr>
            <w:tcW w:w="9640" w:type="dxa"/>
            <w:gridSpan w:val="6"/>
            <w:tcBorders>
              <w:top w:val="dashed" w:sz="4" w:space="0" w:color="auto"/>
              <w:left w:val="single" w:sz="12" w:space="0" w:color="auto"/>
              <w:bottom w:val="single" w:sz="12" w:space="0" w:color="auto"/>
              <w:right w:val="single" w:sz="12" w:space="0" w:color="auto"/>
            </w:tcBorders>
            <w:shd w:val="clear" w:color="auto" w:fill="auto"/>
          </w:tcPr>
          <w:p w:rsidR="00446B0D" w:rsidRDefault="008F1B69">
            <w:pPr>
              <w:ind w:left="34"/>
              <w:jc w:val="left"/>
              <w:rPr>
                <w:noProof/>
                <w:sz w:val="18"/>
                <w:szCs w:val="18"/>
                <w:lang w:eastAsia="en-GB"/>
              </w:rPr>
            </w:pPr>
            <w:r>
              <w:rPr>
                <w:noProof/>
                <w:sz w:val="18"/>
                <w:szCs w:val="18"/>
                <w:u w:val="single"/>
                <w:lang w:eastAsia="en-GB"/>
              </w:rPr>
              <w:t>Objectives</w:t>
            </w:r>
            <w:r>
              <w:rPr>
                <w:noProof/>
                <w:sz w:val="18"/>
                <w:szCs w:val="18"/>
                <w:lang w:eastAsia="en-GB"/>
              </w:rPr>
              <w:t>: Drawing up of r</w:t>
            </w:r>
            <w:r>
              <w:rPr>
                <w:noProof/>
                <w:sz w:val="18"/>
                <w:szCs w:val="18"/>
              </w:rPr>
              <w:t xml:space="preserve">ecommendations on specific actions; exchange of information, best practices and anti-fraud methods, techniques and modus operandi; Improvement of operational cooperation between the Commission (OLAF) </w:t>
            </w:r>
            <w:r>
              <w:rPr>
                <w:noProof/>
                <w:sz w:val="18"/>
                <w:szCs w:val="18"/>
              </w:rPr>
              <w:t>and its partners and the drafting of a final report.</w:t>
            </w:r>
          </w:p>
        </w:tc>
      </w:tr>
      <w:tr w:rsidR="00446B0D">
        <w:trPr>
          <w:trHeight w:val="454"/>
        </w:trPr>
        <w:tc>
          <w:tcPr>
            <w:tcW w:w="568" w:type="dxa"/>
            <w:tcBorders>
              <w:top w:val="single" w:sz="12" w:space="0" w:color="auto"/>
              <w:left w:val="single" w:sz="12" w:space="0" w:color="auto"/>
              <w:bottom w:val="single" w:sz="4" w:space="0" w:color="auto"/>
              <w:right w:val="single" w:sz="8" w:space="0" w:color="auto"/>
            </w:tcBorders>
            <w:shd w:val="clear" w:color="000000" w:fill="EEECE1"/>
            <w:vAlign w:val="center"/>
          </w:tcPr>
          <w:p w:rsidR="00446B0D" w:rsidRDefault="008F1B69">
            <w:pPr>
              <w:spacing w:before="0" w:after="0"/>
              <w:jc w:val="center"/>
              <w:rPr>
                <w:b/>
                <w:bCs/>
                <w:noProof/>
                <w:sz w:val="20"/>
                <w:szCs w:val="20"/>
                <w:lang w:eastAsia="en-GB"/>
              </w:rPr>
            </w:pPr>
            <w:r>
              <w:rPr>
                <w:b/>
                <w:bCs/>
                <w:noProof/>
                <w:sz w:val="20"/>
                <w:szCs w:val="20"/>
                <w:lang w:eastAsia="en-GB"/>
              </w:rPr>
              <w:t>8</w:t>
            </w:r>
          </w:p>
        </w:tc>
        <w:tc>
          <w:tcPr>
            <w:tcW w:w="2126" w:type="dxa"/>
            <w:tcBorders>
              <w:top w:val="single" w:sz="12" w:space="0" w:color="auto"/>
              <w:left w:val="nil"/>
              <w:bottom w:val="single" w:sz="4" w:space="0" w:color="auto"/>
              <w:right w:val="single" w:sz="8" w:space="0" w:color="auto"/>
            </w:tcBorders>
            <w:shd w:val="clear" w:color="000000" w:fill="EEECE1"/>
            <w:vAlign w:val="center"/>
          </w:tcPr>
          <w:p w:rsidR="00446B0D" w:rsidRDefault="008F1B69">
            <w:pPr>
              <w:spacing w:before="0" w:after="0"/>
              <w:jc w:val="left"/>
              <w:rPr>
                <w:noProof/>
                <w:sz w:val="20"/>
                <w:szCs w:val="20"/>
                <w:lang w:eastAsia="en-GB"/>
              </w:rPr>
            </w:pPr>
            <w:r>
              <w:rPr>
                <w:noProof/>
                <w:sz w:val="20"/>
                <w:szCs w:val="20"/>
                <w:lang w:eastAsia="en-GB"/>
              </w:rPr>
              <w:t>4 December 2014</w:t>
            </w:r>
          </w:p>
        </w:tc>
        <w:tc>
          <w:tcPr>
            <w:tcW w:w="2835" w:type="dxa"/>
            <w:tcBorders>
              <w:top w:val="single" w:sz="12" w:space="0" w:color="auto"/>
              <w:left w:val="nil"/>
              <w:bottom w:val="single" w:sz="4" w:space="0" w:color="auto"/>
              <w:right w:val="single" w:sz="8" w:space="0" w:color="auto"/>
            </w:tcBorders>
            <w:shd w:val="clear" w:color="000000" w:fill="EEECE1"/>
            <w:vAlign w:val="center"/>
          </w:tcPr>
          <w:p w:rsidR="00446B0D" w:rsidRDefault="008F1B69">
            <w:pPr>
              <w:spacing w:before="0" w:after="0"/>
              <w:jc w:val="left"/>
              <w:rPr>
                <w:bCs/>
                <w:noProof/>
                <w:sz w:val="20"/>
                <w:szCs w:val="20"/>
                <w:lang w:eastAsia="en-GB"/>
              </w:rPr>
            </w:pPr>
            <w:r>
              <w:rPr>
                <w:bCs/>
                <w:noProof/>
                <w:sz w:val="20"/>
                <w:szCs w:val="20"/>
                <w:lang w:eastAsia="en-GB"/>
              </w:rPr>
              <w:t>Debriefing meeting JCO Athena IV</w:t>
            </w:r>
          </w:p>
        </w:tc>
        <w:tc>
          <w:tcPr>
            <w:tcW w:w="1418" w:type="dxa"/>
            <w:tcBorders>
              <w:top w:val="single" w:sz="12" w:space="0" w:color="auto"/>
              <w:left w:val="nil"/>
              <w:bottom w:val="single" w:sz="4" w:space="0" w:color="auto"/>
              <w:right w:val="single" w:sz="8" w:space="0" w:color="auto"/>
            </w:tcBorders>
            <w:shd w:val="clear" w:color="000000" w:fill="EEECE1"/>
            <w:vAlign w:val="center"/>
          </w:tcPr>
          <w:p w:rsidR="00446B0D" w:rsidRDefault="008F1B69">
            <w:pPr>
              <w:spacing w:before="0" w:after="0"/>
              <w:rPr>
                <w:noProof/>
                <w:sz w:val="20"/>
                <w:szCs w:val="20"/>
                <w:lang w:eastAsia="en-GB"/>
              </w:rPr>
            </w:pPr>
            <w:r>
              <w:rPr>
                <w:noProof/>
                <w:sz w:val="20"/>
                <w:szCs w:val="20"/>
                <w:lang w:eastAsia="en-GB"/>
              </w:rPr>
              <w:t>Riga, Latvia</w:t>
            </w:r>
          </w:p>
        </w:tc>
        <w:tc>
          <w:tcPr>
            <w:tcW w:w="1417" w:type="dxa"/>
            <w:tcBorders>
              <w:top w:val="single" w:sz="12" w:space="0" w:color="auto"/>
              <w:left w:val="nil"/>
              <w:bottom w:val="single" w:sz="4" w:space="0" w:color="auto"/>
              <w:right w:val="single" w:sz="8" w:space="0" w:color="auto"/>
            </w:tcBorders>
            <w:shd w:val="clear" w:color="000000" w:fill="EEECE1"/>
            <w:vAlign w:val="center"/>
          </w:tcPr>
          <w:p w:rsidR="00446B0D" w:rsidRDefault="008F1B69">
            <w:pPr>
              <w:spacing w:before="0" w:after="0"/>
              <w:jc w:val="center"/>
              <w:rPr>
                <w:noProof/>
                <w:sz w:val="20"/>
                <w:szCs w:val="20"/>
                <w:lang w:eastAsia="en-GB"/>
              </w:rPr>
            </w:pPr>
            <w:r>
              <w:rPr>
                <w:noProof/>
                <w:sz w:val="20"/>
                <w:szCs w:val="20"/>
                <w:lang w:eastAsia="en-GB"/>
              </w:rPr>
              <w:t>32</w:t>
            </w:r>
          </w:p>
        </w:tc>
        <w:tc>
          <w:tcPr>
            <w:tcW w:w="1276" w:type="dxa"/>
            <w:tcBorders>
              <w:top w:val="single" w:sz="12" w:space="0" w:color="auto"/>
              <w:left w:val="nil"/>
              <w:bottom w:val="single" w:sz="4" w:space="0" w:color="auto"/>
              <w:right w:val="single" w:sz="12" w:space="0" w:color="auto"/>
            </w:tcBorders>
            <w:shd w:val="clear" w:color="000000" w:fill="EEECE1"/>
            <w:vAlign w:val="center"/>
          </w:tcPr>
          <w:p w:rsidR="00446B0D" w:rsidRDefault="008F1B69">
            <w:pPr>
              <w:spacing w:before="0" w:after="0"/>
              <w:jc w:val="right"/>
              <w:rPr>
                <w:noProof/>
                <w:sz w:val="20"/>
                <w:szCs w:val="20"/>
                <w:lang w:eastAsia="en-GB"/>
              </w:rPr>
            </w:pPr>
            <w:r>
              <w:rPr>
                <w:noProof/>
                <w:sz w:val="20"/>
                <w:szCs w:val="20"/>
                <w:lang w:eastAsia="en-GB"/>
              </w:rPr>
              <w:t>22 091</w:t>
            </w:r>
          </w:p>
        </w:tc>
      </w:tr>
      <w:tr w:rsidR="00446B0D">
        <w:trPr>
          <w:trHeight w:val="454"/>
        </w:trPr>
        <w:tc>
          <w:tcPr>
            <w:tcW w:w="9640" w:type="dxa"/>
            <w:gridSpan w:val="6"/>
            <w:tcBorders>
              <w:top w:val="nil"/>
              <w:left w:val="single" w:sz="12" w:space="0" w:color="auto"/>
              <w:bottom w:val="single" w:sz="12" w:space="0" w:color="auto"/>
              <w:right w:val="single" w:sz="12" w:space="0" w:color="auto"/>
            </w:tcBorders>
            <w:shd w:val="clear" w:color="auto" w:fill="auto"/>
          </w:tcPr>
          <w:p w:rsidR="00446B0D" w:rsidRDefault="008F1B69">
            <w:pPr>
              <w:rPr>
                <w:noProof/>
                <w:sz w:val="18"/>
                <w:szCs w:val="18"/>
                <w:lang w:eastAsia="en-GB"/>
              </w:rPr>
            </w:pPr>
            <w:r>
              <w:rPr>
                <w:noProof/>
                <w:sz w:val="18"/>
                <w:szCs w:val="18"/>
                <w:u w:val="single"/>
                <w:lang w:eastAsia="en-GB"/>
              </w:rPr>
              <w:t>Objectives</w:t>
            </w:r>
            <w:r>
              <w:rPr>
                <w:noProof/>
                <w:sz w:val="18"/>
                <w:szCs w:val="18"/>
                <w:lang w:eastAsia="en-GB"/>
              </w:rPr>
              <w:t>: Drawing up of r</w:t>
            </w:r>
            <w:r>
              <w:rPr>
                <w:noProof/>
                <w:sz w:val="18"/>
                <w:szCs w:val="18"/>
              </w:rPr>
              <w:t xml:space="preserve">ecommendations on specific actions; exchange of information, best practices and anti-fraud methods, </w:t>
            </w:r>
            <w:r>
              <w:rPr>
                <w:noProof/>
                <w:sz w:val="18"/>
                <w:szCs w:val="18"/>
              </w:rPr>
              <w:t>techniques and modus operandi; Improvement of operational cooperation between the Commission (OLAF) and its partners and the drafting of a final report.</w:t>
            </w:r>
          </w:p>
        </w:tc>
      </w:tr>
      <w:tr w:rsidR="00446B0D">
        <w:trPr>
          <w:trHeight w:val="454"/>
        </w:trPr>
        <w:tc>
          <w:tcPr>
            <w:tcW w:w="568" w:type="dxa"/>
            <w:tcBorders>
              <w:top w:val="single" w:sz="12" w:space="0" w:color="auto"/>
              <w:left w:val="single" w:sz="12" w:space="0" w:color="auto"/>
              <w:bottom w:val="dashed" w:sz="4" w:space="0" w:color="auto"/>
              <w:right w:val="single" w:sz="8" w:space="0" w:color="auto"/>
            </w:tcBorders>
            <w:shd w:val="clear" w:color="000000" w:fill="EEECE1"/>
            <w:vAlign w:val="center"/>
          </w:tcPr>
          <w:p w:rsidR="00446B0D" w:rsidRDefault="008F1B69">
            <w:pPr>
              <w:spacing w:before="0" w:after="0"/>
              <w:jc w:val="center"/>
              <w:rPr>
                <w:b/>
                <w:bCs/>
                <w:noProof/>
                <w:sz w:val="20"/>
                <w:szCs w:val="20"/>
                <w:lang w:eastAsia="en-GB"/>
              </w:rPr>
            </w:pPr>
            <w:r>
              <w:rPr>
                <w:b/>
                <w:bCs/>
                <w:noProof/>
                <w:sz w:val="20"/>
                <w:szCs w:val="20"/>
                <w:lang w:eastAsia="en-GB"/>
              </w:rPr>
              <w:t>9</w:t>
            </w:r>
          </w:p>
        </w:tc>
        <w:tc>
          <w:tcPr>
            <w:tcW w:w="2126"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jc w:val="left"/>
              <w:rPr>
                <w:noProof/>
                <w:sz w:val="20"/>
                <w:szCs w:val="20"/>
                <w:lang w:eastAsia="en-GB"/>
              </w:rPr>
            </w:pPr>
            <w:r>
              <w:rPr>
                <w:noProof/>
                <w:sz w:val="20"/>
                <w:szCs w:val="20"/>
                <w:lang w:eastAsia="en-GB"/>
              </w:rPr>
              <w:t>2-3 October 2014</w:t>
            </w:r>
          </w:p>
        </w:tc>
        <w:tc>
          <w:tcPr>
            <w:tcW w:w="2835"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jc w:val="left"/>
              <w:rPr>
                <w:bCs/>
                <w:noProof/>
                <w:sz w:val="20"/>
                <w:szCs w:val="20"/>
                <w:lang w:eastAsia="en-GB"/>
              </w:rPr>
            </w:pPr>
            <w:r>
              <w:rPr>
                <w:bCs/>
                <w:noProof/>
                <w:sz w:val="20"/>
                <w:szCs w:val="20"/>
                <w:lang w:eastAsia="en-GB"/>
              </w:rPr>
              <w:t>Debriefing meeting JCO Replica</w:t>
            </w:r>
          </w:p>
        </w:tc>
        <w:tc>
          <w:tcPr>
            <w:tcW w:w="1418"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rPr>
                <w:noProof/>
                <w:sz w:val="20"/>
                <w:szCs w:val="20"/>
                <w:lang w:eastAsia="en-GB"/>
              </w:rPr>
            </w:pPr>
            <w:r>
              <w:rPr>
                <w:noProof/>
                <w:sz w:val="20"/>
                <w:szCs w:val="20"/>
                <w:lang w:eastAsia="en-GB"/>
              </w:rPr>
              <w:t>Brussels, Belgium</w:t>
            </w:r>
          </w:p>
        </w:tc>
        <w:tc>
          <w:tcPr>
            <w:tcW w:w="1417" w:type="dxa"/>
            <w:tcBorders>
              <w:top w:val="single" w:sz="12" w:space="0" w:color="auto"/>
              <w:left w:val="nil"/>
              <w:bottom w:val="dashed" w:sz="4" w:space="0" w:color="auto"/>
              <w:right w:val="single" w:sz="8" w:space="0" w:color="auto"/>
            </w:tcBorders>
            <w:shd w:val="clear" w:color="000000" w:fill="EEECE1"/>
            <w:vAlign w:val="center"/>
          </w:tcPr>
          <w:p w:rsidR="00446B0D" w:rsidRDefault="008F1B69">
            <w:pPr>
              <w:spacing w:before="0" w:after="0"/>
              <w:jc w:val="center"/>
              <w:rPr>
                <w:noProof/>
                <w:sz w:val="20"/>
                <w:szCs w:val="20"/>
                <w:lang w:eastAsia="en-GB"/>
              </w:rPr>
            </w:pPr>
            <w:r>
              <w:rPr>
                <w:noProof/>
                <w:sz w:val="20"/>
                <w:szCs w:val="20"/>
                <w:lang w:eastAsia="en-GB"/>
              </w:rPr>
              <w:t>60</w:t>
            </w:r>
          </w:p>
        </w:tc>
        <w:tc>
          <w:tcPr>
            <w:tcW w:w="1276" w:type="dxa"/>
            <w:tcBorders>
              <w:top w:val="single" w:sz="12" w:space="0" w:color="auto"/>
              <w:left w:val="nil"/>
              <w:bottom w:val="dashed" w:sz="4" w:space="0" w:color="auto"/>
              <w:right w:val="single" w:sz="12" w:space="0" w:color="auto"/>
            </w:tcBorders>
            <w:shd w:val="clear" w:color="000000" w:fill="EEECE1"/>
            <w:vAlign w:val="center"/>
          </w:tcPr>
          <w:p w:rsidR="00446B0D" w:rsidRDefault="008F1B69">
            <w:pPr>
              <w:spacing w:before="0" w:after="0"/>
              <w:jc w:val="right"/>
              <w:rPr>
                <w:noProof/>
                <w:sz w:val="20"/>
                <w:szCs w:val="20"/>
                <w:lang w:eastAsia="en-GB"/>
              </w:rPr>
            </w:pPr>
            <w:r>
              <w:rPr>
                <w:noProof/>
                <w:sz w:val="20"/>
                <w:szCs w:val="20"/>
                <w:lang w:eastAsia="en-GB"/>
              </w:rPr>
              <w:t>92 022</w:t>
            </w:r>
          </w:p>
        </w:tc>
      </w:tr>
      <w:tr w:rsidR="00446B0D">
        <w:trPr>
          <w:trHeight w:val="454"/>
        </w:trPr>
        <w:tc>
          <w:tcPr>
            <w:tcW w:w="9640" w:type="dxa"/>
            <w:gridSpan w:val="6"/>
            <w:tcBorders>
              <w:top w:val="dashed" w:sz="4" w:space="0" w:color="auto"/>
              <w:left w:val="single" w:sz="12" w:space="0" w:color="auto"/>
              <w:bottom w:val="single" w:sz="12" w:space="0" w:color="auto"/>
              <w:right w:val="single" w:sz="12" w:space="0" w:color="auto"/>
            </w:tcBorders>
            <w:shd w:val="clear" w:color="auto" w:fill="auto"/>
            <w:vAlign w:val="center"/>
          </w:tcPr>
          <w:p w:rsidR="00446B0D" w:rsidRDefault="008F1B69">
            <w:pPr>
              <w:rPr>
                <w:noProof/>
                <w:sz w:val="18"/>
                <w:szCs w:val="18"/>
              </w:rPr>
            </w:pPr>
            <w:r>
              <w:rPr>
                <w:noProof/>
                <w:sz w:val="18"/>
                <w:szCs w:val="18"/>
                <w:u w:val="single"/>
                <w:lang w:eastAsia="en-GB"/>
              </w:rPr>
              <w:t>Objectives</w:t>
            </w:r>
            <w:r>
              <w:rPr>
                <w:noProof/>
                <w:sz w:val="18"/>
                <w:szCs w:val="18"/>
                <w:lang w:eastAsia="en-GB"/>
              </w:rPr>
              <w:t xml:space="preserve">: Drawing up </w:t>
            </w:r>
            <w:r>
              <w:rPr>
                <w:noProof/>
                <w:sz w:val="18"/>
                <w:szCs w:val="18"/>
                <w:lang w:eastAsia="en-GB"/>
              </w:rPr>
              <w:t>of r</w:t>
            </w:r>
            <w:r>
              <w:rPr>
                <w:noProof/>
                <w:sz w:val="18"/>
                <w:szCs w:val="18"/>
              </w:rPr>
              <w:t>ecommendations on specific actions; exchange of information, best practices and anti-fraud methods, techniques and modus operandi; Improvement of operational cooperation between the Commission (OLAF) and its partners and the drafting of a final report.</w:t>
            </w:r>
          </w:p>
        </w:tc>
      </w:tr>
    </w:tbl>
    <w:tbl>
      <w:tblPr>
        <w:tblStyle w:val="TableGrid"/>
        <w:tblW w:w="9498" w:type="dxa"/>
        <w:tblInd w:w="-34" w:type="dxa"/>
        <w:tblBorders>
          <w:top w:val="single" w:sz="12" w:space="0" w:color="auto"/>
          <w:left w:val="single" w:sz="12" w:space="0" w:color="auto"/>
          <w:bottom w:val="single" w:sz="12" w:space="0" w:color="auto"/>
          <w:right w:val="single" w:sz="12" w:space="0" w:color="auto"/>
          <w:insideH w:val="dashed" w:sz="4" w:space="0" w:color="auto"/>
        </w:tblBorders>
        <w:tblLook w:val="04A0" w:firstRow="1" w:lastRow="0" w:firstColumn="1" w:lastColumn="0" w:noHBand="0" w:noVBand="1"/>
      </w:tblPr>
      <w:tblGrid>
        <w:gridCol w:w="426"/>
        <w:gridCol w:w="709"/>
        <w:gridCol w:w="2976"/>
        <w:gridCol w:w="2694"/>
        <w:gridCol w:w="1417"/>
        <w:gridCol w:w="1276"/>
      </w:tblGrid>
      <w:tr w:rsidR="00446B0D">
        <w:trPr>
          <w:trHeight w:val="402"/>
        </w:trPr>
        <w:tc>
          <w:tcPr>
            <w:tcW w:w="426" w:type="dxa"/>
            <w:tcBorders>
              <w:top w:val="single" w:sz="12" w:space="0" w:color="auto"/>
              <w:left w:val="nil"/>
              <w:bottom w:val="nil"/>
              <w:right w:val="nil"/>
            </w:tcBorders>
          </w:tcPr>
          <w:p w:rsidR="00446B0D" w:rsidRDefault="00446B0D">
            <w:pPr>
              <w:spacing w:before="0" w:after="0"/>
              <w:jc w:val="center"/>
              <w:rPr>
                <w:bCs/>
                <w:noProof/>
                <w:sz w:val="20"/>
                <w:szCs w:val="20"/>
              </w:rPr>
            </w:pPr>
          </w:p>
        </w:tc>
        <w:tc>
          <w:tcPr>
            <w:tcW w:w="709" w:type="dxa"/>
            <w:tcBorders>
              <w:top w:val="single" w:sz="12" w:space="0" w:color="auto"/>
              <w:left w:val="nil"/>
              <w:bottom w:val="nil"/>
              <w:right w:val="nil"/>
            </w:tcBorders>
          </w:tcPr>
          <w:p w:rsidR="00446B0D" w:rsidRDefault="00446B0D">
            <w:pPr>
              <w:spacing w:before="0" w:after="0"/>
              <w:jc w:val="center"/>
              <w:rPr>
                <w:bCs/>
                <w:noProof/>
                <w:sz w:val="20"/>
                <w:szCs w:val="20"/>
              </w:rPr>
            </w:pPr>
          </w:p>
        </w:tc>
        <w:tc>
          <w:tcPr>
            <w:tcW w:w="2976" w:type="dxa"/>
            <w:tcBorders>
              <w:top w:val="single" w:sz="12" w:space="0" w:color="auto"/>
              <w:left w:val="nil"/>
              <w:bottom w:val="nil"/>
              <w:right w:val="single" w:sz="12" w:space="0" w:color="auto"/>
            </w:tcBorders>
          </w:tcPr>
          <w:p w:rsidR="00446B0D" w:rsidRDefault="00446B0D">
            <w:pPr>
              <w:spacing w:before="0" w:after="0"/>
              <w:jc w:val="left"/>
              <w:rPr>
                <w:bCs/>
                <w:noProof/>
                <w:sz w:val="20"/>
                <w:szCs w:val="20"/>
              </w:rPr>
            </w:pPr>
          </w:p>
        </w:tc>
        <w:tc>
          <w:tcPr>
            <w:tcW w:w="2694" w:type="dxa"/>
            <w:tcBorders>
              <w:top w:val="single" w:sz="12" w:space="0" w:color="auto"/>
              <w:left w:val="single" w:sz="12" w:space="0" w:color="auto"/>
              <w:bottom w:val="single" w:sz="12" w:space="0" w:color="auto"/>
            </w:tcBorders>
            <w:shd w:val="clear" w:color="auto" w:fill="C7C7C7" w:themeFill="background1" w:themeFillShade="D9"/>
            <w:vAlign w:val="center"/>
          </w:tcPr>
          <w:p w:rsidR="00446B0D" w:rsidRDefault="008F1B69">
            <w:pPr>
              <w:spacing w:before="0" w:after="0"/>
              <w:jc w:val="right"/>
              <w:rPr>
                <w:b/>
                <w:bCs/>
                <w:noProof/>
                <w:sz w:val="20"/>
                <w:szCs w:val="20"/>
              </w:rPr>
            </w:pPr>
            <w:r>
              <w:rPr>
                <w:b/>
                <w:bCs/>
                <w:noProof/>
                <w:sz w:val="20"/>
                <w:szCs w:val="20"/>
              </w:rPr>
              <w:t xml:space="preserve">Total </w:t>
            </w:r>
          </w:p>
        </w:tc>
        <w:tc>
          <w:tcPr>
            <w:tcW w:w="1417" w:type="dxa"/>
            <w:tcBorders>
              <w:top w:val="single" w:sz="12" w:space="0" w:color="auto"/>
              <w:bottom w:val="single" w:sz="12" w:space="0" w:color="auto"/>
            </w:tcBorders>
            <w:shd w:val="clear" w:color="auto" w:fill="C7C7C7" w:themeFill="background1" w:themeFillShade="D9"/>
            <w:vAlign w:val="center"/>
          </w:tcPr>
          <w:p w:rsidR="00446B0D" w:rsidRDefault="008F1B69">
            <w:pPr>
              <w:spacing w:before="0" w:after="0"/>
              <w:jc w:val="center"/>
              <w:rPr>
                <w:b/>
                <w:bCs/>
                <w:noProof/>
                <w:sz w:val="20"/>
                <w:szCs w:val="20"/>
              </w:rPr>
            </w:pPr>
            <w:r>
              <w:rPr>
                <w:b/>
                <w:bCs/>
                <w:noProof/>
                <w:sz w:val="20"/>
                <w:szCs w:val="20"/>
              </w:rPr>
              <w:t>587</w:t>
            </w:r>
          </w:p>
        </w:tc>
        <w:tc>
          <w:tcPr>
            <w:tcW w:w="1276" w:type="dxa"/>
            <w:tcBorders>
              <w:top w:val="single" w:sz="12" w:space="0" w:color="auto"/>
              <w:bottom w:val="single" w:sz="12" w:space="0" w:color="auto"/>
            </w:tcBorders>
            <w:shd w:val="clear" w:color="auto" w:fill="C7C7C7" w:themeFill="background1" w:themeFillShade="D9"/>
            <w:vAlign w:val="center"/>
          </w:tcPr>
          <w:p w:rsidR="00446B0D" w:rsidRDefault="008F1B69">
            <w:pPr>
              <w:spacing w:before="0" w:after="0"/>
              <w:jc w:val="right"/>
              <w:rPr>
                <w:b/>
                <w:bCs/>
                <w:noProof/>
                <w:sz w:val="20"/>
                <w:szCs w:val="20"/>
              </w:rPr>
            </w:pPr>
            <w:r>
              <w:rPr>
                <w:b/>
                <w:bCs/>
                <w:noProof/>
                <w:sz w:val="20"/>
                <w:szCs w:val="20"/>
              </w:rPr>
              <w:t>806 075</w:t>
            </w:r>
          </w:p>
        </w:tc>
      </w:tr>
    </w:tbl>
    <w:p w:rsidR="00446B0D" w:rsidRDefault="00446B0D">
      <w:pPr>
        <w:pStyle w:val="Text1"/>
        <w:ind w:left="0"/>
        <w:rPr>
          <w:noProof/>
        </w:rPr>
      </w:pPr>
    </w:p>
    <w:p w:rsidR="00446B0D" w:rsidRDefault="008F1B69">
      <w:pPr>
        <w:spacing w:before="0" w:after="200" w:line="276" w:lineRule="auto"/>
        <w:jc w:val="left"/>
        <w:rPr>
          <w:b/>
          <w:noProof/>
        </w:rPr>
      </w:pPr>
      <w:r>
        <w:rPr>
          <w:b/>
          <w:noProof/>
        </w:rPr>
        <w:br w:type="page"/>
      </w:r>
    </w:p>
    <w:p w:rsidR="00446B0D" w:rsidRDefault="008F1B69">
      <w:pPr>
        <w:rPr>
          <w:b/>
          <w:noProof/>
          <w:sz w:val="20"/>
          <w:szCs w:val="20"/>
        </w:rPr>
      </w:pPr>
      <w:r>
        <w:rPr>
          <w:b/>
          <w:noProof/>
          <w:sz w:val="20"/>
          <w:szCs w:val="20"/>
        </w:rPr>
        <w:lastRenderedPageBreak/>
        <w:t>Table 6 — Training grants finalised in 2014</w:t>
      </w:r>
    </w:p>
    <w:tbl>
      <w:tblPr>
        <w:tblStyle w:val="TableGrid"/>
        <w:tblW w:w="5190" w:type="pct"/>
        <w:tblInd w:w="-176" w:type="dxa"/>
        <w:tblBorders>
          <w:top w:val="single" w:sz="12" w:space="0" w:color="auto"/>
          <w:left w:val="single" w:sz="12" w:space="0" w:color="auto"/>
          <w:bottom w:val="single" w:sz="12" w:space="0" w:color="auto"/>
          <w:right w:val="single" w:sz="12" w:space="0" w:color="auto"/>
          <w:insideH w:val="dashed" w:sz="4" w:space="0" w:color="auto"/>
        </w:tblBorders>
        <w:tblLayout w:type="fixed"/>
        <w:tblLook w:val="04A0" w:firstRow="1" w:lastRow="0" w:firstColumn="1" w:lastColumn="0" w:noHBand="0" w:noVBand="1"/>
      </w:tblPr>
      <w:tblGrid>
        <w:gridCol w:w="425"/>
        <w:gridCol w:w="567"/>
        <w:gridCol w:w="1701"/>
        <w:gridCol w:w="4254"/>
        <w:gridCol w:w="708"/>
        <w:gridCol w:w="1134"/>
        <w:gridCol w:w="852"/>
      </w:tblGrid>
      <w:tr w:rsidR="00446B0D">
        <w:trPr>
          <w:cantSplit/>
          <w:trHeight w:val="709"/>
        </w:trPr>
        <w:tc>
          <w:tcPr>
            <w:tcW w:w="221" w:type="pct"/>
            <w:tcBorders>
              <w:top w:val="nil"/>
              <w:left w:val="nil"/>
              <w:bottom w:val="single" w:sz="12" w:space="0" w:color="auto"/>
              <w:right w:val="single" w:sz="12" w:space="0" w:color="auto"/>
            </w:tcBorders>
            <w:shd w:val="clear" w:color="auto" w:fill="auto"/>
            <w:vAlign w:val="center"/>
          </w:tcPr>
          <w:p w:rsidR="00446B0D" w:rsidRDefault="00446B0D">
            <w:pPr>
              <w:spacing w:before="0" w:after="0"/>
              <w:jc w:val="center"/>
              <w:rPr>
                <w:b/>
                <w:bCs/>
                <w:noProof/>
                <w:sz w:val="20"/>
                <w:szCs w:val="20"/>
              </w:rPr>
            </w:pPr>
          </w:p>
        </w:tc>
        <w:tc>
          <w:tcPr>
            <w:tcW w:w="294" w:type="pct"/>
            <w:tcBorders>
              <w:top w:val="single" w:sz="12" w:space="0" w:color="auto"/>
              <w:left w:val="single" w:sz="12" w:space="0" w:color="auto"/>
              <w:bottom w:val="single" w:sz="12" w:space="0" w:color="auto"/>
            </w:tcBorders>
            <w:shd w:val="clear" w:color="auto" w:fill="C7C7C7" w:themeFill="background1" w:themeFillShade="D9"/>
            <w:vAlign w:val="center"/>
          </w:tcPr>
          <w:p w:rsidR="00446B0D" w:rsidRDefault="008F1B69">
            <w:pPr>
              <w:spacing w:before="0" w:after="0"/>
              <w:jc w:val="center"/>
              <w:rPr>
                <w:b/>
                <w:bCs/>
                <w:noProof/>
                <w:sz w:val="20"/>
                <w:szCs w:val="20"/>
              </w:rPr>
            </w:pPr>
            <w:r>
              <w:rPr>
                <w:b/>
                <w:bCs/>
                <w:noProof/>
                <w:sz w:val="20"/>
                <w:szCs w:val="20"/>
              </w:rPr>
              <w:t>MS</w:t>
            </w:r>
          </w:p>
        </w:tc>
        <w:tc>
          <w:tcPr>
            <w:tcW w:w="882" w:type="pct"/>
            <w:tcBorders>
              <w:top w:val="single" w:sz="12" w:space="0" w:color="auto"/>
              <w:bottom w:val="single" w:sz="12" w:space="0" w:color="auto"/>
            </w:tcBorders>
            <w:shd w:val="clear" w:color="auto" w:fill="C7C7C7" w:themeFill="background1" w:themeFillShade="D9"/>
            <w:vAlign w:val="center"/>
          </w:tcPr>
          <w:p w:rsidR="00446B0D" w:rsidRDefault="008F1B69">
            <w:pPr>
              <w:spacing w:before="0" w:after="0"/>
              <w:jc w:val="center"/>
              <w:rPr>
                <w:b/>
                <w:bCs/>
                <w:noProof/>
                <w:sz w:val="20"/>
                <w:szCs w:val="20"/>
              </w:rPr>
            </w:pPr>
            <w:r>
              <w:rPr>
                <w:b/>
                <w:bCs/>
                <w:noProof/>
                <w:sz w:val="20"/>
                <w:szCs w:val="20"/>
              </w:rPr>
              <w:t>Beneficiary</w:t>
            </w:r>
          </w:p>
        </w:tc>
        <w:tc>
          <w:tcPr>
            <w:tcW w:w="2206" w:type="pct"/>
            <w:tcBorders>
              <w:top w:val="single" w:sz="12" w:space="0" w:color="auto"/>
              <w:bottom w:val="single" w:sz="12" w:space="0" w:color="auto"/>
            </w:tcBorders>
            <w:shd w:val="clear" w:color="auto" w:fill="C7C7C7" w:themeFill="background1" w:themeFillShade="D9"/>
            <w:vAlign w:val="center"/>
          </w:tcPr>
          <w:p w:rsidR="00446B0D" w:rsidRDefault="008F1B69">
            <w:pPr>
              <w:spacing w:before="0" w:after="0"/>
              <w:jc w:val="center"/>
              <w:rPr>
                <w:b/>
                <w:bCs/>
                <w:noProof/>
                <w:sz w:val="20"/>
                <w:szCs w:val="20"/>
              </w:rPr>
            </w:pPr>
            <w:r>
              <w:rPr>
                <w:b/>
                <w:bCs/>
                <w:noProof/>
                <w:sz w:val="20"/>
                <w:szCs w:val="20"/>
              </w:rPr>
              <w:t>Title</w:t>
            </w:r>
          </w:p>
        </w:tc>
        <w:tc>
          <w:tcPr>
            <w:tcW w:w="367" w:type="pct"/>
            <w:tcBorders>
              <w:top w:val="single" w:sz="12" w:space="0" w:color="auto"/>
              <w:bottom w:val="single" w:sz="12" w:space="0" w:color="auto"/>
            </w:tcBorders>
            <w:shd w:val="clear" w:color="auto" w:fill="C7C7C7" w:themeFill="background1" w:themeFillShade="D9"/>
            <w:vAlign w:val="center"/>
          </w:tcPr>
          <w:p w:rsidR="00446B0D" w:rsidRDefault="008F1B69">
            <w:pPr>
              <w:spacing w:before="0" w:after="0"/>
              <w:jc w:val="center"/>
              <w:rPr>
                <w:b/>
                <w:bCs/>
                <w:noProof/>
                <w:sz w:val="16"/>
                <w:szCs w:val="16"/>
              </w:rPr>
            </w:pPr>
            <w:r>
              <w:rPr>
                <w:b/>
                <w:bCs/>
                <w:noProof/>
                <w:sz w:val="16"/>
                <w:szCs w:val="16"/>
              </w:rPr>
              <w:t>Participants</w:t>
            </w:r>
          </w:p>
        </w:tc>
        <w:tc>
          <w:tcPr>
            <w:tcW w:w="588" w:type="pct"/>
            <w:tcBorders>
              <w:top w:val="single" w:sz="12" w:space="0" w:color="auto"/>
              <w:bottom w:val="single" w:sz="12" w:space="0" w:color="auto"/>
            </w:tcBorders>
            <w:shd w:val="clear" w:color="auto" w:fill="C7C7C7" w:themeFill="background1" w:themeFillShade="D9"/>
            <w:vAlign w:val="center"/>
          </w:tcPr>
          <w:p w:rsidR="00446B0D" w:rsidRDefault="008F1B69">
            <w:pPr>
              <w:spacing w:before="0" w:after="0"/>
              <w:jc w:val="center"/>
              <w:rPr>
                <w:b/>
                <w:bCs/>
                <w:noProof/>
                <w:sz w:val="18"/>
                <w:szCs w:val="18"/>
              </w:rPr>
            </w:pPr>
            <w:r>
              <w:rPr>
                <w:b/>
                <w:bCs/>
                <w:noProof/>
                <w:sz w:val="18"/>
                <w:szCs w:val="18"/>
              </w:rPr>
              <w:t>Total paid</w:t>
            </w:r>
          </w:p>
        </w:tc>
        <w:tc>
          <w:tcPr>
            <w:tcW w:w="442" w:type="pct"/>
            <w:tcBorders>
              <w:top w:val="single" w:sz="12" w:space="0" w:color="auto"/>
              <w:bottom w:val="single" w:sz="12" w:space="0" w:color="auto"/>
            </w:tcBorders>
            <w:shd w:val="clear" w:color="auto" w:fill="C7C7C7" w:themeFill="background1" w:themeFillShade="D9"/>
            <w:vAlign w:val="center"/>
          </w:tcPr>
          <w:p w:rsidR="00446B0D" w:rsidRDefault="008F1B69">
            <w:pPr>
              <w:spacing w:before="0" w:after="0"/>
              <w:rPr>
                <w:b/>
                <w:bCs/>
                <w:noProof/>
                <w:sz w:val="18"/>
                <w:szCs w:val="18"/>
              </w:rPr>
            </w:pPr>
            <w:r>
              <w:rPr>
                <w:b/>
                <w:bCs/>
                <w:noProof/>
                <w:sz w:val="18"/>
                <w:szCs w:val="18"/>
              </w:rPr>
              <w:t xml:space="preserve">Grant % </w:t>
            </w:r>
          </w:p>
        </w:tc>
      </w:tr>
      <w:tr w:rsidR="00446B0D">
        <w:tc>
          <w:tcPr>
            <w:tcW w:w="221" w:type="pct"/>
            <w:tcBorders>
              <w:top w:val="single" w:sz="12" w:space="0" w:color="auto"/>
            </w:tcBorders>
            <w:vAlign w:val="center"/>
          </w:tcPr>
          <w:p w:rsidR="00446B0D" w:rsidRDefault="008F1B69">
            <w:pPr>
              <w:pStyle w:val="ListParagraph"/>
              <w:numPr>
                <w:ilvl w:val="0"/>
                <w:numId w:val="0"/>
              </w:numPr>
              <w:jc w:val="center"/>
              <w:rPr>
                <w:sz w:val="18"/>
                <w:szCs w:val="18"/>
              </w:rPr>
            </w:pPr>
            <w:r>
              <w:rPr>
                <w:sz w:val="18"/>
                <w:szCs w:val="18"/>
              </w:rPr>
              <w:t>1</w:t>
            </w:r>
          </w:p>
        </w:tc>
        <w:tc>
          <w:tcPr>
            <w:tcW w:w="294" w:type="pct"/>
            <w:tcBorders>
              <w:top w:val="single" w:sz="12" w:space="0" w:color="auto"/>
            </w:tcBorders>
            <w:vAlign w:val="center"/>
          </w:tcPr>
          <w:p w:rsidR="00446B0D" w:rsidRDefault="008F1B69">
            <w:pPr>
              <w:pStyle w:val="ListParagraph"/>
              <w:numPr>
                <w:ilvl w:val="0"/>
                <w:numId w:val="0"/>
              </w:numPr>
              <w:jc w:val="center"/>
              <w:rPr>
                <w:sz w:val="18"/>
                <w:szCs w:val="18"/>
              </w:rPr>
            </w:pPr>
            <w:r>
              <w:rPr>
                <w:sz w:val="18"/>
                <w:szCs w:val="18"/>
              </w:rPr>
              <w:t>DE</w:t>
            </w:r>
          </w:p>
        </w:tc>
        <w:tc>
          <w:tcPr>
            <w:tcW w:w="882" w:type="pct"/>
            <w:tcBorders>
              <w:top w:val="single" w:sz="12" w:space="0" w:color="auto"/>
            </w:tcBorders>
            <w:vAlign w:val="center"/>
          </w:tcPr>
          <w:p w:rsidR="00446B0D" w:rsidRDefault="008F1B69">
            <w:pPr>
              <w:pStyle w:val="ListParagraph"/>
              <w:ind w:left="0"/>
              <w:rPr>
                <w:sz w:val="18"/>
                <w:szCs w:val="18"/>
              </w:rPr>
            </w:pPr>
            <w:r>
              <w:rPr>
                <w:sz w:val="18"/>
                <w:szCs w:val="18"/>
              </w:rPr>
              <w:t>The Chief Public Prosecutor</w:t>
            </w:r>
          </w:p>
        </w:tc>
        <w:tc>
          <w:tcPr>
            <w:tcW w:w="2206" w:type="pct"/>
            <w:tcBorders>
              <w:top w:val="single" w:sz="12" w:space="0" w:color="auto"/>
            </w:tcBorders>
            <w:vAlign w:val="center"/>
          </w:tcPr>
          <w:p w:rsidR="00446B0D" w:rsidRDefault="008F1B69">
            <w:pPr>
              <w:pStyle w:val="ListParagraph"/>
              <w:ind w:left="0"/>
              <w:rPr>
                <w:sz w:val="18"/>
                <w:szCs w:val="18"/>
              </w:rPr>
            </w:pPr>
            <w:r>
              <w:rPr>
                <w:sz w:val="18"/>
                <w:szCs w:val="18"/>
              </w:rPr>
              <w:t xml:space="preserve">European Public Prosecutor’s Office – Protection of the EU’s financial interests – Jan 2014, </w:t>
            </w:r>
            <w:r>
              <w:rPr>
                <w:sz w:val="18"/>
                <w:szCs w:val="18"/>
              </w:rPr>
              <w:t>Munich</w:t>
            </w:r>
          </w:p>
        </w:tc>
        <w:tc>
          <w:tcPr>
            <w:tcW w:w="367" w:type="pct"/>
            <w:tcBorders>
              <w:top w:val="single" w:sz="12" w:space="0" w:color="auto"/>
            </w:tcBorders>
            <w:vAlign w:val="center"/>
          </w:tcPr>
          <w:p w:rsidR="00446B0D" w:rsidRDefault="008F1B69">
            <w:pPr>
              <w:pStyle w:val="ListParagraph"/>
              <w:numPr>
                <w:ilvl w:val="0"/>
                <w:numId w:val="0"/>
              </w:numPr>
              <w:jc w:val="center"/>
              <w:rPr>
                <w:sz w:val="18"/>
                <w:szCs w:val="18"/>
              </w:rPr>
            </w:pPr>
            <w:r>
              <w:rPr>
                <w:sz w:val="18"/>
                <w:szCs w:val="18"/>
              </w:rPr>
              <w:t>93</w:t>
            </w:r>
          </w:p>
        </w:tc>
        <w:tc>
          <w:tcPr>
            <w:tcW w:w="588" w:type="pct"/>
            <w:tcBorders>
              <w:top w:val="single" w:sz="12" w:space="0" w:color="auto"/>
            </w:tcBorders>
            <w:vAlign w:val="center"/>
          </w:tcPr>
          <w:p w:rsidR="00446B0D" w:rsidRDefault="008F1B69">
            <w:pPr>
              <w:pStyle w:val="ListParagraph"/>
              <w:numPr>
                <w:ilvl w:val="0"/>
                <w:numId w:val="0"/>
              </w:numPr>
              <w:jc w:val="right"/>
              <w:rPr>
                <w:sz w:val="18"/>
                <w:szCs w:val="18"/>
              </w:rPr>
            </w:pPr>
            <w:r>
              <w:rPr>
                <w:sz w:val="18"/>
                <w:szCs w:val="18"/>
              </w:rPr>
              <w:t>94 064</w:t>
            </w:r>
          </w:p>
        </w:tc>
        <w:tc>
          <w:tcPr>
            <w:tcW w:w="442" w:type="pct"/>
            <w:tcBorders>
              <w:top w:val="single" w:sz="12" w:space="0" w:color="auto"/>
            </w:tcBorders>
            <w:vAlign w:val="center"/>
          </w:tcPr>
          <w:p w:rsidR="00446B0D" w:rsidRDefault="008F1B69">
            <w:pPr>
              <w:pStyle w:val="ListParagraph"/>
              <w:numPr>
                <w:ilvl w:val="0"/>
                <w:numId w:val="0"/>
              </w:numPr>
              <w:jc w:val="center"/>
              <w:rPr>
                <w:sz w:val="18"/>
                <w:szCs w:val="18"/>
              </w:rPr>
            </w:pPr>
            <w:r>
              <w:rPr>
                <w:sz w:val="18"/>
                <w:szCs w:val="18"/>
              </w:rPr>
              <w:t>80</w:t>
            </w:r>
          </w:p>
        </w:tc>
      </w:tr>
      <w:tr w:rsidR="00446B0D">
        <w:tc>
          <w:tcPr>
            <w:tcW w:w="221" w:type="pct"/>
            <w:vAlign w:val="center"/>
          </w:tcPr>
          <w:p w:rsidR="00446B0D" w:rsidRDefault="008F1B69">
            <w:pPr>
              <w:pStyle w:val="ListParagraph"/>
              <w:numPr>
                <w:ilvl w:val="0"/>
                <w:numId w:val="0"/>
              </w:numPr>
              <w:jc w:val="center"/>
              <w:rPr>
                <w:sz w:val="18"/>
                <w:szCs w:val="18"/>
              </w:rPr>
            </w:pPr>
            <w:r>
              <w:rPr>
                <w:sz w:val="18"/>
                <w:szCs w:val="18"/>
              </w:rPr>
              <w:t>2</w:t>
            </w:r>
          </w:p>
        </w:tc>
        <w:tc>
          <w:tcPr>
            <w:tcW w:w="294" w:type="pct"/>
            <w:vAlign w:val="center"/>
          </w:tcPr>
          <w:p w:rsidR="00446B0D" w:rsidRDefault="008F1B69">
            <w:pPr>
              <w:pStyle w:val="ListParagraph"/>
              <w:numPr>
                <w:ilvl w:val="0"/>
                <w:numId w:val="0"/>
              </w:numPr>
              <w:jc w:val="center"/>
              <w:rPr>
                <w:sz w:val="18"/>
                <w:szCs w:val="18"/>
              </w:rPr>
            </w:pPr>
            <w:r>
              <w:rPr>
                <w:sz w:val="18"/>
                <w:szCs w:val="18"/>
              </w:rPr>
              <w:t>BE</w:t>
            </w:r>
          </w:p>
        </w:tc>
        <w:tc>
          <w:tcPr>
            <w:tcW w:w="882" w:type="pct"/>
            <w:vAlign w:val="center"/>
          </w:tcPr>
          <w:p w:rsidR="00446B0D" w:rsidRDefault="008F1B69">
            <w:pPr>
              <w:pStyle w:val="ListParagraph"/>
              <w:ind w:left="0"/>
              <w:rPr>
                <w:sz w:val="18"/>
                <w:szCs w:val="18"/>
              </w:rPr>
            </w:pPr>
            <w:r>
              <w:rPr>
                <w:sz w:val="18"/>
                <w:szCs w:val="18"/>
              </w:rPr>
              <w:t>Institute for Judiciary Training</w:t>
            </w:r>
          </w:p>
        </w:tc>
        <w:tc>
          <w:tcPr>
            <w:tcW w:w="2206" w:type="pct"/>
            <w:vAlign w:val="center"/>
          </w:tcPr>
          <w:p w:rsidR="00446B0D" w:rsidRDefault="008F1B69">
            <w:pPr>
              <w:pStyle w:val="ListParagraph"/>
              <w:ind w:left="0"/>
              <w:rPr>
                <w:sz w:val="18"/>
                <w:szCs w:val="18"/>
              </w:rPr>
            </w:pPr>
            <w:r>
              <w:rPr>
                <w:sz w:val="18"/>
                <w:szCs w:val="18"/>
              </w:rPr>
              <w:t>Case management and the use of EU legislation/tools: Key components in the fight against financial crime – May 2014, Brussels</w:t>
            </w:r>
          </w:p>
        </w:tc>
        <w:tc>
          <w:tcPr>
            <w:tcW w:w="367" w:type="pct"/>
            <w:vAlign w:val="center"/>
          </w:tcPr>
          <w:p w:rsidR="00446B0D" w:rsidRDefault="008F1B69">
            <w:pPr>
              <w:pStyle w:val="ListParagraph"/>
              <w:numPr>
                <w:ilvl w:val="0"/>
                <w:numId w:val="0"/>
              </w:numPr>
              <w:jc w:val="center"/>
              <w:rPr>
                <w:sz w:val="18"/>
                <w:szCs w:val="18"/>
              </w:rPr>
            </w:pPr>
            <w:r>
              <w:rPr>
                <w:sz w:val="18"/>
                <w:szCs w:val="18"/>
              </w:rPr>
              <w:t>65</w:t>
            </w:r>
          </w:p>
        </w:tc>
        <w:tc>
          <w:tcPr>
            <w:tcW w:w="588" w:type="pct"/>
            <w:vAlign w:val="center"/>
          </w:tcPr>
          <w:p w:rsidR="00446B0D" w:rsidRDefault="008F1B69">
            <w:pPr>
              <w:pStyle w:val="ListParagraph"/>
              <w:numPr>
                <w:ilvl w:val="0"/>
                <w:numId w:val="0"/>
              </w:numPr>
              <w:jc w:val="right"/>
              <w:rPr>
                <w:sz w:val="18"/>
                <w:szCs w:val="18"/>
              </w:rPr>
            </w:pPr>
            <w:r>
              <w:rPr>
                <w:sz w:val="18"/>
                <w:szCs w:val="18"/>
              </w:rPr>
              <w:t>75 051</w:t>
            </w:r>
          </w:p>
        </w:tc>
        <w:tc>
          <w:tcPr>
            <w:tcW w:w="442" w:type="pct"/>
            <w:vAlign w:val="center"/>
          </w:tcPr>
          <w:p w:rsidR="00446B0D" w:rsidRDefault="008F1B69">
            <w:pPr>
              <w:pStyle w:val="ListParagraph"/>
              <w:numPr>
                <w:ilvl w:val="0"/>
                <w:numId w:val="0"/>
              </w:numPr>
              <w:jc w:val="center"/>
              <w:rPr>
                <w:sz w:val="18"/>
                <w:szCs w:val="18"/>
              </w:rPr>
            </w:pPr>
            <w:r>
              <w:rPr>
                <w:sz w:val="18"/>
                <w:szCs w:val="18"/>
              </w:rPr>
              <w:t>76</w:t>
            </w:r>
          </w:p>
        </w:tc>
      </w:tr>
      <w:tr w:rsidR="00446B0D">
        <w:tc>
          <w:tcPr>
            <w:tcW w:w="221" w:type="pct"/>
            <w:vAlign w:val="center"/>
          </w:tcPr>
          <w:p w:rsidR="00446B0D" w:rsidRDefault="008F1B69">
            <w:pPr>
              <w:pStyle w:val="ListParagraph"/>
              <w:numPr>
                <w:ilvl w:val="0"/>
                <w:numId w:val="0"/>
              </w:numPr>
              <w:jc w:val="center"/>
              <w:rPr>
                <w:sz w:val="18"/>
                <w:szCs w:val="18"/>
              </w:rPr>
            </w:pPr>
            <w:r>
              <w:rPr>
                <w:sz w:val="18"/>
                <w:szCs w:val="18"/>
              </w:rPr>
              <w:t>3</w:t>
            </w:r>
          </w:p>
        </w:tc>
        <w:tc>
          <w:tcPr>
            <w:tcW w:w="294" w:type="pct"/>
            <w:vAlign w:val="center"/>
          </w:tcPr>
          <w:p w:rsidR="00446B0D" w:rsidRDefault="008F1B69">
            <w:pPr>
              <w:pStyle w:val="ListParagraph"/>
              <w:numPr>
                <w:ilvl w:val="0"/>
                <w:numId w:val="0"/>
              </w:numPr>
              <w:jc w:val="center"/>
              <w:rPr>
                <w:sz w:val="18"/>
                <w:szCs w:val="18"/>
              </w:rPr>
            </w:pPr>
            <w:r>
              <w:rPr>
                <w:sz w:val="18"/>
                <w:szCs w:val="18"/>
              </w:rPr>
              <w:t>RO</w:t>
            </w:r>
          </w:p>
        </w:tc>
        <w:tc>
          <w:tcPr>
            <w:tcW w:w="882" w:type="pct"/>
            <w:vAlign w:val="center"/>
          </w:tcPr>
          <w:p w:rsidR="00446B0D" w:rsidRDefault="008F1B69">
            <w:pPr>
              <w:pStyle w:val="ListParagraph"/>
              <w:ind w:left="0"/>
              <w:rPr>
                <w:sz w:val="18"/>
                <w:szCs w:val="18"/>
              </w:rPr>
            </w:pPr>
            <w:r>
              <w:rPr>
                <w:sz w:val="18"/>
                <w:szCs w:val="18"/>
              </w:rPr>
              <w:t>Arad County Police Inspectorate</w:t>
            </w:r>
          </w:p>
        </w:tc>
        <w:tc>
          <w:tcPr>
            <w:tcW w:w="2206" w:type="pct"/>
            <w:vAlign w:val="center"/>
          </w:tcPr>
          <w:p w:rsidR="00446B0D" w:rsidRDefault="008F1B69">
            <w:pPr>
              <w:pStyle w:val="ListParagraph"/>
              <w:ind w:left="0"/>
              <w:rPr>
                <w:sz w:val="18"/>
                <w:szCs w:val="18"/>
              </w:rPr>
            </w:pPr>
            <w:r>
              <w:rPr>
                <w:sz w:val="18"/>
                <w:szCs w:val="18"/>
              </w:rPr>
              <w:t>PRO-NET- Development</w:t>
            </w:r>
            <w:r>
              <w:rPr>
                <w:sz w:val="18"/>
                <w:szCs w:val="18"/>
              </w:rPr>
              <w:t xml:space="preserve"> of a professional law enforcement network in Romania, Hungary, Serbia and Bulgaria, involved in the fight against cigarette smuggling and counterfeiting – Dec 2013/Feb 2014/Apr 2014, Arad</w:t>
            </w:r>
          </w:p>
        </w:tc>
        <w:tc>
          <w:tcPr>
            <w:tcW w:w="367" w:type="pct"/>
            <w:vAlign w:val="center"/>
          </w:tcPr>
          <w:p w:rsidR="00446B0D" w:rsidRDefault="008F1B69">
            <w:pPr>
              <w:pStyle w:val="ListParagraph"/>
              <w:numPr>
                <w:ilvl w:val="0"/>
                <w:numId w:val="0"/>
              </w:numPr>
              <w:jc w:val="center"/>
              <w:rPr>
                <w:sz w:val="18"/>
                <w:szCs w:val="18"/>
              </w:rPr>
            </w:pPr>
            <w:r>
              <w:rPr>
                <w:sz w:val="18"/>
                <w:szCs w:val="18"/>
              </w:rPr>
              <w:t>120</w:t>
            </w:r>
          </w:p>
        </w:tc>
        <w:tc>
          <w:tcPr>
            <w:tcW w:w="588" w:type="pct"/>
            <w:vAlign w:val="center"/>
          </w:tcPr>
          <w:p w:rsidR="00446B0D" w:rsidRDefault="008F1B69">
            <w:pPr>
              <w:pStyle w:val="ListParagraph"/>
              <w:numPr>
                <w:ilvl w:val="0"/>
                <w:numId w:val="0"/>
              </w:numPr>
              <w:jc w:val="right"/>
              <w:rPr>
                <w:sz w:val="18"/>
                <w:szCs w:val="18"/>
              </w:rPr>
            </w:pPr>
            <w:r>
              <w:rPr>
                <w:sz w:val="18"/>
                <w:szCs w:val="18"/>
              </w:rPr>
              <w:t>56 120</w:t>
            </w:r>
          </w:p>
        </w:tc>
        <w:tc>
          <w:tcPr>
            <w:tcW w:w="442" w:type="pct"/>
            <w:vAlign w:val="center"/>
          </w:tcPr>
          <w:p w:rsidR="00446B0D" w:rsidRDefault="008F1B69">
            <w:pPr>
              <w:pStyle w:val="ListParagraph"/>
              <w:numPr>
                <w:ilvl w:val="0"/>
                <w:numId w:val="0"/>
              </w:numPr>
              <w:jc w:val="center"/>
              <w:rPr>
                <w:sz w:val="18"/>
                <w:szCs w:val="18"/>
              </w:rPr>
            </w:pPr>
            <w:r>
              <w:rPr>
                <w:sz w:val="18"/>
                <w:szCs w:val="18"/>
              </w:rPr>
              <w:t>80</w:t>
            </w:r>
          </w:p>
        </w:tc>
      </w:tr>
      <w:tr w:rsidR="00446B0D">
        <w:tc>
          <w:tcPr>
            <w:tcW w:w="221" w:type="pct"/>
            <w:vAlign w:val="center"/>
          </w:tcPr>
          <w:p w:rsidR="00446B0D" w:rsidRDefault="008F1B69">
            <w:pPr>
              <w:pStyle w:val="ListParagraph"/>
              <w:numPr>
                <w:ilvl w:val="0"/>
                <w:numId w:val="0"/>
              </w:numPr>
              <w:jc w:val="center"/>
              <w:rPr>
                <w:sz w:val="18"/>
                <w:szCs w:val="18"/>
              </w:rPr>
            </w:pPr>
            <w:r>
              <w:rPr>
                <w:sz w:val="18"/>
                <w:szCs w:val="18"/>
              </w:rPr>
              <w:t>4</w:t>
            </w:r>
          </w:p>
        </w:tc>
        <w:tc>
          <w:tcPr>
            <w:tcW w:w="294" w:type="pct"/>
            <w:vAlign w:val="center"/>
          </w:tcPr>
          <w:p w:rsidR="00446B0D" w:rsidRDefault="008F1B69">
            <w:pPr>
              <w:pStyle w:val="ListParagraph"/>
              <w:numPr>
                <w:ilvl w:val="0"/>
                <w:numId w:val="0"/>
              </w:numPr>
              <w:jc w:val="center"/>
              <w:rPr>
                <w:sz w:val="18"/>
                <w:szCs w:val="18"/>
              </w:rPr>
            </w:pPr>
            <w:r>
              <w:rPr>
                <w:sz w:val="18"/>
                <w:szCs w:val="18"/>
              </w:rPr>
              <w:t>RO</w:t>
            </w:r>
          </w:p>
        </w:tc>
        <w:tc>
          <w:tcPr>
            <w:tcW w:w="882" w:type="pct"/>
            <w:vAlign w:val="center"/>
          </w:tcPr>
          <w:p w:rsidR="00446B0D" w:rsidRDefault="008F1B69">
            <w:pPr>
              <w:pStyle w:val="ListParagraph"/>
              <w:ind w:left="0"/>
              <w:rPr>
                <w:sz w:val="18"/>
                <w:szCs w:val="18"/>
              </w:rPr>
            </w:pPr>
            <w:r>
              <w:rPr>
                <w:sz w:val="18"/>
                <w:szCs w:val="18"/>
              </w:rPr>
              <w:t>Neamt County Police Inspectorate</w:t>
            </w:r>
          </w:p>
        </w:tc>
        <w:tc>
          <w:tcPr>
            <w:tcW w:w="2206" w:type="pct"/>
            <w:vAlign w:val="center"/>
          </w:tcPr>
          <w:p w:rsidR="00446B0D" w:rsidRDefault="008F1B69">
            <w:pPr>
              <w:pStyle w:val="ListParagraph"/>
              <w:ind w:left="0"/>
              <w:rPr>
                <w:sz w:val="18"/>
                <w:szCs w:val="18"/>
              </w:rPr>
            </w:pPr>
            <w:r>
              <w:rPr>
                <w:sz w:val="18"/>
                <w:szCs w:val="18"/>
              </w:rPr>
              <w:t xml:space="preserve">Seminar on </w:t>
            </w:r>
            <w:r>
              <w:rPr>
                <w:sz w:val="18"/>
                <w:szCs w:val="18"/>
              </w:rPr>
              <w:t>Countering Tobacco Smuggling and Counterfeit Goods - March 2014, Piatra Neamt</w:t>
            </w:r>
          </w:p>
        </w:tc>
        <w:tc>
          <w:tcPr>
            <w:tcW w:w="367" w:type="pct"/>
            <w:vAlign w:val="center"/>
          </w:tcPr>
          <w:p w:rsidR="00446B0D" w:rsidRDefault="008F1B69">
            <w:pPr>
              <w:pStyle w:val="ListParagraph"/>
              <w:numPr>
                <w:ilvl w:val="0"/>
                <w:numId w:val="0"/>
              </w:numPr>
              <w:jc w:val="center"/>
              <w:rPr>
                <w:sz w:val="18"/>
                <w:szCs w:val="18"/>
              </w:rPr>
            </w:pPr>
            <w:r>
              <w:rPr>
                <w:sz w:val="18"/>
                <w:szCs w:val="18"/>
              </w:rPr>
              <w:t>125</w:t>
            </w:r>
          </w:p>
        </w:tc>
        <w:tc>
          <w:tcPr>
            <w:tcW w:w="588" w:type="pct"/>
            <w:vAlign w:val="center"/>
          </w:tcPr>
          <w:p w:rsidR="00446B0D" w:rsidRDefault="008F1B69">
            <w:pPr>
              <w:pStyle w:val="ListParagraph"/>
              <w:numPr>
                <w:ilvl w:val="0"/>
                <w:numId w:val="0"/>
              </w:numPr>
              <w:jc w:val="right"/>
              <w:rPr>
                <w:sz w:val="18"/>
                <w:szCs w:val="18"/>
              </w:rPr>
            </w:pPr>
            <w:r>
              <w:rPr>
                <w:sz w:val="18"/>
                <w:szCs w:val="18"/>
              </w:rPr>
              <w:t>16 941</w:t>
            </w:r>
          </w:p>
        </w:tc>
        <w:tc>
          <w:tcPr>
            <w:tcW w:w="442" w:type="pct"/>
            <w:vAlign w:val="center"/>
          </w:tcPr>
          <w:p w:rsidR="00446B0D" w:rsidRDefault="008F1B69">
            <w:pPr>
              <w:pStyle w:val="ListParagraph"/>
              <w:numPr>
                <w:ilvl w:val="0"/>
                <w:numId w:val="0"/>
              </w:numPr>
              <w:jc w:val="center"/>
              <w:rPr>
                <w:sz w:val="18"/>
                <w:szCs w:val="18"/>
              </w:rPr>
            </w:pPr>
            <w:r>
              <w:rPr>
                <w:sz w:val="18"/>
                <w:szCs w:val="18"/>
              </w:rPr>
              <w:t>79</w:t>
            </w:r>
          </w:p>
        </w:tc>
      </w:tr>
      <w:tr w:rsidR="00446B0D">
        <w:tc>
          <w:tcPr>
            <w:tcW w:w="221" w:type="pct"/>
            <w:vAlign w:val="center"/>
          </w:tcPr>
          <w:p w:rsidR="00446B0D" w:rsidRDefault="008F1B69">
            <w:pPr>
              <w:pStyle w:val="ListParagraph"/>
              <w:numPr>
                <w:ilvl w:val="0"/>
                <w:numId w:val="0"/>
              </w:numPr>
              <w:jc w:val="center"/>
              <w:rPr>
                <w:sz w:val="18"/>
                <w:szCs w:val="18"/>
              </w:rPr>
            </w:pPr>
            <w:r>
              <w:rPr>
                <w:sz w:val="18"/>
                <w:szCs w:val="18"/>
              </w:rPr>
              <w:t>5</w:t>
            </w:r>
          </w:p>
        </w:tc>
        <w:tc>
          <w:tcPr>
            <w:tcW w:w="294" w:type="pct"/>
            <w:vAlign w:val="center"/>
          </w:tcPr>
          <w:p w:rsidR="00446B0D" w:rsidRDefault="008F1B69">
            <w:pPr>
              <w:pStyle w:val="ListParagraph"/>
              <w:numPr>
                <w:ilvl w:val="0"/>
                <w:numId w:val="0"/>
              </w:numPr>
              <w:jc w:val="center"/>
              <w:rPr>
                <w:sz w:val="18"/>
                <w:szCs w:val="18"/>
              </w:rPr>
            </w:pPr>
            <w:r>
              <w:rPr>
                <w:sz w:val="18"/>
                <w:szCs w:val="18"/>
              </w:rPr>
              <w:t>HU</w:t>
            </w:r>
          </w:p>
        </w:tc>
        <w:tc>
          <w:tcPr>
            <w:tcW w:w="882" w:type="pct"/>
            <w:vAlign w:val="center"/>
          </w:tcPr>
          <w:p w:rsidR="00446B0D" w:rsidRDefault="008F1B69">
            <w:pPr>
              <w:pStyle w:val="ListParagraph"/>
              <w:ind w:left="0"/>
              <w:rPr>
                <w:sz w:val="18"/>
                <w:szCs w:val="18"/>
              </w:rPr>
            </w:pPr>
            <w:r>
              <w:rPr>
                <w:sz w:val="18"/>
                <w:szCs w:val="18"/>
              </w:rPr>
              <w:t>National Development Agency</w:t>
            </w:r>
          </w:p>
        </w:tc>
        <w:tc>
          <w:tcPr>
            <w:tcW w:w="2206" w:type="pct"/>
            <w:vAlign w:val="center"/>
          </w:tcPr>
          <w:p w:rsidR="00446B0D" w:rsidRDefault="008F1B69">
            <w:pPr>
              <w:pStyle w:val="ListParagraph"/>
              <w:ind w:left="0"/>
              <w:rPr>
                <w:sz w:val="18"/>
                <w:szCs w:val="18"/>
              </w:rPr>
            </w:pPr>
            <w:r>
              <w:rPr>
                <w:sz w:val="18"/>
                <w:szCs w:val="18"/>
              </w:rPr>
              <w:t>Comprehensive as well as practical training sessions for Balkan countries and Turkey in the field of public procurement control in</w:t>
            </w:r>
            <w:r>
              <w:rPr>
                <w:sz w:val="18"/>
                <w:szCs w:val="18"/>
              </w:rPr>
              <w:t xml:space="preserve"> order to further strengthen the capacities of ex-ante and in-built controls for detecting and eliminating possible irregularities and fraud cases - July-Aug. 2014</w:t>
            </w:r>
          </w:p>
        </w:tc>
        <w:tc>
          <w:tcPr>
            <w:tcW w:w="367" w:type="pct"/>
            <w:vAlign w:val="center"/>
          </w:tcPr>
          <w:p w:rsidR="00446B0D" w:rsidRDefault="008F1B69">
            <w:pPr>
              <w:pStyle w:val="ListParagraph"/>
              <w:numPr>
                <w:ilvl w:val="0"/>
                <w:numId w:val="0"/>
              </w:numPr>
              <w:jc w:val="center"/>
              <w:rPr>
                <w:sz w:val="18"/>
                <w:szCs w:val="18"/>
              </w:rPr>
            </w:pPr>
            <w:r>
              <w:rPr>
                <w:sz w:val="18"/>
                <w:szCs w:val="18"/>
              </w:rPr>
              <w:t>168</w:t>
            </w:r>
          </w:p>
        </w:tc>
        <w:tc>
          <w:tcPr>
            <w:tcW w:w="588" w:type="pct"/>
            <w:vAlign w:val="center"/>
          </w:tcPr>
          <w:p w:rsidR="00446B0D" w:rsidRDefault="008F1B69">
            <w:pPr>
              <w:pStyle w:val="ListParagraph"/>
              <w:numPr>
                <w:ilvl w:val="0"/>
                <w:numId w:val="0"/>
              </w:numPr>
              <w:jc w:val="right"/>
              <w:rPr>
                <w:sz w:val="18"/>
                <w:szCs w:val="18"/>
              </w:rPr>
            </w:pPr>
            <w:r>
              <w:rPr>
                <w:sz w:val="18"/>
                <w:szCs w:val="18"/>
              </w:rPr>
              <w:t>146 344</w:t>
            </w:r>
          </w:p>
        </w:tc>
        <w:tc>
          <w:tcPr>
            <w:tcW w:w="442" w:type="pct"/>
            <w:vAlign w:val="center"/>
          </w:tcPr>
          <w:p w:rsidR="00446B0D" w:rsidRDefault="008F1B69">
            <w:pPr>
              <w:pStyle w:val="ListParagraph"/>
              <w:numPr>
                <w:ilvl w:val="0"/>
                <w:numId w:val="0"/>
              </w:numPr>
              <w:jc w:val="center"/>
              <w:rPr>
                <w:sz w:val="18"/>
                <w:szCs w:val="18"/>
              </w:rPr>
            </w:pPr>
            <w:r>
              <w:rPr>
                <w:sz w:val="18"/>
                <w:szCs w:val="18"/>
              </w:rPr>
              <w:t>80</w:t>
            </w:r>
          </w:p>
        </w:tc>
      </w:tr>
      <w:tr w:rsidR="00446B0D">
        <w:tc>
          <w:tcPr>
            <w:tcW w:w="221" w:type="pct"/>
            <w:vAlign w:val="center"/>
          </w:tcPr>
          <w:p w:rsidR="00446B0D" w:rsidRDefault="008F1B69">
            <w:pPr>
              <w:pStyle w:val="ListParagraph"/>
              <w:numPr>
                <w:ilvl w:val="0"/>
                <w:numId w:val="0"/>
              </w:numPr>
              <w:jc w:val="center"/>
              <w:rPr>
                <w:sz w:val="18"/>
                <w:szCs w:val="18"/>
              </w:rPr>
            </w:pPr>
            <w:r>
              <w:rPr>
                <w:sz w:val="18"/>
                <w:szCs w:val="18"/>
              </w:rPr>
              <w:t>6</w:t>
            </w:r>
          </w:p>
        </w:tc>
        <w:tc>
          <w:tcPr>
            <w:tcW w:w="294" w:type="pct"/>
            <w:vAlign w:val="center"/>
          </w:tcPr>
          <w:p w:rsidR="00446B0D" w:rsidRDefault="008F1B69">
            <w:pPr>
              <w:pStyle w:val="ListParagraph"/>
              <w:numPr>
                <w:ilvl w:val="0"/>
                <w:numId w:val="0"/>
              </w:numPr>
              <w:jc w:val="center"/>
              <w:rPr>
                <w:sz w:val="18"/>
                <w:szCs w:val="18"/>
              </w:rPr>
            </w:pPr>
            <w:r>
              <w:rPr>
                <w:sz w:val="18"/>
                <w:szCs w:val="18"/>
              </w:rPr>
              <w:t>PL</w:t>
            </w:r>
          </w:p>
        </w:tc>
        <w:tc>
          <w:tcPr>
            <w:tcW w:w="882" w:type="pct"/>
            <w:vAlign w:val="center"/>
          </w:tcPr>
          <w:p w:rsidR="00446B0D" w:rsidRDefault="008F1B69">
            <w:pPr>
              <w:pStyle w:val="ListParagraph"/>
              <w:ind w:left="0"/>
              <w:rPr>
                <w:sz w:val="18"/>
                <w:szCs w:val="18"/>
              </w:rPr>
            </w:pPr>
            <w:r>
              <w:rPr>
                <w:sz w:val="18"/>
                <w:szCs w:val="18"/>
              </w:rPr>
              <w:t>Province Police Headquarters in Olsztyn</w:t>
            </w:r>
          </w:p>
        </w:tc>
        <w:tc>
          <w:tcPr>
            <w:tcW w:w="2206" w:type="pct"/>
            <w:vAlign w:val="center"/>
          </w:tcPr>
          <w:p w:rsidR="00446B0D" w:rsidRDefault="008F1B69">
            <w:pPr>
              <w:pStyle w:val="ListParagraph"/>
              <w:ind w:left="0"/>
              <w:rPr>
                <w:sz w:val="18"/>
                <w:szCs w:val="18"/>
              </w:rPr>
            </w:pPr>
            <w:r>
              <w:rPr>
                <w:sz w:val="18"/>
                <w:szCs w:val="18"/>
              </w:rPr>
              <w:t>Protecting the European Union’s</w:t>
            </w:r>
            <w:r>
              <w:rPr>
                <w:sz w:val="18"/>
                <w:szCs w:val="18"/>
              </w:rPr>
              <w:t xml:space="preserve"> financial interests through acquisition of practical skills in identifying illegal production and distribution of tobacco, spirits and pharmaceuticals, and collaboration between services - June 2014,</w:t>
            </w:r>
          </w:p>
          <w:p w:rsidR="00446B0D" w:rsidRDefault="008F1B69">
            <w:pPr>
              <w:pStyle w:val="ListParagraph"/>
              <w:ind w:left="0"/>
              <w:rPr>
                <w:sz w:val="18"/>
                <w:szCs w:val="18"/>
              </w:rPr>
            </w:pPr>
            <w:r>
              <w:rPr>
                <w:sz w:val="18"/>
                <w:szCs w:val="18"/>
              </w:rPr>
              <w:t>Mikolajki</w:t>
            </w:r>
          </w:p>
        </w:tc>
        <w:tc>
          <w:tcPr>
            <w:tcW w:w="367" w:type="pct"/>
            <w:vAlign w:val="center"/>
          </w:tcPr>
          <w:p w:rsidR="00446B0D" w:rsidRDefault="008F1B69">
            <w:pPr>
              <w:pStyle w:val="ListParagraph"/>
              <w:numPr>
                <w:ilvl w:val="0"/>
                <w:numId w:val="0"/>
              </w:numPr>
              <w:jc w:val="center"/>
              <w:rPr>
                <w:sz w:val="18"/>
                <w:szCs w:val="18"/>
              </w:rPr>
            </w:pPr>
            <w:r>
              <w:rPr>
                <w:sz w:val="18"/>
                <w:szCs w:val="18"/>
              </w:rPr>
              <w:t>127</w:t>
            </w:r>
          </w:p>
        </w:tc>
        <w:tc>
          <w:tcPr>
            <w:tcW w:w="588" w:type="pct"/>
            <w:vAlign w:val="center"/>
          </w:tcPr>
          <w:p w:rsidR="00446B0D" w:rsidRDefault="008F1B69">
            <w:pPr>
              <w:pStyle w:val="ListParagraph"/>
              <w:numPr>
                <w:ilvl w:val="0"/>
                <w:numId w:val="0"/>
              </w:numPr>
              <w:jc w:val="right"/>
              <w:rPr>
                <w:sz w:val="18"/>
                <w:szCs w:val="18"/>
              </w:rPr>
            </w:pPr>
            <w:r>
              <w:rPr>
                <w:sz w:val="18"/>
                <w:szCs w:val="18"/>
              </w:rPr>
              <w:t>37 502</w:t>
            </w:r>
          </w:p>
        </w:tc>
        <w:tc>
          <w:tcPr>
            <w:tcW w:w="442" w:type="pct"/>
            <w:vAlign w:val="center"/>
          </w:tcPr>
          <w:p w:rsidR="00446B0D" w:rsidRDefault="008F1B69">
            <w:pPr>
              <w:pStyle w:val="ListParagraph"/>
              <w:numPr>
                <w:ilvl w:val="0"/>
                <w:numId w:val="0"/>
              </w:numPr>
              <w:jc w:val="center"/>
              <w:rPr>
                <w:sz w:val="18"/>
                <w:szCs w:val="18"/>
              </w:rPr>
            </w:pPr>
            <w:r>
              <w:rPr>
                <w:sz w:val="18"/>
                <w:szCs w:val="18"/>
              </w:rPr>
              <w:t>67</w:t>
            </w:r>
          </w:p>
        </w:tc>
      </w:tr>
      <w:tr w:rsidR="00446B0D">
        <w:tc>
          <w:tcPr>
            <w:tcW w:w="221" w:type="pct"/>
            <w:vAlign w:val="center"/>
          </w:tcPr>
          <w:p w:rsidR="00446B0D" w:rsidRDefault="008F1B69">
            <w:pPr>
              <w:pStyle w:val="ListParagraph"/>
              <w:numPr>
                <w:ilvl w:val="0"/>
                <w:numId w:val="0"/>
              </w:numPr>
              <w:jc w:val="center"/>
              <w:rPr>
                <w:sz w:val="18"/>
                <w:szCs w:val="18"/>
              </w:rPr>
            </w:pPr>
            <w:r>
              <w:rPr>
                <w:sz w:val="18"/>
                <w:szCs w:val="18"/>
              </w:rPr>
              <w:t>7</w:t>
            </w:r>
          </w:p>
        </w:tc>
        <w:tc>
          <w:tcPr>
            <w:tcW w:w="294" w:type="pct"/>
            <w:vAlign w:val="center"/>
          </w:tcPr>
          <w:p w:rsidR="00446B0D" w:rsidRDefault="008F1B69">
            <w:pPr>
              <w:pStyle w:val="ListParagraph"/>
              <w:numPr>
                <w:ilvl w:val="0"/>
                <w:numId w:val="0"/>
              </w:numPr>
              <w:jc w:val="center"/>
              <w:rPr>
                <w:sz w:val="18"/>
                <w:szCs w:val="18"/>
              </w:rPr>
            </w:pPr>
            <w:r>
              <w:rPr>
                <w:sz w:val="18"/>
                <w:szCs w:val="18"/>
              </w:rPr>
              <w:t>HU</w:t>
            </w:r>
          </w:p>
        </w:tc>
        <w:tc>
          <w:tcPr>
            <w:tcW w:w="882" w:type="pct"/>
            <w:vAlign w:val="center"/>
          </w:tcPr>
          <w:p w:rsidR="00446B0D" w:rsidRDefault="008F1B69">
            <w:pPr>
              <w:pStyle w:val="ListParagraph"/>
              <w:ind w:left="0"/>
              <w:rPr>
                <w:sz w:val="18"/>
                <w:szCs w:val="18"/>
              </w:rPr>
            </w:pPr>
            <w:r>
              <w:rPr>
                <w:sz w:val="18"/>
                <w:szCs w:val="18"/>
              </w:rPr>
              <w:t xml:space="preserve">Transparency </w:t>
            </w:r>
            <w:r>
              <w:rPr>
                <w:sz w:val="18"/>
                <w:szCs w:val="18"/>
              </w:rPr>
              <w:t>International</w:t>
            </w:r>
          </w:p>
        </w:tc>
        <w:tc>
          <w:tcPr>
            <w:tcW w:w="2206" w:type="pct"/>
            <w:vAlign w:val="center"/>
          </w:tcPr>
          <w:p w:rsidR="00446B0D" w:rsidRDefault="008F1B69">
            <w:pPr>
              <w:pStyle w:val="ListParagraph"/>
              <w:ind w:left="0"/>
              <w:rPr>
                <w:sz w:val="18"/>
                <w:szCs w:val="18"/>
              </w:rPr>
            </w:pPr>
            <w:r>
              <w:rPr>
                <w:sz w:val="18"/>
                <w:szCs w:val="18"/>
              </w:rPr>
              <w:t>Safeguarding EU funds against fraud &amp; corruption through the civil control mechanism of Integrity Pacts - Nov 2013, Budapest</w:t>
            </w:r>
          </w:p>
        </w:tc>
        <w:tc>
          <w:tcPr>
            <w:tcW w:w="367" w:type="pct"/>
            <w:vAlign w:val="center"/>
          </w:tcPr>
          <w:p w:rsidR="00446B0D" w:rsidRDefault="008F1B69">
            <w:pPr>
              <w:pStyle w:val="ListParagraph"/>
              <w:numPr>
                <w:ilvl w:val="0"/>
                <w:numId w:val="0"/>
              </w:numPr>
              <w:jc w:val="center"/>
              <w:rPr>
                <w:sz w:val="18"/>
                <w:szCs w:val="18"/>
              </w:rPr>
            </w:pPr>
            <w:r>
              <w:rPr>
                <w:sz w:val="18"/>
                <w:szCs w:val="18"/>
              </w:rPr>
              <w:t>41</w:t>
            </w:r>
          </w:p>
        </w:tc>
        <w:tc>
          <w:tcPr>
            <w:tcW w:w="588" w:type="pct"/>
            <w:vAlign w:val="center"/>
          </w:tcPr>
          <w:p w:rsidR="00446B0D" w:rsidRDefault="008F1B69">
            <w:pPr>
              <w:pStyle w:val="ListParagraph"/>
              <w:numPr>
                <w:ilvl w:val="0"/>
                <w:numId w:val="0"/>
              </w:numPr>
              <w:jc w:val="right"/>
              <w:rPr>
                <w:sz w:val="18"/>
                <w:szCs w:val="18"/>
              </w:rPr>
            </w:pPr>
            <w:r>
              <w:rPr>
                <w:sz w:val="18"/>
                <w:szCs w:val="18"/>
              </w:rPr>
              <w:t>46 114</w:t>
            </w:r>
          </w:p>
        </w:tc>
        <w:tc>
          <w:tcPr>
            <w:tcW w:w="442" w:type="pct"/>
            <w:vAlign w:val="center"/>
          </w:tcPr>
          <w:p w:rsidR="00446B0D" w:rsidRDefault="008F1B69">
            <w:pPr>
              <w:pStyle w:val="ListParagraph"/>
              <w:numPr>
                <w:ilvl w:val="0"/>
                <w:numId w:val="0"/>
              </w:numPr>
              <w:jc w:val="center"/>
              <w:rPr>
                <w:sz w:val="18"/>
                <w:szCs w:val="18"/>
              </w:rPr>
            </w:pPr>
            <w:r>
              <w:rPr>
                <w:sz w:val="18"/>
                <w:szCs w:val="18"/>
              </w:rPr>
              <w:t>80</w:t>
            </w:r>
          </w:p>
        </w:tc>
      </w:tr>
      <w:tr w:rsidR="00446B0D">
        <w:trPr>
          <w:trHeight w:val="691"/>
        </w:trPr>
        <w:tc>
          <w:tcPr>
            <w:tcW w:w="221" w:type="pct"/>
            <w:vAlign w:val="center"/>
          </w:tcPr>
          <w:p w:rsidR="00446B0D" w:rsidRDefault="008F1B69">
            <w:pPr>
              <w:pStyle w:val="ListParagraph"/>
              <w:numPr>
                <w:ilvl w:val="0"/>
                <w:numId w:val="0"/>
              </w:numPr>
              <w:jc w:val="center"/>
              <w:rPr>
                <w:sz w:val="18"/>
                <w:szCs w:val="18"/>
              </w:rPr>
            </w:pPr>
            <w:r>
              <w:rPr>
                <w:sz w:val="18"/>
                <w:szCs w:val="18"/>
              </w:rPr>
              <w:t>8</w:t>
            </w:r>
          </w:p>
        </w:tc>
        <w:tc>
          <w:tcPr>
            <w:tcW w:w="294" w:type="pct"/>
            <w:vAlign w:val="center"/>
          </w:tcPr>
          <w:p w:rsidR="00446B0D" w:rsidRDefault="008F1B69">
            <w:pPr>
              <w:pStyle w:val="ListParagraph"/>
              <w:numPr>
                <w:ilvl w:val="0"/>
                <w:numId w:val="0"/>
              </w:numPr>
              <w:jc w:val="center"/>
              <w:rPr>
                <w:sz w:val="18"/>
                <w:szCs w:val="18"/>
              </w:rPr>
            </w:pPr>
            <w:r>
              <w:rPr>
                <w:sz w:val="18"/>
                <w:szCs w:val="18"/>
              </w:rPr>
              <w:t>RO</w:t>
            </w:r>
          </w:p>
        </w:tc>
        <w:tc>
          <w:tcPr>
            <w:tcW w:w="882" w:type="pct"/>
            <w:vAlign w:val="center"/>
          </w:tcPr>
          <w:p w:rsidR="00446B0D" w:rsidRDefault="008F1B69">
            <w:pPr>
              <w:pStyle w:val="ListParagraph"/>
              <w:ind w:left="0"/>
              <w:rPr>
                <w:sz w:val="18"/>
                <w:szCs w:val="18"/>
              </w:rPr>
            </w:pPr>
            <w:r>
              <w:rPr>
                <w:sz w:val="18"/>
                <w:szCs w:val="18"/>
              </w:rPr>
              <w:t>Center for Independent Journalism</w:t>
            </w:r>
          </w:p>
        </w:tc>
        <w:tc>
          <w:tcPr>
            <w:tcW w:w="2206" w:type="pct"/>
            <w:vAlign w:val="center"/>
          </w:tcPr>
          <w:p w:rsidR="00446B0D" w:rsidRDefault="008F1B69">
            <w:pPr>
              <w:pStyle w:val="ListParagraph"/>
              <w:numPr>
                <w:ilvl w:val="0"/>
                <w:numId w:val="0"/>
              </w:numPr>
              <w:rPr>
                <w:sz w:val="18"/>
                <w:szCs w:val="18"/>
              </w:rPr>
            </w:pPr>
            <w:r>
              <w:rPr>
                <w:sz w:val="18"/>
                <w:szCs w:val="18"/>
              </w:rPr>
              <w:t xml:space="preserve">Monitoring the spending of publicity budgets of the EU-funded </w:t>
            </w:r>
            <w:r>
              <w:rPr>
                <w:sz w:val="18"/>
                <w:szCs w:val="18"/>
              </w:rPr>
              <w:t>projects – the Romanian experience - June 2014, Bucharest</w:t>
            </w:r>
          </w:p>
        </w:tc>
        <w:tc>
          <w:tcPr>
            <w:tcW w:w="367" w:type="pct"/>
            <w:vAlign w:val="center"/>
          </w:tcPr>
          <w:p w:rsidR="00446B0D" w:rsidRDefault="008F1B69">
            <w:pPr>
              <w:pStyle w:val="ListParagraph"/>
              <w:numPr>
                <w:ilvl w:val="0"/>
                <w:numId w:val="0"/>
              </w:numPr>
              <w:jc w:val="center"/>
              <w:rPr>
                <w:sz w:val="18"/>
                <w:szCs w:val="18"/>
              </w:rPr>
            </w:pPr>
            <w:r>
              <w:rPr>
                <w:sz w:val="18"/>
                <w:szCs w:val="18"/>
              </w:rPr>
              <w:t>60</w:t>
            </w:r>
          </w:p>
        </w:tc>
        <w:tc>
          <w:tcPr>
            <w:tcW w:w="588" w:type="pct"/>
            <w:vAlign w:val="center"/>
          </w:tcPr>
          <w:p w:rsidR="00446B0D" w:rsidRDefault="008F1B69">
            <w:pPr>
              <w:pStyle w:val="ListParagraph"/>
              <w:numPr>
                <w:ilvl w:val="0"/>
                <w:numId w:val="0"/>
              </w:numPr>
              <w:jc w:val="right"/>
              <w:rPr>
                <w:sz w:val="18"/>
                <w:szCs w:val="18"/>
              </w:rPr>
            </w:pPr>
            <w:r>
              <w:rPr>
                <w:sz w:val="18"/>
                <w:szCs w:val="18"/>
              </w:rPr>
              <w:t>40 265</w:t>
            </w:r>
          </w:p>
        </w:tc>
        <w:tc>
          <w:tcPr>
            <w:tcW w:w="442" w:type="pct"/>
            <w:vAlign w:val="center"/>
          </w:tcPr>
          <w:p w:rsidR="00446B0D" w:rsidRDefault="008F1B69">
            <w:pPr>
              <w:pStyle w:val="ListParagraph"/>
              <w:numPr>
                <w:ilvl w:val="0"/>
                <w:numId w:val="0"/>
              </w:numPr>
              <w:jc w:val="center"/>
              <w:rPr>
                <w:sz w:val="18"/>
                <w:szCs w:val="18"/>
              </w:rPr>
            </w:pPr>
            <w:r>
              <w:rPr>
                <w:sz w:val="18"/>
                <w:szCs w:val="18"/>
              </w:rPr>
              <w:t>79</w:t>
            </w:r>
          </w:p>
        </w:tc>
      </w:tr>
      <w:tr w:rsidR="00446B0D">
        <w:tc>
          <w:tcPr>
            <w:tcW w:w="221" w:type="pct"/>
            <w:vAlign w:val="center"/>
          </w:tcPr>
          <w:p w:rsidR="00446B0D" w:rsidRDefault="008F1B69">
            <w:pPr>
              <w:pStyle w:val="ListParagraph"/>
              <w:numPr>
                <w:ilvl w:val="0"/>
                <w:numId w:val="0"/>
              </w:numPr>
              <w:jc w:val="center"/>
              <w:rPr>
                <w:sz w:val="18"/>
                <w:szCs w:val="18"/>
              </w:rPr>
            </w:pPr>
            <w:r>
              <w:rPr>
                <w:sz w:val="18"/>
                <w:szCs w:val="18"/>
              </w:rPr>
              <w:t>9</w:t>
            </w:r>
          </w:p>
        </w:tc>
        <w:tc>
          <w:tcPr>
            <w:tcW w:w="294" w:type="pct"/>
            <w:vAlign w:val="center"/>
          </w:tcPr>
          <w:p w:rsidR="00446B0D" w:rsidRDefault="008F1B69">
            <w:pPr>
              <w:pStyle w:val="ListParagraph"/>
              <w:numPr>
                <w:ilvl w:val="0"/>
                <w:numId w:val="0"/>
              </w:numPr>
              <w:jc w:val="center"/>
              <w:rPr>
                <w:sz w:val="18"/>
                <w:szCs w:val="18"/>
              </w:rPr>
            </w:pPr>
            <w:r>
              <w:rPr>
                <w:sz w:val="18"/>
                <w:szCs w:val="18"/>
              </w:rPr>
              <w:t>PL</w:t>
            </w:r>
          </w:p>
        </w:tc>
        <w:tc>
          <w:tcPr>
            <w:tcW w:w="882" w:type="pct"/>
            <w:vAlign w:val="center"/>
          </w:tcPr>
          <w:p w:rsidR="00446B0D" w:rsidRDefault="008F1B69">
            <w:pPr>
              <w:pStyle w:val="ListParagraph"/>
              <w:ind w:left="0"/>
              <w:rPr>
                <w:sz w:val="18"/>
                <w:szCs w:val="18"/>
              </w:rPr>
            </w:pPr>
            <w:r>
              <w:rPr>
                <w:sz w:val="18"/>
                <w:szCs w:val="18"/>
              </w:rPr>
              <w:t>Provincial Police HQ Gdańsk</w:t>
            </w:r>
          </w:p>
        </w:tc>
        <w:tc>
          <w:tcPr>
            <w:tcW w:w="2206" w:type="pct"/>
            <w:vAlign w:val="center"/>
          </w:tcPr>
          <w:p w:rsidR="00446B0D" w:rsidRDefault="008F1B69">
            <w:pPr>
              <w:pStyle w:val="ListParagraph"/>
              <w:ind w:left="0"/>
              <w:rPr>
                <w:sz w:val="18"/>
                <w:szCs w:val="18"/>
              </w:rPr>
            </w:pPr>
            <w:r>
              <w:rPr>
                <w:sz w:val="18"/>
                <w:szCs w:val="18"/>
              </w:rPr>
              <w:t>Pomeranian Police Protecting the European Union’s financial interests – May 2014, Gdansk</w:t>
            </w:r>
          </w:p>
        </w:tc>
        <w:tc>
          <w:tcPr>
            <w:tcW w:w="367" w:type="pct"/>
            <w:vAlign w:val="center"/>
          </w:tcPr>
          <w:p w:rsidR="00446B0D" w:rsidRDefault="008F1B69">
            <w:pPr>
              <w:jc w:val="center"/>
              <w:rPr>
                <w:noProof/>
                <w:sz w:val="18"/>
                <w:szCs w:val="18"/>
              </w:rPr>
            </w:pPr>
            <w:r>
              <w:rPr>
                <w:noProof/>
                <w:sz w:val="18"/>
                <w:szCs w:val="18"/>
              </w:rPr>
              <w:t>200</w:t>
            </w:r>
          </w:p>
        </w:tc>
        <w:tc>
          <w:tcPr>
            <w:tcW w:w="588" w:type="pct"/>
            <w:vAlign w:val="center"/>
          </w:tcPr>
          <w:p w:rsidR="00446B0D" w:rsidRDefault="008F1B69">
            <w:pPr>
              <w:pStyle w:val="ListParagraph"/>
              <w:numPr>
                <w:ilvl w:val="0"/>
                <w:numId w:val="0"/>
              </w:numPr>
              <w:jc w:val="right"/>
              <w:rPr>
                <w:sz w:val="18"/>
                <w:szCs w:val="18"/>
              </w:rPr>
            </w:pPr>
            <w:r>
              <w:rPr>
                <w:sz w:val="18"/>
                <w:szCs w:val="18"/>
              </w:rPr>
              <w:t>51 512</w:t>
            </w:r>
          </w:p>
        </w:tc>
        <w:tc>
          <w:tcPr>
            <w:tcW w:w="442" w:type="pct"/>
            <w:vAlign w:val="center"/>
          </w:tcPr>
          <w:p w:rsidR="00446B0D" w:rsidRDefault="008F1B69">
            <w:pPr>
              <w:pStyle w:val="ListParagraph"/>
              <w:numPr>
                <w:ilvl w:val="0"/>
                <w:numId w:val="0"/>
              </w:numPr>
              <w:jc w:val="center"/>
              <w:rPr>
                <w:sz w:val="18"/>
                <w:szCs w:val="18"/>
              </w:rPr>
            </w:pPr>
            <w:r>
              <w:rPr>
                <w:sz w:val="18"/>
                <w:szCs w:val="18"/>
              </w:rPr>
              <w:t>80</w:t>
            </w:r>
          </w:p>
        </w:tc>
      </w:tr>
      <w:tr w:rsidR="00446B0D">
        <w:tc>
          <w:tcPr>
            <w:tcW w:w="221" w:type="pct"/>
            <w:vAlign w:val="center"/>
          </w:tcPr>
          <w:p w:rsidR="00446B0D" w:rsidRDefault="008F1B69">
            <w:pPr>
              <w:pStyle w:val="ListParagraph"/>
              <w:numPr>
                <w:ilvl w:val="0"/>
                <w:numId w:val="0"/>
              </w:numPr>
              <w:jc w:val="center"/>
              <w:rPr>
                <w:sz w:val="18"/>
                <w:szCs w:val="18"/>
              </w:rPr>
            </w:pPr>
            <w:r>
              <w:rPr>
                <w:sz w:val="18"/>
                <w:szCs w:val="18"/>
              </w:rPr>
              <w:t>10</w:t>
            </w:r>
          </w:p>
        </w:tc>
        <w:tc>
          <w:tcPr>
            <w:tcW w:w="294" w:type="pct"/>
            <w:vAlign w:val="center"/>
          </w:tcPr>
          <w:p w:rsidR="00446B0D" w:rsidRDefault="008F1B69">
            <w:pPr>
              <w:pStyle w:val="ListParagraph"/>
              <w:numPr>
                <w:ilvl w:val="0"/>
                <w:numId w:val="0"/>
              </w:numPr>
              <w:jc w:val="center"/>
              <w:rPr>
                <w:sz w:val="18"/>
                <w:szCs w:val="18"/>
              </w:rPr>
            </w:pPr>
            <w:r>
              <w:rPr>
                <w:sz w:val="18"/>
                <w:szCs w:val="18"/>
              </w:rPr>
              <w:t>EE</w:t>
            </w:r>
          </w:p>
        </w:tc>
        <w:tc>
          <w:tcPr>
            <w:tcW w:w="882" w:type="pct"/>
            <w:vAlign w:val="center"/>
          </w:tcPr>
          <w:p w:rsidR="00446B0D" w:rsidRDefault="008F1B69">
            <w:pPr>
              <w:pStyle w:val="ListParagraph"/>
              <w:ind w:left="0"/>
              <w:rPr>
                <w:sz w:val="18"/>
                <w:szCs w:val="18"/>
              </w:rPr>
            </w:pPr>
            <w:r>
              <w:rPr>
                <w:sz w:val="18"/>
                <w:szCs w:val="18"/>
              </w:rPr>
              <w:t>Estonian Tax and Customs Board</w:t>
            </w:r>
          </w:p>
        </w:tc>
        <w:tc>
          <w:tcPr>
            <w:tcW w:w="2206" w:type="pct"/>
            <w:vAlign w:val="center"/>
          </w:tcPr>
          <w:p w:rsidR="00446B0D" w:rsidRDefault="008F1B69">
            <w:pPr>
              <w:pStyle w:val="ListParagraph"/>
              <w:ind w:left="0"/>
              <w:rPr>
                <w:sz w:val="18"/>
                <w:szCs w:val="18"/>
              </w:rPr>
            </w:pPr>
            <w:r>
              <w:rPr>
                <w:sz w:val="18"/>
                <w:szCs w:val="18"/>
              </w:rPr>
              <w:t xml:space="preserve">Training </w:t>
            </w:r>
            <w:r>
              <w:rPr>
                <w:sz w:val="18"/>
                <w:szCs w:val="18"/>
              </w:rPr>
              <w:t>on interpretation of the images generated on the scanning devices – May 2014, LV/EE</w:t>
            </w:r>
          </w:p>
        </w:tc>
        <w:tc>
          <w:tcPr>
            <w:tcW w:w="367" w:type="pct"/>
            <w:vAlign w:val="center"/>
          </w:tcPr>
          <w:p w:rsidR="00446B0D" w:rsidRDefault="008F1B69">
            <w:pPr>
              <w:pStyle w:val="ListParagraph"/>
              <w:numPr>
                <w:ilvl w:val="0"/>
                <w:numId w:val="0"/>
              </w:numPr>
              <w:jc w:val="center"/>
              <w:rPr>
                <w:sz w:val="18"/>
                <w:szCs w:val="18"/>
              </w:rPr>
            </w:pPr>
            <w:r>
              <w:rPr>
                <w:sz w:val="18"/>
                <w:szCs w:val="18"/>
              </w:rPr>
              <w:t>40</w:t>
            </w:r>
          </w:p>
        </w:tc>
        <w:tc>
          <w:tcPr>
            <w:tcW w:w="588" w:type="pct"/>
            <w:vAlign w:val="center"/>
          </w:tcPr>
          <w:p w:rsidR="00446B0D" w:rsidRDefault="008F1B69">
            <w:pPr>
              <w:pStyle w:val="ListParagraph"/>
              <w:numPr>
                <w:ilvl w:val="0"/>
                <w:numId w:val="0"/>
              </w:numPr>
              <w:jc w:val="right"/>
              <w:rPr>
                <w:sz w:val="18"/>
                <w:szCs w:val="18"/>
              </w:rPr>
            </w:pPr>
            <w:r>
              <w:rPr>
                <w:sz w:val="18"/>
                <w:szCs w:val="18"/>
              </w:rPr>
              <w:t>23 203</w:t>
            </w:r>
          </w:p>
        </w:tc>
        <w:tc>
          <w:tcPr>
            <w:tcW w:w="442" w:type="pct"/>
            <w:vAlign w:val="center"/>
          </w:tcPr>
          <w:p w:rsidR="00446B0D" w:rsidRDefault="008F1B69">
            <w:pPr>
              <w:pStyle w:val="ListParagraph"/>
              <w:numPr>
                <w:ilvl w:val="0"/>
                <w:numId w:val="0"/>
              </w:numPr>
              <w:jc w:val="center"/>
              <w:rPr>
                <w:sz w:val="18"/>
                <w:szCs w:val="18"/>
              </w:rPr>
            </w:pPr>
            <w:r>
              <w:rPr>
                <w:sz w:val="18"/>
                <w:szCs w:val="18"/>
              </w:rPr>
              <w:t>80</w:t>
            </w:r>
          </w:p>
        </w:tc>
      </w:tr>
      <w:tr w:rsidR="00446B0D">
        <w:tc>
          <w:tcPr>
            <w:tcW w:w="221" w:type="pct"/>
            <w:vAlign w:val="center"/>
          </w:tcPr>
          <w:p w:rsidR="00446B0D" w:rsidRDefault="008F1B69">
            <w:pPr>
              <w:pStyle w:val="ListParagraph"/>
              <w:numPr>
                <w:ilvl w:val="0"/>
                <w:numId w:val="0"/>
              </w:numPr>
              <w:jc w:val="center"/>
              <w:rPr>
                <w:sz w:val="18"/>
                <w:szCs w:val="18"/>
              </w:rPr>
            </w:pPr>
            <w:r>
              <w:rPr>
                <w:sz w:val="18"/>
                <w:szCs w:val="18"/>
              </w:rPr>
              <w:t>11</w:t>
            </w:r>
          </w:p>
        </w:tc>
        <w:tc>
          <w:tcPr>
            <w:tcW w:w="294" w:type="pct"/>
            <w:vAlign w:val="center"/>
          </w:tcPr>
          <w:p w:rsidR="00446B0D" w:rsidRDefault="008F1B69">
            <w:pPr>
              <w:pStyle w:val="ListParagraph"/>
              <w:numPr>
                <w:ilvl w:val="0"/>
                <w:numId w:val="0"/>
              </w:numPr>
              <w:jc w:val="center"/>
              <w:rPr>
                <w:sz w:val="18"/>
                <w:szCs w:val="18"/>
              </w:rPr>
            </w:pPr>
            <w:r>
              <w:rPr>
                <w:sz w:val="18"/>
                <w:szCs w:val="18"/>
              </w:rPr>
              <w:t>BG</w:t>
            </w:r>
          </w:p>
        </w:tc>
        <w:tc>
          <w:tcPr>
            <w:tcW w:w="882" w:type="pct"/>
            <w:vAlign w:val="center"/>
          </w:tcPr>
          <w:p w:rsidR="00446B0D" w:rsidRDefault="008F1B69">
            <w:pPr>
              <w:pStyle w:val="ListParagraph"/>
              <w:ind w:left="0"/>
              <w:rPr>
                <w:sz w:val="18"/>
                <w:szCs w:val="18"/>
              </w:rPr>
            </w:pPr>
            <w:r>
              <w:rPr>
                <w:sz w:val="18"/>
                <w:szCs w:val="18"/>
              </w:rPr>
              <w:t xml:space="preserve">C.R.E.A.M. Bulgaria </w:t>
            </w:r>
          </w:p>
        </w:tc>
        <w:tc>
          <w:tcPr>
            <w:tcW w:w="2206" w:type="pct"/>
            <w:vAlign w:val="center"/>
          </w:tcPr>
          <w:p w:rsidR="00446B0D" w:rsidRDefault="008F1B69">
            <w:pPr>
              <w:pStyle w:val="ListParagraph"/>
              <w:ind w:left="0"/>
              <w:rPr>
                <w:sz w:val="18"/>
                <w:szCs w:val="18"/>
              </w:rPr>
            </w:pPr>
            <w:r>
              <w:rPr>
                <w:sz w:val="18"/>
                <w:szCs w:val="18"/>
              </w:rPr>
              <w:t>Balkan forum for the promotion of public-private partnerships as an anti-corruption instrument – Dec 2013, Sofia</w:t>
            </w:r>
          </w:p>
        </w:tc>
        <w:tc>
          <w:tcPr>
            <w:tcW w:w="367" w:type="pct"/>
            <w:vAlign w:val="center"/>
          </w:tcPr>
          <w:p w:rsidR="00446B0D" w:rsidRDefault="008F1B69">
            <w:pPr>
              <w:pStyle w:val="ListParagraph"/>
              <w:numPr>
                <w:ilvl w:val="0"/>
                <w:numId w:val="0"/>
              </w:numPr>
              <w:jc w:val="center"/>
              <w:rPr>
                <w:sz w:val="18"/>
                <w:szCs w:val="18"/>
              </w:rPr>
            </w:pPr>
            <w:r>
              <w:rPr>
                <w:sz w:val="18"/>
                <w:szCs w:val="18"/>
              </w:rPr>
              <w:t>116</w:t>
            </w:r>
          </w:p>
        </w:tc>
        <w:tc>
          <w:tcPr>
            <w:tcW w:w="588" w:type="pct"/>
            <w:vAlign w:val="center"/>
          </w:tcPr>
          <w:p w:rsidR="00446B0D" w:rsidRDefault="008F1B69">
            <w:pPr>
              <w:pStyle w:val="ListParagraph"/>
              <w:numPr>
                <w:ilvl w:val="0"/>
                <w:numId w:val="0"/>
              </w:numPr>
              <w:jc w:val="right"/>
              <w:rPr>
                <w:sz w:val="18"/>
                <w:szCs w:val="18"/>
              </w:rPr>
            </w:pPr>
            <w:r>
              <w:rPr>
                <w:sz w:val="18"/>
                <w:szCs w:val="18"/>
              </w:rPr>
              <w:t>41 983</w:t>
            </w:r>
          </w:p>
        </w:tc>
        <w:tc>
          <w:tcPr>
            <w:tcW w:w="442" w:type="pct"/>
            <w:vAlign w:val="center"/>
          </w:tcPr>
          <w:p w:rsidR="00446B0D" w:rsidRDefault="008F1B69">
            <w:pPr>
              <w:pStyle w:val="ListParagraph"/>
              <w:numPr>
                <w:ilvl w:val="0"/>
                <w:numId w:val="0"/>
              </w:numPr>
              <w:jc w:val="center"/>
              <w:rPr>
                <w:sz w:val="18"/>
                <w:szCs w:val="18"/>
              </w:rPr>
            </w:pPr>
            <w:r>
              <w:rPr>
                <w:sz w:val="18"/>
                <w:szCs w:val="18"/>
              </w:rPr>
              <w:t>80</w:t>
            </w:r>
          </w:p>
        </w:tc>
      </w:tr>
      <w:tr w:rsidR="00446B0D">
        <w:tc>
          <w:tcPr>
            <w:tcW w:w="221" w:type="pct"/>
            <w:vAlign w:val="center"/>
          </w:tcPr>
          <w:p w:rsidR="00446B0D" w:rsidRDefault="008F1B69">
            <w:pPr>
              <w:pStyle w:val="ListParagraph"/>
              <w:numPr>
                <w:ilvl w:val="0"/>
                <w:numId w:val="0"/>
              </w:numPr>
              <w:jc w:val="center"/>
              <w:rPr>
                <w:sz w:val="18"/>
                <w:szCs w:val="18"/>
              </w:rPr>
            </w:pPr>
            <w:r>
              <w:rPr>
                <w:sz w:val="18"/>
                <w:szCs w:val="18"/>
              </w:rPr>
              <w:t>12</w:t>
            </w:r>
          </w:p>
        </w:tc>
        <w:tc>
          <w:tcPr>
            <w:tcW w:w="294" w:type="pct"/>
            <w:vAlign w:val="center"/>
          </w:tcPr>
          <w:p w:rsidR="00446B0D" w:rsidRDefault="008F1B69">
            <w:pPr>
              <w:pStyle w:val="ListParagraph"/>
              <w:numPr>
                <w:ilvl w:val="0"/>
                <w:numId w:val="0"/>
              </w:numPr>
              <w:jc w:val="center"/>
              <w:rPr>
                <w:sz w:val="18"/>
                <w:szCs w:val="18"/>
              </w:rPr>
            </w:pPr>
            <w:r>
              <w:rPr>
                <w:sz w:val="18"/>
                <w:szCs w:val="18"/>
              </w:rPr>
              <w:t>BG</w:t>
            </w:r>
          </w:p>
        </w:tc>
        <w:tc>
          <w:tcPr>
            <w:tcW w:w="882" w:type="pct"/>
            <w:vAlign w:val="center"/>
          </w:tcPr>
          <w:p w:rsidR="00446B0D" w:rsidRDefault="008F1B69">
            <w:pPr>
              <w:pStyle w:val="ListParagraph"/>
              <w:ind w:left="0"/>
              <w:rPr>
                <w:sz w:val="18"/>
                <w:szCs w:val="18"/>
              </w:rPr>
            </w:pPr>
            <w:r>
              <w:rPr>
                <w:sz w:val="18"/>
                <w:szCs w:val="18"/>
              </w:rPr>
              <w:t>National Customs Agency</w:t>
            </w:r>
          </w:p>
        </w:tc>
        <w:tc>
          <w:tcPr>
            <w:tcW w:w="2206" w:type="pct"/>
            <w:vAlign w:val="center"/>
          </w:tcPr>
          <w:p w:rsidR="00446B0D" w:rsidRDefault="008F1B69">
            <w:pPr>
              <w:pStyle w:val="ListParagraph"/>
              <w:ind w:left="0"/>
              <w:rPr>
                <w:sz w:val="18"/>
                <w:szCs w:val="18"/>
              </w:rPr>
            </w:pPr>
            <w:r>
              <w:rPr>
                <w:sz w:val="18"/>
                <w:szCs w:val="18"/>
              </w:rPr>
              <w:t>Strengthening the capability of Bulgarian customs authorities to fight customs fraud with a project on combating customs-related illegal activities through the Internet – Nov 2013, FR/ DE/CZ study visits</w:t>
            </w:r>
          </w:p>
        </w:tc>
        <w:tc>
          <w:tcPr>
            <w:tcW w:w="367" w:type="pct"/>
            <w:vAlign w:val="center"/>
          </w:tcPr>
          <w:p w:rsidR="00446B0D" w:rsidRDefault="008F1B69">
            <w:pPr>
              <w:pStyle w:val="ListParagraph"/>
              <w:numPr>
                <w:ilvl w:val="0"/>
                <w:numId w:val="0"/>
              </w:numPr>
              <w:jc w:val="center"/>
              <w:rPr>
                <w:sz w:val="18"/>
                <w:szCs w:val="18"/>
              </w:rPr>
            </w:pPr>
            <w:r>
              <w:rPr>
                <w:sz w:val="18"/>
                <w:szCs w:val="18"/>
              </w:rPr>
              <w:t>14</w:t>
            </w:r>
          </w:p>
        </w:tc>
        <w:tc>
          <w:tcPr>
            <w:tcW w:w="588" w:type="pct"/>
            <w:vAlign w:val="center"/>
          </w:tcPr>
          <w:p w:rsidR="00446B0D" w:rsidRDefault="008F1B69">
            <w:pPr>
              <w:pStyle w:val="ListParagraph"/>
              <w:numPr>
                <w:ilvl w:val="0"/>
                <w:numId w:val="0"/>
              </w:numPr>
              <w:jc w:val="right"/>
              <w:rPr>
                <w:sz w:val="18"/>
                <w:szCs w:val="18"/>
              </w:rPr>
            </w:pPr>
            <w:r>
              <w:rPr>
                <w:sz w:val="18"/>
                <w:szCs w:val="18"/>
              </w:rPr>
              <w:t>14 993</w:t>
            </w:r>
          </w:p>
        </w:tc>
        <w:tc>
          <w:tcPr>
            <w:tcW w:w="442" w:type="pct"/>
            <w:vAlign w:val="center"/>
          </w:tcPr>
          <w:p w:rsidR="00446B0D" w:rsidRDefault="008F1B69">
            <w:pPr>
              <w:pStyle w:val="ListParagraph"/>
              <w:numPr>
                <w:ilvl w:val="0"/>
                <w:numId w:val="0"/>
              </w:numPr>
              <w:jc w:val="center"/>
              <w:rPr>
                <w:sz w:val="18"/>
                <w:szCs w:val="18"/>
              </w:rPr>
            </w:pPr>
            <w:r>
              <w:rPr>
                <w:sz w:val="18"/>
                <w:szCs w:val="18"/>
              </w:rPr>
              <w:t>80</w:t>
            </w:r>
          </w:p>
        </w:tc>
      </w:tr>
      <w:tr w:rsidR="00446B0D">
        <w:tc>
          <w:tcPr>
            <w:tcW w:w="221" w:type="pct"/>
            <w:vAlign w:val="center"/>
          </w:tcPr>
          <w:p w:rsidR="00446B0D" w:rsidRDefault="008F1B69">
            <w:pPr>
              <w:pStyle w:val="ListParagraph"/>
              <w:numPr>
                <w:ilvl w:val="0"/>
                <w:numId w:val="0"/>
              </w:numPr>
              <w:jc w:val="center"/>
              <w:rPr>
                <w:sz w:val="18"/>
                <w:szCs w:val="18"/>
              </w:rPr>
            </w:pPr>
            <w:r>
              <w:rPr>
                <w:sz w:val="18"/>
                <w:szCs w:val="18"/>
              </w:rPr>
              <w:t>13</w:t>
            </w:r>
          </w:p>
        </w:tc>
        <w:tc>
          <w:tcPr>
            <w:tcW w:w="294" w:type="pct"/>
            <w:vAlign w:val="center"/>
          </w:tcPr>
          <w:p w:rsidR="00446B0D" w:rsidRDefault="008F1B69">
            <w:pPr>
              <w:pStyle w:val="ListParagraph"/>
              <w:numPr>
                <w:ilvl w:val="0"/>
                <w:numId w:val="0"/>
              </w:numPr>
              <w:jc w:val="center"/>
              <w:rPr>
                <w:sz w:val="18"/>
                <w:szCs w:val="18"/>
              </w:rPr>
            </w:pPr>
            <w:r>
              <w:rPr>
                <w:sz w:val="18"/>
                <w:szCs w:val="18"/>
              </w:rPr>
              <w:t>SK</w:t>
            </w:r>
          </w:p>
        </w:tc>
        <w:tc>
          <w:tcPr>
            <w:tcW w:w="882" w:type="pct"/>
            <w:vAlign w:val="center"/>
          </w:tcPr>
          <w:p w:rsidR="00446B0D" w:rsidRDefault="008F1B69">
            <w:pPr>
              <w:pStyle w:val="ListParagraph"/>
              <w:ind w:left="0"/>
              <w:rPr>
                <w:sz w:val="18"/>
                <w:szCs w:val="18"/>
              </w:rPr>
            </w:pPr>
            <w:r>
              <w:rPr>
                <w:sz w:val="18"/>
                <w:szCs w:val="18"/>
              </w:rPr>
              <w:t>Financial Directorate of the Slovak Republic</w:t>
            </w:r>
          </w:p>
        </w:tc>
        <w:tc>
          <w:tcPr>
            <w:tcW w:w="2206" w:type="pct"/>
            <w:vAlign w:val="center"/>
          </w:tcPr>
          <w:p w:rsidR="00446B0D" w:rsidRDefault="008F1B69">
            <w:pPr>
              <w:pStyle w:val="ListParagraph"/>
              <w:ind w:left="0"/>
              <w:rPr>
                <w:sz w:val="18"/>
                <w:szCs w:val="18"/>
              </w:rPr>
            </w:pPr>
            <w:r>
              <w:rPr>
                <w:sz w:val="18"/>
                <w:szCs w:val="18"/>
              </w:rPr>
              <w:t>Fight against smuggling of cigarettes and illegal tobacco production seminar – April-June 2014, Vysoka Tatry</w:t>
            </w:r>
          </w:p>
        </w:tc>
        <w:tc>
          <w:tcPr>
            <w:tcW w:w="367" w:type="pct"/>
            <w:vAlign w:val="center"/>
          </w:tcPr>
          <w:p w:rsidR="00446B0D" w:rsidRDefault="008F1B69">
            <w:pPr>
              <w:pStyle w:val="ListParagraph"/>
              <w:numPr>
                <w:ilvl w:val="0"/>
                <w:numId w:val="0"/>
              </w:numPr>
              <w:jc w:val="center"/>
              <w:rPr>
                <w:sz w:val="18"/>
                <w:szCs w:val="18"/>
              </w:rPr>
            </w:pPr>
            <w:r>
              <w:rPr>
                <w:sz w:val="18"/>
                <w:szCs w:val="18"/>
              </w:rPr>
              <w:t>84</w:t>
            </w:r>
          </w:p>
        </w:tc>
        <w:tc>
          <w:tcPr>
            <w:tcW w:w="588" w:type="pct"/>
            <w:vAlign w:val="center"/>
          </w:tcPr>
          <w:p w:rsidR="00446B0D" w:rsidRDefault="008F1B69">
            <w:pPr>
              <w:pStyle w:val="ListParagraph"/>
              <w:numPr>
                <w:ilvl w:val="0"/>
                <w:numId w:val="0"/>
              </w:numPr>
              <w:jc w:val="right"/>
              <w:rPr>
                <w:sz w:val="18"/>
                <w:szCs w:val="18"/>
              </w:rPr>
            </w:pPr>
            <w:r>
              <w:rPr>
                <w:sz w:val="18"/>
                <w:szCs w:val="18"/>
              </w:rPr>
              <w:t>37 665</w:t>
            </w:r>
          </w:p>
        </w:tc>
        <w:tc>
          <w:tcPr>
            <w:tcW w:w="442" w:type="pct"/>
            <w:vAlign w:val="center"/>
          </w:tcPr>
          <w:p w:rsidR="00446B0D" w:rsidRDefault="008F1B69">
            <w:pPr>
              <w:pStyle w:val="ListParagraph"/>
              <w:numPr>
                <w:ilvl w:val="0"/>
                <w:numId w:val="0"/>
              </w:numPr>
              <w:jc w:val="center"/>
              <w:rPr>
                <w:sz w:val="18"/>
                <w:szCs w:val="18"/>
              </w:rPr>
            </w:pPr>
            <w:r>
              <w:rPr>
                <w:sz w:val="18"/>
                <w:szCs w:val="18"/>
              </w:rPr>
              <w:t>79</w:t>
            </w:r>
          </w:p>
        </w:tc>
      </w:tr>
      <w:tr w:rsidR="00446B0D">
        <w:tc>
          <w:tcPr>
            <w:tcW w:w="221" w:type="pct"/>
            <w:vAlign w:val="center"/>
          </w:tcPr>
          <w:p w:rsidR="00446B0D" w:rsidRDefault="008F1B69">
            <w:pPr>
              <w:pStyle w:val="ListParagraph"/>
              <w:numPr>
                <w:ilvl w:val="0"/>
                <w:numId w:val="0"/>
              </w:numPr>
              <w:jc w:val="center"/>
              <w:rPr>
                <w:sz w:val="18"/>
                <w:szCs w:val="18"/>
              </w:rPr>
            </w:pPr>
            <w:r>
              <w:rPr>
                <w:sz w:val="18"/>
                <w:szCs w:val="18"/>
              </w:rPr>
              <w:t>14</w:t>
            </w:r>
          </w:p>
        </w:tc>
        <w:tc>
          <w:tcPr>
            <w:tcW w:w="294" w:type="pct"/>
            <w:vAlign w:val="center"/>
          </w:tcPr>
          <w:p w:rsidR="00446B0D" w:rsidRDefault="008F1B69">
            <w:pPr>
              <w:pStyle w:val="ListParagraph"/>
              <w:numPr>
                <w:ilvl w:val="0"/>
                <w:numId w:val="0"/>
              </w:numPr>
              <w:jc w:val="center"/>
              <w:rPr>
                <w:sz w:val="18"/>
                <w:szCs w:val="18"/>
              </w:rPr>
            </w:pPr>
            <w:r>
              <w:rPr>
                <w:sz w:val="18"/>
                <w:szCs w:val="18"/>
              </w:rPr>
              <w:t>IT</w:t>
            </w:r>
          </w:p>
        </w:tc>
        <w:tc>
          <w:tcPr>
            <w:tcW w:w="882" w:type="pct"/>
            <w:vAlign w:val="center"/>
          </w:tcPr>
          <w:p w:rsidR="00446B0D" w:rsidRDefault="008F1B69">
            <w:pPr>
              <w:pStyle w:val="ListParagraph"/>
              <w:ind w:left="0"/>
              <w:rPr>
                <w:sz w:val="18"/>
                <w:szCs w:val="18"/>
                <w:lang w:val="it-IT"/>
              </w:rPr>
            </w:pPr>
            <w:r>
              <w:rPr>
                <w:sz w:val="18"/>
                <w:szCs w:val="18"/>
                <w:lang w:val="it-IT"/>
              </w:rPr>
              <w:t>Agenzia delle Dogane e dei Monopoli</w:t>
            </w:r>
          </w:p>
        </w:tc>
        <w:tc>
          <w:tcPr>
            <w:tcW w:w="2206" w:type="pct"/>
            <w:vAlign w:val="center"/>
          </w:tcPr>
          <w:p w:rsidR="00446B0D" w:rsidRDefault="008F1B69">
            <w:pPr>
              <w:pStyle w:val="ListParagraph"/>
              <w:ind w:left="0"/>
              <w:rPr>
                <w:sz w:val="18"/>
                <w:szCs w:val="18"/>
              </w:rPr>
            </w:pPr>
            <w:r>
              <w:rPr>
                <w:sz w:val="18"/>
                <w:szCs w:val="18"/>
              </w:rPr>
              <w:t>Cooperation and strategy to fight against illi</w:t>
            </w:r>
            <w:r>
              <w:rPr>
                <w:sz w:val="18"/>
                <w:szCs w:val="18"/>
              </w:rPr>
              <w:t>cit trafficking of counterfeit cigarettes and medicines in the Western Balkans, Mediterranean Region, Eastern neighbouring countries, Turkey and Italy – Feb-July 2014, Bucharest, Zagreb, Brussesls</w:t>
            </w:r>
          </w:p>
        </w:tc>
        <w:tc>
          <w:tcPr>
            <w:tcW w:w="367" w:type="pct"/>
            <w:vAlign w:val="center"/>
          </w:tcPr>
          <w:p w:rsidR="00446B0D" w:rsidRDefault="008F1B69">
            <w:pPr>
              <w:pStyle w:val="ListParagraph"/>
              <w:numPr>
                <w:ilvl w:val="0"/>
                <w:numId w:val="0"/>
              </w:numPr>
              <w:jc w:val="center"/>
              <w:rPr>
                <w:sz w:val="18"/>
                <w:szCs w:val="18"/>
              </w:rPr>
            </w:pPr>
            <w:r>
              <w:rPr>
                <w:sz w:val="18"/>
                <w:szCs w:val="18"/>
              </w:rPr>
              <w:t>64</w:t>
            </w:r>
          </w:p>
        </w:tc>
        <w:tc>
          <w:tcPr>
            <w:tcW w:w="588" w:type="pct"/>
            <w:vAlign w:val="center"/>
          </w:tcPr>
          <w:p w:rsidR="00446B0D" w:rsidRDefault="008F1B69">
            <w:pPr>
              <w:pStyle w:val="ListParagraph"/>
              <w:numPr>
                <w:ilvl w:val="0"/>
                <w:numId w:val="0"/>
              </w:numPr>
              <w:jc w:val="right"/>
              <w:rPr>
                <w:sz w:val="18"/>
                <w:szCs w:val="18"/>
              </w:rPr>
            </w:pPr>
            <w:r>
              <w:rPr>
                <w:sz w:val="18"/>
                <w:szCs w:val="18"/>
              </w:rPr>
              <w:t>179 145</w:t>
            </w:r>
          </w:p>
        </w:tc>
        <w:tc>
          <w:tcPr>
            <w:tcW w:w="442" w:type="pct"/>
            <w:vAlign w:val="center"/>
          </w:tcPr>
          <w:p w:rsidR="00446B0D" w:rsidRDefault="008F1B69">
            <w:pPr>
              <w:pStyle w:val="ListParagraph"/>
              <w:numPr>
                <w:ilvl w:val="0"/>
                <w:numId w:val="0"/>
              </w:numPr>
              <w:jc w:val="center"/>
              <w:rPr>
                <w:sz w:val="18"/>
                <w:szCs w:val="18"/>
              </w:rPr>
            </w:pPr>
            <w:r>
              <w:rPr>
                <w:sz w:val="18"/>
                <w:szCs w:val="18"/>
              </w:rPr>
              <w:t>80</w:t>
            </w:r>
          </w:p>
        </w:tc>
      </w:tr>
      <w:tr w:rsidR="00446B0D">
        <w:tc>
          <w:tcPr>
            <w:tcW w:w="221" w:type="pct"/>
            <w:vAlign w:val="center"/>
          </w:tcPr>
          <w:p w:rsidR="00446B0D" w:rsidRDefault="008F1B69">
            <w:pPr>
              <w:pStyle w:val="ListParagraph"/>
              <w:numPr>
                <w:ilvl w:val="0"/>
                <w:numId w:val="0"/>
              </w:numPr>
              <w:jc w:val="center"/>
              <w:rPr>
                <w:sz w:val="18"/>
                <w:szCs w:val="18"/>
              </w:rPr>
            </w:pPr>
            <w:r>
              <w:rPr>
                <w:sz w:val="18"/>
                <w:szCs w:val="18"/>
              </w:rPr>
              <w:t>15</w:t>
            </w:r>
          </w:p>
        </w:tc>
        <w:tc>
          <w:tcPr>
            <w:tcW w:w="294" w:type="pct"/>
            <w:vAlign w:val="center"/>
          </w:tcPr>
          <w:p w:rsidR="00446B0D" w:rsidRDefault="008F1B69">
            <w:pPr>
              <w:pStyle w:val="ListParagraph"/>
              <w:numPr>
                <w:ilvl w:val="0"/>
                <w:numId w:val="0"/>
              </w:numPr>
              <w:jc w:val="center"/>
              <w:rPr>
                <w:sz w:val="18"/>
                <w:szCs w:val="18"/>
              </w:rPr>
            </w:pPr>
            <w:r>
              <w:rPr>
                <w:sz w:val="18"/>
                <w:szCs w:val="18"/>
              </w:rPr>
              <w:t>HR</w:t>
            </w:r>
          </w:p>
        </w:tc>
        <w:tc>
          <w:tcPr>
            <w:tcW w:w="882" w:type="pct"/>
            <w:vAlign w:val="center"/>
          </w:tcPr>
          <w:p w:rsidR="00446B0D" w:rsidRDefault="008F1B69">
            <w:pPr>
              <w:pStyle w:val="ListParagraph"/>
              <w:ind w:left="0"/>
              <w:rPr>
                <w:sz w:val="18"/>
                <w:szCs w:val="18"/>
              </w:rPr>
            </w:pPr>
            <w:r>
              <w:rPr>
                <w:sz w:val="18"/>
                <w:szCs w:val="18"/>
              </w:rPr>
              <w:t>Partnership for Social Development</w:t>
            </w:r>
          </w:p>
        </w:tc>
        <w:tc>
          <w:tcPr>
            <w:tcW w:w="2206" w:type="pct"/>
            <w:vAlign w:val="center"/>
          </w:tcPr>
          <w:p w:rsidR="00446B0D" w:rsidRDefault="008F1B69">
            <w:pPr>
              <w:pStyle w:val="ListParagraph"/>
              <w:ind w:left="0"/>
              <w:rPr>
                <w:sz w:val="18"/>
                <w:szCs w:val="18"/>
              </w:rPr>
            </w:pPr>
            <w:r>
              <w:rPr>
                <w:sz w:val="18"/>
                <w:szCs w:val="18"/>
              </w:rPr>
              <w:t>Cross-Country Legal and Institutional Framework for Suppression of Fraud in Public Procurement</w:t>
            </w:r>
          </w:p>
        </w:tc>
        <w:tc>
          <w:tcPr>
            <w:tcW w:w="367" w:type="pct"/>
            <w:vAlign w:val="center"/>
          </w:tcPr>
          <w:p w:rsidR="00446B0D" w:rsidRDefault="008F1B69">
            <w:pPr>
              <w:pStyle w:val="ListParagraph"/>
              <w:numPr>
                <w:ilvl w:val="0"/>
                <w:numId w:val="0"/>
              </w:numPr>
              <w:jc w:val="center"/>
              <w:rPr>
                <w:sz w:val="18"/>
                <w:szCs w:val="18"/>
              </w:rPr>
            </w:pPr>
            <w:r>
              <w:rPr>
                <w:sz w:val="18"/>
                <w:szCs w:val="18"/>
              </w:rPr>
              <w:t>142</w:t>
            </w:r>
          </w:p>
        </w:tc>
        <w:tc>
          <w:tcPr>
            <w:tcW w:w="588" w:type="pct"/>
            <w:vAlign w:val="center"/>
          </w:tcPr>
          <w:p w:rsidR="00446B0D" w:rsidRDefault="008F1B69">
            <w:pPr>
              <w:pStyle w:val="ListParagraph"/>
              <w:numPr>
                <w:ilvl w:val="0"/>
                <w:numId w:val="0"/>
              </w:numPr>
              <w:jc w:val="right"/>
              <w:rPr>
                <w:sz w:val="18"/>
                <w:szCs w:val="18"/>
              </w:rPr>
            </w:pPr>
            <w:r>
              <w:rPr>
                <w:sz w:val="18"/>
                <w:szCs w:val="18"/>
              </w:rPr>
              <w:t>48 260</w:t>
            </w:r>
          </w:p>
        </w:tc>
        <w:tc>
          <w:tcPr>
            <w:tcW w:w="442" w:type="pct"/>
            <w:vAlign w:val="center"/>
          </w:tcPr>
          <w:p w:rsidR="00446B0D" w:rsidRDefault="008F1B69">
            <w:pPr>
              <w:pStyle w:val="ListParagraph"/>
              <w:numPr>
                <w:ilvl w:val="0"/>
                <w:numId w:val="0"/>
              </w:numPr>
              <w:jc w:val="center"/>
              <w:rPr>
                <w:sz w:val="18"/>
                <w:szCs w:val="18"/>
              </w:rPr>
            </w:pPr>
            <w:r>
              <w:rPr>
                <w:sz w:val="18"/>
                <w:szCs w:val="18"/>
              </w:rPr>
              <w:t>80</w:t>
            </w:r>
          </w:p>
        </w:tc>
      </w:tr>
      <w:tr w:rsidR="00446B0D">
        <w:tc>
          <w:tcPr>
            <w:tcW w:w="221" w:type="pct"/>
            <w:vAlign w:val="center"/>
          </w:tcPr>
          <w:p w:rsidR="00446B0D" w:rsidRDefault="008F1B69">
            <w:pPr>
              <w:pStyle w:val="ListParagraph"/>
              <w:numPr>
                <w:ilvl w:val="0"/>
                <w:numId w:val="0"/>
              </w:numPr>
              <w:jc w:val="center"/>
              <w:rPr>
                <w:sz w:val="18"/>
                <w:szCs w:val="18"/>
              </w:rPr>
            </w:pPr>
            <w:r>
              <w:rPr>
                <w:sz w:val="18"/>
                <w:szCs w:val="18"/>
              </w:rPr>
              <w:t>16</w:t>
            </w:r>
          </w:p>
        </w:tc>
        <w:tc>
          <w:tcPr>
            <w:tcW w:w="294" w:type="pct"/>
            <w:vAlign w:val="center"/>
          </w:tcPr>
          <w:p w:rsidR="00446B0D" w:rsidRDefault="008F1B69">
            <w:pPr>
              <w:pStyle w:val="ListParagraph"/>
              <w:numPr>
                <w:ilvl w:val="0"/>
                <w:numId w:val="0"/>
              </w:numPr>
              <w:jc w:val="center"/>
              <w:rPr>
                <w:sz w:val="18"/>
                <w:szCs w:val="18"/>
              </w:rPr>
            </w:pPr>
            <w:r>
              <w:rPr>
                <w:sz w:val="18"/>
                <w:szCs w:val="18"/>
              </w:rPr>
              <w:t>IT</w:t>
            </w:r>
          </w:p>
        </w:tc>
        <w:tc>
          <w:tcPr>
            <w:tcW w:w="882" w:type="pct"/>
            <w:vAlign w:val="center"/>
          </w:tcPr>
          <w:p w:rsidR="00446B0D" w:rsidRDefault="008F1B69">
            <w:pPr>
              <w:pStyle w:val="ListParagraph"/>
              <w:ind w:left="0"/>
              <w:rPr>
                <w:sz w:val="18"/>
                <w:szCs w:val="18"/>
                <w:lang w:val="it-IT"/>
              </w:rPr>
            </w:pPr>
            <w:r>
              <w:rPr>
                <w:sz w:val="18"/>
                <w:szCs w:val="18"/>
                <w:lang w:val="it-IT"/>
              </w:rPr>
              <w:t>Corte dei conti - Seminario di formazione permanente</w:t>
            </w:r>
          </w:p>
        </w:tc>
        <w:tc>
          <w:tcPr>
            <w:tcW w:w="2206" w:type="pct"/>
            <w:tcBorders>
              <w:bottom w:val="single" w:sz="12" w:space="0" w:color="auto"/>
            </w:tcBorders>
            <w:vAlign w:val="center"/>
          </w:tcPr>
          <w:p w:rsidR="00446B0D" w:rsidRDefault="008F1B69">
            <w:pPr>
              <w:pStyle w:val="ListParagraph"/>
              <w:ind w:left="0"/>
              <w:rPr>
                <w:sz w:val="18"/>
                <w:szCs w:val="18"/>
              </w:rPr>
            </w:pPr>
            <w:r>
              <w:rPr>
                <w:sz w:val="18"/>
                <w:szCs w:val="18"/>
              </w:rPr>
              <w:t xml:space="preserve">Seminar and training activities aimed at exchanging professional experiences amongst </w:t>
            </w:r>
            <w:r>
              <w:rPr>
                <w:sz w:val="18"/>
                <w:szCs w:val="18"/>
              </w:rPr>
              <w:t>the Courts of Audit of France, Greece, Italy, Portugal and Spain and the EU institutions in the prevention of and fight against fraud and other irregularities affecting the EU’s financial interests – March 2014, Rome</w:t>
            </w:r>
          </w:p>
        </w:tc>
        <w:tc>
          <w:tcPr>
            <w:tcW w:w="367" w:type="pct"/>
            <w:tcBorders>
              <w:bottom w:val="single" w:sz="12" w:space="0" w:color="auto"/>
            </w:tcBorders>
            <w:vAlign w:val="center"/>
          </w:tcPr>
          <w:p w:rsidR="00446B0D" w:rsidRDefault="008F1B69">
            <w:pPr>
              <w:pStyle w:val="ListParagraph"/>
              <w:numPr>
                <w:ilvl w:val="0"/>
                <w:numId w:val="0"/>
              </w:numPr>
              <w:jc w:val="center"/>
              <w:rPr>
                <w:sz w:val="18"/>
                <w:szCs w:val="18"/>
              </w:rPr>
            </w:pPr>
            <w:r>
              <w:rPr>
                <w:sz w:val="18"/>
                <w:szCs w:val="18"/>
              </w:rPr>
              <w:t>179</w:t>
            </w:r>
          </w:p>
        </w:tc>
        <w:tc>
          <w:tcPr>
            <w:tcW w:w="588" w:type="pct"/>
            <w:tcBorders>
              <w:bottom w:val="single" w:sz="12" w:space="0" w:color="auto"/>
            </w:tcBorders>
            <w:vAlign w:val="center"/>
          </w:tcPr>
          <w:p w:rsidR="00446B0D" w:rsidRDefault="008F1B69">
            <w:pPr>
              <w:pStyle w:val="ListParagraph"/>
              <w:numPr>
                <w:ilvl w:val="0"/>
                <w:numId w:val="0"/>
              </w:numPr>
              <w:jc w:val="right"/>
              <w:rPr>
                <w:sz w:val="18"/>
                <w:szCs w:val="18"/>
              </w:rPr>
            </w:pPr>
            <w:r>
              <w:rPr>
                <w:sz w:val="18"/>
                <w:szCs w:val="18"/>
              </w:rPr>
              <w:t>56 978</w:t>
            </w:r>
          </w:p>
        </w:tc>
        <w:tc>
          <w:tcPr>
            <w:tcW w:w="442" w:type="pct"/>
            <w:tcBorders>
              <w:bottom w:val="single" w:sz="12" w:space="0" w:color="auto"/>
            </w:tcBorders>
            <w:vAlign w:val="center"/>
          </w:tcPr>
          <w:p w:rsidR="00446B0D" w:rsidRDefault="008F1B69">
            <w:pPr>
              <w:pStyle w:val="ListParagraph"/>
              <w:numPr>
                <w:ilvl w:val="0"/>
                <w:numId w:val="0"/>
              </w:numPr>
              <w:jc w:val="center"/>
              <w:rPr>
                <w:sz w:val="18"/>
                <w:szCs w:val="18"/>
              </w:rPr>
            </w:pPr>
            <w:r>
              <w:rPr>
                <w:sz w:val="18"/>
                <w:szCs w:val="18"/>
              </w:rPr>
              <w:t>64</w:t>
            </w:r>
          </w:p>
        </w:tc>
      </w:tr>
      <w:tr w:rsidR="00446B0D">
        <w:tblPrEx>
          <w:tblBorders>
            <w:top w:val="single" w:sz="4" w:space="0" w:color="auto"/>
            <w:left w:val="single" w:sz="4" w:space="0" w:color="auto"/>
            <w:bottom w:val="single" w:sz="4" w:space="0" w:color="auto"/>
            <w:right w:val="single" w:sz="4" w:space="0" w:color="auto"/>
            <w:insideH w:val="single" w:sz="4" w:space="0" w:color="auto"/>
          </w:tblBorders>
        </w:tblPrEx>
        <w:trPr>
          <w:trHeight w:val="329"/>
        </w:trPr>
        <w:tc>
          <w:tcPr>
            <w:tcW w:w="221" w:type="pct"/>
            <w:tcBorders>
              <w:top w:val="single" w:sz="12" w:space="0" w:color="auto"/>
              <w:left w:val="nil"/>
              <w:bottom w:val="nil"/>
              <w:right w:val="nil"/>
            </w:tcBorders>
            <w:vAlign w:val="center"/>
          </w:tcPr>
          <w:p w:rsidR="00446B0D" w:rsidRDefault="00446B0D">
            <w:pPr>
              <w:pStyle w:val="ListParagraph"/>
              <w:numPr>
                <w:ilvl w:val="0"/>
                <w:numId w:val="0"/>
              </w:numPr>
              <w:jc w:val="center"/>
              <w:rPr>
                <w:sz w:val="20"/>
                <w:szCs w:val="20"/>
              </w:rPr>
            </w:pPr>
          </w:p>
        </w:tc>
        <w:tc>
          <w:tcPr>
            <w:tcW w:w="294" w:type="pct"/>
            <w:tcBorders>
              <w:top w:val="single" w:sz="12" w:space="0" w:color="auto"/>
              <w:left w:val="nil"/>
              <w:bottom w:val="nil"/>
              <w:right w:val="nil"/>
            </w:tcBorders>
            <w:vAlign w:val="center"/>
          </w:tcPr>
          <w:p w:rsidR="00446B0D" w:rsidRDefault="00446B0D">
            <w:pPr>
              <w:pStyle w:val="ListParagraph"/>
              <w:numPr>
                <w:ilvl w:val="0"/>
                <w:numId w:val="0"/>
              </w:numPr>
              <w:jc w:val="center"/>
              <w:rPr>
                <w:sz w:val="20"/>
                <w:szCs w:val="20"/>
              </w:rPr>
            </w:pPr>
          </w:p>
        </w:tc>
        <w:tc>
          <w:tcPr>
            <w:tcW w:w="882" w:type="pct"/>
            <w:tcBorders>
              <w:top w:val="single" w:sz="12" w:space="0" w:color="auto"/>
              <w:left w:val="nil"/>
              <w:bottom w:val="nil"/>
              <w:right w:val="single" w:sz="12" w:space="0" w:color="auto"/>
            </w:tcBorders>
          </w:tcPr>
          <w:p w:rsidR="00446B0D" w:rsidRDefault="00446B0D">
            <w:pPr>
              <w:pStyle w:val="ListParagraph"/>
              <w:numPr>
                <w:ilvl w:val="0"/>
                <w:numId w:val="0"/>
              </w:numPr>
              <w:rPr>
                <w:sz w:val="20"/>
                <w:szCs w:val="20"/>
              </w:rPr>
            </w:pPr>
          </w:p>
        </w:tc>
        <w:tc>
          <w:tcPr>
            <w:tcW w:w="2206" w:type="pct"/>
            <w:tcBorders>
              <w:top w:val="single" w:sz="12" w:space="0" w:color="auto"/>
              <w:left w:val="single" w:sz="12" w:space="0" w:color="auto"/>
              <w:bottom w:val="single" w:sz="12" w:space="0" w:color="auto"/>
            </w:tcBorders>
            <w:shd w:val="clear" w:color="auto" w:fill="C7C7C7" w:themeFill="background1" w:themeFillShade="D9"/>
            <w:vAlign w:val="center"/>
          </w:tcPr>
          <w:p w:rsidR="00446B0D" w:rsidRDefault="008F1B69">
            <w:pPr>
              <w:pStyle w:val="ListParagraph"/>
              <w:numPr>
                <w:ilvl w:val="0"/>
                <w:numId w:val="0"/>
              </w:numPr>
              <w:jc w:val="right"/>
              <w:rPr>
                <w:b/>
                <w:sz w:val="20"/>
                <w:szCs w:val="20"/>
              </w:rPr>
            </w:pPr>
            <w:r>
              <w:rPr>
                <w:b/>
                <w:sz w:val="20"/>
                <w:szCs w:val="20"/>
              </w:rPr>
              <w:t>Total</w:t>
            </w:r>
          </w:p>
        </w:tc>
        <w:tc>
          <w:tcPr>
            <w:tcW w:w="367" w:type="pct"/>
            <w:tcBorders>
              <w:top w:val="single" w:sz="12" w:space="0" w:color="auto"/>
              <w:bottom w:val="single" w:sz="12" w:space="0" w:color="auto"/>
            </w:tcBorders>
            <w:shd w:val="clear" w:color="auto" w:fill="C7C7C7" w:themeFill="background1" w:themeFillShade="D9"/>
            <w:vAlign w:val="center"/>
          </w:tcPr>
          <w:p w:rsidR="00446B0D" w:rsidRDefault="008F1B69">
            <w:pPr>
              <w:pStyle w:val="ListParagraph"/>
              <w:numPr>
                <w:ilvl w:val="0"/>
                <w:numId w:val="0"/>
              </w:numPr>
              <w:jc w:val="center"/>
              <w:rPr>
                <w:b/>
                <w:sz w:val="20"/>
                <w:szCs w:val="20"/>
              </w:rPr>
            </w:pPr>
            <w:r>
              <w:rPr>
                <w:b/>
                <w:sz w:val="20"/>
                <w:szCs w:val="20"/>
              </w:rPr>
              <w:t>1 638</w:t>
            </w:r>
          </w:p>
        </w:tc>
        <w:tc>
          <w:tcPr>
            <w:tcW w:w="588" w:type="pct"/>
            <w:tcBorders>
              <w:top w:val="single" w:sz="12" w:space="0" w:color="auto"/>
              <w:bottom w:val="single" w:sz="12" w:space="0" w:color="auto"/>
            </w:tcBorders>
            <w:shd w:val="clear" w:color="auto" w:fill="C7C7C7" w:themeFill="background1" w:themeFillShade="D9"/>
            <w:vAlign w:val="center"/>
          </w:tcPr>
          <w:p w:rsidR="00446B0D" w:rsidRDefault="008F1B69">
            <w:pPr>
              <w:pStyle w:val="ListParagraph"/>
              <w:numPr>
                <w:ilvl w:val="0"/>
                <w:numId w:val="0"/>
              </w:numPr>
              <w:jc w:val="right"/>
              <w:rPr>
                <w:b/>
                <w:sz w:val="20"/>
                <w:szCs w:val="20"/>
              </w:rPr>
            </w:pPr>
            <w:r>
              <w:rPr>
                <w:b/>
                <w:sz w:val="20"/>
                <w:szCs w:val="20"/>
              </w:rPr>
              <w:t>966 140</w:t>
            </w:r>
          </w:p>
        </w:tc>
        <w:tc>
          <w:tcPr>
            <w:tcW w:w="442" w:type="pct"/>
            <w:tcBorders>
              <w:top w:val="single" w:sz="12" w:space="0" w:color="auto"/>
              <w:bottom w:val="single" w:sz="12" w:space="0" w:color="auto"/>
              <w:right w:val="single" w:sz="12" w:space="0" w:color="auto"/>
            </w:tcBorders>
            <w:shd w:val="clear" w:color="auto" w:fill="C7C7C7" w:themeFill="background1" w:themeFillShade="D9"/>
            <w:vAlign w:val="center"/>
          </w:tcPr>
          <w:p w:rsidR="00446B0D" w:rsidRDefault="008F1B69">
            <w:pPr>
              <w:jc w:val="center"/>
              <w:rPr>
                <w:b/>
                <w:noProof/>
                <w:sz w:val="20"/>
                <w:szCs w:val="20"/>
              </w:rPr>
            </w:pPr>
            <w:r>
              <w:rPr>
                <w:b/>
                <w:noProof/>
                <w:sz w:val="20"/>
                <w:szCs w:val="20"/>
              </w:rPr>
              <w:t>78</w:t>
            </w:r>
          </w:p>
        </w:tc>
      </w:tr>
    </w:tbl>
    <w:p w:rsidR="00446B0D" w:rsidRDefault="008F1B69">
      <w:pPr>
        <w:spacing w:before="0" w:after="60"/>
        <w:rPr>
          <w:b/>
          <w:noProof/>
          <w:sz w:val="20"/>
          <w:szCs w:val="20"/>
        </w:rPr>
      </w:pPr>
      <w:r>
        <w:rPr>
          <w:b/>
          <w:noProof/>
          <w:sz w:val="20"/>
          <w:szCs w:val="20"/>
        </w:rPr>
        <w:t>Table 7 — Legal Training &amp; Studies grants awarded in 2014</w:t>
      </w:r>
    </w:p>
    <w:tbl>
      <w:tblPr>
        <w:tblW w:w="9640" w:type="dxa"/>
        <w:tblInd w:w="-176" w:type="dxa"/>
        <w:tblLayout w:type="fixed"/>
        <w:tblLook w:val="04A0" w:firstRow="1" w:lastRow="0" w:firstColumn="1" w:lastColumn="0" w:noHBand="0" w:noVBand="1"/>
      </w:tblPr>
      <w:tblGrid>
        <w:gridCol w:w="284"/>
        <w:gridCol w:w="567"/>
        <w:gridCol w:w="2552"/>
        <w:gridCol w:w="4394"/>
        <w:gridCol w:w="1134"/>
        <w:gridCol w:w="709"/>
      </w:tblGrid>
      <w:tr w:rsidR="00446B0D">
        <w:trPr>
          <w:trHeight w:val="645"/>
        </w:trPr>
        <w:tc>
          <w:tcPr>
            <w:tcW w:w="284" w:type="dxa"/>
            <w:tcBorders>
              <w:bottom w:val="single" w:sz="12" w:space="0" w:color="auto"/>
              <w:right w:val="single" w:sz="12" w:space="0" w:color="auto"/>
            </w:tcBorders>
            <w:shd w:val="clear" w:color="000000" w:fill="auto"/>
            <w:vAlign w:val="center"/>
          </w:tcPr>
          <w:p w:rsidR="00446B0D" w:rsidRDefault="00446B0D">
            <w:pPr>
              <w:spacing w:before="0" w:after="0"/>
              <w:jc w:val="center"/>
              <w:rPr>
                <w:b/>
                <w:bCs/>
                <w:noProof/>
                <w:sz w:val="20"/>
                <w:szCs w:val="20"/>
                <w:lang w:eastAsia="en-GB"/>
              </w:rPr>
            </w:pPr>
          </w:p>
        </w:tc>
        <w:tc>
          <w:tcPr>
            <w:tcW w:w="567" w:type="dxa"/>
            <w:tcBorders>
              <w:top w:val="single" w:sz="12" w:space="0" w:color="auto"/>
              <w:left w:val="single" w:sz="12" w:space="0" w:color="auto"/>
              <w:bottom w:val="single" w:sz="12" w:space="0" w:color="auto"/>
              <w:right w:val="single" w:sz="4" w:space="0" w:color="auto"/>
            </w:tcBorders>
            <w:shd w:val="clear" w:color="auto" w:fill="D9D9D9"/>
            <w:vAlign w:val="center"/>
          </w:tcPr>
          <w:p w:rsidR="00446B0D" w:rsidRDefault="008F1B69">
            <w:pPr>
              <w:spacing w:before="0" w:after="0"/>
              <w:jc w:val="center"/>
              <w:rPr>
                <w:b/>
                <w:bCs/>
                <w:noProof/>
                <w:sz w:val="18"/>
                <w:szCs w:val="18"/>
                <w:lang w:eastAsia="en-GB"/>
              </w:rPr>
            </w:pPr>
            <w:r>
              <w:rPr>
                <w:b/>
                <w:bCs/>
                <w:noProof/>
                <w:sz w:val="18"/>
                <w:szCs w:val="18"/>
                <w:lang w:eastAsia="en-GB"/>
              </w:rPr>
              <w:t>MS</w:t>
            </w:r>
          </w:p>
        </w:tc>
        <w:tc>
          <w:tcPr>
            <w:tcW w:w="2552" w:type="dxa"/>
            <w:tcBorders>
              <w:top w:val="single" w:sz="12" w:space="0" w:color="auto"/>
              <w:left w:val="nil"/>
              <w:bottom w:val="single" w:sz="12" w:space="0" w:color="auto"/>
              <w:right w:val="single" w:sz="4" w:space="0" w:color="auto"/>
            </w:tcBorders>
            <w:shd w:val="clear" w:color="auto" w:fill="D9D9D9"/>
            <w:vAlign w:val="center"/>
          </w:tcPr>
          <w:p w:rsidR="00446B0D" w:rsidRDefault="008F1B69">
            <w:pPr>
              <w:spacing w:before="0" w:after="0"/>
              <w:jc w:val="center"/>
              <w:rPr>
                <w:b/>
                <w:bCs/>
                <w:noProof/>
                <w:sz w:val="18"/>
                <w:szCs w:val="18"/>
                <w:lang w:eastAsia="en-GB"/>
              </w:rPr>
            </w:pPr>
            <w:r>
              <w:rPr>
                <w:b/>
                <w:bCs/>
                <w:noProof/>
                <w:sz w:val="18"/>
                <w:szCs w:val="18"/>
                <w:lang w:eastAsia="en-GB"/>
              </w:rPr>
              <w:t>Beneficiary</w:t>
            </w:r>
          </w:p>
        </w:tc>
        <w:tc>
          <w:tcPr>
            <w:tcW w:w="4394" w:type="dxa"/>
            <w:tcBorders>
              <w:top w:val="single" w:sz="12" w:space="0" w:color="auto"/>
              <w:left w:val="nil"/>
              <w:bottom w:val="single" w:sz="12" w:space="0" w:color="auto"/>
              <w:right w:val="single" w:sz="4" w:space="0" w:color="auto"/>
            </w:tcBorders>
            <w:shd w:val="clear" w:color="000000" w:fill="D9D9D9"/>
            <w:vAlign w:val="center"/>
          </w:tcPr>
          <w:p w:rsidR="00446B0D" w:rsidRDefault="008F1B69">
            <w:pPr>
              <w:spacing w:before="0" w:after="0"/>
              <w:jc w:val="center"/>
              <w:rPr>
                <w:b/>
                <w:bCs/>
                <w:noProof/>
                <w:sz w:val="18"/>
                <w:szCs w:val="18"/>
                <w:lang w:eastAsia="en-GB"/>
              </w:rPr>
            </w:pPr>
            <w:r>
              <w:rPr>
                <w:b/>
                <w:bCs/>
                <w:noProof/>
                <w:sz w:val="18"/>
                <w:szCs w:val="18"/>
                <w:lang w:eastAsia="en-GB"/>
              </w:rPr>
              <w:t>Subject</w:t>
            </w:r>
          </w:p>
        </w:tc>
        <w:tc>
          <w:tcPr>
            <w:tcW w:w="1134" w:type="dxa"/>
            <w:tcBorders>
              <w:top w:val="single" w:sz="12" w:space="0" w:color="auto"/>
              <w:left w:val="nil"/>
              <w:bottom w:val="single" w:sz="12" w:space="0" w:color="auto"/>
              <w:right w:val="single" w:sz="4" w:space="0" w:color="auto"/>
            </w:tcBorders>
            <w:shd w:val="clear" w:color="000000" w:fill="D9D9D9"/>
            <w:vAlign w:val="center"/>
          </w:tcPr>
          <w:p w:rsidR="00446B0D" w:rsidRDefault="008F1B69">
            <w:pPr>
              <w:spacing w:before="0" w:after="0"/>
              <w:jc w:val="center"/>
              <w:rPr>
                <w:b/>
                <w:bCs/>
                <w:noProof/>
                <w:sz w:val="20"/>
                <w:szCs w:val="20"/>
                <w:lang w:eastAsia="en-GB"/>
              </w:rPr>
            </w:pPr>
            <w:r>
              <w:rPr>
                <w:b/>
                <w:bCs/>
                <w:noProof/>
                <w:sz w:val="18"/>
                <w:szCs w:val="18"/>
                <w:lang w:eastAsia="en-GB"/>
              </w:rPr>
              <w:t>Commit-ments in Euro</w:t>
            </w:r>
          </w:p>
        </w:tc>
        <w:tc>
          <w:tcPr>
            <w:tcW w:w="709" w:type="dxa"/>
            <w:tcBorders>
              <w:top w:val="single" w:sz="12" w:space="0" w:color="auto"/>
              <w:left w:val="nil"/>
              <w:bottom w:val="single" w:sz="12" w:space="0" w:color="auto"/>
              <w:right w:val="single" w:sz="12" w:space="0" w:color="auto"/>
            </w:tcBorders>
            <w:shd w:val="clear" w:color="000000" w:fill="D9D9D9"/>
            <w:vAlign w:val="center"/>
          </w:tcPr>
          <w:p w:rsidR="00446B0D" w:rsidRDefault="008F1B69">
            <w:pPr>
              <w:spacing w:before="0" w:after="0"/>
              <w:jc w:val="center"/>
              <w:rPr>
                <w:b/>
                <w:bCs/>
                <w:noProof/>
                <w:sz w:val="18"/>
                <w:szCs w:val="18"/>
                <w:lang w:eastAsia="en-GB"/>
              </w:rPr>
            </w:pPr>
            <w:r>
              <w:rPr>
                <w:b/>
                <w:bCs/>
                <w:noProof/>
                <w:sz w:val="18"/>
                <w:szCs w:val="18"/>
                <w:lang w:eastAsia="en-GB"/>
              </w:rPr>
              <w:t>Co-fin %</w:t>
            </w:r>
          </w:p>
        </w:tc>
      </w:tr>
      <w:tr w:rsidR="00446B0D">
        <w:trPr>
          <w:trHeight w:val="20"/>
        </w:trPr>
        <w:tc>
          <w:tcPr>
            <w:tcW w:w="284" w:type="dxa"/>
            <w:tcBorders>
              <w:top w:val="single" w:sz="12" w:space="0" w:color="auto"/>
              <w:left w:val="single" w:sz="12" w:space="0" w:color="auto"/>
              <w:bottom w:val="dashed" w:sz="4" w:space="0" w:color="auto"/>
              <w:right w:val="single" w:sz="4" w:space="0" w:color="auto"/>
            </w:tcBorders>
            <w:shd w:val="clear" w:color="auto" w:fill="auto"/>
            <w:noWrap/>
            <w:vAlign w:val="center"/>
          </w:tcPr>
          <w:p w:rsidR="00446B0D" w:rsidRDefault="008F1B69">
            <w:pPr>
              <w:spacing w:before="0" w:after="0"/>
              <w:jc w:val="center"/>
              <w:rPr>
                <w:bCs/>
                <w:noProof/>
                <w:sz w:val="18"/>
                <w:szCs w:val="18"/>
                <w:lang w:eastAsia="en-GB"/>
              </w:rPr>
            </w:pPr>
            <w:r>
              <w:rPr>
                <w:bCs/>
                <w:noProof/>
                <w:sz w:val="18"/>
                <w:szCs w:val="18"/>
                <w:lang w:eastAsia="en-GB"/>
              </w:rPr>
              <w:t>1</w:t>
            </w:r>
          </w:p>
        </w:tc>
        <w:tc>
          <w:tcPr>
            <w:tcW w:w="567" w:type="dxa"/>
            <w:tcBorders>
              <w:top w:val="single" w:sz="12" w:space="0" w:color="auto"/>
              <w:left w:val="single" w:sz="4" w:space="0" w:color="auto"/>
              <w:bottom w:val="dashed" w:sz="4" w:space="0" w:color="auto"/>
              <w:right w:val="single" w:sz="8" w:space="0" w:color="auto"/>
            </w:tcBorders>
            <w:shd w:val="clear" w:color="auto" w:fill="auto"/>
            <w:noWrap/>
            <w:vAlign w:val="center"/>
          </w:tcPr>
          <w:p w:rsidR="00446B0D" w:rsidRDefault="008F1B69">
            <w:pPr>
              <w:spacing w:before="0" w:after="0"/>
              <w:jc w:val="center"/>
              <w:rPr>
                <w:noProof/>
                <w:sz w:val="18"/>
                <w:szCs w:val="18"/>
                <w:lang w:eastAsia="en-GB"/>
              </w:rPr>
            </w:pPr>
            <w:r>
              <w:rPr>
                <w:noProof/>
                <w:sz w:val="18"/>
                <w:szCs w:val="18"/>
                <w:lang w:eastAsia="en-GB"/>
              </w:rPr>
              <w:t>DE</w:t>
            </w:r>
          </w:p>
        </w:tc>
        <w:tc>
          <w:tcPr>
            <w:tcW w:w="2552" w:type="dxa"/>
            <w:tcBorders>
              <w:top w:val="single" w:sz="12" w:space="0" w:color="auto"/>
              <w:left w:val="nil"/>
              <w:bottom w:val="dashed" w:sz="4" w:space="0" w:color="auto"/>
              <w:right w:val="single" w:sz="8" w:space="0" w:color="auto"/>
            </w:tcBorders>
            <w:shd w:val="clear" w:color="auto" w:fill="auto"/>
            <w:noWrap/>
            <w:vAlign w:val="center"/>
          </w:tcPr>
          <w:p w:rsidR="00446B0D" w:rsidRDefault="008F1B69">
            <w:pPr>
              <w:spacing w:before="0" w:after="0"/>
              <w:jc w:val="left"/>
              <w:rPr>
                <w:noProof/>
                <w:sz w:val="18"/>
                <w:szCs w:val="18"/>
                <w:lang w:eastAsia="en-GB"/>
              </w:rPr>
            </w:pPr>
            <w:r>
              <w:rPr>
                <w:noProof/>
                <w:sz w:val="18"/>
                <w:szCs w:val="18"/>
                <w:lang w:eastAsia="en-GB"/>
              </w:rPr>
              <w:t>European Law Academy (ERA)</w:t>
            </w:r>
          </w:p>
        </w:tc>
        <w:tc>
          <w:tcPr>
            <w:tcW w:w="4394" w:type="dxa"/>
            <w:tcBorders>
              <w:top w:val="single" w:sz="12" w:space="0" w:color="auto"/>
              <w:left w:val="nil"/>
              <w:bottom w:val="dashed" w:sz="4" w:space="0" w:color="auto"/>
              <w:right w:val="single" w:sz="8" w:space="0" w:color="auto"/>
            </w:tcBorders>
            <w:shd w:val="clear" w:color="auto" w:fill="auto"/>
            <w:noWrap/>
            <w:vAlign w:val="center"/>
          </w:tcPr>
          <w:p w:rsidR="00446B0D" w:rsidRDefault="008F1B69">
            <w:pPr>
              <w:spacing w:before="0" w:after="0"/>
              <w:jc w:val="left"/>
              <w:rPr>
                <w:noProof/>
                <w:sz w:val="18"/>
                <w:szCs w:val="18"/>
                <w:lang w:eastAsia="en-GB"/>
              </w:rPr>
            </w:pPr>
            <w:r>
              <w:rPr>
                <w:noProof/>
                <w:sz w:val="18"/>
                <w:szCs w:val="18"/>
                <w:lang w:eastAsia="en-GB"/>
              </w:rPr>
              <w:t>Annual Forum on Combating Corruption in the EU 2015: Freezing, Confiscation and</w:t>
            </w:r>
          </w:p>
          <w:p w:rsidR="00446B0D" w:rsidRDefault="008F1B69">
            <w:pPr>
              <w:spacing w:before="0" w:after="0"/>
              <w:jc w:val="left"/>
              <w:rPr>
                <w:noProof/>
                <w:sz w:val="18"/>
                <w:szCs w:val="18"/>
                <w:lang w:eastAsia="en-GB"/>
              </w:rPr>
            </w:pPr>
            <w:r>
              <w:rPr>
                <w:noProof/>
                <w:sz w:val="18"/>
                <w:szCs w:val="18"/>
                <w:lang w:eastAsia="en-GB"/>
              </w:rPr>
              <w:t>Handing over of Proceeds of</w:t>
            </w:r>
            <w:r>
              <w:rPr>
                <w:noProof/>
                <w:sz w:val="18"/>
                <w:szCs w:val="18"/>
                <w:lang w:eastAsia="en-GB"/>
              </w:rPr>
              <w:t xml:space="preserve"> Crime</w:t>
            </w:r>
          </w:p>
        </w:tc>
        <w:tc>
          <w:tcPr>
            <w:tcW w:w="1134" w:type="dxa"/>
            <w:tcBorders>
              <w:top w:val="single" w:sz="12" w:space="0" w:color="auto"/>
              <w:left w:val="nil"/>
              <w:bottom w:val="dashed" w:sz="4" w:space="0" w:color="auto"/>
              <w:right w:val="single" w:sz="8" w:space="0" w:color="auto"/>
            </w:tcBorders>
            <w:shd w:val="clear" w:color="auto" w:fill="auto"/>
            <w:noWrap/>
            <w:vAlign w:val="center"/>
          </w:tcPr>
          <w:p w:rsidR="00446B0D" w:rsidRDefault="008F1B69">
            <w:pPr>
              <w:spacing w:before="0" w:after="0"/>
              <w:jc w:val="right"/>
              <w:rPr>
                <w:noProof/>
                <w:sz w:val="18"/>
                <w:szCs w:val="18"/>
                <w:lang w:eastAsia="en-GB"/>
              </w:rPr>
            </w:pPr>
            <w:r>
              <w:rPr>
                <w:noProof/>
                <w:sz w:val="18"/>
                <w:szCs w:val="18"/>
                <w:lang w:eastAsia="en-GB"/>
              </w:rPr>
              <w:t>54 358</w:t>
            </w:r>
          </w:p>
        </w:tc>
        <w:tc>
          <w:tcPr>
            <w:tcW w:w="709" w:type="dxa"/>
            <w:tcBorders>
              <w:top w:val="single" w:sz="12" w:space="0" w:color="auto"/>
              <w:left w:val="nil"/>
              <w:bottom w:val="dashed" w:sz="4" w:space="0" w:color="auto"/>
              <w:right w:val="single" w:sz="12" w:space="0" w:color="auto"/>
            </w:tcBorders>
            <w:shd w:val="clear" w:color="auto" w:fill="auto"/>
            <w:noWrap/>
            <w:vAlign w:val="center"/>
          </w:tcPr>
          <w:p w:rsidR="00446B0D" w:rsidRDefault="008F1B69">
            <w:pPr>
              <w:spacing w:before="0" w:after="0"/>
              <w:jc w:val="center"/>
              <w:rPr>
                <w:noProof/>
                <w:sz w:val="18"/>
                <w:szCs w:val="18"/>
                <w:lang w:eastAsia="en-GB"/>
              </w:rPr>
            </w:pPr>
            <w:r>
              <w:rPr>
                <w:noProof/>
                <w:sz w:val="18"/>
                <w:szCs w:val="18"/>
                <w:lang w:eastAsia="en-GB"/>
              </w:rPr>
              <w:t>80</w:t>
            </w:r>
          </w:p>
        </w:tc>
      </w:tr>
      <w:tr w:rsidR="00446B0D">
        <w:trPr>
          <w:trHeight w:val="20"/>
        </w:trPr>
        <w:tc>
          <w:tcPr>
            <w:tcW w:w="284" w:type="dxa"/>
            <w:tcBorders>
              <w:top w:val="dashed" w:sz="4" w:space="0" w:color="auto"/>
              <w:left w:val="single" w:sz="12" w:space="0" w:color="auto"/>
              <w:bottom w:val="dashed" w:sz="4" w:space="0" w:color="auto"/>
              <w:right w:val="single" w:sz="4" w:space="0" w:color="auto"/>
            </w:tcBorders>
            <w:shd w:val="clear" w:color="auto" w:fill="auto"/>
            <w:vAlign w:val="center"/>
          </w:tcPr>
          <w:p w:rsidR="00446B0D" w:rsidRDefault="008F1B69">
            <w:pPr>
              <w:spacing w:before="0" w:after="0"/>
              <w:jc w:val="center"/>
              <w:rPr>
                <w:bCs/>
                <w:noProof/>
                <w:sz w:val="18"/>
                <w:szCs w:val="18"/>
                <w:lang w:eastAsia="en-GB"/>
              </w:rPr>
            </w:pPr>
            <w:r>
              <w:rPr>
                <w:bCs/>
                <w:noProof/>
                <w:sz w:val="18"/>
                <w:szCs w:val="18"/>
                <w:lang w:eastAsia="en-GB"/>
              </w:rPr>
              <w:t>2</w:t>
            </w:r>
          </w:p>
        </w:tc>
        <w:tc>
          <w:tcPr>
            <w:tcW w:w="567" w:type="dxa"/>
            <w:tcBorders>
              <w:top w:val="dashed" w:sz="4" w:space="0" w:color="auto"/>
              <w:left w:val="single" w:sz="4" w:space="0" w:color="auto"/>
              <w:bottom w:val="dashed" w:sz="4" w:space="0" w:color="auto"/>
              <w:right w:val="single" w:sz="4" w:space="0" w:color="auto"/>
            </w:tcBorders>
            <w:shd w:val="clear" w:color="auto" w:fill="auto"/>
            <w:noWrap/>
            <w:vAlign w:val="center"/>
          </w:tcPr>
          <w:p w:rsidR="00446B0D" w:rsidRDefault="008F1B69">
            <w:pPr>
              <w:spacing w:before="0" w:after="0"/>
              <w:jc w:val="center"/>
              <w:rPr>
                <w:noProof/>
                <w:sz w:val="18"/>
                <w:szCs w:val="18"/>
                <w:lang w:eastAsia="en-GB"/>
              </w:rPr>
            </w:pPr>
            <w:r>
              <w:rPr>
                <w:noProof/>
                <w:sz w:val="18"/>
                <w:szCs w:val="18"/>
                <w:lang w:eastAsia="en-GB"/>
              </w:rPr>
              <w:t>RO</w:t>
            </w:r>
          </w:p>
        </w:tc>
        <w:tc>
          <w:tcPr>
            <w:tcW w:w="2552" w:type="dxa"/>
            <w:tcBorders>
              <w:top w:val="dashed" w:sz="4" w:space="0" w:color="auto"/>
              <w:left w:val="single" w:sz="4" w:space="0" w:color="auto"/>
              <w:bottom w:val="dashed" w:sz="4" w:space="0" w:color="auto"/>
              <w:right w:val="single" w:sz="4" w:space="0" w:color="auto"/>
            </w:tcBorders>
            <w:shd w:val="clear" w:color="auto" w:fill="auto"/>
            <w:vAlign w:val="center"/>
          </w:tcPr>
          <w:p w:rsidR="00446B0D" w:rsidRDefault="008F1B69">
            <w:pPr>
              <w:spacing w:before="0" w:after="0"/>
              <w:jc w:val="left"/>
              <w:rPr>
                <w:noProof/>
                <w:sz w:val="18"/>
                <w:szCs w:val="18"/>
                <w:lang w:eastAsia="en-GB"/>
              </w:rPr>
            </w:pPr>
            <w:r>
              <w:rPr>
                <w:noProof/>
                <w:sz w:val="18"/>
                <w:szCs w:val="18"/>
                <w:lang w:eastAsia="en-GB"/>
              </w:rPr>
              <w:t>Association Institute for Public Policy (IPP)</w:t>
            </w:r>
          </w:p>
        </w:tc>
        <w:tc>
          <w:tcPr>
            <w:tcW w:w="4394" w:type="dxa"/>
            <w:tcBorders>
              <w:top w:val="dashed" w:sz="4" w:space="0" w:color="auto"/>
              <w:left w:val="single" w:sz="4" w:space="0" w:color="auto"/>
              <w:bottom w:val="dashed" w:sz="4" w:space="0" w:color="auto"/>
              <w:right w:val="single" w:sz="8" w:space="0" w:color="auto"/>
            </w:tcBorders>
            <w:shd w:val="clear" w:color="auto" w:fill="auto"/>
            <w:noWrap/>
            <w:vAlign w:val="center"/>
          </w:tcPr>
          <w:p w:rsidR="00446B0D" w:rsidRDefault="008F1B69">
            <w:pPr>
              <w:spacing w:before="0" w:after="0"/>
              <w:jc w:val="left"/>
              <w:rPr>
                <w:noProof/>
                <w:sz w:val="18"/>
                <w:szCs w:val="18"/>
                <w:lang w:eastAsia="en-GB"/>
              </w:rPr>
            </w:pPr>
            <w:r>
              <w:rPr>
                <w:noProof/>
                <w:sz w:val="18"/>
                <w:szCs w:val="18"/>
                <w:lang w:eastAsia="en-GB"/>
              </w:rPr>
              <w:t>Effective coordination of control systems for preventing fraud with Structural Funds in</w:t>
            </w:r>
          </w:p>
          <w:p w:rsidR="00446B0D" w:rsidRDefault="008F1B69">
            <w:pPr>
              <w:spacing w:before="0" w:after="0"/>
              <w:jc w:val="left"/>
              <w:rPr>
                <w:noProof/>
                <w:sz w:val="18"/>
                <w:szCs w:val="18"/>
                <w:lang w:eastAsia="en-GB"/>
              </w:rPr>
            </w:pPr>
            <w:r>
              <w:rPr>
                <w:noProof/>
                <w:sz w:val="18"/>
                <w:szCs w:val="18"/>
                <w:lang w:eastAsia="en-GB"/>
              </w:rPr>
              <w:t>new EU Member States</w:t>
            </w:r>
          </w:p>
        </w:tc>
        <w:tc>
          <w:tcPr>
            <w:tcW w:w="1134" w:type="dxa"/>
            <w:tcBorders>
              <w:top w:val="dashed" w:sz="4" w:space="0" w:color="auto"/>
              <w:left w:val="nil"/>
              <w:bottom w:val="dashed" w:sz="4" w:space="0" w:color="auto"/>
              <w:right w:val="single" w:sz="8" w:space="0" w:color="auto"/>
            </w:tcBorders>
            <w:shd w:val="clear" w:color="auto" w:fill="auto"/>
            <w:noWrap/>
            <w:vAlign w:val="center"/>
          </w:tcPr>
          <w:p w:rsidR="00446B0D" w:rsidRDefault="008F1B69">
            <w:pPr>
              <w:spacing w:before="0" w:after="0"/>
              <w:jc w:val="right"/>
              <w:rPr>
                <w:noProof/>
                <w:sz w:val="18"/>
                <w:szCs w:val="18"/>
                <w:lang w:eastAsia="en-GB"/>
              </w:rPr>
            </w:pPr>
            <w:r>
              <w:rPr>
                <w:noProof/>
                <w:sz w:val="18"/>
                <w:szCs w:val="18"/>
                <w:lang w:eastAsia="en-GB"/>
              </w:rPr>
              <w:t>41 443</w:t>
            </w:r>
          </w:p>
        </w:tc>
        <w:tc>
          <w:tcPr>
            <w:tcW w:w="709" w:type="dxa"/>
            <w:tcBorders>
              <w:top w:val="dashed" w:sz="4" w:space="0" w:color="auto"/>
              <w:left w:val="nil"/>
              <w:bottom w:val="dashed" w:sz="4" w:space="0" w:color="auto"/>
              <w:right w:val="single" w:sz="12" w:space="0" w:color="auto"/>
            </w:tcBorders>
            <w:shd w:val="clear" w:color="auto" w:fill="auto"/>
            <w:noWrap/>
            <w:vAlign w:val="center"/>
          </w:tcPr>
          <w:p w:rsidR="00446B0D" w:rsidRDefault="008F1B69">
            <w:pPr>
              <w:spacing w:before="0" w:after="0"/>
              <w:jc w:val="center"/>
              <w:rPr>
                <w:noProof/>
                <w:sz w:val="18"/>
                <w:szCs w:val="18"/>
                <w:lang w:eastAsia="en-GB"/>
              </w:rPr>
            </w:pPr>
            <w:r>
              <w:rPr>
                <w:noProof/>
                <w:sz w:val="18"/>
                <w:szCs w:val="18"/>
                <w:lang w:eastAsia="en-GB"/>
              </w:rPr>
              <w:t>79</w:t>
            </w:r>
          </w:p>
        </w:tc>
      </w:tr>
      <w:tr w:rsidR="00446B0D">
        <w:trPr>
          <w:trHeight w:val="20"/>
        </w:trPr>
        <w:tc>
          <w:tcPr>
            <w:tcW w:w="284" w:type="dxa"/>
            <w:tcBorders>
              <w:top w:val="dashed" w:sz="4" w:space="0" w:color="auto"/>
              <w:left w:val="single" w:sz="12" w:space="0" w:color="auto"/>
              <w:bottom w:val="dashed" w:sz="4" w:space="0" w:color="auto"/>
              <w:right w:val="single" w:sz="4" w:space="0" w:color="auto"/>
            </w:tcBorders>
            <w:shd w:val="clear" w:color="auto" w:fill="auto"/>
            <w:vAlign w:val="center"/>
          </w:tcPr>
          <w:p w:rsidR="00446B0D" w:rsidRDefault="008F1B69">
            <w:pPr>
              <w:spacing w:before="0" w:after="0"/>
              <w:jc w:val="center"/>
              <w:rPr>
                <w:bCs/>
                <w:noProof/>
                <w:sz w:val="18"/>
                <w:szCs w:val="18"/>
                <w:lang w:eastAsia="en-GB"/>
              </w:rPr>
            </w:pPr>
            <w:r>
              <w:rPr>
                <w:bCs/>
                <w:noProof/>
                <w:sz w:val="18"/>
                <w:szCs w:val="18"/>
                <w:lang w:eastAsia="en-GB"/>
              </w:rPr>
              <w:t>3</w:t>
            </w:r>
          </w:p>
        </w:tc>
        <w:tc>
          <w:tcPr>
            <w:tcW w:w="567" w:type="dxa"/>
            <w:tcBorders>
              <w:top w:val="dashed" w:sz="4" w:space="0" w:color="auto"/>
              <w:left w:val="single" w:sz="4" w:space="0" w:color="auto"/>
              <w:bottom w:val="dashed" w:sz="4" w:space="0" w:color="auto"/>
              <w:right w:val="single" w:sz="8" w:space="0" w:color="auto"/>
            </w:tcBorders>
            <w:shd w:val="clear" w:color="auto" w:fill="auto"/>
            <w:noWrap/>
            <w:vAlign w:val="center"/>
          </w:tcPr>
          <w:p w:rsidR="00446B0D" w:rsidRDefault="008F1B69">
            <w:pPr>
              <w:spacing w:before="0" w:after="0"/>
              <w:jc w:val="center"/>
              <w:rPr>
                <w:noProof/>
                <w:sz w:val="18"/>
                <w:szCs w:val="18"/>
                <w:lang w:eastAsia="en-GB"/>
              </w:rPr>
            </w:pPr>
            <w:r>
              <w:rPr>
                <w:noProof/>
                <w:sz w:val="18"/>
                <w:szCs w:val="18"/>
                <w:lang w:eastAsia="en-GB"/>
              </w:rPr>
              <w:t>DE</w:t>
            </w:r>
          </w:p>
        </w:tc>
        <w:tc>
          <w:tcPr>
            <w:tcW w:w="2552"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18"/>
                <w:szCs w:val="18"/>
                <w:lang w:eastAsia="en-GB"/>
              </w:rPr>
            </w:pPr>
            <w:r>
              <w:rPr>
                <w:noProof/>
                <w:sz w:val="18"/>
                <w:szCs w:val="18"/>
                <w:lang w:eastAsia="en-GB"/>
              </w:rPr>
              <w:t>Max Planck Society for the Advancement of Science</w:t>
            </w:r>
          </w:p>
        </w:tc>
        <w:tc>
          <w:tcPr>
            <w:tcW w:w="4394" w:type="dxa"/>
            <w:tcBorders>
              <w:top w:val="dashed" w:sz="4" w:space="0" w:color="auto"/>
              <w:left w:val="nil"/>
              <w:bottom w:val="dashed" w:sz="4" w:space="0" w:color="auto"/>
              <w:right w:val="single" w:sz="8" w:space="0" w:color="auto"/>
            </w:tcBorders>
            <w:shd w:val="clear" w:color="auto" w:fill="auto"/>
            <w:noWrap/>
            <w:vAlign w:val="center"/>
          </w:tcPr>
          <w:p w:rsidR="00446B0D" w:rsidRDefault="008F1B69">
            <w:pPr>
              <w:spacing w:before="0" w:after="0"/>
              <w:jc w:val="left"/>
              <w:rPr>
                <w:noProof/>
                <w:sz w:val="18"/>
                <w:szCs w:val="18"/>
                <w:lang w:eastAsia="en-GB"/>
              </w:rPr>
            </w:pPr>
            <w:r>
              <w:rPr>
                <w:noProof/>
                <w:sz w:val="18"/>
                <w:szCs w:val="18"/>
                <w:lang w:eastAsia="en-GB"/>
              </w:rPr>
              <w:t xml:space="preserve">eucrim: The </w:t>
            </w:r>
            <w:r>
              <w:rPr>
                <w:noProof/>
                <w:sz w:val="18"/>
                <w:szCs w:val="18"/>
                <w:lang w:eastAsia="en-GB"/>
              </w:rPr>
              <w:t>European Criminal Law Associations’ Forum - periodical on the protection of the EU’s financial interests</w:t>
            </w:r>
          </w:p>
        </w:tc>
        <w:tc>
          <w:tcPr>
            <w:tcW w:w="1134" w:type="dxa"/>
            <w:tcBorders>
              <w:top w:val="dashed" w:sz="4" w:space="0" w:color="auto"/>
              <w:left w:val="nil"/>
              <w:bottom w:val="dashed" w:sz="4" w:space="0" w:color="auto"/>
              <w:right w:val="single" w:sz="8" w:space="0" w:color="auto"/>
            </w:tcBorders>
            <w:shd w:val="clear" w:color="auto" w:fill="auto"/>
            <w:noWrap/>
            <w:vAlign w:val="center"/>
          </w:tcPr>
          <w:p w:rsidR="00446B0D" w:rsidRDefault="008F1B69">
            <w:pPr>
              <w:spacing w:before="0" w:after="0"/>
              <w:jc w:val="right"/>
              <w:rPr>
                <w:noProof/>
                <w:sz w:val="18"/>
                <w:szCs w:val="18"/>
                <w:lang w:eastAsia="en-GB"/>
              </w:rPr>
            </w:pPr>
            <w:r>
              <w:rPr>
                <w:noProof/>
                <w:sz w:val="18"/>
                <w:szCs w:val="18"/>
                <w:lang w:eastAsia="en-GB"/>
              </w:rPr>
              <w:t>64 315</w:t>
            </w:r>
          </w:p>
        </w:tc>
        <w:tc>
          <w:tcPr>
            <w:tcW w:w="709" w:type="dxa"/>
            <w:tcBorders>
              <w:top w:val="dashed" w:sz="4" w:space="0" w:color="auto"/>
              <w:left w:val="nil"/>
              <w:bottom w:val="dashed" w:sz="4" w:space="0" w:color="auto"/>
              <w:right w:val="single" w:sz="12" w:space="0" w:color="auto"/>
            </w:tcBorders>
            <w:shd w:val="clear" w:color="auto" w:fill="auto"/>
            <w:noWrap/>
            <w:vAlign w:val="center"/>
          </w:tcPr>
          <w:p w:rsidR="00446B0D" w:rsidRDefault="008F1B69">
            <w:pPr>
              <w:spacing w:before="0" w:after="0"/>
              <w:jc w:val="center"/>
              <w:rPr>
                <w:noProof/>
                <w:sz w:val="18"/>
                <w:szCs w:val="18"/>
                <w:lang w:eastAsia="en-GB"/>
              </w:rPr>
            </w:pPr>
            <w:r>
              <w:rPr>
                <w:noProof/>
                <w:sz w:val="18"/>
                <w:szCs w:val="18"/>
                <w:lang w:eastAsia="en-GB"/>
              </w:rPr>
              <w:t>80</w:t>
            </w:r>
          </w:p>
        </w:tc>
      </w:tr>
      <w:tr w:rsidR="00446B0D">
        <w:trPr>
          <w:trHeight w:val="20"/>
        </w:trPr>
        <w:tc>
          <w:tcPr>
            <w:tcW w:w="284" w:type="dxa"/>
            <w:tcBorders>
              <w:top w:val="dashed" w:sz="4" w:space="0" w:color="auto"/>
              <w:left w:val="single" w:sz="12" w:space="0" w:color="auto"/>
              <w:bottom w:val="dashed" w:sz="4" w:space="0" w:color="auto"/>
              <w:right w:val="single" w:sz="4" w:space="0" w:color="auto"/>
            </w:tcBorders>
            <w:shd w:val="clear" w:color="auto" w:fill="auto"/>
            <w:noWrap/>
            <w:vAlign w:val="center"/>
          </w:tcPr>
          <w:p w:rsidR="00446B0D" w:rsidRDefault="008F1B69">
            <w:pPr>
              <w:spacing w:before="0" w:after="0"/>
              <w:jc w:val="center"/>
              <w:rPr>
                <w:bCs/>
                <w:noProof/>
                <w:sz w:val="18"/>
                <w:szCs w:val="18"/>
                <w:lang w:eastAsia="en-GB"/>
              </w:rPr>
            </w:pPr>
            <w:r>
              <w:rPr>
                <w:bCs/>
                <w:noProof/>
                <w:sz w:val="18"/>
                <w:szCs w:val="18"/>
                <w:lang w:eastAsia="en-GB"/>
              </w:rPr>
              <w:t>4</w:t>
            </w:r>
          </w:p>
        </w:tc>
        <w:tc>
          <w:tcPr>
            <w:tcW w:w="567" w:type="dxa"/>
            <w:tcBorders>
              <w:top w:val="dashed" w:sz="4" w:space="0" w:color="auto"/>
              <w:left w:val="single" w:sz="4" w:space="0" w:color="auto"/>
              <w:bottom w:val="dashed" w:sz="4" w:space="0" w:color="auto"/>
              <w:right w:val="single" w:sz="8" w:space="0" w:color="auto"/>
            </w:tcBorders>
            <w:shd w:val="clear" w:color="auto" w:fill="auto"/>
            <w:noWrap/>
            <w:vAlign w:val="center"/>
          </w:tcPr>
          <w:p w:rsidR="00446B0D" w:rsidRDefault="008F1B69">
            <w:pPr>
              <w:spacing w:before="0" w:after="0"/>
              <w:jc w:val="center"/>
              <w:rPr>
                <w:noProof/>
                <w:sz w:val="18"/>
                <w:szCs w:val="18"/>
                <w:lang w:eastAsia="en-GB"/>
              </w:rPr>
            </w:pPr>
            <w:r>
              <w:rPr>
                <w:noProof/>
                <w:sz w:val="18"/>
                <w:szCs w:val="18"/>
                <w:lang w:eastAsia="en-GB"/>
              </w:rPr>
              <w:t>IT</w:t>
            </w:r>
          </w:p>
        </w:tc>
        <w:tc>
          <w:tcPr>
            <w:tcW w:w="2552"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18"/>
                <w:szCs w:val="18"/>
                <w:lang w:eastAsia="en-GB"/>
              </w:rPr>
            </w:pPr>
            <w:r>
              <w:rPr>
                <w:noProof/>
                <w:sz w:val="18"/>
                <w:szCs w:val="18"/>
                <w:lang w:eastAsia="en-GB"/>
              </w:rPr>
              <w:t>University of Bologna - European School of</w:t>
            </w:r>
          </w:p>
          <w:p w:rsidR="00446B0D" w:rsidRDefault="008F1B69">
            <w:pPr>
              <w:spacing w:before="0" w:after="0"/>
              <w:jc w:val="left"/>
              <w:rPr>
                <w:noProof/>
                <w:sz w:val="18"/>
                <w:szCs w:val="18"/>
                <w:lang w:eastAsia="en-GB"/>
              </w:rPr>
            </w:pPr>
            <w:r>
              <w:rPr>
                <w:noProof/>
                <w:sz w:val="18"/>
                <w:szCs w:val="18"/>
                <w:lang w:eastAsia="en-GB"/>
              </w:rPr>
              <w:t>Advanced Fiscal Studies</w:t>
            </w:r>
          </w:p>
        </w:tc>
        <w:tc>
          <w:tcPr>
            <w:tcW w:w="4394" w:type="dxa"/>
            <w:tcBorders>
              <w:top w:val="dashed" w:sz="4" w:space="0" w:color="auto"/>
              <w:left w:val="nil"/>
              <w:bottom w:val="dashed" w:sz="4" w:space="0" w:color="auto"/>
              <w:right w:val="single" w:sz="8" w:space="0" w:color="auto"/>
            </w:tcBorders>
            <w:shd w:val="clear" w:color="auto" w:fill="auto"/>
            <w:noWrap/>
            <w:vAlign w:val="center"/>
          </w:tcPr>
          <w:p w:rsidR="00446B0D" w:rsidRDefault="008F1B69">
            <w:pPr>
              <w:spacing w:before="0" w:after="0"/>
              <w:jc w:val="left"/>
              <w:rPr>
                <w:noProof/>
                <w:sz w:val="18"/>
                <w:szCs w:val="18"/>
                <w:lang w:eastAsia="en-GB"/>
              </w:rPr>
            </w:pPr>
            <w:r>
              <w:rPr>
                <w:noProof/>
                <w:sz w:val="18"/>
                <w:szCs w:val="18"/>
                <w:lang w:eastAsia="en-GB"/>
              </w:rPr>
              <w:t xml:space="preserve">Criminal and Administrative Investigations in the field of VAT and </w:t>
            </w:r>
            <w:r>
              <w:rPr>
                <w:noProof/>
                <w:sz w:val="18"/>
                <w:szCs w:val="18"/>
                <w:lang w:eastAsia="en-GB"/>
              </w:rPr>
              <w:t>Customs Duties. From National Practices to an EU Integrated System of Information and Evidence</w:t>
            </w:r>
          </w:p>
          <w:p w:rsidR="00446B0D" w:rsidRDefault="008F1B69">
            <w:pPr>
              <w:spacing w:before="0" w:after="0"/>
              <w:jc w:val="left"/>
              <w:rPr>
                <w:noProof/>
                <w:sz w:val="18"/>
                <w:szCs w:val="18"/>
                <w:lang w:eastAsia="en-GB"/>
              </w:rPr>
            </w:pPr>
            <w:r>
              <w:rPr>
                <w:noProof/>
                <w:sz w:val="18"/>
                <w:szCs w:val="18"/>
                <w:lang w:eastAsia="en-GB"/>
              </w:rPr>
              <w:t>Exchange</w:t>
            </w:r>
          </w:p>
        </w:tc>
        <w:tc>
          <w:tcPr>
            <w:tcW w:w="1134" w:type="dxa"/>
            <w:tcBorders>
              <w:top w:val="dashed" w:sz="4" w:space="0" w:color="auto"/>
              <w:left w:val="nil"/>
              <w:bottom w:val="dashed" w:sz="4" w:space="0" w:color="auto"/>
              <w:right w:val="single" w:sz="8" w:space="0" w:color="auto"/>
            </w:tcBorders>
            <w:shd w:val="clear" w:color="auto" w:fill="auto"/>
            <w:noWrap/>
            <w:vAlign w:val="center"/>
          </w:tcPr>
          <w:p w:rsidR="00446B0D" w:rsidRDefault="008F1B69">
            <w:pPr>
              <w:spacing w:before="0" w:after="0"/>
              <w:jc w:val="right"/>
              <w:rPr>
                <w:noProof/>
                <w:sz w:val="18"/>
                <w:szCs w:val="18"/>
                <w:lang w:eastAsia="en-GB"/>
              </w:rPr>
            </w:pPr>
            <w:r>
              <w:rPr>
                <w:noProof/>
                <w:sz w:val="18"/>
                <w:szCs w:val="18"/>
                <w:lang w:eastAsia="en-GB"/>
              </w:rPr>
              <w:t>59 242</w:t>
            </w:r>
          </w:p>
        </w:tc>
        <w:tc>
          <w:tcPr>
            <w:tcW w:w="709" w:type="dxa"/>
            <w:tcBorders>
              <w:top w:val="dashed" w:sz="4" w:space="0" w:color="auto"/>
              <w:left w:val="nil"/>
              <w:bottom w:val="dashed" w:sz="4" w:space="0" w:color="auto"/>
              <w:right w:val="single" w:sz="12" w:space="0" w:color="auto"/>
            </w:tcBorders>
            <w:shd w:val="clear" w:color="auto" w:fill="auto"/>
            <w:noWrap/>
            <w:vAlign w:val="center"/>
          </w:tcPr>
          <w:p w:rsidR="00446B0D" w:rsidRDefault="008F1B69">
            <w:pPr>
              <w:spacing w:before="0" w:after="0"/>
              <w:jc w:val="center"/>
              <w:rPr>
                <w:noProof/>
                <w:sz w:val="18"/>
                <w:szCs w:val="18"/>
                <w:lang w:eastAsia="en-GB"/>
              </w:rPr>
            </w:pPr>
            <w:r>
              <w:rPr>
                <w:noProof/>
                <w:sz w:val="18"/>
                <w:szCs w:val="18"/>
                <w:lang w:eastAsia="en-GB"/>
              </w:rPr>
              <w:t>78</w:t>
            </w:r>
          </w:p>
        </w:tc>
      </w:tr>
      <w:tr w:rsidR="00446B0D">
        <w:trPr>
          <w:trHeight w:val="20"/>
        </w:trPr>
        <w:tc>
          <w:tcPr>
            <w:tcW w:w="284" w:type="dxa"/>
            <w:tcBorders>
              <w:top w:val="dashed" w:sz="4" w:space="0" w:color="auto"/>
              <w:left w:val="single" w:sz="12" w:space="0" w:color="auto"/>
              <w:bottom w:val="dashed" w:sz="4" w:space="0" w:color="auto"/>
              <w:right w:val="single" w:sz="4" w:space="0" w:color="auto"/>
            </w:tcBorders>
            <w:shd w:val="clear" w:color="auto" w:fill="auto"/>
            <w:vAlign w:val="center"/>
          </w:tcPr>
          <w:p w:rsidR="00446B0D" w:rsidRDefault="008F1B69">
            <w:pPr>
              <w:spacing w:before="0" w:after="0"/>
              <w:jc w:val="center"/>
              <w:rPr>
                <w:bCs/>
                <w:noProof/>
                <w:sz w:val="18"/>
                <w:szCs w:val="18"/>
                <w:lang w:eastAsia="en-GB"/>
              </w:rPr>
            </w:pPr>
            <w:r>
              <w:rPr>
                <w:bCs/>
                <w:noProof/>
                <w:sz w:val="18"/>
                <w:szCs w:val="18"/>
                <w:lang w:eastAsia="en-GB"/>
              </w:rPr>
              <w:t>5</w:t>
            </w:r>
          </w:p>
        </w:tc>
        <w:tc>
          <w:tcPr>
            <w:tcW w:w="567" w:type="dxa"/>
            <w:tcBorders>
              <w:top w:val="dashed" w:sz="4" w:space="0" w:color="auto"/>
              <w:left w:val="single" w:sz="4" w:space="0" w:color="auto"/>
              <w:bottom w:val="dashed" w:sz="4" w:space="0" w:color="auto"/>
              <w:right w:val="single" w:sz="4" w:space="0" w:color="auto"/>
            </w:tcBorders>
            <w:shd w:val="clear" w:color="auto" w:fill="auto"/>
            <w:noWrap/>
            <w:vAlign w:val="center"/>
          </w:tcPr>
          <w:p w:rsidR="00446B0D" w:rsidRDefault="008F1B69">
            <w:pPr>
              <w:spacing w:before="0" w:after="0"/>
              <w:jc w:val="center"/>
              <w:rPr>
                <w:noProof/>
                <w:sz w:val="18"/>
                <w:szCs w:val="18"/>
                <w:lang w:eastAsia="en-GB"/>
              </w:rPr>
            </w:pPr>
            <w:r>
              <w:rPr>
                <w:noProof/>
                <w:sz w:val="18"/>
                <w:szCs w:val="18"/>
                <w:lang w:eastAsia="en-GB"/>
              </w:rPr>
              <w:t>IT</w:t>
            </w:r>
          </w:p>
        </w:tc>
        <w:tc>
          <w:tcPr>
            <w:tcW w:w="2552" w:type="dxa"/>
            <w:tcBorders>
              <w:top w:val="dashed" w:sz="4" w:space="0" w:color="auto"/>
              <w:left w:val="single" w:sz="4" w:space="0" w:color="auto"/>
              <w:bottom w:val="dashed" w:sz="4" w:space="0" w:color="auto"/>
              <w:right w:val="single" w:sz="4" w:space="0" w:color="auto"/>
            </w:tcBorders>
            <w:shd w:val="clear" w:color="auto" w:fill="auto"/>
            <w:vAlign w:val="center"/>
          </w:tcPr>
          <w:p w:rsidR="00446B0D" w:rsidRDefault="008F1B69">
            <w:pPr>
              <w:spacing w:before="0" w:after="0"/>
              <w:jc w:val="left"/>
              <w:rPr>
                <w:noProof/>
                <w:sz w:val="18"/>
                <w:szCs w:val="18"/>
                <w:lang w:val="it-IT" w:eastAsia="en-GB"/>
              </w:rPr>
            </w:pPr>
            <w:r>
              <w:rPr>
                <w:noProof/>
                <w:sz w:val="18"/>
                <w:szCs w:val="18"/>
                <w:lang w:val="it-IT" w:eastAsia="en-GB"/>
              </w:rPr>
              <w:t>Fondazione Lelio e Lisli Basso - ISSOCO</w:t>
            </w:r>
          </w:p>
        </w:tc>
        <w:tc>
          <w:tcPr>
            <w:tcW w:w="4394" w:type="dxa"/>
            <w:tcBorders>
              <w:top w:val="dashed" w:sz="4" w:space="0" w:color="auto"/>
              <w:left w:val="single" w:sz="4" w:space="0" w:color="auto"/>
              <w:bottom w:val="dashed" w:sz="4" w:space="0" w:color="auto"/>
              <w:right w:val="single" w:sz="4" w:space="0" w:color="auto"/>
            </w:tcBorders>
            <w:shd w:val="clear" w:color="auto" w:fill="auto"/>
            <w:noWrap/>
            <w:vAlign w:val="center"/>
          </w:tcPr>
          <w:p w:rsidR="00446B0D" w:rsidRDefault="008F1B69">
            <w:pPr>
              <w:spacing w:before="0" w:after="0"/>
              <w:jc w:val="left"/>
              <w:rPr>
                <w:noProof/>
                <w:sz w:val="18"/>
                <w:szCs w:val="18"/>
                <w:lang w:eastAsia="en-GB"/>
              </w:rPr>
            </w:pPr>
            <w:r>
              <w:rPr>
                <w:noProof/>
                <w:sz w:val="18"/>
                <w:szCs w:val="18"/>
                <w:lang w:eastAsia="en-GB"/>
              </w:rPr>
              <w:t>EPPO and OLAF investigations: the judicial review and procedural guarantees</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tcPr>
          <w:p w:rsidR="00446B0D" w:rsidRDefault="008F1B69">
            <w:pPr>
              <w:spacing w:before="0" w:after="0"/>
              <w:jc w:val="right"/>
              <w:rPr>
                <w:noProof/>
                <w:sz w:val="18"/>
                <w:szCs w:val="18"/>
                <w:lang w:eastAsia="en-GB"/>
              </w:rPr>
            </w:pPr>
            <w:r>
              <w:rPr>
                <w:noProof/>
                <w:sz w:val="18"/>
                <w:szCs w:val="18"/>
                <w:lang w:eastAsia="en-GB"/>
              </w:rPr>
              <w:t>78 147</w:t>
            </w:r>
          </w:p>
        </w:tc>
        <w:tc>
          <w:tcPr>
            <w:tcW w:w="7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446B0D" w:rsidRDefault="008F1B69">
            <w:pPr>
              <w:spacing w:before="0" w:after="0"/>
              <w:jc w:val="center"/>
              <w:rPr>
                <w:noProof/>
                <w:sz w:val="18"/>
                <w:szCs w:val="18"/>
                <w:lang w:eastAsia="en-GB"/>
              </w:rPr>
            </w:pPr>
            <w:r>
              <w:rPr>
                <w:noProof/>
                <w:sz w:val="18"/>
                <w:szCs w:val="18"/>
                <w:lang w:eastAsia="en-GB"/>
              </w:rPr>
              <w:t>80</w:t>
            </w:r>
          </w:p>
        </w:tc>
      </w:tr>
      <w:tr w:rsidR="00446B0D">
        <w:trPr>
          <w:trHeight w:val="20"/>
        </w:trPr>
        <w:tc>
          <w:tcPr>
            <w:tcW w:w="284" w:type="dxa"/>
            <w:tcBorders>
              <w:top w:val="dashed" w:sz="4" w:space="0" w:color="auto"/>
              <w:left w:val="single" w:sz="12" w:space="0" w:color="auto"/>
              <w:bottom w:val="dashed" w:sz="4" w:space="0" w:color="auto"/>
              <w:right w:val="single" w:sz="4" w:space="0" w:color="auto"/>
            </w:tcBorders>
            <w:shd w:val="clear" w:color="auto" w:fill="auto"/>
            <w:vAlign w:val="center"/>
          </w:tcPr>
          <w:p w:rsidR="00446B0D" w:rsidRDefault="008F1B69">
            <w:pPr>
              <w:spacing w:before="0" w:after="0"/>
              <w:jc w:val="center"/>
              <w:rPr>
                <w:bCs/>
                <w:noProof/>
                <w:sz w:val="18"/>
                <w:szCs w:val="18"/>
                <w:lang w:eastAsia="en-GB"/>
              </w:rPr>
            </w:pPr>
            <w:r>
              <w:rPr>
                <w:bCs/>
                <w:noProof/>
                <w:sz w:val="18"/>
                <w:szCs w:val="18"/>
                <w:lang w:eastAsia="en-GB"/>
              </w:rPr>
              <w:t>6</w:t>
            </w:r>
          </w:p>
        </w:tc>
        <w:tc>
          <w:tcPr>
            <w:tcW w:w="567" w:type="dxa"/>
            <w:tcBorders>
              <w:top w:val="dashed" w:sz="4" w:space="0" w:color="auto"/>
              <w:left w:val="single" w:sz="4" w:space="0" w:color="auto"/>
              <w:bottom w:val="dashed" w:sz="4" w:space="0" w:color="auto"/>
              <w:right w:val="single" w:sz="4" w:space="0" w:color="auto"/>
            </w:tcBorders>
            <w:shd w:val="clear" w:color="auto" w:fill="auto"/>
            <w:noWrap/>
            <w:vAlign w:val="center"/>
          </w:tcPr>
          <w:p w:rsidR="00446B0D" w:rsidRDefault="008F1B69">
            <w:pPr>
              <w:spacing w:before="0" w:after="0"/>
              <w:jc w:val="center"/>
              <w:rPr>
                <w:noProof/>
                <w:sz w:val="18"/>
                <w:szCs w:val="18"/>
                <w:lang w:eastAsia="en-GB"/>
              </w:rPr>
            </w:pPr>
            <w:r>
              <w:rPr>
                <w:noProof/>
                <w:sz w:val="18"/>
                <w:szCs w:val="18"/>
                <w:lang w:eastAsia="en-GB"/>
              </w:rPr>
              <w:t>HR</w:t>
            </w:r>
          </w:p>
        </w:tc>
        <w:tc>
          <w:tcPr>
            <w:tcW w:w="2552" w:type="dxa"/>
            <w:tcBorders>
              <w:top w:val="dashed" w:sz="4" w:space="0" w:color="auto"/>
              <w:left w:val="single" w:sz="4" w:space="0" w:color="auto"/>
              <w:bottom w:val="dashed" w:sz="4" w:space="0" w:color="auto"/>
              <w:right w:val="single" w:sz="4" w:space="0" w:color="auto"/>
            </w:tcBorders>
            <w:shd w:val="clear" w:color="auto" w:fill="auto"/>
            <w:vAlign w:val="center"/>
          </w:tcPr>
          <w:p w:rsidR="00446B0D" w:rsidRDefault="008F1B69">
            <w:pPr>
              <w:spacing w:before="0" w:after="0"/>
              <w:jc w:val="left"/>
              <w:rPr>
                <w:noProof/>
                <w:sz w:val="18"/>
                <w:szCs w:val="18"/>
                <w:lang w:eastAsia="en-GB"/>
              </w:rPr>
            </w:pPr>
            <w:r>
              <w:rPr>
                <w:noProof/>
                <w:sz w:val="18"/>
                <w:szCs w:val="18"/>
                <w:lang w:eastAsia="en-GB"/>
              </w:rPr>
              <w:t>Croatian Association Of European Criminal Law</w:t>
            </w:r>
          </w:p>
        </w:tc>
        <w:tc>
          <w:tcPr>
            <w:tcW w:w="4394" w:type="dxa"/>
            <w:tcBorders>
              <w:top w:val="dashed" w:sz="4" w:space="0" w:color="auto"/>
              <w:left w:val="single" w:sz="4" w:space="0" w:color="auto"/>
              <w:bottom w:val="dashed" w:sz="4" w:space="0" w:color="auto"/>
              <w:right w:val="single" w:sz="4" w:space="0" w:color="auto"/>
            </w:tcBorders>
            <w:shd w:val="clear" w:color="auto" w:fill="auto"/>
            <w:noWrap/>
            <w:vAlign w:val="center"/>
          </w:tcPr>
          <w:p w:rsidR="00446B0D" w:rsidRDefault="008F1B69">
            <w:pPr>
              <w:spacing w:before="0" w:after="0"/>
              <w:jc w:val="left"/>
              <w:rPr>
                <w:noProof/>
                <w:sz w:val="18"/>
                <w:szCs w:val="18"/>
                <w:lang w:eastAsia="en-GB"/>
              </w:rPr>
            </w:pPr>
            <w:r>
              <w:rPr>
                <w:noProof/>
                <w:sz w:val="18"/>
                <w:szCs w:val="18"/>
                <w:lang w:eastAsia="en-GB"/>
              </w:rPr>
              <w:t>European criminal procedure law serving to protect the EU’s financial interests: State of play And challenges</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tcPr>
          <w:p w:rsidR="00446B0D" w:rsidRDefault="008F1B69">
            <w:pPr>
              <w:spacing w:before="0" w:after="0"/>
              <w:jc w:val="right"/>
              <w:rPr>
                <w:noProof/>
                <w:sz w:val="18"/>
                <w:szCs w:val="18"/>
                <w:lang w:eastAsia="en-GB"/>
              </w:rPr>
            </w:pPr>
            <w:r>
              <w:rPr>
                <w:noProof/>
                <w:sz w:val="18"/>
                <w:szCs w:val="18"/>
                <w:lang w:eastAsia="en-GB"/>
              </w:rPr>
              <w:t>87 631</w:t>
            </w:r>
          </w:p>
        </w:tc>
        <w:tc>
          <w:tcPr>
            <w:tcW w:w="7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446B0D" w:rsidRDefault="008F1B69">
            <w:pPr>
              <w:spacing w:before="0" w:after="0"/>
              <w:jc w:val="center"/>
              <w:rPr>
                <w:noProof/>
                <w:sz w:val="18"/>
                <w:szCs w:val="18"/>
                <w:lang w:eastAsia="en-GB"/>
              </w:rPr>
            </w:pPr>
            <w:r>
              <w:rPr>
                <w:noProof/>
                <w:sz w:val="18"/>
                <w:szCs w:val="18"/>
                <w:lang w:eastAsia="en-GB"/>
              </w:rPr>
              <w:t>90</w:t>
            </w:r>
          </w:p>
        </w:tc>
      </w:tr>
      <w:tr w:rsidR="00446B0D">
        <w:trPr>
          <w:trHeight w:val="20"/>
        </w:trPr>
        <w:tc>
          <w:tcPr>
            <w:tcW w:w="284" w:type="dxa"/>
            <w:tcBorders>
              <w:top w:val="dashed" w:sz="4" w:space="0" w:color="auto"/>
              <w:left w:val="single" w:sz="12" w:space="0" w:color="auto"/>
              <w:bottom w:val="dashed" w:sz="4" w:space="0" w:color="auto"/>
              <w:right w:val="single" w:sz="4" w:space="0" w:color="auto"/>
            </w:tcBorders>
            <w:shd w:val="clear" w:color="auto" w:fill="auto"/>
            <w:noWrap/>
            <w:vAlign w:val="center"/>
          </w:tcPr>
          <w:p w:rsidR="00446B0D" w:rsidRDefault="008F1B69">
            <w:pPr>
              <w:spacing w:before="0" w:after="0"/>
              <w:jc w:val="center"/>
              <w:rPr>
                <w:bCs/>
                <w:noProof/>
                <w:sz w:val="18"/>
                <w:szCs w:val="18"/>
                <w:lang w:eastAsia="en-GB"/>
              </w:rPr>
            </w:pPr>
            <w:r>
              <w:rPr>
                <w:bCs/>
                <w:noProof/>
                <w:sz w:val="18"/>
                <w:szCs w:val="18"/>
                <w:lang w:eastAsia="en-GB"/>
              </w:rPr>
              <w:t>7</w:t>
            </w:r>
          </w:p>
        </w:tc>
        <w:tc>
          <w:tcPr>
            <w:tcW w:w="567" w:type="dxa"/>
            <w:tcBorders>
              <w:top w:val="dashed" w:sz="4" w:space="0" w:color="auto"/>
              <w:left w:val="single" w:sz="4" w:space="0" w:color="auto"/>
              <w:bottom w:val="dashed" w:sz="4" w:space="0" w:color="auto"/>
              <w:right w:val="single" w:sz="8" w:space="0" w:color="auto"/>
            </w:tcBorders>
            <w:shd w:val="clear" w:color="auto" w:fill="auto"/>
            <w:noWrap/>
            <w:vAlign w:val="center"/>
          </w:tcPr>
          <w:p w:rsidR="00446B0D" w:rsidRDefault="008F1B69">
            <w:pPr>
              <w:spacing w:before="0" w:after="0"/>
              <w:jc w:val="center"/>
              <w:rPr>
                <w:noProof/>
                <w:sz w:val="18"/>
                <w:szCs w:val="18"/>
                <w:lang w:eastAsia="en-GB"/>
              </w:rPr>
            </w:pPr>
            <w:r>
              <w:rPr>
                <w:noProof/>
                <w:sz w:val="18"/>
                <w:szCs w:val="18"/>
                <w:lang w:eastAsia="en-GB"/>
              </w:rPr>
              <w:t>PL</w:t>
            </w:r>
          </w:p>
        </w:tc>
        <w:tc>
          <w:tcPr>
            <w:tcW w:w="2552" w:type="dxa"/>
            <w:tcBorders>
              <w:top w:val="dashed" w:sz="4" w:space="0" w:color="auto"/>
              <w:left w:val="nil"/>
              <w:bottom w:val="dashed" w:sz="4" w:space="0" w:color="auto"/>
              <w:right w:val="single" w:sz="8" w:space="0" w:color="auto"/>
            </w:tcBorders>
            <w:shd w:val="clear" w:color="auto" w:fill="auto"/>
            <w:vAlign w:val="center"/>
          </w:tcPr>
          <w:p w:rsidR="00446B0D" w:rsidRDefault="008F1B69">
            <w:pPr>
              <w:spacing w:before="0" w:after="0"/>
              <w:jc w:val="left"/>
              <w:rPr>
                <w:noProof/>
                <w:sz w:val="18"/>
                <w:szCs w:val="18"/>
                <w:lang w:eastAsia="en-GB"/>
              </w:rPr>
            </w:pPr>
            <w:r>
              <w:rPr>
                <w:noProof/>
                <w:sz w:val="18"/>
                <w:szCs w:val="18"/>
                <w:lang w:eastAsia="en-GB"/>
              </w:rPr>
              <w:t>European Law Research Association (ELRA)</w:t>
            </w:r>
          </w:p>
        </w:tc>
        <w:tc>
          <w:tcPr>
            <w:tcW w:w="4394" w:type="dxa"/>
            <w:tcBorders>
              <w:top w:val="dashed" w:sz="4" w:space="0" w:color="auto"/>
              <w:left w:val="nil"/>
              <w:bottom w:val="dashed" w:sz="4" w:space="0" w:color="auto"/>
              <w:right w:val="single" w:sz="8" w:space="0" w:color="auto"/>
            </w:tcBorders>
            <w:shd w:val="clear" w:color="auto" w:fill="auto"/>
            <w:noWrap/>
            <w:vAlign w:val="center"/>
          </w:tcPr>
          <w:p w:rsidR="00446B0D" w:rsidRDefault="008F1B69">
            <w:pPr>
              <w:spacing w:before="0" w:after="0"/>
              <w:jc w:val="left"/>
              <w:rPr>
                <w:noProof/>
                <w:sz w:val="18"/>
                <w:szCs w:val="18"/>
                <w:lang w:eastAsia="en-GB"/>
              </w:rPr>
            </w:pPr>
            <w:r>
              <w:rPr>
                <w:noProof/>
                <w:sz w:val="18"/>
                <w:szCs w:val="18"/>
                <w:lang w:eastAsia="en-GB"/>
              </w:rPr>
              <w:t xml:space="preserve">Interactions between the EPPO and national </w:t>
            </w:r>
            <w:r>
              <w:rPr>
                <w:noProof/>
                <w:sz w:val="18"/>
                <w:szCs w:val="18"/>
                <w:lang w:eastAsia="en-GB"/>
              </w:rPr>
              <w:t>authorities</w:t>
            </w:r>
          </w:p>
        </w:tc>
        <w:tc>
          <w:tcPr>
            <w:tcW w:w="1134" w:type="dxa"/>
            <w:tcBorders>
              <w:top w:val="dashed" w:sz="4" w:space="0" w:color="auto"/>
              <w:left w:val="nil"/>
              <w:bottom w:val="dashed" w:sz="4" w:space="0" w:color="auto"/>
              <w:right w:val="single" w:sz="8" w:space="0" w:color="auto"/>
            </w:tcBorders>
            <w:shd w:val="clear" w:color="auto" w:fill="auto"/>
            <w:noWrap/>
            <w:vAlign w:val="center"/>
          </w:tcPr>
          <w:p w:rsidR="00446B0D" w:rsidRDefault="008F1B69">
            <w:pPr>
              <w:spacing w:before="0" w:after="0"/>
              <w:jc w:val="right"/>
              <w:rPr>
                <w:noProof/>
                <w:sz w:val="18"/>
                <w:szCs w:val="18"/>
                <w:lang w:eastAsia="en-GB"/>
              </w:rPr>
            </w:pPr>
            <w:r>
              <w:rPr>
                <w:noProof/>
                <w:sz w:val="18"/>
                <w:szCs w:val="18"/>
                <w:lang w:eastAsia="en-GB"/>
              </w:rPr>
              <w:t>50 990</w:t>
            </w:r>
          </w:p>
        </w:tc>
        <w:tc>
          <w:tcPr>
            <w:tcW w:w="709" w:type="dxa"/>
            <w:tcBorders>
              <w:top w:val="dashed" w:sz="4" w:space="0" w:color="auto"/>
              <w:left w:val="nil"/>
              <w:bottom w:val="dashed" w:sz="4" w:space="0" w:color="auto"/>
              <w:right w:val="single" w:sz="12" w:space="0" w:color="auto"/>
            </w:tcBorders>
            <w:shd w:val="clear" w:color="auto" w:fill="auto"/>
            <w:noWrap/>
            <w:vAlign w:val="center"/>
          </w:tcPr>
          <w:p w:rsidR="00446B0D" w:rsidRDefault="008F1B69">
            <w:pPr>
              <w:spacing w:before="0" w:after="0"/>
              <w:jc w:val="center"/>
              <w:rPr>
                <w:noProof/>
                <w:sz w:val="18"/>
                <w:szCs w:val="18"/>
                <w:lang w:eastAsia="en-GB"/>
              </w:rPr>
            </w:pPr>
            <w:r>
              <w:rPr>
                <w:noProof/>
                <w:sz w:val="18"/>
                <w:szCs w:val="18"/>
                <w:lang w:eastAsia="en-GB"/>
              </w:rPr>
              <w:t>90</w:t>
            </w:r>
          </w:p>
        </w:tc>
      </w:tr>
      <w:tr w:rsidR="00446B0D">
        <w:trPr>
          <w:trHeight w:val="20"/>
        </w:trPr>
        <w:tc>
          <w:tcPr>
            <w:tcW w:w="284" w:type="dxa"/>
            <w:tcBorders>
              <w:top w:val="dashed" w:sz="4" w:space="0" w:color="auto"/>
              <w:left w:val="single" w:sz="12" w:space="0" w:color="auto"/>
              <w:bottom w:val="single" w:sz="12" w:space="0" w:color="auto"/>
              <w:right w:val="single" w:sz="4" w:space="0" w:color="auto"/>
            </w:tcBorders>
            <w:shd w:val="clear" w:color="auto" w:fill="auto"/>
            <w:vAlign w:val="center"/>
          </w:tcPr>
          <w:p w:rsidR="00446B0D" w:rsidRDefault="008F1B69">
            <w:pPr>
              <w:spacing w:before="0" w:after="0"/>
              <w:jc w:val="center"/>
              <w:rPr>
                <w:bCs/>
                <w:noProof/>
                <w:sz w:val="18"/>
                <w:szCs w:val="18"/>
                <w:lang w:eastAsia="en-GB"/>
              </w:rPr>
            </w:pPr>
            <w:r>
              <w:rPr>
                <w:bCs/>
                <w:noProof/>
                <w:sz w:val="18"/>
                <w:szCs w:val="18"/>
                <w:lang w:eastAsia="en-GB"/>
              </w:rPr>
              <w:t>8</w:t>
            </w:r>
          </w:p>
        </w:tc>
        <w:tc>
          <w:tcPr>
            <w:tcW w:w="567" w:type="dxa"/>
            <w:tcBorders>
              <w:top w:val="dashed" w:sz="4" w:space="0" w:color="auto"/>
              <w:left w:val="single" w:sz="4" w:space="0" w:color="auto"/>
              <w:bottom w:val="single" w:sz="12" w:space="0" w:color="auto"/>
              <w:right w:val="single" w:sz="8" w:space="0" w:color="auto"/>
            </w:tcBorders>
            <w:shd w:val="clear" w:color="auto" w:fill="auto"/>
            <w:noWrap/>
            <w:vAlign w:val="center"/>
          </w:tcPr>
          <w:p w:rsidR="00446B0D" w:rsidRDefault="008F1B69">
            <w:pPr>
              <w:spacing w:before="0" w:after="0"/>
              <w:jc w:val="center"/>
              <w:rPr>
                <w:noProof/>
                <w:sz w:val="18"/>
                <w:szCs w:val="18"/>
                <w:lang w:eastAsia="en-GB"/>
              </w:rPr>
            </w:pPr>
            <w:r>
              <w:rPr>
                <w:noProof/>
                <w:sz w:val="18"/>
                <w:szCs w:val="18"/>
                <w:lang w:eastAsia="en-GB"/>
              </w:rPr>
              <w:t>IT</w:t>
            </w:r>
          </w:p>
        </w:tc>
        <w:tc>
          <w:tcPr>
            <w:tcW w:w="2552" w:type="dxa"/>
            <w:tcBorders>
              <w:top w:val="dashed" w:sz="4" w:space="0" w:color="auto"/>
              <w:left w:val="nil"/>
              <w:bottom w:val="single" w:sz="12" w:space="0" w:color="auto"/>
              <w:right w:val="single" w:sz="8" w:space="0" w:color="auto"/>
            </w:tcBorders>
            <w:shd w:val="clear" w:color="auto" w:fill="auto"/>
            <w:noWrap/>
            <w:vAlign w:val="center"/>
          </w:tcPr>
          <w:p w:rsidR="00446B0D" w:rsidRDefault="008F1B69">
            <w:pPr>
              <w:spacing w:before="0" w:after="0"/>
              <w:jc w:val="left"/>
              <w:rPr>
                <w:noProof/>
                <w:sz w:val="18"/>
                <w:szCs w:val="18"/>
                <w:lang w:eastAsia="en-GB"/>
              </w:rPr>
            </w:pPr>
            <w:r>
              <w:rPr>
                <w:noProof/>
                <w:sz w:val="18"/>
                <w:szCs w:val="18"/>
                <w:lang w:eastAsia="en-GB"/>
              </w:rPr>
              <w:t>University of Ferrara</w:t>
            </w:r>
          </w:p>
        </w:tc>
        <w:tc>
          <w:tcPr>
            <w:tcW w:w="4394" w:type="dxa"/>
            <w:tcBorders>
              <w:top w:val="dashed" w:sz="4" w:space="0" w:color="auto"/>
              <w:left w:val="nil"/>
              <w:bottom w:val="single" w:sz="12" w:space="0" w:color="auto"/>
              <w:right w:val="single" w:sz="8" w:space="0" w:color="auto"/>
            </w:tcBorders>
            <w:shd w:val="clear" w:color="auto" w:fill="auto"/>
            <w:noWrap/>
            <w:vAlign w:val="center"/>
          </w:tcPr>
          <w:p w:rsidR="00446B0D" w:rsidRDefault="008F1B69">
            <w:pPr>
              <w:spacing w:before="0" w:after="0"/>
              <w:jc w:val="left"/>
              <w:rPr>
                <w:noProof/>
                <w:sz w:val="18"/>
                <w:szCs w:val="18"/>
                <w:lang w:eastAsia="en-GB"/>
              </w:rPr>
            </w:pPr>
            <w:r>
              <w:rPr>
                <w:noProof/>
                <w:sz w:val="18"/>
                <w:szCs w:val="18"/>
                <w:lang w:eastAsia="en-GB"/>
              </w:rPr>
              <w:t>Relationships between national judicial authorities and investigative agencies in view of the EPPO: operational models and best practices in the fight against EU fraud</w:t>
            </w:r>
          </w:p>
        </w:tc>
        <w:tc>
          <w:tcPr>
            <w:tcW w:w="1134" w:type="dxa"/>
            <w:tcBorders>
              <w:top w:val="dashed" w:sz="4" w:space="0" w:color="auto"/>
              <w:left w:val="nil"/>
              <w:bottom w:val="single" w:sz="12" w:space="0" w:color="auto"/>
              <w:right w:val="single" w:sz="8" w:space="0" w:color="auto"/>
            </w:tcBorders>
            <w:shd w:val="clear" w:color="auto" w:fill="auto"/>
            <w:noWrap/>
            <w:vAlign w:val="center"/>
          </w:tcPr>
          <w:p w:rsidR="00446B0D" w:rsidRDefault="008F1B69">
            <w:pPr>
              <w:spacing w:before="0" w:after="0"/>
              <w:jc w:val="right"/>
              <w:rPr>
                <w:noProof/>
                <w:sz w:val="18"/>
                <w:szCs w:val="18"/>
                <w:lang w:eastAsia="en-GB"/>
              </w:rPr>
            </w:pPr>
            <w:r>
              <w:rPr>
                <w:noProof/>
                <w:sz w:val="18"/>
                <w:szCs w:val="18"/>
                <w:lang w:eastAsia="en-GB"/>
              </w:rPr>
              <w:t>59 542</w:t>
            </w:r>
          </w:p>
        </w:tc>
        <w:tc>
          <w:tcPr>
            <w:tcW w:w="709" w:type="dxa"/>
            <w:tcBorders>
              <w:top w:val="dashed" w:sz="4" w:space="0" w:color="auto"/>
              <w:left w:val="nil"/>
              <w:bottom w:val="single" w:sz="12" w:space="0" w:color="auto"/>
              <w:right w:val="single" w:sz="12" w:space="0" w:color="auto"/>
            </w:tcBorders>
            <w:shd w:val="clear" w:color="auto" w:fill="auto"/>
            <w:noWrap/>
            <w:vAlign w:val="center"/>
          </w:tcPr>
          <w:p w:rsidR="00446B0D" w:rsidRDefault="008F1B69">
            <w:pPr>
              <w:spacing w:before="0" w:after="0"/>
              <w:jc w:val="center"/>
              <w:rPr>
                <w:noProof/>
                <w:sz w:val="18"/>
                <w:szCs w:val="18"/>
                <w:lang w:eastAsia="en-GB"/>
              </w:rPr>
            </w:pPr>
            <w:r>
              <w:rPr>
                <w:noProof/>
                <w:sz w:val="18"/>
                <w:szCs w:val="18"/>
                <w:lang w:eastAsia="en-GB"/>
              </w:rPr>
              <w:t>78</w:t>
            </w:r>
          </w:p>
        </w:tc>
      </w:tr>
      <w:tr w:rsidR="00446B0D">
        <w:trPr>
          <w:trHeight w:val="352"/>
        </w:trPr>
        <w:tc>
          <w:tcPr>
            <w:tcW w:w="284" w:type="dxa"/>
            <w:tcBorders>
              <w:top w:val="single" w:sz="12" w:space="0" w:color="auto"/>
            </w:tcBorders>
            <w:shd w:val="clear" w:color="auto" w:fill="auto"/>
            <w:vAlign w:val="center"/>
          </w:tcPr>
          <w:p w:rsidR="00446B0D" w:rsidRDefault="00446B0D">
            <w:pPr>
              <w:spacing w:before="0" w:after="0"/>
              <w:rPr>
                <w:b/>
                <w:bCs/>
                <w:noProof/>
                <w:sz w:val="20"/>
                <w:szCs w:val="20"/>
                <w:lang w:eastAsia="en-GB"/>
              </w:rPr>
            </w:pPr>
          </w:p>
        </w:tc>
        <w:tc>
          <w:tcPr>
            <w:tcW w:w="567" w:type="dxa"/>
            <w:tcBorders>
              <w:top w:val="single" w:sz="12" w:space="0" w:color="auto"/>
            </w:tcBorders>
            <w:shd w:val="clear" w:color="auto" w:fill="auto"/>
            <w:noWrap/>
            <w:vAlign w:val="center"/>
          </w:tcPr>
          <w:p w:rsidR="00446B0D" w:rsidRDefault="00446B0D">
            <w:pPr>
              <w:spacing w:before="0" w:after="0"/>
              <w:rPr>
                <w:b/>
                <w:noProof/>
                <w:sz w:val="20"/>
                <w:szCs w:val="20"/>
                <w:lang w:eastAsia="en-GB"/>
              </w:rPr>
            </w:pPr>
          </w:p>
        </w:tc>
        <w:tc>
          <w:tcPr>
            <w:tcW w:w="2552" w:type="dxa"/>
            <w:tcBorders>
              <w:top w:val="single" w:sz="12" w:space="0" w:color="auto"/>
              <w:right w:val="single" w:sz="12" w:space="0" w:color="auto"/>
            </w:tcBorders>
            <w:shd w:val="clear" w:color="auto" w:fill="auto"/>
            <w:noWrap/>
            <w:vAlign w:val="center"/>
          </w:tcPr>
          <w:p w:rsidR="00446B0D" w:rsidRDefault="00446B0D">
            <w:pPr>
              <w:spacing w:before="0" w:after="0"/>
              <w:rPr>
                <w:b/>
                <w:noProof/>
                <w:sz w:val="20"/>
                <w:szCs w:val="20"/>
                <w:lang w:eastAsia="en-GB"/>
              </w:rPr>
            </w:pPr>
          </w:p>
        </w:tc>
        <w:tc>
          <w:tcPr>
            <w:tcW w:w="4394" w:type="dxa"/>
            <w:tcBorders>
              <w:top w:val="single" w:sz="12" w:space="0" w:color="auto"/>
              <w:left w:val="single" w:sz="12" w:space="0" w:color="auto"/>
              <w:bottom w:val="single" w:sz="12" w:space="0" w:color="auto"/>
              <w:right w:val="single" w:sz="8" w:space="0" w:color="auto"/>
            </w:tcBorders>
            <w:shd w:val="clear" w:color="auto" w:fill="C7C7C7" w:themeFill="background1" w:themeFillShade="D9"/>
            <w:noWrap/>
            <w:vAlign w:val="center"/>
          </w:tcPr>
          <w:p w:rsidR="00446B0D" w:rsidRDefault="008F1B69">
            <w:pPr>
              <w:spacing w:before="0" w:after="0"/>
              <w:jc w:val="right"/>
              <w:rPr>
                <w:b/>
                <w:noProof/>
                <w:sz w:val="20"/>
                <w:szCs w:val="20"/>
                <w:lang w:eastAsia="en-GB"/>
              </w:rPr>
            </w:pPr>
            <w:r>
              <w:rPr>
                <w:b/>
                <w:noProof/>
                <w:sz w:val="20"/>
                <w:szCs w:val="20"/>
                <w:lang w:eastAsia="en-GB"/>
              </w:rPr>
              <w:t>Total</w:t>
            </w:r>
          </w:p>
        </w:tc>
        <w:tc>
          <w:tcPr>
            <w:tcW w:w="1134" w:type="dxa"/>
            <w:tcBorders>
              <w:top w:val="single" w:sz="12" w:space="0" w:color="auto"/>
              <w:left w:val="single" w:sz="8" w:space="0" w:color="auto"/>
              <w:bottom w:val="single" w:sz="12" w:space="0" w:color="auto"/>
              <w:right w:val="single" w:sz="8" w:space="0" w:color="auto"/>
            </w:tcBorders>
            <w:shd w:val="clear" w:color="auto" w:fill="C7C7C7" w:themeFill="background1" w:themeFillShade="D9"/>
            <w:noWrap/>
            <w:vAlign w:val="center"/>
          </w:tcPr>
          <w:p w:rsidR="00446B0D" w:rsidRDefault="008F1B69">
            <w:pPr>
              <w:spacing w:before="0" w:after="0"/>
              <w:jc w:val="right"/>
              <w:rPr>
                <w:b/>
                <w:noProof/>
                <w:sz w:val="20"/>
                <w:szCs w:val="20"/>
                <w:lang w:eastAsia="en-GB"/>
              </w:rPr>
            </w:pPr>
            <w:r>
              <w:rPr>
                <w:b/>
                <w:noProof/>
                <w:sz w:val="20"/>
                <w:szCs w:val="20"/>
                <w:lang w:eastAsia="en-GB"/>
              </w:rPr>
              <w:t>495 668</w:t>
            </w:r>
          </w:p>
        </w:tc>
        <w:tc>
          <w:tcPr>
            <w:tcW w:w="709" w:type="dxa"/>
            <w:tcBorders>
              <w:top w:val="single" w:sz="12" w:space="0" w:color="auto"/>
              <w:left w:val="single" w:sz="8" w:space="0" w:color="auto"/>
              <w:bottom w:val="single" w:sz="12" w:space="0" w:color="auto"/>
              <w:right w:val="single" w:sz="12" w:space="0" w:color="auto"/>
            </w:tcBorders>
            <w:shd w:val="clear" w:color="auto" w:fill="C7C7C7" w:themeFill="background1" w:themeFillShade="D9"/>
            <w:noWrap/>
            <w:vAlign w:val="center"/>
          </w:tcPr>
          <w:p w:rsidR="00446B0D" w:rsidRDefault="008F1B69">
            <w:pPr>
              <w:spacing w:before="0" w:after="0"/>
              <w:jc w:val="center"/>
              <w:rPr>
                <w:b/>
                <w:noProof/>
                <w:sz w:val="20"/>
                <w:szCs w:val="20"/>
                <w:lang w:eastAsia="en-GB"/>
              </w:rPr>
            </w:pPr>
            <w:r>
              <w:rPr>
                <w:b/>
                <w:noProof/>
                <w:sz w:val="20"/>
                <w:szCs w:val="20"/>
                <w:lang w:eastAsia="en-GB"/>
              </w:rPr>
              <w:t>82</w:t>
            </w:r>
          </w:p>
        </w:tc>
      </w:tr>
    </w:tbl>
    <w:p w:rsidR="00446B0D" w:rsidRDefault="008F1B69">
      <w:pPr>
        <w:spacing w:after="60" w:line="276" w:lineRule="auto"/>
        <w:jc w:val="left"/>
        <w:rPr>
          <w:b/>
          <w:noProof/>
          <w:sz w:val="20"/>
          <w:szCs w:val="20"/>
        </w:rPr>
      </w:pPr>
      <w:r>
        <w:rPr>
          <w:b/>
          <w:noProof/>
          <w:sz w:val="20"/>
          <w:szCs w:val="20"/>
        </w:rPr>
        <w:t xml:space="preserve">Table </w:t>
      </w:r>
      <w:r>
        <w:rPr>
          <w:b/>
          <w:noProof/>
          <w:sz w:val="20"/>
          <w:szCs w:val="20"/>
        </w:rPr>
        <w:t>8 — Legal grants finalised in 2014</w:t>
      </w:r>
    </w:p>
    <w:tbl>
      <w:tblPr>
        <w:tblStyle w:val="TableGrid"/>
        <w:tblW w:w="5190" w:type="pct"/>
        <w:tblInd w:w="-176" w:type="dxa"/>
        <w:tblBorders>
          <w:top w:val="single" w:sz="12" w:space="0" w:color="auto"/>
          <w:left w:val="single" w:sz="12" w:space="0" w:color="auto"/>
          <w:bottom w:val="single" w:sz="12" w:space="0" w:color="auto"/>
          <w:right w:val="single" w:sz="12" w:space="0" w:color="auto"/>
          <w:insideH w:val="dashed" w:sz="4" w:space="0" w:color="auto"/>
        </w:tblBorders>
        <w:tblLayout w:type="fixed"/>
        <w:tblLook w:val="04A0" w:firstRow="1" w:lastRow="0" w:firstColumn="1" w:lastColumn="0" w:noHBand="0" w:noVBand="1"/>
      </w:tblPr>
      <w:tblGrid>
        <w:gridCol w:w="284"/>
        <w:gridCol w:w="567"/>
        <w:gridCol w:w="1843"/>
        <w:gridCol w:w="4394"/>
        <w:gridCol w:w="710"/>
        <w:gridCol w:w="991"/>
        <w:gridCol w:w="852"/>
      </w:tblGrid>
      <w:tr w:rsidR="00446B0D">
        <w:trPr>
          <w:cantSplit/>
          <w:trHeight w:val="635"/>
        </w:trPr>
        <w:tc>
          <w:tcPr>
            <w:tcW w:w="147" w:type="pct"/>
            <w:tcBorders>
              <w:top w:val="nil"/>
              <w:left w:val="nil"/>
              <w:bottom w:val="single" w:sz="12" w:space="0" w:color="auto"/>
              <w:right w:val="single" w:sz="12" w:space="0" w:color="auto"/>
            </w:tcBorders>
            <w:shd w:val="clear" w:color="auto" w:fill="auto"/>
            <w:vAlign w:val="center"/>
          </w:tcPr>
          <w:p w:rsidR="00446B0D" w:rsidRDefault="00446B0D">
            <w:pPr>
              <w:spacing w:before="0" w:after="0"/>
              <w:jc w:val="center"/>
              <w:rPr>
                <w:b/>
                <w:bCs/>
                <w:noProof/>
                <w:sz w:val="20"/>
                <w:szCs w:val="20"/>
              </w:rPr>
            </w:pPr>
          </w:p>
        </w:tc>
        <w:tc>
          <w:tcPr>
            <w:tcW w:w="294" w:type="pct"/>
            <w:tcBorders>
              <w:top w:val="single" w:sz="12" w:space="0" w:color="auto"/>
              <w:left w:val="single" w:sz="12" w:space="0" w:color="auto"/>
              <w:bottom w:val="single" w:sz="12" w:space="0" w:color="auto"/>
            </w:tcBorders>
            <w:shd w:val="clear" w:color="auto" w:fill="C7C7C7" w:themeFill="background1" w:themeFillShade="D9"/>
            <w:vAlign w:val="center"/>
          </w:tcPr>
          <w:p w:rsidR="00446B0D" w:rsidRDefault="008F1B69">
            <w:pPr>
              <w:spacing w:before="0" w:after="0"/>
              <w:jc w:val="center"/>
              <w:rPr>
                <w:b/>
                <w:bCs/>
                <w:noProof/>
                <w:sz w:val="20"/>
                <w:szCs w:val="20"/>
              </w:rPr>
            </w:pPr>
            <w:r>
              <w:rPr>
                <w:b/>
                <w:bCs/>
                <w:noProof/>
                <w:sz w:val="20"/>
                <w:szCs w:val="20"/>
              </w:rPr>
              <w:t>MS</w:t>
            </w:r>
          </w:p>
        </w:tc>
        <w:tc>
          <w:tcPr>
            <w:tcW w:w="956" w:type="pct"/>
            <w:tcBorders>
              <w:top w:val="single" w:sz="12" w:space="0" w:color="auto"/>
              <w:bottom w:val="single" w:sz="12" w:space="0" w:color="auto"/>
            </w:tcBorders>
            <w:shd w:val="clear" w:color="auto" w:fill="C7C7C7" w:themeFill="background1" w:themeFillShade="D9"/>
            <w:vAlign w:val="center"/>
          </w:tcPr>
          <w:p w:rsidR="00446B0D" w:rsidRDefault="008F1B69">
            <w:pPr>
              <w:spacing w:before="0" w:after="0"/>
              <w:jc w:val="center"/>
              <w:rPr>
                <w:b/>
                <w:bCs/>
                <w:noProof/>
                <w:sz w:val="20"/>
                <w:szCs w:val="20"/>
              </w:rPr>
            </w:pPr>
            <w:r>
              <w:rPr>
                <w:b/>
                <w:bCs/>
                <w:noProof/>
                <w:sz w:val="20"/>
                <w:szCs w:val="20"/>
              </w:rPr>
              <w:t>Beneficiary</w:t>
            </w:r>
          </w:p>
        </w:tc>
        <w:tc>
          <w:tcPr>
            <w:tcW w:w="2279" w:type="pct"/>
            <w:tcBorders>
              <w:top w:val="single" w:sz="12" w:space="0" w:color="auto"/>
              <w:bottom w:val="single" w:sz="12" w:space="0" w:color="auto"/>
            </w:tcBorders>
            <w:shd w:val="clear" w:color="auto" w:fill="C7C7C7" w:themeFill="background1" w:themeFillShade="D9"/>
            <w:vAlign w:val="center"/>
          </w:tcPr>
          <w:p w:rsidR="00446B0D" w:rsidRDefault="008F1B69">
            <w:pPr>
              <w:spacing w:before="0" w:after="0"/>
              <w:jc w:val="center"/>
              <w:rPr>
                <w:b/>
                <w:bCs/>
                <w:noProof/>
                <w:sz w:val="20"/>
                <w:szCs w:val="20"/>
              </w:rPr>
            </w:pPr>
            <w:r>
              <w:rPr>
                <w:b/>
                <w:bCs/>
                <w:noProof/>
                <w:sz w:val="20"/>
                <w:szCs w:val="20"/>
              </w:rPr>
              <w:t>Title</w:t>
            </w:r>
          </w:p>
        </w:tc>
        <w:tc>
          <w:tcPr>
            <w:tcW w:w="368" w:type="pct"/>
            <w:tcBorders>
              <w:top w:val="single" w:sz="12" w:space="0" w:color="auto"/>
              <w:bottom w:val="single" w:sz="12" w:space="0" w:color="auto"/>
            </w:tcBorders>
            <w:shd w:val="clear" w:color="auto" w:fill="C7C7C7" w:themeFill="background1" w:themeFillShade="D9"/>
            <w:vAlign w:val="center"/>
          </w:tcPr>
          <w:p w:rsidR="00446B0D" w:rsidRDefault="008F1B69">
            <w:pPr>
              <w:spacing w:before="0" w:after="0"/>
              <w:jc w:val="center"/>
              <w:rPr>
                <w:b/>
                <w:bCs/>
                <w:noProof/>
                <w:sz w:val="18"/>
                <w:szCs w:val="18"/>
              </w:rPr>
            </w:pPr>
            <w:r>
              <w:rPr>
                <w:b/>
                <w:bCs/>
                <w:noProof/>
                <w:sz w:val="18"/>
                <w:szCs w:val="18"/>
              </w:rPr>
              <w:t xml:space="preserve">No of part. </w:t>
            </w:r>
          </w:p>
        </w:tc>
        <w:tc>
          <w:tcPr>
            <w:tcW w:w="514" w:type="pct"/>
            <w:tcBorders>
              <w:top w:val="single" w:sz="12" w:space="0" w:color="auto"/>
              <w:bottom w:val="single" w:sz="12" w:space="0" w:color="auto"/>
            </w:tcBorders>
            <w:shd w:val="clear" w:color="auto" w:fill="C7C7C7" w:themeFill="background1" w:themeFillShade="D9"/>
            <w:vAlign w:val="center"/>
          </w:tcPr>
          <w:p w:rsidR="00446B0D" w:rsidRDefault="008F1B69">
            <w:pPr>
              <w:spacing w:before="0" w:after="0"/>
              <w:jc w:val="center"/>
              <w:rPr>
                <w:b/>
                <w:bCs/>
                <w:noProof/>
                <w:sz w:val="20"/>
                <w:szCs w:val="20"/>
              </w:rPr>
            </w:pPr>
            <w:r>
              <w:rPr>
                <w:b/>
                <w:bCs/>
                <w:noProof/>
                <w:sz w:val="20"/>
                <w:szCs w:val="20"/>
              </w:rPr>
              <w:t>Total paid</w:t>
            </w:r>
          </w:p>
        </w:tc>
        <w:tc>
          <w:tcPr>
            <w:tcW w:w="442" w:type="pct"/>
            <w:tcBorders>
              <w:top w:val="single" w:sz="12" w:space="0" w:color="auto"/>
              <w:bottom w:val="single" w:sz="12" w:space="0" w:color="auto"/>
            </w:tcBorders>
            <w:shd w:val="clear" w:color="auto" w:fill="C7C7C7" w:themeFill="background1" w:themeFillShade="D9"/>
            <w:vAlign w:val="center"/>
          </w:tcPr>
          <w:p w:rsidR="00446B0D" w:rsidRDefault="008F1B69">
            <w:pPr>
              <w:spacing w:before="0" w:after="0"/>
              <w:jc w:val="center"/>
              <w:rPr>
                <w:b/>
                <w:bCs/>
                <w:noProof/>
                <w:sz w:val="18"/>
                <w:szCs w:val="18"/>
              </w:rPr>
            </w:pPr>
            <w:r>
              <w:rPr>
                <w:b/>
                <w:bCs/>
                <w:noProof/>
                <w:sz w:val="18"/>
                <w:szCs w:val="18"/>
              </w:rPr>
              <w:t>Co-fin %</w:t>
            </w:r>
          </w:p>
        </w:tc>
      </w:tr>
      <w:tr w:rsidR="00446B0D">
        <w:tblPrEx>
          <w:tblBorders>
            <w:top w:val="single" w:sz="4" w:space="0" w:color="auto"/>
            <w:left w:val="single" w:sz="4" w:space="0" w:color="auto"/>
            <w:bottom w:val="single" w:sz="4" w:space="0" w:color="auto"/>
            <w:right w:val="single" w:sz="4" w:space="0" w:color="auto"/>
            <w:insideH w:val="single" w:sz="4" w:space="0" w:color="auto"/>
          </w:tblBorders>
        </w:tblPrEx>
        <w:tc>
          <w:tcPr>
            <w:tcW w:w="147" w:type="pct"/>
            <w:tcBorders>
              <w:top w:val="single" w:sz="12" w:space="0" w:color="auto"/>
              <w:left w:val="single" w:sz="12"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1</w:t>
            </w:r>
          </w:p>
        </w:tc>
        <w:tc>
          <w:tcPr>
            <w:tcW w:w="294" w:type="pct"/>
            <w:tcBorders>
              <w:top w:val="single" w:sz="12"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DE</w:t>
            </w:r>
          </w:p>
        </w:tc>
        <w:tc>
          <w:tcPr>
            <w:tcW w:w="956" w:type="pct"/>
            <w:tcBorders>
              <w:top w:val="single" w:sz="12" w:space="0" w:color="auto"/>
              <w:bottom w:val="dashed" w:sz="4" w:space="0" w:color="auto"/>
            </w:tcBorders>
            <w:vAlign w:val="center"/>
          </w:tcPr>
          <w:p w:rsidR="00446B0D" w:rsidRDefault="008F1B69">
            <w:pPr>
              <w:pStyle w:val="ListParagraph"/>
              <w:ind w:left="0"/>
              <w:rPr>
                <w:sz w:val="18"/>
                <w:szCs w:val="18"/>
              </w:rPr>
            </w:pPr>
            <w:r>
              <w:rPr>
                <w:sz w:val="18"/>
                <w:szCs w:val="18"/>
              </w:rPr>
              <w:t>Max Planck Institute</w:t>
            </w:r>
          </w:p>
        </w:tc>
        <w:tc>
          <w:tcPr>
            <w:tcW w:w="2279" w:type="pct"/>
            <w:tcBorders>
              <w:top w:val="single" w:sz="12" w:space="0" w:color="auto"/>
              <w:bottom w:val="dashed" w:sz="4" w:space="0" w:color="auto"/>
            </w:tcBorders>
            <w:vAlign w:val="center"/>
          </w:tcPr>
          <w:p w:rsidR="00446B0D" w:rsidRDefault="008F1B69">
            <w:pPr>
              <w:pStyle w:val="ListParagraph"/>
              <w:ind w:left="0"/>
              <w:rPr>
                <w:sz w:val="18"/>
                <w:szCs w:val="18"/>
              </w:rPr>
            </w:pPr>
            <w:r>
              <w:rPr>
                <w:sz w:val="18"/>
                <w:szCs w:val="18"/>
              </w:rPr>
              <w:t>Eucrim - the European Criminal Law Associations’ Forum – 4 issues/year</w:t>
            </w:r>
          </w:p>
        </w:tc>
        <w:tc>
          <w:tcPr>
            <w:tcW w:w="368" w:type="pct"/>
            <w:tcBorders>
              <w:top w:val="single" w:sz="12"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N/A</w:t>
            </w:r>
          </w:p>
        </w:tc>
        <w:tc>
          <w:tcPr>
            <w:tcW w:w="514" w:type="pct"/>
            <w:tcBorders>
              <w:top w:val="single" w:sz="12" w:space="0" w:color="auto"/>
              <w:bottom w:val="dashed" w:sz="4" w:space="0" w:color="auto"/>
            </w:tcBorders>
            <w:vAlign w:val="center"/>
          </w:tcPr>
          <w:p w:rsidR="00446B0D" w:rsidRDefault="008F1B69">
            <w:pPr>
              <w:pStyle w:val="ListParagraph"/>
              <w:numPr>
                <w:ilvl w:val="0"/>
                <w:numId w:val="0"/>
              </w:numPr>
              <w:jc w:val="right"/>
              <w:rPr>
                <w:sz w:val="18"/>
                <w:szCs w:val="18"/>
              </w:rPr>
            </w:pPr>
            <w:r>
              <w:rPr>
                <w:sz w:val="18"/>
                <w:szCs w:val="18"/>
              </w:rPr>
              <w:t>49 033</w:t>
            </w:r>
          </w:p>
        </w:tc>
        <w:tc>
          <w:tcPr>
            <w:tcW w:w="442" w:type="pct"/>
            <w:tcBorders>
              <w:top w:val="single" w:sz="12" w:space="0" w:color="auto"/>
              <w:bottom w:val="dashed" w:sz="4" w:space="0" w:color="auto"/>
              <w:right w:val="single" w:sz="12" w:space="0" w:color="auto"/>
            </w:tcBorders>
            <w:vAlign w:val="center"/>
          </w:tcPr>
          <w:p w:rsidR="00446B0D" w:rsidRDefault="008F1B69">
            <w:pPr>
              <w:pStyle w:val="ListParagraph"/>
              <w:numPr>
                <w:ilvl w:val="0"/>
                <w:numId w:val="0"/>
              </w:numPr>
              <w:jc w:val="center"/>
              <w:rPr>
                <w:sz w:val="18"/>
                <w:szCs w:val="18"/>
              </w:rPr>
            </w:pPr>
            <w:r>
              <w:rPr>
                <w:sz w:val="18"/>
                <w:szCs w:val="18"/>
              </w:rPr>
              <w:t>78</w:t>
            </w:r>
          </w:p>
        </w:tc>
      </w:tr>
      <w:tr w:rsidR="00446B0D">
        <w:tblPrEx>
          <w:tblBorders>
            <w:top w:val="single" w:sz="4" w:space="0" w:color="auto"/>
            <w:left w:val="single" w:sz="4" w:space="0" w:color="auto"/>
            <w:bottom w:val="single" w:sz="4" w:space="0" w:color="auto"/>
            <w:right w:val="single" w:sz="4" w:space="0" w:color="auto"/>
            <w:insideH w:val="single" w:sz="4" w:space="0" w:color="auto"/>
          </w:tblBorders>
        </w:tblPrEx>
        <w:tc>
          <w:tcPr>
            <w:tcW w:w="147" w:type="pct"/>
            <w:tcBorders>
              <w:top w:val="dashed" w:sz="4" w:space="0" w:color="auto"/>
              <w:left w:val="single" w:sz="12"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2</w:t>
            </w:r>
          </w:p>
        </w:tc>
        <w:tc>
          <w:tcPr>
            <w:tcW w:w="294" w:type="pct"/>
            <w:tcBorders>
              <w:top w:val="dashed" w:sz="4"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IT</w:t>
            </w:r>
          </w:p>
        </w:tc>
        <w:tc>
          <w:tcPr>
            <w:tcW w:w="956" w:type="pct"/>
            <w:tcBorders>
              <w:top w:val="dashed" w:sz="4" w:space="0" w:color="auto"/>
              <w:bottom w:val="dashed" w:sz="4" w:space="0" w:color="auto"/>
            </w:tcBorders>
            <w:vAlign w:val="center"/>
          </w:tcPr>
          <w:p w:rsidR="00446B0D" w:rsidRDefault="008F1B69">
            <w:pPr>
              <w:pStyle w:val="ListParagraph"/>
              <w:ind w:left="0"/>
              <w:rPr>
                <w:sz w:val="18"/>
                <w:szCs w:val="18"/>
                <w:lang w:val="it-IT"/>
              </w:rPr>
            </w:pPr>
            <w:r>
              <w:rPr>
                <w:sz w:val="18"/>
                <w:szCs w:val="18"/>
                <w:lang w:val="it-IT"/>
              </w:rPr>
              <w:t>Fondazione Lelio e Lisli Basso</w:t>
            </w:r>
          </w:p>
        </w:tc>
        <w:tc>
          <w:tcPr>
            <w:tcW w:w="2279" w:type="pct"/>
            <w:tcBorders>
              <w:top w:val="dashed" w:sz="4" w:space="0" w:color="auto"/>
              <w:bottom w:val="dashed" w:sz="4" w:space="0" w:color="auto"/>
            </w:tcBorders>
            <w:vAlign w:val="center"/>
          </w:tcPr>
          <w:p w:rsidR="00446B0D" w:rsidRDefault="008F1B69">
            <w:pPr>
              <w:spacing w:before="0" w:after="0"/>
              <w:rPr>
                <w:noProof/>
                <w:sz w:val="18"/>
                <w:szCs w:val="18"/>
              </w:rPr>
            </w:pPr>
            <w:r>
              <w:rPr>
                <w:noProof/>
                <w:sz w:val="18"/>
                <w:szCs w:val="18"/>
              </w:rPr>
              <w:t xml:space="preserve">Protecting </w:t>
            </w:r>
            <w:r>
              <w:rPr>
                <w:noProof/>
                <w:sz w:val="18"/>
                <w:szCs w:val="18"/>
              </w:rPr>
              <w:t>fundamental and procedural rights - from the investigation of OLAF to the future EPPO’ – June 2013, Rome</w:t>
            </w:r>
          </w:p>
        </w:tc>
        <w:tc>
          <w:tcPr>
            <w:tcW w:w="368" w:type="pct"/>
            <w:tcBorders>
              <w:top w:val="dashed" w:sz="4"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106</w:t>
            </w:r>
          </w:p>
        </w:tc>
        <w:tc>
          <w:tcPr>
            <w:tcW w:w="514" w:type="pct"/>
            <w:tcBorders>
              <w:top w:val="dashed" w:sz="4" w:space="0" w:color="auto"/>
              <w:bottom w:val="dashed" w:sz="4" w:space="0" w:color="auto"/>
            </w:tcBorders>
            <w:vAlign w:val="center"/>
          </w:tcPr>
          <w:p w:rsidR="00446B0D" w:rsidRDefault="008F1B69">
            <w:pPr>
              <w:pStyle w:val="ListParagraph"/>
              <w:numPr>
                <w:ilvl w:val="0"/>
                <w:numId w:val="0"/>
              </w:numPr>
              <w:jc w:val="right"/>
              <w:rPr>
                <w:sz w:val="18"/>
                <w:szCs w:val="18"/>
              </w:rPr>
            </w:pPr>
            <w:r>
              <w:rPr>
                <w:sz w:val="18"/>
                <w:szCs w:val="18"/>
              </w:rPr>
              <w:t>69412</w:t>
            </w:r>
          </w:p>
        </w:tc>
        <w:tc>
          <w:tcPr>
            <w:tcW w:w="442" w:type="pct"/>
            <w:tcBorders>
              <w:top w:val="dashed" w:sz="4" w:space="0" w:color="auto"/>
              <w:bottom w:val="dashed" w:sz="4" w:space="0" w:color="auto"/>
              <w:right w:val="single" w:sz="12" w:space="0" w:color="auto"/>
            </w:tcBorders>
            <w:vAlign w:val="center"/>
          </w:tcPr>
          <w:p w:rsidR="00446B0D" w:rsidRDefault="008F1B69">
            <w:pPr>
              <w:pStyle w:val="ListParagraph"/>
              <w:numPr>
                <w:ilvl w:val="0"/>
                <w:numId w:val="0"/>
              </w:numPr>
              <w:jc w:val="center"/>
              <w:rPr>
                <w:sz w:val="18"/>
                <w:szCs w:val="18"/>
              </w:rPr>
            </w:pPr>
            <w:r>
              <w:rPr>
                <w:sz w:val="18"/>
                <w:szCs w:val="18"/>
              </w:rPr>
              <w:t>90</w:t>
            </w:r>
          </w:p>
        </w:tc>
      </w:tr>
      <w:tr w:rsidR="00446B0D">
        <w:tblPrEx>
          <w:tblBorders>
            <w:top w:val="single" w:sz="4" w:space="0" w:color="auto"/>
            <w:left w:val="single" w:sz="4" w:space="0" w:color="auto"/>
            <w:bottom w:val="single" w:sz="4" w:space="0" w:color="auto"/>
            <w:right w:val="single" w:sz="4" w:space="0" w:color="auto"/>
            <w:insideH w:val="single" w:sz="4" w:space="0" w:color="auto"/>
          </w:tblBorders>
        </w:tblPrEx>
        <w:tc>
          <w:tcPr>
            <w:tcW w:w="147" w:type="pct"/>
            <w:tcBorders>
              <w:top w:val="dashed" w:sz="4" w:space="0" w:color="auto"/>
              <w:left w:val="single" w:sz="12"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3</w:t>
            </w:r>
          </w:p>
        </w:tc>
        <w:tc>
          <w:tcPr>
            <w:tcW w:w="294" w:type="pct"/>
            <w:tcBorders>
              <w:top w:val="dashed" w:sz="4"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IT</w:t>
            </w:r>
          </w:p>
        </w:tc>
        <w:tc>
          <w:tcPr>
            <w:tcW w:w="956" w:type="pct"/>
            <w:tcBorders>
              <w:top w:val="dashed" w:sz="4" w:space="0" w:color="auto"/>
              <w:bottom w:val="dashed" w:sz="4" w:space="0" w:color="auto"/>
            </w:tcBorders>
            <w:vAlign w:val="center"/>
          </w:tcPr>
          <w:p w:rsidR="00446B0D" w:rsidRDefault="008F1B69">
            <w:pPr>
              <w:pStyle w:val="ListParagraph"/>
              <w:ind w:left="0"/>
              <w:rPr>
                <w:sz w:val="18"/>
                <w:szCs w:val="18"/>
                <w:lang w:val="it-IT"/>
              </w:rPr>
            </w:pPr>
            <w:r>
              <w:rPr>
                <w:sz w:val="18"/>
                <w:szCs w:val="18"/>
                <w:lang w:val="it-IT"/>
              </w:rPr>
              <w:t>Centro di Diritto Penale Catania</w:t>
            </w:r>
          </w:p>
        </w:tc>
        <w:tc>
          <w:tcPr>
            <w:tcW w:w="2279" w:type="pct"/>
            <w:tcBorders>
              <w:top w:val="dashed" w:sz="4" w:space="0" w:color="auto"/>
              <w:bottom w:val="dashed" w:sz="4" w:space="0" w:color="auto"/>
            </w:tcBorders>
            <w:vAlign w:val="center"/>
          </w:tcPr>
          <w:p w:rsidR="00446B0D" w:rsidRDefault="008F1B69">
            <w:pPr>
              <w:pStyle w:val="ListParagraph"/>
              <w:numPr>
                <w:ilvl w:val="0"/>
                <w:numId w:val="0"/>
              </w:numPr>
              <w:rPr>
                <w:sz w:val="18"/>
                <w:szCs w:val="18"/>
              </w:rPr>
            </w:pPr>
            <w:r>
              <w:rPr>
                <w:sz w:val="18"/>
                <w:szCs w:val="18"/>
              </w:rPr>
              <w:t xml:space="preserve">The challenges of setting up a European Public Prosecutor’s Office: definition of common rules and </w:t>
            </w:r>
            <w:r>
              <w:rPr>
                <w:sz w:val="18"/>
                <w:szCs w:val="18"/>
              </w:rPr>
              <w:t>their impact on internal legal systems – June 2013, Catania</w:t>
            </w:r>
          </w:p>
        </w:tc>
        <w:tc>
          <w:tcPr>
            <w:tcW w:w="368" w:type="pct"/>
            <w:tcBorders>
              <w:top w:val="dashed" w:sz="4"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140</w:t>
            </w:r>
          </w:p>
        </w:tc>
        <w:tc>
          <w:tcPr>
            <w:tcW w:w="514" w:type="pct"/>
            <w:tcBorders>
              <w:top w:val="dashed" w:sz="4" w:space="0" w:color="auto"/>
              <w:bottom w:val="dashed" w:sz="4" w:space="0" w:color="auto"/>
            </w:tcBorders>
            <w:vAlign w:val="center"/>
          </w:tcPr>
          <w:p w:rsidR="00446B0D" w:rsidRDefault="008F1B69">
            <w:pPr>
              <w:pStyle w:val="ListParagraph"/>
              <w:numPr>
                <w:ilvl w:val="0"/>
                <w:numId w:val="0"/>
              </w:numPr>
              <w:jc w:val="right"/>
              <w:rPr>
                <w:sz w:val="18"/>
                <w:szCs w:val="18"/>
              </w:rPr>
            </w:pPr>
            <w:r>
              <w:rPr>
                <w:sz w:val="18"/>
                <w:szCs w:val="18"/>
              </w:rPr>
              <w:t>75 853</w:t>
            </w:r>
          </w:p>
        </w:tc>
        <w:tc>
          <w:tcPr>
            <w:tcW w:w="442" w:type="pct"/>
            <w:tcBorders>
              <w:top w:val="dashed" w:sz="4" w:space="0" w:color="auto"/>
              <w:bottom w:val="dashed" w:sz="4" w:space="0" w:color="auto"/>
              <w:right w:val="single" w:sz="12" w:space="0" w:color="auto"/>
            </w:tcBorders>
            <w:vAlign w:val="center"/>
          </w:tcPr>
          <w:p w:rsidR="00446B0D" w:rsidRDefault="008F1B69">
            <w:pPr>
              <w:pStyle w:val="ListParagraph"/>
              <w:numPr>
                <w:ilvl w:val="0"/>
                <w:numId w:val="0"/>
              </w:numPr>
              <w:jc w:val="center"/>
              <w:rPr>
                <w:sz w:val="18"/>
                <w:szCs w:val="18"/>
              </w:rPr>
            </w:pPr>
            <w:r>
              <w:rPr>
                <w:sz w:val="18"/>
                <w:szCs w:val="18"/>
              </w:rPr>
              <w:t>87</w:t>
            </w:r>
          </w:p>
        </w:tc>
      </w:tr>
      <w:tr w:rsidR="00446B0D">
        <w:tblPrEx>
          <w:tblBorders>
            <w:top w:val="single" w:sz="4" w:space="0" w:color="auto"/>
            <w:left w:val="single" w:sz="4" w:space="0" w:color="auto"/>
            <w:bottom w:val="single" w:sz="4" w:space="0" w:color="auto"/>
            <w:right w:val="single" w:sz="4" w:space="0" w:color="auto"/>
            <w:insideH w:val="single" w:sz="4" w:space="0" w:color="auto"/>
          </w:tblBorders>
        </w:tblPrEx>
        <w:tc>
          <w:tcPr>
            <w:tcW w:w="147" w:type="pct"/>
            <w:tcBorders>
              <w:top w:val="dashed" w:sz="4" w:space="0" w:color="auto"/>
              <w:left w:val="single" w:sz="12"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4</w:t>
            </w:r>
          </w:p>
        </w:tc>
        <w:tc>
          <w:tcPr>
            <w:tcW w:w="294" w:type="pct"/>
            <w:tcBorders>
              <w:top w:val="dashed" w:sz="4"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BG</w:t>
            </w:r>
          </w:p>
        </w:tc>
        <w:tc>
          <w:tcPr>
            <w:tcW w:w="956" w:type="pct"/>
            <w:tcBorders>
              <w:top w:val="dashed" w:sz="4" w:space="0" w:color="auto"/>
              <w:bottom w:val="dashed" w:sz="4" w:space="0" w:color="auto"/>
            </w:tcBorders>
            <w:vAlign w:val="center"/>
          </w:tcPr>
          <w:p w:rsidR="00446B0D" w:rsidRDefault="008F1B69">
            <w:pPr>
              <w:pStyle w:val="ListParagraph"/>
              <w:ind w:left="0"/>
              <w:rPr>
                <w:sz w:val="18"/>
                <w:szCs w:val="18"/>
              </w:rPr>
            </w:pPr>
            <w:r>
              <w:rPr>
                <w:sz w:val="18"/>
                <w:szCs w:val="18"/>
              </w:rPr>
              <w:t>Center for the Study of Democracy</w:t>
            </w:r>
          </w:p>
        </w:tc>
        <w:tc>
          <w:tcPr>
            <w:tcW w:w="2279" w:type="pct"/>
            <w:tcBorders>
              <w:top w:val="dashed" w:sz="4" w:space="0" w:color="auto"/>
              <w:bottom w:val="dashed" w:sz="4" w:space="0" w:color="auto"/>
            </w:tcBorders>
            <w:vAlign w:val="center"/>
          </w:tcPr>
          <w:p w:rsidR="00446B0D" w:rsidRDefault="008F1B69">
            <w:pPr>
              <w:pStyle w:val="ListParagraph"/>
              <w:numPr>
                <w:ilvl w:val="0"/>
                <w:numId w:val="0"/>
              </w:numPr>
              <w:rPr>
                <w:sz w:val="18"/>
                <w:szCs w:val="18"/>
              </w:rPr>
            </w:pPr>
            <w:r>
              <w:rPr>
                <w:sz w:val="18"/>
                <w:szCs w:val="18"/>
              </w:rPr>
              <w:t>EU’s financial interests under threat: New approaches in assessing the risk from fraud and corruption – May 2013</w:t>
            </w:r>
          </w:p>
        </w:tc>
        <w:tc>
          <w:tcPr>
            <w:tcW w:w="368" w:type="pct"/>
            <w:tcBorders>
              <w:top w:val="dashed" w:sz="4"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60</w:t>
            </w:r>
          </w:p>
        </w:tc>
        <w:tc>
          <w:tcPr>
            <w:tcW w:w="514" w:type="pct"/>
            <w:tcBorders>
              <w:top w:val="dashed" w:sz="4" w:space="0" w:color="auto"/>
              <w:bottom w:val="dashed" w:sz="4" w:space="0" w:color="auto"/>
            </w:tcBorders>
            <w:vAlign w:val="center"/>
          </w:tcPr>
          <w:p w:rsidR="00446B0D" w:rsidRDefault="008F1B69">
            <w:pPr>
              <w:pStyle w:val="ListParagraph"/>
              <w:numPr>
                <w:ilvl w:val="0"/>
                <w:numId w:val="0"/>
              </w:numPr>
              <w:jc w:val="right"/>
              <w:rPr>
                <w:sz w:val="18"/>
                <w:szCs w:val="18"/>
              </w:rPr>
            </w:pPr>
            <w:r>
              <w:rPr>
                <w:sz w:val="18"/>
                <w:szCs w:val="18"/>
              </w:rPr>
              <w:t>23 059</w:t>
            </w:r>
          </w:p>
        </w:tc>
        <w:tc>
          <w:tcPr>
            <w:tcW w:w="442" w:type="pct"/>
            <w:tcBorders>
              <w:top w:val="dashed" w:sz="4" w:space="0" w:color="auto"/>
              <w:bottom w:val="dashed" w:sz="4" w:space="0" w:color="auto"/>
              <w:right w:val="single" w:sz="12" w:space="0" w:color="auto"/>
            </w:tcBorders>
            <w:vAlign w:val="center"/>
          </w:tcPr>
          <w:p w:rsidR="00446B0D" w:rsidRDefault="008F1B69">
            <w:pPr>
              <w:pStyle w:val="ListParagraph"/>
              <w:numPr>
                <w:ilvl w:val="0"/>
                <w:numId w:val="0"/>
              </w:numPr>
              <w:jc w:val="center"/>
              <w:rPr>
                <w:sz w:val="18"/>
                <w:szCs w:val="18"/>
              </w:rPr>
            </w:pPr>
            <w:r>
              <w:rPr>
                <w:sz w:val="18"/>
                <w:szCs w:val="18"/>
              </w:rPr>
              <w:t>80</w:t>
            </w:r>
          </w:p>
        </w:tc>
      </w:tr>
      <w:tr w:rsidR="00446B0D">
        <w:tblPrEx>
          <w:tblBorders>
            <w:top w:val="single" w:sz="4" w:space="0" w:color="auto"/>
            <w:left w:val="single" w:sz="4" w:space="0" w:color="auto"/>
            <w:bottom w:val="single" w:sz="4" w:space="0" w:color="auto"/>
            <w:right w:val="single" w:sz="4" w:space="0" w:color="auto"/>
            <w:insideH w:val="single" w:sz="4" w:space="0" w:color="auto"/>
          </w:tblBorders>
        </w:tblPrEx>
        <w:tc>
          <w:tcPr>
            <w:tcW w:w="147" w:type="pct"/>
            <w:tcBorders>
              <w:top w:val="dashed" w:sz="4" w:space="0" w:color="auto"/>
              <w:left w:val="single" w:sz="12"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5</w:t>
            </w:r>
          </w:p>
        </w:tc>
        <w:tc>
          <w:tcPr>
            <w:tcW w:w="294" w:type="pct"/>
            <w:tcBorders>
              <w:top w:val="dashed" w:sz="4"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AT</w:t>
            </w:r>
          </w:p>
        </w:tc>
        <w:tc>
          <w:tcPr>
            <w:tcW w:w="956" w:type="pct"/>
            <w:tcBorders>
              <w:top w:val="dashed" w:sz="4" w:space="0" w:color="auto"/>
              <w:bottom w:val="dashed" w:sz="4" w:space="0" w:color="auto"/>
            </w:tcBorders>
            <w:vAlign w:val="center"/>
          </w:tcPr>
          <w:p w:rsidR="00446B0D" w:rsidRDefault="008F1B69">
            <w:pPr>
              <w:pStyle w:val="ListParagraph"/>
              <w:ind w:left="0"/>
              <w:rPr>
                <w:sz w:val="18"/>
                <w:szCs w:val="18"/>
              </w:rPr>
            </w:pPr>
            <w:r>
              <w:rPr>
                <w:sz w:val="18"/>
                <w:szCs w:val="18"/>
              </w:rPr>
              <w:t xml:space="preserve">Austrian </w:t>
            </w:r>
            <w:r>
              <w:rPr>
                <w:sz w:val="18"/>
                <w:szCs w:val="18"/>
              </w:rPr>
              <w:t>Association for the European Criminal Law</w:t>
            </w:r>
          </w:p>
        </w:tc>
        <w:tc>
          <w:tcPr>
            <w:tcW w:w="2279" w:type="pct"/>
            <w:tcBorders>
              <w:top w:val="dashed" w:sz="4" w:space="0" w:color="auto"/>
              <w:bottom w:val="dashed" w:sz="4" w:space="0" w:color="auto"/>
            </w:tcBorders>
            <w:vAlign w:val="center"/>
          </w:tcPr>
          <w:p w:rsidR="00446B0D" w:rsidRDefault="008F1B69">
            <w:pPr>
              <w:pStyle w:val="ListParagraph"/>
              <w:numPr>
                <w:ilvl w:val="0"/>
                <w:numId w:val="0"/>
              </w:numPr>
              <w:rPr>
                <w:sz w:val="18"/>
                <w:szCs w:val="18"/>
              </w:rPr>
            </w:pPr>
            <w:r>
              <w:rPr>
                <w:sz w:val="18"/>
                <w:szCs w:val="18"/>
              </w:rPr>
              <w:t>New challenges for anti-corruption measures and for protection of the EU’s financial interests (and the annual meeting of Presidents of the Associations) – May 2014, Vienna, Laxenburg</w:t>
            </w:r>
          </w:p>
        </w:tc>
        <w:tc>
          <w:tcPr>
            <w:tcW w:w="368" w:type="pct"/>
            <w:tcBorders>
              <w:top w:val="dashed" w:sz="4"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99</w:t>
            </w:r>
          </w:p>
        </w:tc>
        <w:tc>
          <w:tcPr>
            <w:tcW w:w="514" w:type="pct"/>
            <w:tcBorders>
              <w:top w:val="dashed" w:sz="4" w:space="0" w:color="auto"/>
              <w:bottom w:val="dashed" w:sz="4" w:space="0" w:color="auto"/>
            </w:tcBorders>
            <w:vAlign w:val="center"/>
          </w:tcPr>
          <w:p w:rsidR="00446B0D" w:rsidRDefault="008F1B69">
            <w:pPr>
              <w:pStyle w:val="ListParagraph"/>
              <w:numPr>
                <w:ilvl w:val="0"/>
                <w:numId w:val="0"/>
              </w:numPr>
              <w:jc w:val="right"/>
              <w:rPr>
                <w:sz w:val="18"/>
                <w:szCs w:val="18"/>
              </w:rPr>
            </w:pPr>
            <w:r>
              <w:rPr>
                <w:sz w:val="18"/>
                <w:szCs w:val="18"/>
              </w:rPr>
              <w:t>47 447</w:t>
            </w:r>
          </w:p>
        </w:tc>
        <w:tc>
          <w:tcPr>
            <w:tcW w:w="442" w:type="pct"/>
            <w:tcBorders>
              <w:top w:val="dashed" w:sz="4" w:space="0" w:color="auto"/>
              <w:bottom w:val="dashed" w:sz="4" w:space="0" w:color="auto"/>
              <w:right w:val="single" w:sz="12" w:space="0" w:color="auto"/>
            </w:tcBorders>
            <w:vAlign w:val="center"/>
          </w:tcPr>
          <w:p w:rsidR="00446B0D" w:rsidRDefault="008F1B69">
            <w:pPr>
              <w:pStyle w:val="ListParagraph"/>
              <w:numPr>
                <w:ilvl w:val="0"/>
                <w:numId w:val="0"/>
              </w:numPr>
              <w:jc w:val="center"/>
              <w:rPr>
                <w:sz w:val="18"/>
                <w:szCs w:val="18"/>
              </w:rPr>
            </w:pPr>
            <w:r>
              <w:rPr>
                <w:sz w:val="18"/>
                <w:szCs w:val="18"/>
              </w:rPr>
              <w:t>83</w:t>
            </w:r>
          </w:p>
        </w:tc>
      </w:tr>
      <w:tr w:rsidR="00446B0D">
        <w:tblPrEx>
          <w:tblBorders>
            <w:top w:val="single" w:sz="4" w:space="0" w:color="auto"/>
            <w:left w:val="single" w:sz="4" w:space="0" w:color="auto"/>
            <w:bottom w:val="single" w:sz="4" w:space="0" w:color="auto"/>
            <w:right w:val="single" w:sz="4" w:space="0" w:color="auto"/>
            <w:insideH w:val="single" w:sz="4" w:space="0" w:color="auto"/>
          </w:tblBorders>
        </w:tblPrEx>
        <w:tc>
          <w:tcPr>
            <w:tcW w:w="147" w:type="pct"/>
            <w:tcBorders>
              <w:top w:val="dashed" w:sz="4" w:space="0" w:color="auto"/>
              <w:left w:val="single" w:sz="12"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6</w:t>
            </w:r>
          </w:p>
        </w:tc>
        <w:tc>
          <w:tcPr>
            <w:tcW w:w="294" w:type="pct"/>
            <w:tcBorders>
              <w:top w:val="dashed" w:sz="4"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DE</w:t>
            </w:r>
          </w:p>
        </w:tc>
        <w:tc>
          <w:tcPr>
            <w:tcW w:w="956" w:type="pct"/>
            <w:tcBorders>
              <w:top w:val="dashed" w:sz="4" w:space="0" w:color="auto"/>
              <w:bottom w:val="dashed" w:sz="4" w:space="0" w:color="auto"/>
            </w:tcBorders>
            <w:vAlign w:val="center"/>
          </w:tcPr>
          <w:p w:rsidR="00446B0D" w:rsidRDefault="008F1B69">
            <w:pPr>
              <w:pStyle w:val="ListParagraph"/>
              <w:ind w:left="0"/>
              <w:rPr>
                <w:sz w:val="18"/>
                <w:szCs w:val="18"/>
              </w:rPr>
            </w:pPr>
            <w:r>
              <w:rPr>
                <w:sz w:val="18"/>
                <w:szCs w:val="18"/>
              </w:rPr>
              <w:t xml:space="preserve">Academy of </w:t>
            </w:r>
            <w:r>
              <w:rPr>
                <w:sz w:val="18"/>
                <w:szCs w:val="18"/>
              </w:rPr>
              <w:t>European Law, Trier</w:t>
            </w:r>
          </w:p>
        </w:tc>
        <w:tc>
          <w:tcPr>
            <w:tcW w:w="2279" w:type="pct"/>
            <w:tcBorders>
              <w:top w:val="dashed" w:sz="4" w:space="0" w:color="auto"/>
              <w:bottom w:val="dashed" w:sz="4" w:space="0" w:color="auto"/>
            </w:tcBorders>
            <w:vAlign w:val="center"/>
          </w:tcPr>
          <w:p w:rsidR="00446B0D" w:rsidRDefault="008F1B69">
            <w:pPr>
              <w:pStyle w:val="ListParagraph"/>
              <w:numPr>
                <w:ilvl w:val="0"/>
                <w:numId w:val="0"/>
              </w:numPr>
              <w:rPr>
                <w:sz w:val="18"/>
                <w:szCs w:val="18"/>
              </w:rPr>
            </w:pPr>
            <w:r>
              <w:rPr>
                <w:sz w:val="18"/>
                <w:szCs w:val="18"/>
              </w:rPr>
              <w:t>Annual forum on combating corruption in the EU 2014: new prevention and investigation techniques – Feb 2014</w:t>
            </w:r>
          </w:p>
        </w:tc>
        <w:tc>
          <w:tcPr>
            <w:tcW w:w="368" w:type="pct"/>
            <w:tcBorders>
              <w:top w:val="dashed" w:sz="4"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67</w:t>
            </w:r>
          </w:p>
        </w:tc>
        <w:tc>
          <w:tcPr>
            <w:tcW w:w="514" w:type="pct"/>
            <w:tcBorders>
              <w:top w:val="dashed" w:sz="4" w:space="0" w:color="auto"/>
              <w:bottom w:val="dashed" w:sz="4" w:space="0" w:color="auto"/>
            </w:tcBorders>
            <w:vAlign w:val="center"/>
          </w:tcPr>
          <w:p w:rsidR="00446B0D" w:rsidRDefault="008F1B69">
            <w:pPr>
              <w:pStyle w:val="ListParagraph"/>
              <w:numPr>
                <w:ilvl w:val="0"/>
                <w:numId w:val="0"/>
              </w:numPr>
              <w:jc w:val="right"/>
              <w:rPr>
                <w:sz w:val="18"/>
                <w:szCs w:val="18"/>
              </w:rPr>
            </w:pPr>
            <w:r>
              <w:rPr>
                <w:sz w:val="18"/>
                <w:szCs w:val="18"/>
              </w:rPr>
              <w:t>46 824</w:t>
            </w:r>
          </w:p>
        </w:tc>
        <w:tc>
          <w:tcPr>
            <w:tcW w:w="442" w:type="pct"/>
            <w:tcBorders>
              <w:top w:val="dashed" w:sz="4" w:space="0" w:color="auto"/>
              <w:bottom w:val="dashed" w:sz="4" w:space="0" w:color="auto"/>
              <w:right w:val="single" w:sz="12" w:space="0" w:color="auto"/>
            </w:tcBorders>
            <w:vAlign w:val="center"/>
          </w:tcPr>
          <w:p w:rsidR="00446B0D" w:rsidRDefault="008F1B69">
            <w:pPr>
              <w:pStyle w:val="ListParagraph"/>
              <w:numPr>
                <w:ilvl w:val="0"/>
                <w:numId w:val="0"/>
              </w:numPr>
              <w:jc w:val="center"/>
              <w:rPr>
                <w:sz w:val="18"/>
                <w:szCs w:val="18"/>
              </w:rPr>
            </w:pPr>
            <w:r>
              <w:rPr>
                <w:sz w:val="18"/>
                <w:szCs w:val="18"/>
              </w:rPr>
              <w:t>89</w:t>
            </w:r>
          </w:p>
        </w:tc>
      </w:tr>
      <w:tr w:rsidR="00446B0D">
        <w:tblPrEx>
          <w:tblBorders>
            <w:top w:val="single" w:sz="4" w:space="0" w:color="auto"/>
            <w:left w:val="single" w:sz="4" w:space="0" w:color="auto"/>
            <w:bottom w:val="single" w:sz="4" w:space="0" w:color="auto"/>
            <w:right w:val="single" w:sz="4" w:space="0" w:color="auto"/>
            <w:insideH w:val="single" w:sz="4" w:space="0" w:color="auto"/>
          </w:tblBorders>
        </w:tblPrEx>
        <w:tc>
          <w:tcPr>
            <w:tcW w:w="147" w:type="pct"/>
            <w:tcBorders>
              <w:top w:val="dashed" w:sz="4" w:space="0" w:color="auto"/>
              <w:left w:val="single" w:sz="12"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7</w:t>
            </w:r>
          </w:p>
        </w:tc>
        <w:tc>
          <w:tcPr>
            <w:tcW w:w="294" w:type="pct"/>
            <w:tcBorders>
              <w:top w:val="dashed" w:sz="4"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ES</w:t>
            </w:r>
          </w:p>
        </w:tc>
        <w:tc>
          <w:tcPr>
            <w:tcW w:w="956" w:type="pct"/>
            <w:tcBorders>
              <w:top w:val="dashed" w:sz="4" w:space="0" w:color="auto"/>
              <w:bottom w:val="dashed" w:sz="4" w:space="0" w:color="auto"/>
            </w:tcBorders>
            <w:vAlign w:val="center"/>
          </w:tcPr>
          <w:p w:rsidR="00446B0D" w:rsidRDefault="008F1B69">
            <w:pPr>
              <w:pStyle w:val="ListParagraph"/>
              <w:ind w:left="0"/>
              <w:rPr>
                <w:sz w:val="18"/>
                <w:szCs w:val="18"/>
              </w:rPr>
            </w:pPr>
            <w:r>
              <w:rPr>
                <w:sz w:val="18"/>
                <w:szCs w:val="18"/>
              </w:rPr>
              <w:t>Galician School of Public Administration</w:t>
            </w:r>
          </w:p>
        </w:tc>
        <w:tc>
          <w:tcPr>
            <w:tcW w:w="2279" w:type="pct"/>
            <w:tcBorders>
              <w:top w:val="dashed" w:sz="4" w:space="0" w:color="auto"/>
              <w:bottom w:val="dashed" w:sz="4" w:space="0" w:color="auto"/>
            </w:tcBorders>
            <w:vAlign w:val="center"/>
          </w:tcPr>
          <w:p w:rsidR="00446B0D" w:rsidRDefault="008F1B69">
            <w:pPr>
              <w:pStyle w:val="ListParagraph"/>
              <w:numPr>
                <w:ilvl w:val="0"/>
                <w:numId w:val="0"/>
              </w:numPr>
              <w:rPr>
                <w:sz w:val="18"/>
                <w:szCs w:val="18"/>
              </w:rPr>
            </w:pPr>
            <w:r>
              <w:rPr>
                <w:sz w:val="18"/>
                <w:szCs w:val="18"/>
              </w:rPr>
              <w:t xml:space="preserve">Seminar on the administrative transparency and protection of the </w:t>
            </w:r>
            <w:r>
              <w:rPr>
                <w:sz w:val="18"/>
                <w:szCs w:val="18"/>
              </w:rPr>
              <w:t>financial interests of the European Union in the Galicia-North Portugal Euro region – March 2014, Santigo de Compostela</w:t>
            </w:r>
          </w:p>
        </w:tc>
        <w:tc>
          <w:tcPr>
            <w:tcW w:w="368" w:type="pct"/>
            <w:tcBorders>
              <w:top w:val="dashed" w:sz="4"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115</w:t>
            </w:r>
          </w:p>
        </w:tc>
        <w:tc>
          <w:tcPr>
            <w:tcW w:w="514" w:type="pct"/>
            <w:tcBorders>
              <w:top w:val="dashed" w:sz="4" w:space="0" w:color="auto"/>
              <w:bottom w:val="dashed" w:sz="4" w:space="0" w:color="auto"/>
            </w:tcBorders>
            <w:vAlign w:val="center"/>
          </w:tcPr>
          <w:p w:rsidR="00446B0D" w:rsidRDefault="008F1B69">
            <w:pPr>
              <w:pStyle w:val="ListParagraph"/>
              <w:numPr>
                <w:ilvl w:val="0"/>
                <w:numId w:val="0"/>
              </w:numPr>
              <w:jc w:val="right"/>
              <w:rPr>
                <w:sz w:val="18"/>
                <w:szCs w:val="18"/>
              </w:rPr>
            </w:pPr>
            <w:r>
              <w:rPr>
                <w:sz w:val="18"/>
                <w:szCs w:val="18"/>
              </w:rPr>
              <w:t>20 686</w:t>
            </w:r>
          </w:p>
        </w:tc>
        <w:tc>
          <w:tcPr>
            <w:tcW w:w="442" w:type="pct"/>
            <w:tcBorders>
              <w:top w:val="dashed" w:sz="4" w:space="0" w:color="auto"/>
              <w:bottom w:val="dashed" w:sz="4" w:space="0" w:color="auto"/>
              <w:right w:val="single" w:sz="12" w:space="0" w:color="auto"/>
            </w:tcBorders>
            <w:vAlign w:val="center"/>
          </w:tcPr>
          <w:p w:rsidR="00446B0D" w:rsidRDefault="008F1B69">
            <w:pPr>
              <w:pStyle w:val="ListParagraph"/>
              <w:numPr>
                <w:ilvl w:val="0"/>
                <w:numId w:val="0"/>
              </w:numPr>
              <w:jc w:val="center"/>
              <w:rPr>
                <w:sz w:val="18"/>
                <w:szCs w:val="18"/>
              </w:rPr>
            </w:pPr>
            <w:r>
              <w:rPr>
                <w:sz w:val="18"/>
                <w:szCs w:val="18"/>
              </w:rPr>
              <w:t>90</w:t>
            </w:r>
          </w:p>
        </w:tc>
      </w:tr>
      <w:tr w:rsidR="00446B0D">
        <w:tblPrEx>
          <w:tblBorders>
            <w:top w:val="single" w:sz="4" w:space="0" w:color="auto"/>
            <w:left w:val="single" w:sz="4" w:space="0" w:color="auto"/>
            <w:bottom w:val="single" w:sz="4" w:space="0" w:color="auto"/>
            <w:right w:val="single" w:sz="4" w:space="0" w:color="auto"/>
            <w:insideH w:val="single" w:sz="4" w:space="0" w:color="auto"/>
          </w:tblBorders>
        </w:tblPrEx>
        <w:tc>
          <w:tcPr>
            <w:tcW w:w="147" w:type="pct"/>
            <w:tcBorders>
              <w:top w:val="dashed" w:sz="4" w:space="0" w:color="auto"/>
              <w:left w:val="single" w:sz="12"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8</w:t>
            </w:r>
          </w:p>
        </w:tc>
        <w:tc>
          <w:tcPr>
            <w:tcW w:w="294" w:type="pct"/>
            <w:tcBorders>
              <w:top w:val="dashed" w:sz="4"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IE</w:t>
            </w:r>
          </w:p>
        </w:tc>
        <w:tc>
          <w:tcPr>
            <w:tcW w:w="956" w:type="pct"/>
            <w:tcBorders>
              <w:top w:val="dashed" w:sz="4" w:space="0" w:color="auto"/>
              <w:bottom w:val="dashed" w:sz="4" w:space="0" w:color="auto"/>
            </w:tcBorders>
            <w:vAlign w:val="center"/>
          </w:tcPr>
          <w:p w:rsidR="00446B0D" w:rsidRDefault="008F1B69">
            <w:pPr>
              <w:pStyle w:val="ListParagraph"/>
              <w:ind w:left="0"/>
              <w:rPr>
                <w:sz w:val="18"/>
                <w:szCs w:val="18"/>
              </w:rPr>
            </w:pPr>
            <w:r>
              <w:rPr>
                <w:sz w:val="18"/>
                <w:szCs w:val="18"/>
              </w:rPr>
              <w:t>Irish Centre for European Law</w:t>
            </w:r>
          </w:p>
        </w:tc>
        <w:tc>
          <w:tcPr>
            <w:tcW w:w="2279" w:type="pct"/>
            <w:tcBorders>
              <w:top w:val="dashed" w:sz="4" w:space="0" w:color="auto"/>
              <w:bottom w:val="dashed" w:sz="4" w:space="0" w:color="auto"/>
            </w:tcBorders>
            <w:vAlign w:val="center"/>
          </w:tcPr>
          <w:p w:rsidR="00446B0D" w:rsidRDefault="008F1B69">
            <w:pPr>
              <w:pStyle w:val="ListParagraph"/>
              <w:numPr>
                <w:ilvl w:val="0"/>
                <w:numId w:val="0"/>
              </w:numPr>
              <w:rPr>
                <w:sz w:val="18"/>
                <w:szCs w:val="18"/>
              </w:rPr>
            </w:pPr>
            <w:r>
              <w:rPr>
                <w:sz w:val="18"/>
                <w:szCs w:val="18"/>
              </w:rPr>
              <w:t xml:space="preserve">Prospects for criminal law at EU level in relation to the protection of the EU’s </w:t>
            </w:r>
            <w:r>
              <w:rPr>
                <w:sz w:val="18"/>
                <w:szCs w:val="18"/>
              </w:rPr>
              <w:t>financial interests – March 2014, Dublin</w:t>
            </w:r>
          </w:p>
        </w:tc>
        <w:tc>
          <w:tcPr>
            <w:tcW w:w="368" w:type="pct"/>
            <w:tcBorders>
              <w:top w:val="dashed" w:sz="4" w:space="0" w:color="auto"/>
              <w:bottom w:val="dashed" w:sz="4" w:space="0" w:color="auto"/>
            </w:tcBorders>
            <w:vAlign w:val="center"/>
          </w:tcPr>
          <w:p w:rsidR="00446B0D" w:rsidRDefault="008F1B69">
            <w:pPr>
              <w:pStyle w:val="ListParagraph"/>
              <w:numPr>
                <w:ilvl w:val="0"/>
                <w:numId w:val="0"/>
              </w:numPr>
              <w:jc w:val="center"/>
              <w:rPr>
                <w:sz w:val="18"/>
                <w:szCs w:val="18"/>
              </w:rPr>
            </w:pPr>
            <w:r>
              <w:rPr>
                <w:sz w:val="18"/>
                <w:szCs w:val="18"/>
              </w:rPr>
              <w:t>53</w:t>
            </w:r>
          </w:p>
        </w:tc>
        <w:tc>
          <w:tcPr>
            <w:tcW w:w="514" w:type="pct"/>
            <w:tcBorders>
              <w:top w:val="dashed" w:sz="4" w:space="0" w:color="auto"/>
              <w:bottom w:val="dashed" w:sz="4" w:space="0" w:color="auto"/>
            </w:tcBorders>
            <w:vAlign w:val="center"/>
          </w:tcPr>
          <w:p w:rsidR="00446B0D" w:rsidRDefault="008F1B69">
            <w:pPr>
              <w:pStyle w:val="ListParagraph"/>
              <w:numPr>
                <w:ilvl w:val="0"/>
                <w:numId w:val="0"/>
              </w:numPr>
              <w:jc w:val="right"/>
              <w:rPr>
                <w:sz w:val="18"/>
                <w:szCs w:val="18"/>
              </w:rPr>
            </w:pPr>
            <w:r>
              <w:rPr>
                <w:sz w:val="18"/>
                <w:szCs w:val="18"/>
              </w:rPr>
              <w:t>27 650</w:t>
            </w:r>
          </w:p>
        </w:tc>
        <w:tc>
          <w:tcPr>
            <w:tcW w:w="442" w:type="pct"/>
            <w:tcBorders>
              <w:top w:val="dashed" w:sz="4" w:space="0" w:color="auto"/>
              <w:bottom w:val="dashed" w:sz="4" w:space="0" w:color="auto"/>
              <w:right w:val="single" w:sz="12" w:space="0" w:color="auto"/>
            </w:tcBorders>
            <w:vAlign w:val="center"/>
          </w:tcPr>
          <w:p w:rsidR="00446B0D" w:rsidRDefault="008F1B69">
            <w:pPr>
              <w:pStyle w:val="ListParagraph"/>
              <w:numPr>
                <w:ilvl w:val="0"/>
                <w:numId w:val="0"/>
              </w:numPr>
              <w:jc w:val="center"/>
              <w:rPr>
                <w:sz w:val="18"/>
                <w:szCs w:val="18"/>
              </w:rPr>
            </w:pPr>
            <w:r>
              <w:rPr>
                <w:sz w:val="18"/>
                <w:szCs w:val="18"/>
              </w:rPr>
              <w:t>90</w:t>
            </w:r>
          </w:p>
        </w:tc>
      </w:tr>
      <w:tr w:rsidR="00446B0D">
        <w:tblPrEx>
          <w:tblBorders>
            <w:top w:val="single" w:sz="4" w:space="0" w:color="auto"/>
            <w:left w:val="single" w:sz="4" w:space="0" w:color="auto"/>
            <w:bottom w:val="single" w:sz="4" w:space="0" w:color="auto"/>
            <w:right w:val="single" w:sz="4" w:space="0" w:color="auto"/>
            <w:insideH w:val="single" w:sz="4" w:space="0" w:color="auto"/>
          </w:tblBorders>
        </w:tblPrEx>
        <w:tc>
          <w:tcPr>
            <w:tcW w:w="147" w:type="pct"/>
            <w:tcBorders>
              <w:top w:val="dashed" w:sz="4" w:space="0" w:color="auto"/>
              <w:left w:val="single" w:sz="12" w:space="0" w:color="auto"/>
              <w:bottom w:val="single" w:sz="12" w:space="0" w:color="auto"/>
            </w:tcBorders>
            <w:vAlign w:val="center"/>
          </w:tcPr>
          <w:p w:rsidR="00446B0D" w:rsidRDefault="008F1B69">
            <w:pPr>
              <w:pStyle w:val="ListParagraph"/>
              <w:numPr>
                <w:ilvl w:val="0"/>
                <w:numId w:val="0"/>
              </w:numPr>
              <w:jc w:val="center"/>
              <w:rPr>
                <w:sz w:val="18"/>
                <w:szCs w:val="18"/>
              </w:rPr>
            </w:pPr>
            <w:r>
              <w:rPr>
                <w:sz w:val="18"/>
                <w:szCs w:val="18"/>
              </w:rPr>
              <w:t>9</w:t>
            </w:r>
          </w:p>
        </w:tc>
        <w:tc>
          <w:tcPr>
            <w:tcW w:w="294" w:type="pct"/>
            <w:tcBorders>
              <w:top w:val="dashed" w:sz="4" w:space="0" w:color="auto"/>
              <w:bottom w:val="single" w:sz="12" w:space="0" w:color="auto"/>
            </w:tcBorders>
            <w:vAlign w:val="center"/>
          </w:tcPr>
          <w:p w:rsidR="00446B0D" w:rsidRDefault="008F1B69">
            <w:pPr>
              <w:pStyle w:val="ListParagraph"/>
              <w:numPr>
                <w:ilvl w:val="0"/>
                <w:numId w:val="0"/>
              </w:numPr>
              <w:jc w:val="center"/>
              <w:rPr>
                <w:sz w:val="18"/>
                <w:szCs w:val="18"/>
              </w:rPr>
            </w:pPr>
            <w:r>
              <w:rPr>
                <w:sz w:val="18"/>
                <w:szCs w:val="18"/>
              </w:rPr>
              <w:t>IT</w:t>
            </w:r>
          </w:p>
        </w:tc>
        <w:tc>
          <w:tcPr>
            <w:tcW w:w="956" w:type="pct"/>
            <w:tcBorders>
              <w:top w:val="dashed" w:sz="4" w:space="0" w:color="auto"/>
              <w:bottom w:val="single" w:sz="12" w:space="0" w:color="auto"/>
            </w:tcBorders>
          </w:tcPr>
          <w:p w:rsidR="00446B0D" w:rsidRDefault="008F1B69">
            <w:pPr>
              <w:pStyle w:val="ListParagraph"/>
              <w:ind w:left="0"/>
              <w:rPr>
                <w:sz w:val="18"/>
                <w:szCs w:val="18"/>
                <w:lang w:val="it-IT"/>
              </w:rPr>
            </w:pPr>
            <w:r>
              <w:rPr>
                <w:sz w:val="18"/>
                <w:szCs w:val="18"/>
                <w:lang w:val="it-IT"/>
              </w:rPr>
              <w:t>Centro Studi di Diritto Penale Europeo</w:t>
            </w:r>
          </w:p>
        </w:tc>
        <w:tc>
          <w:tcPr>
            <w:tcW w:w="2279" w:type="pct"/>
            <w:tcBorders>
              <w:top w:val="dashed" w:sz="4" w:space="0" w:color="auto"/>
              <w:bottom w:val="single" w:sz="12" w:space="0" w:color="auto"/>
            </w:tcBorders>
          </w:tcPr>
          <w:p w:rsidR="00446B0D" w:rsidRDefault="008F1B69">
            <w:pPr>
              <w:pStyle w:val="ListParagraph"/>
              <w:numPr>
                <w:ilvl w:val="0"/>
                <w:numId w:val="0"/>
              </w:numPr>
              <w:rPr>
                <w:sz w:val="18"/>
                <w:szCs w:val="18"/>
              </w:rPr>
            </w:pPr>
            <w:r>
              <w:rPr>
                <w:sz w:val="18"/>
                <w:szCs w:val="18"/>
              </w:rPr>
              <w:t>The acquisition of evidence and defence guarantees in crimes against the financial interests of the European Union - Jan 2014, Milano</w:t>
            </w:r>
          </w:p>
        </w:tc>
        <w:tc>
          <w:tcPr>
            <w:tcW w:w="368" w:type="pct"/>
            <w:tcBorders>
              <w:top w:val="dashed" w:sz="4" w:space="0" w:color="auto"/>
              <w:bottom w:val="single" w:sz="12" w:space="0" w:color="auto"/>
            </w:tcBorders>
            <w:vAlign w:val="center"/>
          </w:tcPr>
          <w:p w:rsidR="00446B0D" w:rsidRDefault="008F1B69">
            <w:pPr>
              <w:pStyle w:val="ListParagraph"/>
              <w:numPr>
                <w:ilvl w:val="0"/>
                <w:numId w:val="0"/>
              </w:numPr>
              <w:jc w:val="center"/>
              <w:rPr>
                <w:sz w:val="18"/>
                <w:szCs w:val="18"/>
              </w:rPr>
            </w:pPr>
            <w:r>
              <w:rPr>
                <w:sz w:val="18"/>
                <w:szCs w:val="18"/>
              </w:rPr>
              <w:t>200</w:t>
            </w:r>
          </w:p>
        </w:tc>
        <w:tc>
          <w:tcPr>
            <w:tcW w:w="514" w:type="pct"/>
            <w:tcBorders>
              <w:top w:val="dashed" w:sz="4" w:space="0" w:color="auto"/>
              <w:bottom w:val="single" w:sz="12" w:space="0" w:color="auto"/>
            </w:tcBorders>
            <w:vAlign w:val="center"/>
          </w:tcPr>
          <w:p w:rsidR="00446B0D" w:rsidRDefault="008F1B69">
            <w:pPr>
              <w:pStyle w:val="ListParagraph"/>
              <w:numPr>
                <w:ilvl w:val="0"/>
                <w:numId w:val="0"/>
              </w:numPr>
              <w:jc w:val="right"/>
              <w:rPr>
                <w:sz w:val="18"/>
                <w:szCs w:val="18"/>
              </w:rPr>
            </w:pPr>
            <w:r>
              <w:rPr>
                <w:sz w:val="18"/>
                <w:szCs w:val="18"/>
              </w:rPr>
              <w:t>33 559</w:t>
            </w:r>
          </w:p>
        </w:tc>
        <w:tc>
          <w:tcPr>
            <w:tcW w:w="442" w:type="pct"/>
            <w:tcBorders>
              <w:top w:val="dashed" w:sz="4" w:space="0" w:color="auto"/>
              <w:bottom w:val="single" w:sz="12" w:space="0" w:color="auto"/>
              <w:right w:val="single" w:sz="12" w:space="0" w:color="auto"/>
            </w:tcBorders>
            <w:vAlign w:val="center"/>
          </w:tcPr>
          <w:p w:rsidR="00446B0D" w:rsidRDefault="008F1B69">
            <w:pPr>
              <w:pStyle w:val="ListParagraph"/>
              <w:numPr>
                <w:ilvl w:val="0"/>
                <w:numId w:val="0"/>
              </w:numPr>
              <w:jc w:val="center"/>
              <w:rPr>
                <w:sz w:val="18"/>
                <w:szCs w:val="18"/>
              </w:rPr>
            </w:pPr>
            <w:r>
              <w:rPr>
                <w:sz w:val="18"/>
                <w:szCs w:val="18"/>
              </w:rPr>
              <w:t>90</w:t>
            </w:r>
          </w:p>
        </w:tc>
      </w:tr>
      <w:tr w:rsidR="00446B0D">
        <w:tblPrEx>
          <w:tblBorders>
            <w:top w:val="single" w:sz="4" w:space="0" w:color="auto"/>
            <w:left w:val="single" w:sz="4" w:space="0" w:color="auto"/>
            <w:bottom w:val="single" w:sz="4" w:space="0" w:color="auto"/>
            <w:right w:val="single" w:sz="4" w:space="0" w:color="auto"/>
            <w:insideH w:val="single" w:sz="4" w:space="0" w:color="auto"/>
          </w:tblBorders>
        </w:tblPrEx>
        <w:trPr>
          <w:trHeight w:val="329"/>
        </w:trPr>
        <w:tc>
          <w:tcPr>
            <w:tcW w:w="147" w:type="pct"/>
            <w:tcBorders>
              <w:top w:val="single" w:sz="12" w:space="0" w:color="auto"/>
              <w:left w:val="nil"/>
              <w:bottom w:val="nil"/>
              <w:right w:val="nil"/>
            </w:tcBorders>
            <w:vAlign w:val="center"/>
          </w:tcPr>
          <w:p w:rsidR="00446B0D" w:rsidRDefault="00446B0D">
            <w:pPr>
              <w:pStyle w:val="ListParagraph"/>
              <w:numPr>
                <w:ilvl w:val="0"/>
                <w:numId w:val="0"/>
              </w:numPr>
              <w:jc w:val="center"/>
              <w:rPr>
                <w:sz w:val="20"/>
                <w:szCs w:val="20"/>
              </w:rPr>
            </w:pPr>
          </w:p>
        </w:tc>
        <w:tc>
          <w:tcPr>
            <w:tcW w:w="294" w:type="pct"/>
            <w:tcBorders>
              <w:top w:val="single" w:sz="12" w:space="0" w:color="auto"/>
              <w:left w:val="nil"/>
              <w:bottom w:val="nil"/>
              <w:right w:val="nil"/>
            </w:tcBorders>
            <w:vAlign w:val="center"/>
          </w:tcPr>
          <w:p w:rsidR="00446B0D" w:rsidRDefault="00446B0D">
            <w:pPr>
              <w:pStyle w:val="ListParagraph"/>
              <w:numPr>
                <w:ilvl w:val="0"/>
                <w:numId w:val="0"/>
              </w:numPr>
              <w:jc w:val="center"/>
              <w:rPr>
                <w:sz w:val="20"/>
                <w:szCs w:val="20"/>
              </w:rPr>
            </w:pPr>
          </w:p>
        </w:tc>
        <w:tc>
          <w:tcPr>
            <w:tcW w:w="956" w:type="pct"/>
            <w:tcBorders>
              <w:top w:val="single" w:sz="12" w:space="0" w:color="auto"/>
              <w:left w:val="nil"/>
              <w:bottom w:val="nil"/>
              <w:right w:val="single" w:sz="12" w:space="0" w:color="auto"/>
            </w:tcBorders>
          </w:tcPr>
          <w:p w:rsidR="00446B0D" w:rsidRDefault="00446B0D">
            <w:pPr>
              <w:pStyle w:val="ListParagraph"/>
              <w:numPr>
                <w:ilvl w:val="0"/>
                <w:numId w:val="0"/>
              </w:numPr>
              <w:rPr>
                <w:sz w:val="20"/>
                <w:szCs w:val="20"/>
              </w:rPr>
            </w:pPr>
          </w:p>
        </w:tc>
        <w:tc>
          <w:tcPr>
            <w:tcW w:w="2279" w:type="pct"/>
            <w:tcBorders>
              <w:top w:val="single" w:sz="12" w:space="0" w:color="auto"/>
              <w:left w:val="single" w:sz="12" w:space="0" w:color="auto"/>
              <w:bottom w:val="single" w:sz="12" w:space="0" w:color="auto"/>
            </w:tcBorders>
            <w:shd w:val="clear" w:color="auto" w:fill="C7C7C7" w:themeFill="background1" w:themeFillShade="D9"/>
            <w:vAlign w:val="center"/>
          </w:tcPr>
          <w:p w:rsidR="00446B0D" w:rsidRDefault="008F1B69">
            <w:pPr>
              <w:pStyle w:val="ListParagraph"/>
              <w:numPr>
                <w:ilvl w:val="0"/>
                <w:numId w:val="0"/>
              </w:numPr>
              <w:jc w:val="right"/>
              <w:rPr>
                <w:b/>
                <w:sz w:val="20"/>
                <w:szCs w:val="20"/>
              </w:rPr>
            </w:pPr>
            <w:r>
              <w:rPr>
                <w:b/>
                <w:sz w:val="20"/>
                <w:szCs w:val="20"/>
              </w:rPr>
              <w:t>Total</w:t>
            </w:r>
          </w:p>
        </w:tc>
        <w:tc>
          <w:tcPr>
            <w:tcW w:w="368" w:type="pct"/>
            <w:tcBorders>
              <w:top w:val="single" w:sz="12" w:space="0" w:color="auto"/>
              <w:bottom w:val="single" w:sz="12" w:space="0" w:color="auto"/>
            </w:tcBorders>
            <w:shd w:val="clear" w:color="auto" w:fill="C7C7C7" w:themeFill="background1" w:themeFillShade="D9"/>
            <w:vAlign w:val="center"/>
          </w:tcPr>
          <w:p w:rsidR="00446B0D" w:rsidRDefault="008F1B69">
            <w:pPr>
              <w:pStyle w:val="ListParagraph"/>
              <w:numPr>
                <w:ilvl w:val="0"/>
                <w:numId w:val="0"/>
              </w:numPr>
              <w:jc w:val="center"/>
              <w:rPr>
                <w:b/>
                <w:sz w:val="20"/>
                <w:szCs w:val="20"/>
              </w:rPr>
            </w:pPr>
            <w:r>
              <w:rPr>
                <w:b/>
                <w:sz w:val="20"/>
                <w:szCs w:val="20"/>
              </w:rPr>
              <w:t>840</w:t>
            </w:r>
          </w:p>
        </w:tc>
        <w:tc>
          <w:tcPr>
            <w:tcW w:w="514" w:type="pct"/>
            <w:tcBorders>
              <w:top w:val="single" w:sz="12" w:space="0" w:color="auto"/>
              <w:bottom w:val="single" w:sz="12" w:space="0" w:color="auto"/>
            </w:tcBorders>
            <w:shd w:val="clear" w:color="auto" w:fill="C7C7C7" w:themeFill="background1" w:themeFillShade="D9"/>
            <w:vAlign w:val="center"/>
          </w:tcPr>
          <w:p w:rsidR="00446B0D" w:rsidRDefault="008F1B69">
            <w:pPr>
              <w:pStyle w:val="ListParagraph"/>
              <w:numPr>
                <w:ilvl w:val="0"/>
                <w:numId w:val="0"/>
              </w:numPr>
              <w:jc w:val="right"/>
              <w:rPr>
                <w:b/>
                <w:sz w:val="20"/>
                <w:szCs w:val="20"/>
              </w:rPr>
            </w:pPr>
            <w:r>
              <w:rPr>
                <w:b/>
                <w:sz w:val="20"/>
                <w:szCs w:val="20"/>
              </w:rPr>
              <w:t>393 523</w:t>
            </w:r>
          </w:p>
        </w:tc>
        <w:tc>
          <w:tcPr>
            <w:tcW w:w="442" w:type="pct"/>
            <w:tcBorders>
              <w:top w:val="single" w:sz="12" w:space="0" w:color="auto"/>
              <w:bottom w:val="single" w:sz="12" w:space="0" w:color="auto"/>
              <w:right w:val="single" w:sz="12" w:space="0" w:color="auto"/>
            </w:tcBorders>
            <w:shd w:val="clear" w:color="auto" w:fill="C7C7C7" w:themeFill="background1" w:themeFillShade="D9"/>
            <w:vAlign w:val="center"/>
          </w:tcPr>
          <w:p w:rsidR="00446B0D" w:rsidRDefault="008F1B69">
            <w:pPr>
              <w:jc w:val="center"/>
              <w:rPr>
                <w:b/>
                <w:noProof/>
                <w:sz w:val="20"/>
                <w:szCs w:val="20"/>
              </w:rPr>
            </w:pPr>
            <w:r>
              <w:rPr>
                <w:b/>
                <w:noProof/>
                <w:sz w:val="20"/>
                <w:szCs w:val="20"/>
              </w:rPr>
              <w:t>86</w:t>
            </w:r>
          </w:p>
        </w:tc>
      </w:tr>
    </w:tbl>
    <w:p w:rsidR="00446B0D" w:rsidRDefault="00446B0D">
      <w:pPr>
        <w:rPr>
          <w:noProof/>
          <w:lang w:eastAsia="de-DE"/>
        </w:rPr>
      </w:pPr>
    </w:p>
    <w:sectPr w:rsidR="00446B0D">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B69" w:rsidRDefault="008F1B69">
      <w:pPr>
        <w:spacing w:before="0" w:after="0"/>
      </w:pPr>
      <w:r>
        <w:separator/>
      </w:r>
    </w:p>
  </w:endnote>
  <w:endnote w:type="continuationSeparator" w:id="0">
    <w:p w:rsidR="008F1B69" w:rsidRDefault="008F1B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0D" w:rsidRDefault="00446B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0D" w:rsidRDefault="008F1B69">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0D" w:rsidRDefault="00446B0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0D" w:rsidRDefault="00446B0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0D" w:rsidRDefault="00446B0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0D" w:rsidRDefault="00446B0D">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0D" w:rsidRDefault="00446B0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066278"/>
      <w:docPartObj>
        <w:docPartGallery w:val="Page Numbers (Bottom of Page)"/>
        <w:docPartUnique/>
      </w:docPartObj>
    </w:sdtPr>
    <w:sdtEndPr/>
    <w:sdtContent>
      <w:p w:rsidR="00446B0D" w:rsidRDefault="008F1B69">
        <w:pPr>
          <w:pStyle w:val="Footer"/>
          <w:jc w:val="center"/>
        </w:pPr>
        <w:r>
          <w:fldChar w:fldCharType="begin"/>
        </w:r>
        <w:r>
          <w:instrText xml:space="preserve"> PAGE   \* MERGEFORMAT </w:instrText>
        </w:r>
        <w:r>
          <w:fldChar w:fldCharType="separate"/>
        </w:r>
        <w:r w:rsidR="001958EE">
          <w:rPr>
            <w:noProof/>
          </w:rPr>
          <w:t>26</w:t>
        </w:r>
        <w:r>
          <w:fldChar w:fldCharType="end"/>
        </w:r>
      </w:p>
    </w:sdtContent>
  </w:sdt>
  <w:p w:rsidR="00446B0D" w:rsidRDefault="00446B0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0D" w:rsidRDefault="00446B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B69" w:rsidRDefault="008F1B69">
      <w:pPr>
        <w:spacing w:before="0" w:after="0"/>
      </w:pPr>
      <w:r>
        <w:separator/>
      </w:r>
    </w:p>
  </w:footnote>
  <w:footnote w:type="continuationSeparator" w:id="0">
    <w:p w:rsidR="008F1B69" w:rsidRDefault="008F1B69">
      <w:pPr>
        <w:spacing w:before="0" w:after="0"/>
      </w:pPr>
      <w:r>
        <w:continuationSeparator/>
      </w:r>
    </w:p>
  </w:footnote>
  <w:footnote w:id="1">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t>Regulation (EU) No 250/2014 of the European Parliament and of the Council of 26 February 2014, OJ L 84 of 20 March 2014. The Regulation entered into force on 21 March 2014 and was applicable from</w:t>
      </w:r>
      <w:r>
        <w:rPr>
          <w:sz w:val="16"/>
          <w:szCs w:val="16"/>
        </w:rPr>
        <w:t xml:space="preserve"> 1 January 2014 onwards. Article 13 of this Regulation (Monitoring and evaluation) requires the Commission to ‘</w:t>
      </w:r>
      <w:r>
        <w:rPr>
          <w:i/>
          <w:sz w:val="16"/>
          <w:szCs w:val="16"/>
        </w:rPr>
        <w:t>provide the European Parliament and the Council, on an annual basis, with information on the implementation of the Programme, including on the ac</w:t>
      </w:r>
      <w:r>
        <w:rPr>
          <w:i/>
          <w:sz w:val="16"/>
          <w:szCs w:val="16"/>
        </w:rPr>
        <w:t>hievement of the objectives of the Programme and the results</w:t>
      </w:r>
      <w:r>
        <w:rPr>
          <w:sz w:val="16"/>
          <w:szCs w:val="16"/>
        </w:rPr>
        <w:t>’.</w:t>
      </w:r>
    </w:p>
  </w:footnote>
  <w:footnote w:id="2">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r>
      <w:proofErr w:type="gramStart"/>
      <w:r>
        <w:rPr>
          <w:sz w:val="16"/>
          <w:szCs w:val="16"/>
        </w:rPr>
        <w:t>Article 13 of Regulation 250/2014.</w:t>
      </w:r>
      <w:proofErr w:type="gramEnd"/>
    </w:p>
  </w:footnote>
  <w:footnote w:id="3">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t xml:space="preserve">The first annual work programme was adopted by Financing Decision </w:t>
      </w:r>
      <w:proofErr w:type="gramStart"/>
      <w:r>
        <w:rPr>
          <w:sz w:val="16"/>
          <w:szCs w:val="16"/>
        </w:rPr>
        <w:t>C(</w:t>
      </w:r>
      <w:proofErr w:type="gramEnd"/>
      <w:r>
        <w:rPr>
          <w:sz w:val="16"/>
          <w:szCs w:val="16"/>
        </w:rPr>
        <w:t>2014)3391 final of 26 May 2014.</w:t>
      </w:r>
    </w:p>
  </w:footnote>
  <w:footnote w:id="4">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r>
      <w:proofErr w:type="gramStart"/>
      <w:r>
        <w:rPr>
          <w:sz w:val="16"/>
          <w:szCs w:val="16"/>
        </w:rPr>
        <w:t>Article 3 of Regulation 250/2014.</w:t>
      </w:r>
      <w:proofErr w:type="gramEnd"/>
    </w:p>
  </w:footnote>
  <w:footnote w:id="5">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r>
      <w:proofErr w:type="gramStart"/>
      <w:r>
        <w:rPr>
          <w:sz w:val="16"/>
          <w:szCs w:val="16"/>
        </w:rPr>
        <w:t>Article 4 of</w:t>
      </w:r>
      <w:r>
        <w:rPr>
          <w:sz w:val="16"/>
          <w:szCs w:val="16"/>
        </w:rPr>
        <w:t xml:space="preserve"> Regulation 250/2014.</w:t>
      </w:r>
      <w:proofErr w:type="gramEnd"/>
    </w:p>
  </w:footnote>
  <w:footnote w:id="6">
    <w:p w:rsidR="00446B0D" w:rsidRDefault="008F1B69">
      <w:pPr>
        <w:pStyle w:val="FootnoteText"/>
      </w:pPr>
      <w:r>
        <w:rPr>
          <w:rStyle w:val="FootnoteReference"/>
          <w:sz w:val="16"/>
          <w:szCs w:val="16"/>
        </w:rPr>
        <w:footnoteRef/>
      </w:r>
      <w:r>
        <w:rPr>
          <w:sz w:val="16"/>
          <w:szCs w:val="16"/>
        </w:rPr>
        <w:t xml:space="preserve"> </w:t>
      </w:r>
      <w:r>
        <w:rPr>
          <w:sz w:val="16"/>
          <w:szCs w:val="16"/>
        </w:rPr>
        <w:tab/>
      </w:r>
      <w:proofErr w:type="gramStart"/>
      <w:r>
        <w:rPr>
          <w:sz w:val="16"/>
          <w:szCs w:val="16"/>
        </w:rPr>
        <w:t>Article 5 of Regulation 250/2014.</w:t>
      </w:r>
      <w:proofErr w:type="gramEnd"/>
    </w:p>
  </w:footnote>
  <w:footnote w:id="7">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r>
      <w:proofErr w:type="gramStart"/>
      <w:r>
        <w:rPr>
          <w:sz w:val="16"/>
          <w:szCs w:val="16"/>
        </w:rPr>
        <w:t>Article 8 of Regulation 250/2014.</w:t>
      </w:r>
      <w:proofErr w:type="gramEnd"/>
    </w:p>
  </w:footnote>
  <w:footnote w:id="8">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t>It is important to underline that ‘Technical assistance’ as defined in Regulation 250/2014 differs substantially from the term  used in Article 121(7) of Com</w:t>
      </w:r>
      <w:r>
        <w:rPr>
          <w:sz w:val="16"/>
          <w:szCs w:val="16"/>
        </w:rPr>
        <w:t>mission Delegated Regulation (EU) 1268/2012 of 29 October on the Rules of Application (RAP) of Regulation 966/2012 (Financial Regulation - FR), which defines technical assistance as ‘</w:t>
      </w:r>
      <w:r>
        <w:rPr>
          <w:i/>
          <w:sz w:val="16"/>
          <w:szCs w:val="16"/>
        </w:rPr>
        <w:t>support and capacity-building activities necessary for the implementation</w:t>
      </w:r>
      <w:r>
        <w:rPr>
          <w:i/>
          <w:sz w:val="16"/>
          <w:szCs w:val="16"/>
        </w:rPr>
        <w:t xml:space="preserve"> of a programme or an action, in particular preparatory, management, monitoring, evaluation, audit and control activities</w:t>
      </w:r>
      <w:r>
        <w:rPr>
          <w:sz w:val="16"/>
          <w:szCs w:val="16"/>
        </w:rPr>
        <w:t>’.</w:t>
      </w:r>
    </w:p>
  </w:footnote>
  <w:footnote w:id="9">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t>Article 7 of Regulation 250/2014 determines the geographical scope of the Programme. The participation of national and regional a</w:t>
      </w:r>
      <w:r>
        <w:rPr>
          <w:sz w:val="16"/>
          <w:szCs w:val="16"/>
        </w:rPr>
        <w:t>dministrations from third countries (including EEA countries and Switzerland) in the Programme is subject to an agreement between the respective third countries and the Union on the former’s participation in EU programmes. For the time being, no such agree</w:t>
      </w:r>
      <w:r>
        <w:rPr>
          <w:sz w:val="16"/>
          <w:szCs w:val="16"/>
        </w:rPr>
        <w:t>ment is in force.</w:t>
      </w:r>
    </w:p>
  </w:footnote>
  <w:footnote w:id="10">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t xml:space="preserve">OJ L 51 of 20 February 2014, p. 989 and p. 991-992. The payment appropriations were not sufficient to cover the commitments made in 2014 and in earlier years under the </w:t>
      </w:r>
      <w:proofErr w:type="spellStart"/>
      <w:r>
        <w:rPr>
          <w:sz w:val="16"/>
          <w:szCs w:val="16"/>
        </w:rPr>
        <w:t>Hercule</w:t>
      </w:r>
      <w:proofErr w:type="spellEnd"/>
      <w:r>
        <w:rPr>
          <w:sz w:val="16"/>
          <w:szCs w:val="16"/>
        </w:rPr>
        <w:t xml:space="preserve"> II Programme. This led the Budget Authority to make additio</w:t>
      </w:r>
      <w:r>
        <w:rPr>
          <w:sz w:val="16"/>
          <w:szCs w:val="16"/>
        </w:rPr>
        <w:t>nal payment appropriations of EUR 942 750 available in December 2014.</w:t>
      </w:r>
    </w:p>
  </w:footnote>
  <w:footnote w:id="11">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t>Commitments cover the total costs in 2014 of legal obligations (contracts, grant agreements/decisions) entered into for operations extending over more than one year (Article 7, FR). T</w:t>
      </w:r>
      <w:r>
        <w:rPr>
          <w:sz w:val="16"/>
          <w:szCs w:val="16"/>
        </w:rPr>
        <w:t>he total amount for the commitments cannot exceed the allocated budget.</w:t>
      </w:r>
    </w:p>
  </w:footnote>
  <w:footnote w:id="12">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r>
      <w:proofErr w:type="gramStart"/>
      <w:r>
        <w:rPr>
          <w:sz w:val="16"/>
          <w:szCs w:val="16"/>
        </w:rPr>
        <w:t>Article 10 of Regulation 250/2014.</w:t>
      </w:r>
      <w:proofErr w:type="gramEnd"/>
    </w:p>
  </w:footnote>
  <w:footnote w:id="13">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r>
      <w:proofErr w:type="gramStart"/>
      <w:r>
        <w:rPr>
          <w:sz w:val="16"/>
          <w:szCs w:val="16"/>
        </w:rPr>
        <w:t>Regulation 966/2012 of the European Parliament and of the Council of 25 October 2012 on the financial rules applicable to the general budget of</w:t>
      </w:r>
      <w:r>
        <w:rPr>
          <w:sz w:val="16"/>
          <w:szCs w:val="16"/>
        </w:rPr>
        <w:t xml:space="preserve"> the Union (Financial Regulation — FR), OJ L 298 of 26 October 2012.</w:t>
      </w:r>
      <w:proofErr w:type="gramEnd"/>
      <w:r>
        <w:rPr>
          <w:sz w:val="16"/>
          <w:szCs w:val="16"/>
        </w:rPr>
        <w:t xml:space="preserve"> Title V (Articles 101-120) determines the rules on public procurement, whereas Title VI (Articles 121-137) contains the rules in relation to the award of grants.</w:t>
      </w:r>
    </w:p>
  </w:footnote>
  <w:footnote w:id="14">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r>
      <w:proofErr w:type="gramStart"/>
      <w:r>
        <w:rPr>
          <w:sz w:val="16"/>
          <w:szCs w:val="16"/>
        </w:rPr>
        <w:t>Article 101(2) FR.</w:t>
      </w:r>
      <w:proofErr w:type="gramEnd"/>
    </w:p>
  </w:footnote>
  <w:footnote w:id="15">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r>
      <w:proofErr w:type="gramStart"/>
      <w:r>
        <w:rPr>
          <w:sz w:val="16"/>
          <w:szCs w:val="16"/>
        </w:rPr>
        <w:t>Article 10(4) of Regulation 250/2014.</w:t>
      </w:r>
      <w:proofErr w:type="gramEnd"/>
    </w:p>
  </w:footnote>
  <w:footnote w:id="16">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t>The annual work programme contains the criteria as required under Article 11 of Regulation 250/2014 for the definition of exceptional and duly justified cases. Applicants were given the possibility to indicate wheth</w:t>
      </w:r>
      <w:r>
        <w:rPr>
          <w:sz w:val="16"/>
          <w:szCs w:val="16"/>
        </w:rPr>
        <w:t>er or not their applications should be considered for the maximum co-financing percentage of 90 %. The Commission decided not to apply the 90 % funding rule as none of the applications managed to demonstrate in a convincing manner their compliance with the</w:t>
      </w:r>
      <w:r>
        <w:rPr>
          <w:sz w:val="16"/>
          <w:szCs w:val="16"/>
        </w:rPr>
        <w:t xml:space="preserve"> criteria in the annual work programme. In addition, the aggregated requests for funding substantially exceeded the available budget and eventually made it impossible for the Commission to consider this option. </w:t>
      </w:r>
    </w:p>
  </w:footnote>
  <w:footnote w:id="17">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t>OJ C227 of 17 July 2014, p. 11.</w:t>
      </w:r>
    </w:p>
  </w:footnote>
  <w:footnote w:id="18">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r>
      <w:proofErr w:type="gramStart"/>
      <w:r>
        <w:rPr>
          <w:sz w:val="16"/>
          <w:szCs w:val="16"/>
        </w:rPr>
        <w:t>Eligib</w:t>
      </w:r>
      <w:r>
        <w:rPr>
          <w:sz w:val="16"/>
          <w:szCs w:val="16"/>
        </w:rPr>
        <w:t>ility, exclusion, selection and award criteria.</w:t>
      </w:r>
      <w:proofErr w:type="gramEnd"/>
    </w:p>
  </w:footnote>
  <w:footnote w:id="19">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t>As required under Article 10(1) of Regulation 250/2014.</w:t>
      </w:r>
    </w:p>
  </w:footnote>
  <w:footnote w:id="20">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r>
      <w:proofErr w:type="gramStart"/>
      <w:r>
        <w:rPr>
          <w:sz w:val="16"/>
          <w:szCs w:val="16"/>
        </w:rPr>
        <w:t>Commission Delegated Regulation (EU) No 1268/2012 of 29 October 2012 on the rules of application of Regulation 966/2012, OJ L 362 of 31 December 2</w:t>
      </w:r>
      <w:r>
        <w:rPr>
          <w:sz w:val="16"/>
          <w:szCs w:val="16"/>
        </w:rPr>
        <w:t>012.</w:t>
      </w:r>
      <w:proofErr w:type="gramEnd"/>
    </w:p>
  </w:footnote>
  <w:footnote w:id="21">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t xml:space="preserve">See section 6 of the specifications of the call: </w:t>
      </w:r>
      <w:hyperlink r:id="rId1" w:history="1">
        <w:r>
          <w:rPr>
            <w:rStyle w:val="Hyperlink"/>
            <w:sz w:val="16"/>
            <w:szCs w:val="16"/>
          </w:rPr>
          <w:t>http://ec.europa.eu/anti_fraud/policy/hercule-iii/index_en.htm</w:t>
        </w:r>
      </w:hyperlink>
      <w:r>
        <w:rPr>
          <w:rStyle w:val="Hyperlink"/>
          <w:sz w:val="16"/>
          <w:szCs w:val="16"/>
        </w:rPr>
        <w:t>.</w:t>
      </w:r>
    </w:p>
  </w:footnote>
  <w:footnote w:id="22">
    <w:p w:rsidR="00446B0D" w:rsidRDefault="008F1B69">
      <w:pPr>
        <w:pStyle w:val="FootnoteText"/>
      </w:pPr>
      <w:r>
        <w:rPr>
          <w:rStyle w:val="FootnoteReference"/>
          <w:sz w:val="16"/>
          <w:szCs w:val="16"/>
        </w:rPr>
        <w:footnoteRef/>
      </w:r>
      <w:r>
        <w:rPr>
          <w:sz w:val="16"/>
          <w:szCs w:val="16"/>
        </w:rPr>
        <w:t xml:space="preserve">  </w:t>
      </w:r>
      <w:r>
        <w:tab/>
      </w:r>
      <w:r>
        <w:rPr>
          <w:sz w:val="16"/>
          <w:szCs w:val="16"/>
        </w:rPr>
        <w:t xml:space="preserve">This amount was higher than the earmarked budget in </w:t>
      </w:r>
      <w:r>
        <w:rPr>
          <w:sz w:val="16"/>
          <w:szCs w:val="16"/>
        </w:rPr>
        <w:t>the annual work programme. At the end of 2014, appropriations that were not committed for other types of eligible actions were transferred to technical assistance.</w:t>
      </w:r>
    </w:p>
  </w:footnote>
  <w:footnote w:id="23">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r>
      <w:proofErr w:type="gramStart"/>
      <w:r>
        <w:rPr>
          <w:sz w:val="16"/>
          <w:szCs w:val="16"/>
        </w:rPr>
        <w:t>OLAF/2011/C5/027 for ship movements.</w:t>
      </w:r>
      <w:proofErr w:type="gramEnd"/>
    </w:p>
  </w:footnote>
  <w:footnote w:id="24">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r>
      <w:proofErr w:type="gramStart"/>
      <w:r>
        <w:rPr>
          <w:sz w:val="16"/>
          <w:szCs w:val="16"/>
        </w:rPr>
        <w:t>OLAF/2012/D5/022 for manifest data.</w:t>
      </w:r>
      <w:proofErr w:type="gramEnd"/>
    </w:p>
  </w:footnote>
  <w:footnote w:id="25">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r>
      <w:proofErr w:type="gramStart"/>
      <w:r>
        <w:rPr>
          <w:sz w:val="16"/>
          <w:szCs w:val="16"/>
        </w:rPr>
        <w:t>OLAF/2013/</w:t>
      </w:r>
      <w:r>
        <w:rPr>
          <w:sz w:val="16"/>
          <w:szCs w:val="16"/>
        </w:rPr>
        <w:t>D5/020 for trade data, OLAF/2013/D5/021 and OLAF/2013/D5/022 for company data.</w:t>
      </w:r>
      <w:proofErr w:type="gramEnd"/>
    </w:p>
  </w:footnote>
  <w:footnote w:id="26">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r>
      <w:proofErr w:type="gramStart"/>
      <w:r>
        <w:rPr>
          <w:sz w:val="16"/>
          <w:szCs w:val="16"/>
        </w:rPr>
        <w:t>MCI Benelux S.A., and AMEX, both located in Brussels.</w:t>
      </w:r>
      <w:proofErr w:type="gramEnd"/>
    </w:p>
  </w:footnote>
  <w:footnote w:id="27">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t xml:space="preserve">This was the autumn session of the digital forensics training. In June 2014, the spring session took place in Zagreb </w:t>
      </w:r>
      <w:r>
        <w:rPr>
          <w:sz w:val="16"/>
          <w:szCs w:val="16"/>
        </w:rPr>
        <w:t xml:space="preserve">as well. The latter session was committed under the 2013 budget of the </w:t>
      </w:r>
      <w:proofErr w:type="spellStart"/>
      <w:r>
        <w:rPr>
          <w:sz w:val="16"/>
          <w:szCs w:val="16"/>
        </w:rPr>
        <w:t>Hercule</w:t>
      </w:r>
      <w:proofErr w:type="spellEnd"/>
      <w:r>
        <w:rPr>
          <w:sz w:val="16"/>
          <w:szCs w:val="16"/>
        </w:rPr>
        <w:t xml:space="preserve"> II Programme.</w:t>
      </w:r>
    </w:p>
  </w:footnote>
  <w:footnote w:id="28">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r>
      <w:proofErr w:type="gramStart"/>
      <w:r>
        <w:rPr>
          <w:sz w:val="16"/>
          <w:szCs w:val="16"/>
        </w:rPr>
        <w:t>Insig2 Ltd, Zagreb, Croatia.</w:t>
      </w:r>
      <w:proofErr w:type="gramEnd"/>
    </w:p>
  </w:footnote>
  <w:footnote w:id="29">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t>International Association of Computer Investigative Specialists (IACIS), a US based association.</w:t>
      </w:r>
    </w:p>
  </w:footnote>
  <w:footnote w:id="30">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t>The final payments were made</w:t>
      </w:r>
      <w:r>
        <w:rPr>
          <w:sz w:val="16"/>
          <w:szCs w:val="16"/>
        </w:rPr>
        <w:t xml:space="preserve"> from payment appropriations made available under the new Programme. </w:t>
      </w:r>
    </w:p>
  </w:footnote>
  <w:footnote w:id="31">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t>This operational objective corresponds to the requirements set out in Article 1(2</w:t>
      </w:r>
      <w:proofErr w:type="gramStart"/>
      <w:r>
        <w:rPr>
          <w:sz w:val="16"/>
          <w:szCs w:val="16"/>
        </w:rPr>
        <w:t>)(</w:t>
      </w:r>
      <w:proofErr w:type="gramEnd"/>
      <w:r>
        <w:rPr>
          <w:sz w:val="16"/>
          <w:szCs w:val="16"/>
        </w:rPr>
        <w:t>a) of Decision 804/2004/EC of 21 April 2004 establishing a Community action programme to promote act</w:t>
      </w:r>
      <w:r>
        <w:rPr>
          <w:sz w:val="16"/>
          <w:szCs w:val="16"/>
        </w:rPr>
        <w:t>ivities in the field of the protection of the Community’s financial interests, OJ L 143 of 30 April 2004, as amended by Decision 878/2007/EC of 23 July 2007, OJ L 193 of 25 July 2007.</w:t>
      </w:r>
    </w:p>
  </w:footnote>
  <w:footnote w:id="32">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t>Article 1(2</w:t>
      </w:r>
      <w:proofErr w:type="gramStart"/>
      <w:r>
        <w:rPr>
          <w:sz w:val="16"/>
          <w:szCs w:val="16"/>
        </w:rPr>
        <w:t>)(</w:t>
      </w:r>
      <w:proofErr w:type="gramEnd"/>
      <w:r>
        <w:rPr>
          <w:sz w:val="16"/>
          <w:szCs w:val="16"/>
        </w:rPr>
        <w:t>b) and Article 1(a)(a)(iii) of Decision 804/2004/EC.</w:t>
      </w:r>
    </w:p>
  </w:footnote>
  <w:footnote w:id="33">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r>
      <w:r>
        <w:rPr>
          <w:sz w:val="16"/>
          <w:szCs w:val="16"/>
        </w:rPr>
        <w:t>Article 1(2</w:t>
      </w:r>
      <w:proofErr w:type="gramStart"/>
      <w:r>
        <w:rPr>
          <w:sz w:val="16"/>
          <w:szCs w:val="16"/>
        </w:rPr>
        <w:t>)(</w:t>
      </w:r>
      <w:proofErr w:type="gramEnd"/>
      <w:r>
        <w:rPr>
          <w:sz w:val="16"/>
          <w:szCs w:val="16"/>
        </w:rPr>
        <w:t>c) of Decision 804/2004/EC.</w:t>
      </w:r>
    </w:p>
  </w:footnote>
  <w:footnote w:id="34">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t>Article 1(2</w:t>
      </w:r>
      <w:proofErr w:type="gramStart"/>
      <w:r>
        <w:rPr>
          <w:sz w:val="16"/>
          <w:szCs w:val="16"/>
        </w:rPr>
        <w:t>)(</w:t>
      </w:r>
      <w:proofErr w:type="gramEnd"/>
      <w:r>
        <w:rPr>
          <w:sz w:val="16"/>
          <w:szCs w:val="16"/>
        </w:rPr>
        <w:t>e) of Decision 804/2004/EC.</w:t>
      </w:r>
    </w:p>
  </w:footnote>
  <w:footnote w:id="35">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r>
      <w:proofErr w:type="gramStart"/>
      <w:r>
        <w:rPr>
          <w:sz w:val="16"/>
          <w:szCs w:val="16"/>
        </w:rPr>
        <w:t>COM(</w:t>
      </w:r>
      <w:proofErr w:type="gramEnd"/>
      <w:r>
        <w:rPr>
          <w:sz w:val="16"/>
          <w:szCs w:val="16"/>
        </w:rPr>
        <w:t>2013) 324 final of 6 June 2013: Stepping up the fight against cigarette smuggling and other forms of illicit trade in tobacco products – A comprehensive EU strategy</w:t>
      </w:r>
      <w:r>
        <w:rPr>
          <w:sz w:val="16"/>
          <w:szCs w:val="16"/>
        </w:rPr>
        <w:t>.</w:t>
      </w:r>
    </w:p>
  </w:footnote>
  <w:footnote w:id="36">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r>
      <w:proofErr w:type="gramStart"/>
      <w:r>
        <w:rPr>
          <w:sz w:val="16"/>
          <w:szCs w:val="16"/>
        </w:rPr>
        <w:t>Article 1a (b) (vii) of Decision 804/2004/EC.</w:t>
      </w:r>
      <w:proofErr w:type="gramEnd"/>
    </w:p>
  </w:footnote>
  <w:footnote w:id="37">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t>eucrim.mpicc.de/</w:t>
      </w:r>
    </w:p>
  </w:footnote>
  <w:footnote w:id="38">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t xml:space="preserve">The four functional mailboxes consist of a general e-mailbox for the </w:t>
      </w:r>
      <w:proofErr w:type="spellStart"/>
      <w:r>
        <w:rPr>
          <w:sz w:val="16"/>
          <w:szCs w:val="16"/>
        </w:rPr>
        <w:t>Hercule</w:t>
      </w:r>
      <w:proofErr w:type="spellEnd"/>
      <w:r>
        <w:rPr>
          <w:sz w:val="16"/>
          <w:szCs w:val="16"/>
        </w:rPr>
        <w:t xml:space="preserve"> III programme and dedicated email boxes for Technical Assistance, Anti-fraud Training and Legal Training.</w:t>
      </w:r>
    </w:p>
  </w:footnote>
  <w:footnote w:id="39">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t xml:space="preserve">Article 13(1) of Regulation 250/2014: </w:t>
      </w:r>
      <w:r>
        <w:rPr>
          <w:i/>
          <w:sz w:val="16"/>
          <w:szCs w:val="16"/>
        </w:rPr>
        <w:t xml:space="preserve">The </w:t>
      </w:r>
      <w:proofErr w:type="spellStart"/>
      <w:r>
        <w:rPr>
          <w:i/>
          <w:sz w:val="16"/>
          <w:szCs w:val="16"/>
        </w:rPr>
        <w:t>Commissionshall</w:t>
      </w:r>
      <w:proofErr w:type="spellEnd"/>
      <w:r>
        <w:rPr>
          <w:i/>
          <w:sz w:val="16"/>
          <w:szCs w:val="16"/>
        </w:rPr>
        <w:t xml:space="preserve"> on an ongoing basis disseminate, including on relevant websites, the results of the activities supported under the Programme to increase transparency on the use of the </w:t>
      </w:r>
      <w:r>
        <w:rPr>
          <w:sz w:val="16"/>
          <w:szCs w:val="16"/>
        </w:rPr>
        <w:t>funds’.</w:t>
      </w:r>
    </w:p>
  </w:footnote>
  <w:footnote w:id="40">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t xml:space="preserve">OJ C 227 of 17 </w:t>
      </w:r>
      <w:r>
        <w:rPr>
          <w:sz w:val="16"/>
          <w:szCs w:val="16"/>
        </w:rPr>
        <w:t>July 2014, p. 11.</w:t>
      </w:r>
    </w:p>
  </w:footnote>
  <w:footnote w:id="41">
    <w:p w:rsidR="00446B0D" w:rsidRDefault="008F1B69">
      <w:pPr>
        <w:spacing w:before="0" w:after="0"/>
        <w:rPr>
          <w:sz w:val="16"/>
          <w:szCs w:val="16"/>
        </w:rPr>
      </w:pPr>
      <w:r>
        <w:rPr>
          <w:rStyle w:val="FootnoteReference"/>
          <w:sz w:val="16"/>
          <w:szCs w:val="16"/>
        </w:rPr>
        <w:footnoteRef/>
      </w:r>
      <w:r>
        <w:rPr>
          <w:sz w:val="16"/>
          <w:szCs w:val="16"/>
        </w:rPr>
        <w:t xml:space="preserve"> </w:t>
      </w:r>
      <w:r>
        <w:rPr>
          <w:sz w:val="16"/>
          <w:szCs w:val="16"/>
        </w:rPr>
        <w:tab/>
      </w:r>
      <w:hyperlink r:id="rId2" w:history="1">
        <w:r>
          <w:rPr>
            <w:rStyle w:val="Hyperlink"/>
            <w:sz w:val="16"/>
            <w:szCs w:val="16"/>
            <w:lang w:eastAsia="de-DE"/>
          </w:rPr>
          <w:t>http://ec.europa.eu/anti_fraud/about-us/funding/index_en.htm</w:t>
        </w:r>
      </w:hyperlink>
      <w:r>
        <w:rPr>
          <w:rStyle w:val="Hyperlink"/>
          <w:sz w:val="16"/>
          <w:szCs w:val="16"/>
          <w:lang w:eastAsia="de-DE"/>
        </w:rPr>
        <w:t>.</w:t>
      </w:r>
    </w:p>
  </w:footnote>
  <w:footnote w:id="42">
    <w:p w:rsidR="00446B0D" w:rsidRDefault="008F1B69">
      <w:pPr>
        <w:pStyle w:val="FootnoteText"/>
        <w:rPr>
          <w:sz w:val="16"/>
          <w:szCs w:val="16"/>
        </w:rPr>
      </w:pPr>
      <w:r>
        <w:rPr>
          <w:rStyle w:val="FootnoteReference"/>
          <w:sz w:val="16"/>
          <w:szCs w:val="16"/>
        </w:rPr>
        <w:footnoteRef/>
      </w:r>
      <w:r>
        <w:rPr>
          <w:sz w:val="16"/>
          <w:szCs w:val="16"/>
        </w:rPr>
        <w:t xml:space="preserve"> </w:t>
      </w:r>
      <w:r>
        <w:rPr>
          <w:sz w:val="16"/>
          <w:szCs w:val="16"/>
        </w:rPr>
        <w:tab/>
      </w:r>
      <w:proofErr w:type="gramStart"/>
      <w:r>
        <w:rPr>
          <w:sz w:val="16"/>
          <w:szCs w:val="16"/>
        </w:rPr>
        <w:t>COM(</w:t>
      </w:r>
      <w:proofErr w:type="gramEnd"/>
      <w:r>
        <w:rPr>
          <w:sz w:val="16"/>
          <w:szCs w:val="16"/>
        </w:rPr>
        <w:t>2015) 221 final of 27 May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0D" w:rsidRDefault="00446B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0D" w:rsidRDefault="00446B0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0D" w:rsidRDefault="00446B0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0D" w:rsidRDefault="00446B0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0D" w:rsidRDefault="00446B0D">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0D" w:rsidRDefault="00446B0D">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0D" w:rsidRDefault="00446B0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0D" w:rsidRDefault="00446B0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0D" w:rsidRDefault="00446B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3BF"/>
    <w:multiLevelType w:val="hybridMultilevel"/>
    <w:tmpl w:val="E88260E4"/>
    <w:lvl w:ilvl="0" w:tplc="81D076FE">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41356E"/>
    <w:multiLevelType w:val="hybridMultilevel"/>
    <w:tmpl w:val="0B1C72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69B7712"/>
    <w:multiLevelType w:val="hybridMultilevel"/>
    <w:tmpl w:val="83B6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1254D2A"/>
    <w:multiLevelType w:val="hybridMultilevel"/>
    <w:tmpl w:val="F45AB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3360B7"/>
    <w:multiLevelType w:val="hybridMultilevel"/>
    <w:tmpl w:val="1B90E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B1E33F2"/>
    <w:multiLevelType w:val="hybridMultilevel"/>
    <w:tmpl w:val="F724B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3F782138"/>
    <w:multiLevelType w:val="hybridMultilevel"/>
    <w:tmpl w:val="10ACD77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6">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4A710EDE"/>
    <w:multiLevelType w:val="hybridMultilevel"/>
    <w:tmpl w:val="185E2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4686107"/>
    <w:multiLevelType w:val="hybridMultilevel"/>
    <w:tmpl w:val="2F1A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7268A6"/>
    <w:multiLevelType w:val="hybridMultilevel"/>
    <w:tmpl w:val="E72AF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
    <w:nsid w:val="5CA31A15"/>
    <w:multiLevelType w:val="singleLevel"/>
    <w:tmpl w:val="CB981644"/>
    <w:name w:val="0.4573939"/>
    <w:lvl w:ilvl="0">
      <w:start w:val="1"/>
      <w:numFmt w:val="bullet"/>
      <w:lvlRestart w:val="0"/>
      <w:pStyle w:val="Tiret0"/>
      <w:lvlText w:val="–"/>
      <w:lvlJc w:val="left"/>
      <w:pPr>
        <w:tabs>
          <w:tab w:val="num" w:pos="850"/>
        </w:tabs>
        <w:ind w:left="850" w:hanging="850"/>
      </w:pPr>
    </w:lvl>
  </w:abstractNum>
  <w:abstractNum w:abstractNumId="2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nsid w:val="5E704003"/>
    <w:multiLevelType w:val="hybridMultilevel"/>
    <w:tmpl w:val="499EB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nsid w:val="66A16EE6"/>
    <w:multiLevelType w:val="hybridMultilevel"/>
    <w:tmpl w:val="97BED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24"/>
  </w:num>
  <w:num w:numId="3">
    <w:abstractNumId w:val="15"/>
  </w:num>
  <w:num w:numId="4">
    <w:abstractNumId w:val="16"/>
  </w:num>
  <w:num w:numId="5">
    <w:abstractNumId w:val="22"/>
  </w:num>
  <w:num w:numId="6">
    <w:abstractNumId w:val="2"/>
  </w:num>
  <w:num w:numId="7">
    <w:abstractNumId w:val="27"/>
  </w:num>
  <w:num w:numId="8">
    <w:abstractNumId w:val="5"/>
  </w:num>
  <w:num w:numId="9">
    <w:abstractNumId w:val="13"/>
  </w:num>
  <w:num w:numId="10">
    <w:abstractNumId w:val="19"/>
  </w:num>
  <w:num w:numId="11">
    <w:abstractNumId w:val="20"/>
  </w:num>
  <w:num w:numId="12">
    <w:abstractNumId w:val="6"/>
  </w:num>
  <w:num w:numId="13">
    <w:abstractNumId w:val="4"/>
  </w:num>
  <w:num w:numId="14">
    <w:abstractNumId w:val="18"/>
  </w:num>
  <w:num w:numId="15">
    <w:abstractNumId w:val="8"/>
  </w:num>
  <w:num w:numId="16">
    <w:abstractNumId w:val="1"/>
  </w:num>
  <w:num w:numId="17">
    <w:abstractNumId w:val="14"/>
  </w:num>
  <w:num w:numId="18">
    <w:abstractNumId w:val="8"/>
  </w:num>
  <w:num w:numId="19">
    <w:abstractNumId w:val="12"/>
  </w:num>
  <w:num w:numId="20">
    <w:abstractNumId w:val="26"/>
  </w:num>
  <w:num w:numId="21">
    <w:abstractNumId w:val="28"/>
  </w:num>
  <w:num w:numId="22">
    <w:abstractNumId w:val="10"/>
  </w:num>
  <w:num w:numId="23">
    <w:abstractNumId w:val="25"/>
  </w:num>
  <w:num w:numId="24">
    <w:abstractNumId w:val="23"/>
  </w:num>
  <w:num w:numId="25">
    <w:abstractNumId w:val="17"/>
  </w:num>
  <w:num w:numId="26">
    <w:abstractNumId w:val="21"/>
  </w:num>
  <w:num w:numId="27">
    <w:abstractNumId w:val="7"/>
  </w:num>
  <w:num w:numId="28">
    <w:abstractNumId w:val="11"/>
  </w:num>
  <w:num w:numId="29">
    <w:abstractNumId w:val="3"/>
  </w:num>
  <w:num w:numId="30">
    <w:abstractNumId w:val="9"/>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8CBD5065B5DE4BAC99A756C2151126A7"/>
    <w:docVar w:name="LW_CROSSREFERENCE" w:val="{COM(2015) 386 final}_x000b_{SWD(2015) 152 final}_x000b_{SWD(2015) 153 final}_x000b_{SWD(2015) 154 final}_x000b_{SWD(2015) 155 final}_x000b_{SWD(2015) 156 final}"/>
    <w:docVar w:name="LW_DocType" w:val="NORMAL"/>
    <w:docVar w:name="LW_EMISSION" w:val="31.7.2015"/>
    <w:docVar w:name="LW_EMISSION_ISODATE" w:val="2015-07-31"/>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Protection of the European Union's financial interests - Fight against Fraud_x000b_Annual Report 2014"/>
    <w:docVar w:name="LW_PART_NBR" w:val="1"/>
    <w:docVar w:name="LW_PART_NBR_TOTAL" w:val="1"/>
    <w:docVar w:name="LW_REF.INST.NEW" w:val="SWD"/>
    <w:docVar w:name="LW_REF.INST.NEW_ADOPTED" w:val="final"/>
    <w:docVar w:name="LW_REF.INST.NEW_TEXT" w:val="(2015) 151"/>
    <w:docVar w:name="LW_REF.INTERNE" w:val="&lt;UNUSED&gt;"/>
    <w:docVar w:name="LW_SUPERTITRE" w:val="&lt;UNUSED&gt;"/>
    <w:docVar w:name="LW_TITRE.OBJ.CP" w:val="Annual overview with information on the results of the Hercule III Programme in 2014"/>
    <w:docVar w:name="LW_TYPE.DOC.CP" w:val="COMMISSION STAFF WORKING DOCUMENT"/>
    <w:docVar w:name="LW_TYPEACTEPRINCIPAL.CP" w:val="REPORT FROM THE COMMISSION TO THE EUROPEAN PARLEMENT AND THE COUNCIL"/>
    <w:docVar w:name="Stamp" w:val="\\dossiers.dgt.cec.eu.int\dossiers\OLAF\OLAF-2015-00336\OLAF-2015-00336-00-01-EN-REV-00.DOCX"/>
  </w:docVars>
  <w:rsids>
    <w:rsidRoot w:val="00446B0D"/>
    <w:rsid w:val="001958EE"/>
    <w:rsid w:val="00446B0D"/>
    <w:rsid w:val="008F1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spacing w:before="360"/>
      <w:outlineLvl w:val="0"/>
    </w:pPr>
    <w:rPr>
      <w:b/>
      <w:bCs/>
      <w:iCs/>
    </w:rPr>
  </w:style>
  <w:style w:type="paragraph" w:styleId="Heading2">
    <w:name w:val="heading 2"/>
    <w:basedOn w:val="Normal"/>
    <w:next w:val="Text1"/>
    <w:link w:val="Heading2Char"/>
    <w:qFormat/>
    <w:pPr>
      <w:keepNext/>
      <w:outlineLvl w:val="1"/>
    </w:pPr>
    <w:rPr>
      <w:b/>
      <w:bCs/>
      <w:iCs/>
      <w:szCs w:val="28"/>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iCs/>
      <w:sz w:val="24"/>
      <w:szCs w:val="24"/>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paragraph" w:styleId="FootnoteText">
    <w:name w:val="footnote text"/>
    <w:basedOn w:val="Normal"/>
    <w:uiPriority w:val="99"/>
    <w:semiHidden/>
    <w:pPr>
      <w:spacing w:before="0" w:after="0"/>
      <w:ind w:left="720" w:hanging="720"/>
    </w:pPr>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character" w:styleId="FootnoteReference">
    <w:name w:val="footnote reference"/>
    <w:semiHidden/>
    <w:rPr>
      <w:shd w:val="clear" w:color="auto" w:fill="auto"/>
      <w:vertAlign w:val="superscript"/>
    </w:rPr>
  </w:style>
  <w:style w:type="paragraph" w:customStyle="1" w:styleId="Text1">
    <w:name w:val="Text 1"/>
    <w:basedOn w:val="Normal"/>
    <w:pPr>
      <w:ind w:left="850"/>
    </w:pPr>
  </w:style>
  <w:style w:type="paragraph" w:styleId="ListNumber2">
    <w:name w:val="List Number 2"/>
    <w:basedOn w:val="Normal"/>
    <w:rsid w:val="001958EE"/>
    <w:pPr>
      <w:numPr>
        <w:numId w:val="29"/>
      </w:numPr>
      <w:spacing w:before="0" w:after="240"/>
    </w:pPr>
    <w:rPr>
      <w:szCs w:val="20"/>
    </w:rPr>
  </w:style>
  <w:style w:type="paragraph" w:styleId="ListParagraph">
    <w:name w:val="List Paragraph"/>
    <w:basedOn w:val="Normal"/>
    <w:uiPriority w:val="34"/>
    <w:qFormat/>
    <w:pPr>
      <w:numPr>
        <w:numId w:val="1"/>
      </w:numPr>
      <w:spacing w:before="0" w:after="0"/>
      <w:jc w:val="left"/>
    </w:pPr>
    <w:rPr>
      <w:rFonts w:eastAsia="Calibri"/>
      <w:noProof/>
    </w:rPr>
  </w:style>
  <w:style w:type="paragraph" w:customStyle="1" w:styleId="NormalLeft">
    <w:name w:val="Normal Left"/>
    <w:basedOn w:val="Normal"/>
    <w:pPr>
      <w:jc w:val="left"/>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styleId="Hyperlink">
    <w:name w:val="Hyperlink"/>
    <w:uiPriority w:val="99"/>
    <w:rPr>
      <w:rFonts w:cs="Times New Roman"/>
      <w:color w:val="0000FF"/>
      <w:u w:val="single"/>
      <w:shd w:val="clear" w:color="auto" w:fill="auto"/>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Bullet0">
    <w:name w:val="Bullet 0"/>
    <w:basedOn w:val="Normal"/>
    <w:pPr>
      <w:numPr>
        <w:numId w:val="4"/>
      </w:numPr>
    </w:pPr>
  </w:style>
  <w:style w:type="paragraph" w:customStyle="1" w:styleId="H2">
    <w:name w:val="H2"/>
    <w:basedOn w:val="ManualHeading2"/>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ret0">
    <w:name w:val="Tiret 0"/>
    <w:basedOn w:val="Normal"/>
    <w:pPr>
      <w:numPr>
        <w:numId w:val="5"/>
      </w:numPr>
    </w:pPr>
  </w:style>
  <w:style w:type="paragraph" w:customStyle="1" w:styleId="Point0number">
    <w:name w:val="Point 0 (number)"/>
    <w:basedOn w:val="Normal"/>
    <w:pPr>
      <w:numPr>
        <w:numId w:val="13"/>
      </w:numPr>
    </w:pPr>
  </w:style>
  <w:style w:type="paragraph" w:customStyle="1" w:styleId="Point1number">
    <w:name w:val="Point 1 (number)"/>
    <w:basedOn w:val="Normal"/>
    <w:pPr>
      <w:numPr>
        <w:ilvl w:val="2"/>
        <w:numId w:val="13"/>
      </w:numPr>
    </w:pPr>
  </w:style>
  <w:style w:type="paragraph" w:customStyle="1" w:styleId="Point2number">
    <w:name w:val="Point 2 (number)"/>
    <w:basedOn w:val="Normal"/>
    <w:pPr>
      <w:numPr>
        <w:ilvl w:val="4"/>
        <w:numId w:val="13"/>
      </w:numPr>
    </w:pPr>
  </w:style>
  <w:style w:type="paragraph" w:customStyle="1" w:styleId="Point3number">
    <w:name w:val="Point 3 (number)"/>
    <w:basedOn w:val="Normal"/>
    <w:pPr>
      <w:numPr>
        <w:ilvl w:val="6"/>
        <w:numId w:val="13"/>
      </w:numPr>
    </w:pPr>
  </w:style>
  <w:style w:type="paragraph" w:customStyle="1" w:styleId="Point0letter">
    <w:name w:val="Point 0 (letter)"/>
    <w:basedOn w:val="Normal"/>
    <w:pPr>
      <w:numPr>
        <w:ilvl w:val="1"/>
        <w:numId w:val="13"/>
      </w:numPr>
    </w:pPr>
  </w:style>
  <w:style w:type="paragraph" w:customStyle="1" w:styleId="Point1letter">
    <w:name w:val="Point 1 (letter)"/>
    <w:basedOn w:val="Normal"/>
    <w:pPr>
      <w:numPr>
        <w:ilvl w:val="3"/>
        <w:numId w:val="13"/>
      </w:numPr>
    </w:pPr>
  </w:style>
  <w:style w:type="paragraph" w:customStyle="1" w:styleId="Point2letter">
    <w:name w:val="Point 2 (letter)"/>
    <w:basedOn w:val="Normal"/>
    <w:pPr>
      <w:numPr>
        <w:ilvl w:val="5"/>
        <w:numId w:val="13"/>
      </w:numPr>
    </w:pPr>
  </w:style>
  <w:style w:type="paragraph" w:customStyle="1" w:styleId="Point3letter">
    <w:name w:val="Point 3 (letter)"/>
    <w:basedOn w:val="Normal"/>
    <w:pPr>
      <w:numPr>
        <w:ilvl w:val="7"/>
        <w:numId w:val="13"/>
      </w:numPr>
    </w:pPr>
  </w:style>
  <w:style w:type="paragraph" w:customStyle="1" w:styleId="Point4letter">
    <w:name w:val="Point 4 (letter)"/>
    <w:basedOn w:val="Normal"/>
    <w:pPr>
      <w:numPr>
        <w:ilvl w:val="8"/>
        <w:numId w:val="13"/>
      </w:numPr>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Heading">
    <w:name w:val="TOC Heading"/>
    <w:basedOn w:val="Normal"/>
    <w:next w:val="Normal"/>
    <w:qFormat/>
    <w:rsid w:val="001958EE"/>
    <w:pPr>
      <w:keepNext/>
      <w:spacing w:before="240" w:after="240"/>
      <w:jc w:val="center"/>
    </w:pPr>
    <w:rPr>
      <w:b/>
      <w:szCs w:val="20"/>
    </w:rPr>
  </w:style>
  <w:style w:type="paragraph" w:styleId="TOC1">
    <w:name w:val="toc 1"/>
    <w:basedOn w:val="Normal"/>
    <w:next w:val="Normal"/>
    <w:link w:val="TOC1Char"/>
    <w:autoRedefine/>
    <w:uiPriority w:val="39"/>
    <w:unhideWhenUsed/>
    <w:pPr>
      <w:spacing w:after="100"/>
    </w:pPr>
    <w:rPr>
      <w:sz w:val="22"/>
    </w:r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1Char">
    <w:name w:val="TOC 1 Char"/>
    <w:basedOn w:val="DefaultParagraphFont"/>
    <w:link w:val="TOC1"/>
    <w:uiPriority w:val="39"/>
    <w:rPr>
      <w:rFonts w:ascii="Times New Roman" w:eastAsia="Times New Roman" w:hAnsi="Times New Roman" w:cs="Times New Roman"/>
      <w:szCs w:val="24"/>
    </w:rPr>
  </w:style>
  <w:style w:type="character" w:customStyle="1" w:styleId="FooterCoverPageChar">
    <w:name w:val="Footer Cover Page Char"/>
    <w:basedOn w:val="TOC1Char"/>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OC1Char"/>
    <w:link w:val="HeaderCoverPage"/>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Contact">
    <w:name w:val="Contact"/>
    <w:basedOn w:val="Normal"/>
    <w:next w:val="Normal"/>
    <w:rsid w:val="001958EE"/>
    <w:pPr>
      <w:spacing w:before="0" w:after="480"/>
      <w:ind w:left="567" w:hanging="567"/>
      <w:jc w:val="left"/>
    </w:pPr>
    <w:rPr>
      <w:szCs w:val="20"/>
    </w:rPr>
  </w:style>
  <w:style w:type="paragraph" w:styleId="ListBullet">
    <w:name w:val="List Bullet"/>
    <w:basedOn w:val="Normal"/>
    <w:rsid w:val="001958EE"/>
    <w:pPr>
      <w:numPr>
        <w:numId w:val="17"/>
      </w:numPr>
      <w:spacing w:before="0" w:after="240"/>
    </w:pPr>
    <w:rPr>
      <w:szCs w:val="20"/>
    </w:rPr>
  </w:style>
  <w:style w:type="paragraph" w:customStyle="1" w:styleId="ListBullet1">
    <w:name w:val="List Bullet 1"/>
    <w:basedOn w:val="Text1"/>
    <w:rsid w:val="001958EE"/>
    <w:pPr>
      <w:numPr>
        <w:numId w:val="18"/>
      </w:numPr>
      <w:spacing w:before="0" w:after="240"/>
    </w:pPr>
    <w:rPr>
      <w:szCs w:val="20"/>
    </w:rPr>
  </w:style>
  <w:style w:type="paragraph" w:styleId="ListBullet2">
    <w:name w:val="List Bullet 2"/>
    <w:basedOn w:val="Normal"/>
    <w:rsid w:val="001958EE"/>
    <w:pPr>
      <w:numPr>
        <w:numId w:val="19"/>
      </w:numPr>
      <w:spacing w:before="0" w:after="240"/>
    </w:pPr>
    <w:rPr>
      <w:szCs w:val="20"/>
    </w:rPr>
  </w:style>
  <w:style w:type="paragraph" w:styleId="ListBullet3">
    <w:name w:val="List Bullet 3"/>
    <w:basedOn w:val="Normal"/>
    <w:rsid w:val="001958EE"/>
    <w:pPr>
      <w:numPr>
        <w:numId w:val="20"/>
      </w:numPr>
      <w:spacing w:before="0" w:after="240"/>
    </w:pPr>
    <w:rPr>
      <w:szCs w:val="20"/>
    </w:rPr>
  </w:style>
  <w:style w:type="paragraph" w:styleId="ListBullet4">
    <w:name w:val="List Bullet 4"/>
    <w:basedOn w:val="Normal"/>
    <w:rsid w:val="001958EE"/>
    <w:pPr>
      <w:numPr>
        <w:numId w:val="21"/>
      </w:numPr>
      <w:spacing w:before="0" w:after="240"/>
    </w:pPr>
    <w:rPr>
      <w:szCs w:val="20"/>
    </w:rPr>
  </w:style>
  <w:style w:type="paragraph" w:customStyle="1" w:styleId="ListDash">
    <w:name w:val="List Dash"/>
    <w:basedOn w:val="Normal"/>
    <w:rsid w:val="001958EE"/>
    <w:pPr>
      <w:numPr>
        <w:numId w:val="22"/>
      </w:numPr>
      <w:spacing w:before="0" w:after="240"/>
    </w:pPr>
    <w:rPr>
      <w:szCs w:val="20"/>
    </w:rPr>
  </w:style>
  <w:style w:type="paragraph" w:customStyle="1" w:styleId="ListDash1">
    <w:name w:val="List Dash 1"/>
    <w:basedOn w:val="Text1"/>
    <w:rsid w:val="001958EE"/>
    <w:pPr>
      <w:numPr>
        <w:numId w:val="23"/>
      </w:numPr>
      <w:spacing w:before="0" w:after="240"/>
    </w:pPr>
    <w:rPr>
      <w:szCs w:val="20"/>
    </w:rPr>
  </w:style>
  <w:style w:type="paragraph" w:customStyle="1" w:styleId="ListDash2">
    <w:name w:val="List Dash 2"/>
    <w:basedOn w:val="Normal"/>
    <w:rsid w:val="001958EE"/>
    <w:pPr>
      <w:numPr>
        <w:numId w:val="24"/>
      </w:numPr>
      <w:spacing w:before="0" w:after="240"/>
    </w:pPr>
    <w:rPr>
      <w:szCs w:val="20"/>
    </w:rPr>
  </w:style>
  <w:style w:type="paragraph" w:customStyle="1" w:styleId="ListDash3">
    <w:name w:val="List Dash 3"/>
    <w:basedOn w:val="Normal"/>
    <w:rsid w:val="001958EE"/>
    <w:pPr>
      <w:numPr>
        <w:numId w:val="25"/>
      </w:numPr>
      <w:spacing w:before="0" w:after="240"/>
    </w:pPr>
    <w:rPr>
      <w:szCs w:val="20"/>
    </w:rPr>
  </w:style>
  <w:style w:type="paragraph" w:customStyle="1" w:styleId="ListDash4">
    <w:name w:val="List Dash 4"/>
    <w:basedOn w:val="Normal"/>
    <w:rsid w:val="001958EE"/>
    <w:pPr>
      <w:numPr>
        <w:numId w:val="26"/>
      </w:numPr>
      <w:spacing w:before="0" w:after="240"/>
    </w:pPr>
    <w:rPr>
      <w:szCs w:val="20"/>
    </w:rPr>
  </w:style>
  <w:style w:type="paragraph" w:styleId="ListNumber">
    <w:name w:val="List Number"/>
    <w:basedOn w:val="Normal"/>
    <w:rsid w:val="001958EE"/>
    <w:pPr>
      <w:numPr>
        <w:numId w:val="27"/>
      </w:numPr>
      <w:spacing w:before="0" w:after="240"/>
    </w:pPr>
    <w:rPr>
      <w:szCs w:val="20"/>
    </w:rPr>
  </w:style>
  <w:style w:type="paragraph" w:customStyle="1" w:styleId="ListNumber1">
    <w:name w:val="List Number 1"/>
    <w:basedOn w:val="Text1"/>
    <w:rsid w:val="001958EE"/>
    <w:pPr>
      <w:numPr>
        <w:numId w:val="28"/>
      </w:numPr>
      <w:spacing w:before="0" w:after="240"/>
    </w:pPr>
    <w:rPr>
      <w:szCs w:val="20"/>
    </w:rPr>
  </w:style>
  <w:style w:type="paragraph" w:styleId="ListNumber3">
    <w:name w:val="List Number 3"/>
    <w:basedOn w:val="Normal"/>
    <w:rsid w:val="001958EE"/>
    <w:pPr>
      <w:numPr>
        <w:numId w:val="30"/>
      </w:numPr>
      <w:spacing w:before="0" w:after="240"/>
    </w:pPr>
    <w:rPr>
      <w:szCs w:val="20"/>
    </w:rPr>
  </w:style>
  <w:style w:type="paragraph" w:styleId="ListNumber4">
    <w:name w:val="List Number 4"/>
    <w:basedOn w:val="Normal"/>
    <w:rsid w:val="001958EE"/>
    <w:pPr>
      <w:numPr>
        <w:numId w:val="31"/>
      </w:numPr>
      <w:spacing w:before="0" w:after="240"/>
    </w:pPr>
    <w:rPr>
      <w:szCs w:val="20"/>
    </w:rPr>
  </w:style>
  <w:style w:type="paragraph" w:customStyle="1" w:styleId="ListNumberLevel2">
    <w:name w:val="List Number (Level 2)"/>
    <w:basedOn w:val="Normal"/>
    <w:rsid w:val="001958EE"/>
    <w:pPr>
      <w:numPr>
        <w:ilvl w:val="1"/>
        <w:numId w:val="27"/>
      </w:numPr>
      <w:spacing w:before="0" w:after="240"/>
    </w:pPr>
    <w:rPr>
      <w:szCs w:val="20"/>
    </w:rPr>
  </w:style>
  <w:style w:type="paragraph" w:customStyle="1" w:styleId="ListNumber1Level2">
    <w:name w:val="List Number 1 (Level 2)"/>
    <w:basedOn w:val="Text1"/>
    <w:rsid w:val="001958EE"/>
    <w:pPr>
      <w:numPr>
        <w:ilvl w:val="1"/>
        <w:numId w:val="28"/>
      </w:numPr>
      <w:spacing w:before="0" w:after="240"/>
    </w:pPr>
    <w:rPr>
      <w:szCs w:val="20"/>
    </w:rPr>
  </w:style>
  <w:style w:type="paragraph" w:customStyle="1" w:styleId="ListNumber2Level2">
    <w:name w:val="List Number 2 (Level 2)"/>
    <w:basedOn w:val="Normal"/>
    <w:rsid w:val="001958EE"/>
    <w:pPr>
      <w:numPr>
        <w:ilvl w:val="1"/>
        <w:numId w:val="29"/>
      </w:numPr>
      <w:spacing w:before="0" w:after="240"/>
    </w:pPr>
    <w:rPr>
      <w:szCs w:val="20"/>
    </w:rPr>
  </w:style>
  <w:style w:type="paragraph" w:customStyle="1" w:styleId="ListNumber3Level2">
    <w:name w:val="List Number 3 (Level 2)"/>
    <w:basedOn w:val="Normal"/>
    <w:rsid w:val="001958EE"/>
    <w:pPr>
      <w:numPr>
        <w:ilvl w:val="1"/>
        <w:numId w:val="30"/>
      </w:numPr>
      <w:spacing w:before="0" w:after="240"/>
    </w:pPr>
    <w:rPr>
      <w:szCs w:val="20"/>
    </w:rPr>
  </w:style>
  <w:style w:type="paragraph" w:customStyle="1" w:styleId="ListNumber4Level2">
    <w:name w:val="List Number 4 (Level 2)"/>
    <w:basedOn w:val="Normal"/>
    <w:rsid w:val="001958EE"/>
    <w:pPr>
      <w:numPr>
        <w:ilvl w:val="1"/>
        <w:numId w:val="31"/>
      </w:numPr>
      <w:spacing w:before="0" w:after="240"/>
    </w:pPr>
    <w:rPr>
      <w:szCs w:val="20"/>
    </w:rPr>
  </w:style>
  <w:style w:type="paragraph" w:customStyle="1" w:styleId="ListNumberLevel3">
    <w:name w:val="List Number (Level 3)"/>
    <w:basedOn w:val="Normal"/>
    <w:rsid w:val="001958EE"/>
    <w:pPr>
      <w:numPr>
        <w:ilvl w:val="2"/>
        <w:numId w:val="27"/>
      </w:numPr>
      <w:spacing w:before="0" w:after="240"/>
    </w:pPr>
    <w:rPr>
      <w:szCs w:val="20"/>
    </w:rPr>
  </w:style>
  <w:style w:type="paragraph" w:customStyle="1" w:styleId="ListNumber1Level3">
    <w:name w:val="List Number 1 (Level 3)"/>
    <w:basedOn w:val="Text1"/>
    <w:rsid w:val="001958EE"/>
    <w:pPr>
      <w:numPr>
        <w:ilvl w:val="2"/>
        <w:numId w:val="28"/>
      </w:numPr>
      <w:spacing w:before="0" w:after="240"/>
    </w:pPr>
    <w:rPr>
      <w:szCs w:val="20"/>
    </w:rPr>
  </w:style>
  <w:style w:type="paragraph" w:customStyle="1" w:styleId="ListNumber2Level3">
    <w:name w:val="List Number 2 (Level 3)"/>
    <w:basedOn w:val="Normal"/>
    <w:rsid w:val="001958EE"/>
    <w:pPr>
      <w:numPr>
        <w:ilvl w:val="2"/>
        <w:numId w:val="29"/>
      </w:numPr>
      <w:spacing w:before="0" w:after="240"/>
    </w:pPr>
    <w:rPr>
      <w:szCs w:val="20"/>
    </w:rPr>
  </w:style>
  <w:style w:type="paragraph" w:customStyle="1" w:styleId="ListNumber3Level3">
    <w:name w:val="List Number 3 (Level 3)"/>
    <w:basedOn w:val="Normal"/>
    <w:rsid w:val="001958EE"/>
    <w:pPr>
      <w:numPr>
        <w:ilvl w:val="2"/>
        <w:numId w:val="30"/>
      </w:numPr>
      <w:spacing w:before="0" w:after="240"/>
    </w:pPr>
    <w:rPr>
      <w:szCs w:val="20"/>
    </w:rPr>
  </w:style>
  <w:style w:type="paragraph" w:customStyle="1" w:styleId="ListNumber4Level3">
    <w:name w:val="List Number 4 (Level 3)"/>
    <w:basedOn w:val="Normal"/>
    <w:rsid w:val="001958EE"/>
    <w:pPr>
      <w:numPr>
        <w:ilvl w:val="2"/>
        <w:numId w:val="31"/>
      </w:numPr>
      <w:spacing w:before="0" w:after="240"/>
    </w:pPr>
    <w:rPr>
      <w:szCs w:val="20"/>
    </w:rPr>
  </w:style>
  <w:style w:type="paragraph" w:customStyle="1" w:styleId="ListNumberLevel4">
    <w:name w:val="List Number (Level 4)"/>
    <w:basedOn w:val="Normal"/>
    <w:rsid w:val="001958EE"/>
    <w:pPr>
      <w:numPr>
        <w:ilvl w:val="3"/>
        <w:numId w:val="27"/>
      </w:numPr>
      <w:spacing w:before="0" w:after="240"/>
    </w:pPr>
    <w:rPr>
      <w:szCs w:val="20"/>
    </w:rPr>
  </w:style>
  <w:style w:type="paragraph" w:customStyle="1" w:styleId="ListNumber1Level4">
    <w:name w:val="List Number 1 (Level 4)"/>
    <w:basedOn w:val="Text1"/>
    <w:rsid w:val="001958EE"/>
    <w:pPr>
      <w:numPr>
        <w:ilvl w:val="3"/>
        <w:numId w:val="28"/>
      </w:numPr>
      <w:spacing w:before="0" w:after="240"/>
    </w:pPr>
    <w:rPr>
      <w:szCs w:val="20"/>
    </w:rPr>
  </w:style>
  <w:style w:type="paragraph" w:customStyle="1" w:styleId="ListNumber2Level4">
    <w:name w:val="List Number 2 (Level 4)"/>
    <w:basedOn w:val="Normal"/>
    <w:rsid w:val="001958EE"/>
    <w:pPr>
      <w:numPr>
        <w:ilvl w:val="3"/>
        <w:numId w:val="29"/>
      </w:numPr>
      <w:spacing w:before="0" w:after="240"/>
    </w:pPr>
    <w:rPr>
      <w:szCs w:val="20"/>
    </w:rPr>
  </w:style>
  <w:style w:type="paragraph" w:customStyle="1" w:styleId="ListNumber3Level4">
    <w:name w:val="List Number 3 (Level 4)"/>
    <w:basedOn w:val="Normal"/>
    <w:rsid w:val="001958EE"/>
    <w:pPr>
      <w:numPr>
        <w:ilvl w:val="3"/>
        <w:numId w:val="30"/>
      </w:numPr>
      <w:spacing w:before="0" w:after="240"/>
    </w:pPr>
    <w:rPr>
      <w:szCs w:val="20"/>
    </w:rPr>
  </w:style>
  <w:style w:type="paragraph" w:customStyle="1" w:styleId="ListNumber4Level4">
    <w:name w:val="List Number 4 (Level 4)"/>
    <w:basedOn w:val="Normal"/>
    <w:rsid w:val="001958EE"/>
    <w:pPr>
      <w:numPr>
        <w:ilvl w:val="3"/>
        <w:numId w:val="31"/>
      </w:numPr>
      <w:spacing w:before="0" w:after="240"/>
    </w:pPr>
    <w:rPr>
      <w:szCs w:val="20"/>
    </w:rPr>
  </w:style>
  <w:style w:type="paragraph" w:styleId="TOC5">
    <w:name w:val="toc 5"/>
    <w:basedOn w:val="Normal"/>
    <w:next w:val="Normal"/>
    <w:semiHidden/>
    <w:rsid w:val="001958EE"/>
    <w:pPr>
      <w:tabs>
        <w:tab w:val="right" w:leader="dot" w:pos="8641"/>
      </w:tabs>
      <w:spacing w:before="240"/>
      <w:ind w:right="720"/>
    </w:pPr>
    <w:rPr>
      <w: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spacing w:before="360"/>
      <w:outlineLvl w:val="0"/>
    </w:pPr>
    <w:rPr>
      <w:b/>
      <w:bCs/>
      <w:iCs/>
    </w:rPr>
  </w:style>
  <w:style w:type="paragraph" w:styleId="Heading2">
    <w:name w:val="heading 2"/>
    <w:basedOn w:val="Normal"/>
    <w:next w:val="Text1"/>
    <w:link w:val="Heading2Char"/>
    <w:qFormat/>
    <w:pPr>
      <w:keepNext/>
      <w:outlineLvl w:val="1"/>
    </w:pPr>
    <w:rPr>
      <w:b/>
      <w:bCs/>
      <w:iCs/>
      <w:szCs w:val="28"/>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iCs/>
      <w:sz w:val="24"/>
      <w:szCs w:val="24"/>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paragraph" w:styleId="FootnoteText">
    <w:name w:val="footnote text"/>
    <w:basedOn w:val="Normal"/>
    <w:uiPriority w:val="99"/>
    <w:semiHidden/>
    <w:pPr>
      <w:spacing w:before="0" w:after="0"/>
      <w:ind w:left="720" w:hanging="720"/>
    </w:pPr>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character" w:styleId="FootnoteReference">
    <w:name w:val="footnote reference"/>
    <w:semiHidden/>
    <w:rPr>
      <w:shd w:val="clear" w:color="auto" w:fill="auto"/>
      <w:vertAlign w:val="superscript"/>
    </w:rPr>
  </w:style>
  <w:style w:type="paragraph" w:customStyle="1" w:styleId="Text1">
    <w:name w:val="Text 1"/>
    <w:basedOn w:val="Normal"/>
    <w:pPr>
      <w:ind w:left="850"/>
    </w:pPr>
  </w:style>
  <w:style w:type="paragraph" w:styleId="ListNumber2">
    <w:name w:val="List Number 2"/>
    <w:basedOn w:val="Normal"/>
    <w:rsid w:val="001958EE"/>
    <w:pPr>
      <w:numPr>
        <w:numId w:val="29"/>
      </w:numPr>
      <w:spacing w:before="0" w:after="240"/>
    </w:pPr>
    <w:rPr>
      <w:szCs w:val="20"/>
    </w:rPr>
  </w:style>
  <w:style w:type="paragraph" w:styleId="ListParagraph">
    <w:name w:val="List Paragraph"/>
    <w:basedOn w:val="Normal"/>
    <w:uiPriority w:val="34"/>
    <w:qFormat/>
    <w:pPr>
      <w:numPr>
        <w:numId w:val="1"/>
      </w:numPr>
      <w:spacing w:before="0" w:after="0"/>
      <w:jc w:val="left"/>
    </w:pPr>
    <w:rPr>
      <w:rFonts w:eastAsia="Calibri"/>
      <w:noProof/>
    </w:rPr>
  </w:style>
  <w:style w:type="paragraph" w:customStyle="1" w:styleId="NormalLeft">
    <w:name w:val="Normal Left"/>
    <w:basedOn w:val="Normal"/>
    <w:pPr>
      <w:jc w:val="left"/>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styleId="Hyperlink">
    <w:name w:val="Hyperlink"/>
    <w:uiPriority w:val="99"/>
    <w:rPr>
      <w:rFonts w:cs="Times New Roman"/>
      <w:color w:val="0000FF"/>
      <w:u w:val="single"/>
      <w:shd w:val="clear" w:color="auto" w:fill="auto"/>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Bullet0">
    <w:name w:val="Bullet 0"/>
    <w:basedOn w:val="Normal"/>
    <w:pPr>
      <w:numPr>
        <w:numId w:val="4"/>
      </w:numPr>
    </w:pPr>
  </w:style>
  <w:style w:type="paragraph" w:customStyle="1" w:styleId="H2">
    <w:name w:val="H2"/>
    <w:basedOn w:val="ManualHeading2"/>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ret0">
    <w:name w:val="Tiret 0"/>
    <w:basedOn w:val="Normal"/>
    <w:pPr>
      <w:numPr>
        <w:numId w:val="5"/>
      </w:numPr>
    </w:pPr>
  </w:style>
  <w:style w:type="paragraph" w:customStyle="1" w:styleId="Point0number">
    <w:name w:val="Point 0 (number)"/>
    <w:basedOn w:val="Normal"/>
    <w:pPr>
      <w:numPr>
        <w:numId w:val="13"/>
      </w:numPr>
    </w:pPr>
  </w:style>
  <w:style w:type="paragraph" w:customStyle="1" w:styleId="Point1number">
    <w:name w:val="Point 1 (number)"/>
    <w:basedOn w:val="Normal"/>
    <w:pPr>
      <w:numPr>
        <w:ilvl w:val="2"/>
        <w:numId w:val="13"/>
      </w:numPr>
    </w:pPr>
  </w:style>
  <w:style w:type="paragraph" w:customStyle="1" w:styleId="Point2number">
    <w:name w:val="Point 2 (number)"/>
    <w:basedOn w:val="Normal"/>
    <w:pPr>
      <w:numPr>
        <w:ilvl w:val="4"/>
        <w:numId w:val="13"/>
      </w:numPr>
    </w:pPr>
  </w:style>
  <w:style w:type="paragraph" w:customStyle="1" w:styleId="Point3number">
    <w:name w:val="Point 3 (number)"/>
    <w:basedOn w:val="Normal"/>
    <w:pPr>
      <w:numPr>
        <w:ilvl w:val="6"/>
        <w:numId w:val="13"/>
      </w:numPr>
    </w:pPr>
  </w:style>
  <w:style w:type="paragraph" w:customStyle="1" w:styleId="Point0letter">
    <w:name w:val="Point 0 (letter)"/>
    <w:basedOn w:val="Normal"/>
    <w:pPr>
      <w:numPr>
        <w:ilvl w:val="1"/>
        <w:numId w:val="13"/>
      </w:numPr>
    </w:pPr>
  </w:style>
  <w:style w:type="paragraph" w:customStyle="1" w:styleId="Point1letter">
    <w:name w:val="Point 1 (letter)"/>
    <w:basedOn w:val="Normal"/>
    <w:pPr>
      <w:numPr>
        <w:ilvl w:val="3"/>
        <w:numId w:val="13"/>
      </w:numPr>
    </w:pPr>
  </w:style>
  <w:style w:type="paragraph" w:customStyle="1" w:styleId="Point2letter">
    <w:name w:val="Point 2 (letter)"/>
    <w:basedOn w:val="Normal"/>
    <w:pPr>
      <w:numPr>
        <w:ilvl w:val="5"/>
        <w:numId w:val="13"/>
      </w:numPr>
    </w:pPr>
  </w:style>
  <w:style w:type="paragraph" w:customStyle="1" w:styleId="Point3letter">
    <w:name w:val="Point 3 (letter)"/>
    <w:basedOn w:val="Normal"/>
    <w:pPr>
      <w:numPr>
        <w:ilvl w:val="7"/>
        <w:numId w:val="13"/>
      </w:numPr>
    </w:pPr>
  </w:style>
  <w:style w:type="paragraph" w:customStyle="1" w:styleId="Point4letter">
    <w:name w:val="Point 4 (letter)"/>
    <w:basedOn w:val="Normal"/>
    <w:pPr>
      <w:numPr>
        <w:ilvl w:val="8"/>
        <w:numId w:val="13"/>
      </w:numPr>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Heading">
    <w:name w:val="TOC Heading"/>
    <w:basedOn w:val="Normal"/>
    <w:next w:val="Normal"/>
    <w:qFormat/>
    <w:rsid w:val="001958EE"/>
    <w:pPr>
      <w:keepNext/>
      <w:spacing w:before="240" w:after="240"/>
      <w:jc w:val="center"/>
    </w:pPr>
    <w:rPr>
      <w:b/>
      <w:szCs w:val="20"/>
    </w:rPr>
  </w:style>
  <w:style w:type="paragraph" w:styleId="TOC1">
    <w:name w:val="toc 1"/>
    <w:basedOn w:val="Normal"/>
    <w:next w:val="Normal"/>
    <w:link w:val="TOC1Char"/>
    <w:autoRedefine/>
    <w:uiPriority w:val="39"/>
    <w:unhideWhenUsed/>
    <w:pPr>
      <w:spacing w:after="100"/>
    </w:pPr>
    <w:rPr>
      <w:sz w:val="22"/>
    </w:r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1Char">
    <w:name w:val="TOC 1 Char"/>
    <w:basedOn w:val="DefaultParagraphFont"/>
    <w:link w:val="TOC1"/>
    <w:uiPriority w:val="39"/>
    <w:rPr>
      <w:rFonts w:ascii="Times New Roman" w:eastAsia="Times New Roman" w:hAnsi="Times New Roman" w:cs="Times New Roman"/>
      <w:szCs w:val="24"/>
    </w:rPr>
  </w:style>
  <w:style w:type="character" w:customStyle="1" w:styleId="FooterCoverPageChar">
    <w:name w:val="Footer Cover Page Char"/>
    <w:basedOn w:val="TOC1Char"/>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OC1Char"/>
    <w:link w:val="HeaderCoverPage"/>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Contact">
    <w:name w:val="Contact"/>
    <w:basedOn w:val="Normal"/>
    <w:next w:val="Normal"/>
    <w:rsid w:val="001958EE"/>
    <w:pPr>
      <w:spacing w:before="0" w:after="480"/>
      <w:ind w:left="567" w:hanging="567"/>
      <w:jc w:val="left"/>
    </w:pPr>
    <w:rPr>
      <w:szCs w:val="20"/>
    </w:rPr>
  </w:style>
  <w:style w:type="paragraph" w:styleId="ListBullet">
    <w:name w:val="List Bullet"/>
    <w:basedOn w:val="Normal"/>
    <w:rsid w:val="001958EE"/>
    <w:pPr>
      <w:numPr>
        <w:numId w:val="17"/>
      </w:numPr>
      <w:spacing w:before="0" w:after="240"/>
    </w:pPr>
    <w:rPr>
      <w:szCs w:val="20"/>
    </w:rPr>
  </w:style>
  <w:style w:type="paragraph" w:customStyle="1" w:styleId="ListBullet1">
    <w:name w:val="List Bullet 1"/>
    <w:basedOn w:val="Text1"/>
    <w:rsid w:val="001958EE"/>
    <w:pPr>
      <w:numPr>
        <w:numId w:val="18"/>
      </w:numPr>
      <w:spacing w:before="0" w:after="240"/>
    </w:pPr>
    <w:rPr>
      <w:szCs w:val="20"/>
    </w:rPr>
  </w:style>
  <w:style w:type="paragraph" w:styleId="ListBullet2">
    <w:name w:val="List Bullet 2"/>
    <w:basedOn w:val="Normal"/>
    <w:rsid w:val="001958EE"/>
    <w:pPr>
      <w:numPr>
        <w:numId w:val="19"/>
      </w:numPr>
      <w:spacing w:before="0" w:after="240"/>
    </w:pPr>
    <w:rPr>
      <w:szCs w:val="20"/>
    </w:rPr>
  </w:style>
  <w:style w:type="paragraph" w:styleId="ListBullet3">
    <w:name w:val="List Bullet 3"/>
    <w:basedOn w:val="Normal"/>
    <w:rsid w:val="001958EE"/>
    <w:pPr>
      <w:numPr>
        <w:numId w:val="20"/>
      </w:numPr>
      <w:spacing w:before="0" w:after="240"/>
    </w:pPr>
    <w:rPr>
      <w:szCs w:val="20"/>
    </w:rPr>
  </w:style>
  <w:style w:type="paragraph" w:styleId="ListBullet4">
    <w:name w:val="List Bullet 4"/>
    <w:basedOn w:val="Normal"/>
    <w:rsid w:val="001958EE"/>
    <w:pPr>
      <w:numPr>
        <w:numId w:val="21"/>
      </w:numPr>
      <w:spacing w:before="0" w:after="240"/>
    </w:pPr>
    <w:rPr>
      <w:szCs w:val="20"/>
    </w:rPr>
  </w:style>
  <w:style w:type="paragraph" w:customStyle="1" w:styleId="ListDash">
    <w:name w:val="List Dash"/>
    <w:basedOn w:val="Normal"/>
    <w:rsid w:val="001958EE"/>
    <w:pPr>
      <w:numPr>
        <w:numId w:val="22"/>
      </w:numPr>
      <w:spacing w:before="0" w:after="240"/>
    </w:pPr>
    <w:rPr>
      <w:szCs w:val="20"/>
    </w:rPr>
  </w:style>
  <w:style w:type="paragraph" w:customStyle="1" w:styleId="ListDash1">
    <w:name w:val="List Dash 1"/>
    <w:basedOn w:val="Text1"/>
    <w:rsid w:val="001958EE"/>
    <w:pPr>
      <w:numPr>
        <w:numId w:val="23"/>
      </w:numPr>
      <w:spacing w:before="0" w:after="240"/>
    </w:pPr>
    <w:rPr>
      <w:szCs w:val="20"/>
    </w:rPr>
  </w:style>
  <w:style w:type="paragraph" w:customStyle="1" w:styleId="ListDash2">
    <w:name w:val="List Dash 2"/>
    <w:basedOn w:val="Normal"/>
    <w:rsid w:val="001958EE"/>
    <w:pPr>
      <w:numPr>
        <w:numId w:val="24"/>
      </w:numPr>
      <w:spacing w:before="0" w:after="240"/>
    </w:pPr>
    <w:rPr>
      <w:szCs w:val="20"/>
    </w:rPr>
  </w:style>
  <w:style w:type="paragraph" w:customStyle="1" w:styleId="ListDash3">
    <w:name w:val="List Dash 3"/>
    <w:basedOn w:val="Normal"/>
    <w:rsid w:val="001958EE"/>
    <w:pPr>
      <w:numPr>
        <w:numId w:val="25"/>
      </w:numPr>
      <w:spacing w:before="0" w:after="240"/>
    </w:pPr>
    <w:rPr>
      <w:szCs w:val="20"/>
    </w:rPr>
  </w:style>
  <w:style w:type="paragraph" w:customStyle="1" w:styleId="ListDash4">
    <w:name w:val="List Dash 4"/>
    <w:basedOn w:val="Normal"/>
    <w:rsid w:val="001958EE"/>
    <w:pPr>
      <w:numPr>
        <w:numId w:val="26"/>
      </w:numPr>
      <w:spacing w:before="0" w:after="240"/>
    </w:pPr>
    <w:rPr>
      <w:szCs w:val="20"/>
    </w:rPr>
  </w:style>
  <w:style w:type="paragraph" w:styleId="ListNumber">
    <w:name w:val="List Number"/>
    <w:basedOn w:val="Normal"/>
    <w:rsid w:val="001958EE"/>
    <w:pPr>
      <w:numPr>
        <w:numId w:val="27"/>
      </w:numPr>
      <w:spacing w:before="0" w:after="240"/>
    </w:pPr>
    <w:rPr>
      <w:szCs w:val="20"/>
    </w:rPr>
  </w:style>
  <w:style w:type="paragraph" w:customStyle="1" w:styleId="ListNumber1">
    <w:name w:val="List Number 1"/>
    <w:basedOn w:val="Text1"/>
    <w:rsid w:val="001958EE"/>
    <w:pPr>
      <w:numPr>
        <w:numId w:val="28"/>
      </w:numPr>
      <w:spacing w:before="0" w:after="240"/>
    </w:pPr>
    <w:rPr>
      <w:szCs w:val="20"/>
    </w:rPr>
  </w:style>
  <w:style w:type="paragraph" w:styleId="ListNumber3">
    <w:name w:val="List Number 3"/>
    <w:basedOn w:val="Normal"/>
    <w:rsid w:val="001958EE"/>
    <w:pPr>
      <w:numPr>
        <w:numId w:val="30"/>
      </w:numPr>
      <w:spacing w:before="0" w:after="240"/>
    </w:pPr>
    <w:rPr>
      <w:szCs w:val="20"/>
    </w:rPr>
  </w:style>
  <w:style w:type="paragraph" w:styleId="ListNumber4">
    <w:name w:val="List Number 4"/>
    <w:basedOn w:val="Normal"/>
    <w:rsid w:val="001958EE"/>
    <w:pPr>
      <w:numPr>
        <w:numId w:val="31"/>
      </w:numPr>
      <w:spacing w:before="0" w:after="240"/>
    </w:pPr>
    <w:rPr>
      <w:szCs w:val="20"/>
    </w:rPr>
  </w:style>
  <w:style w:type="paragraph" w:customStyle="1" w:styleId="ListNumberLevel2">
    <w:name w:val="List Number (Level 2)"/>
    <w:basedOn w:val="Normal"/>
    <w:rsid w:val="001958EE"/>
    <w:pPr>
      <w:numPr>
        <w:ilvl w:val="1"/>
        <w:numId w:val="27"/>
      </w:numPr>
      <w:spacing w:before="0" w:after="240"/>
    </w:pPr>
    <w:rPr>
      <w:szCs w:val="20"/>
    </w:rPr>
  </w:style>
  <w:style w:type="paragraph" w:customStyle="1" w:styleId="ListNumber1Level2">
    <w:name w:val="List Number 1 (Level 2)"/>
    <w:basedOn w:val="Text1"/>
    <w:rsid w:val="001958EE"/>
    <w:pPr>
      <w:numPr>
        <w:ilvl w:val="1"/>
        <w:numId w:val="28"/>
      </w:numPr>
      <w:spacing w:before="0" w:after="240"/>
    </w:pPr>
    <w:rPr>
      <w:szCs w:val="20"/>
    </w:rPr>
  </w:style>
  <w:style w:type="paragraph" w:customStyle="1" w:styleId="ListNumber2Level2">
    <w:name w:val="List Number 2 (Level 2)"/>
    <w:basedOn w:val="Normal"/>
    <w:rsid w:val="001958EE"/>
    <w:pPr>
      <w:numPr>
        <w:ilvl w:val="1"/>
        <w:numId w:val="29"/>
      </w:numPr>
      <w:spacing w:before="0" w:after="240"/>
    </w:pPr>
    <w:rPr>
      <w:szCs w:val="20"/>
    </w:rPr>
  </w:style>
  <w:style w:type="paragraph" w:customStyle="1" w:styleId="ListNumber3Level2">
    <w:name w:val="List Number 3 (Level 2)"/>
    <w:basedOn w:val="Normal"/>
    <w:rsid w:val="001958EE"/>
    <w:pPr>
      <w:numPr>
        <w:ilvl w:val="1"/>
        <w:numId w:val="30"/>
      </w:numPr>
      <w:spacing w:before="0" w:after="240"/>
    </w:pPr>
    <w:rPr>
      <w:szCs w:val="20"/>
    </w:rPr>
  </w:style>
  <w:style w:type="paragraph" w:customStyle="1" w:styleId="ListNumber4Level2">
    <w:name w:val="List Number 4 (Level 2)"/>
    <w:basedOn w:val="Normal"/>
    <w:rsid w:val="001958EE"/>
    <w:pPr>
      <w:numPr>
        <w:ilvl w:val="1"/>
        <w:numId w:val="31"/>
      </w:numPr>
      <w:spacing w:before="0" w:after="240"/>
    </w:pPr>
    <w:rPr>
      <w:szCs w:val="20"/>
    </w:rPr>
  </w:style>
  <w:style w:type="paragraph" w:customStyle="1" w:styleId="ListNumberLevel3">
    <w:name w:val="List Number (Level 3)"/>
    <w:basedOn w:val="Normal"/>
    <w:rsid w:val="001958EE"/>
    <w:pPr>
      <w:numPr>
        <w:ilvl w:val="2"/>
        <w:numId w:val="27"/>
      </w:numPr>
      <w:spacing w:before="0" w:after="240"/>
    </w:pPr>
    <w:rPr>
      <w:szCs w:val="20"/>
    </w:rPr>
  </w:style>
  <w:style w:type="paragraph" w:customStyle="1" w:styleId="ListNumber1Level3">
    <w:name w:val="List Number 1 (Level 3)"/>
    <w:basedOn w:val="Text1"/>
    <w:rsid w:val="001958EE"/>
    <w:pPr>
      <w:numPr>
        <w:ilvl w:val="2"/>
        <w:numId w:val="28"/>
      </w:numPr>
      <w:spacing w:before="0" w:after="240"/>
    </w:pPr>
    <w:rPr>
      <w:szCs w:val="20"/>
    </w:rPr>
  </w:style>
  <w:style w:type="paragraph" w:customStyle="1" w:styleId="ListNumber2Level3">
    <w:name w:val="List Number 2 (Level 3)"/>
    <w:basedOn w:val="Normal"/>
    <w:rsid w:val="001958EE"/>
    <w:pPr>
      <w:numPr>
        <w:ilvl w:val="2"/>
        <w:numId w:val="29"/>
      </w:numPr>
      <w:spacing w:before="0" w:after="240"/>
    </w:pPr>
    <w:rPr>
      <w:szCs w:val="20"/>
    </w:rPr>
  </w:style>
  <w:style w:type="paragraph" w:customStyle="1" w:styleId="ListNumber3Level3">
    <w:name w:val="List Number 3 (Level 3)"/>
    <w:basedOn w:val="Normal"/>
    <w:rsid w:val="001958EE"/>
    <w:pPr>
      <w:numPr>
        <w:ilvl w:val="2"/>
        <w:numId w:val="30"/>
      </w:numPr>
      <w:spacing w:before="0" w:after="240"/>
    </w:pPr>
    <w:rPr>
      <w:szCs w:val="20"/>
    </w:rPr>
  </w:style>
  <w:style w:type="paragraph" w:customStyle="1" w:styleId="ListNumber4Level3">
    <w:name w:val="List Number 4 (Level 3)"/>
    <w:basedOn w:val="Normal"/>
    <w:rsid w:val="001958EE"/>
    <w:pPr>
      <w:numPr>
        <w:ilvl w:val="2"/>
        <w:numId w:val="31"/>
      </w:numPr>
      <w:spacing w:before="0" w:after="240"/>
    </w:pPr>
    <w:rPr>
      <w:szCs w:val="20"/>
    </w:rPr>
  </w:style>
  <w:style w:type="paragraph" w:customStyle="1" w:styleId="ListNumberLevel4">
    <w:name w:val="List Number (Level 4)"/>
    <w:basedOn w:val="Normal"/>
    <w:rsid w:val="001958EE"/>
    <w:pPr>
      <w:numPr>
        <w:ilvl w:val="3"/>
        <w:numId w:val="27"/>
      </w:numPr>
      <w:spacing w:before="0" w:after="240"/>
    </w:pPr>
    <w:rPr>
      <w:szCs w:val="20"/>
    </w:rPr>
  </w:style>
  <w:style w:type="paragraph" w:customStyle="1" w:styleId="ListNumber1Level4">
    <w:name w:val="List Number 1 (Level 4)"/>
    <w:basedOn w:val="Text1"/>
    <w:rsid w:val="001958EE"/>
    <w:pPr>
      <w:numPr>
        <w:ilvl w:val="3"/>
        <w:numId w:val="28"/>
      </w:numPr>
      <w:spacing w:before="0" w:after="240"/>
    </w:pPr>
    <w:rPr>
      <w:szCs w:val="20"/>
    </w:rPr>
  </w:style>
  <w:style w:type="paragraph" w:customStyle="1" w:styleId="ListNumber2Level4">
    <w:name w:val="List Number 2 (Level 4)"/>
    <w:basedOn w:val="Normal"/>
    <w:rsid w:val="001958EE"/>
    <w:pPr>
      <w:numPr>
        <w:ilvl w:val="3"/>
        <w:numId w:val="29"/>
      </w:numPr>
      <w:spacing w:before="0" w:after="240"/>
    </w:pPr>
    <w:rPr>
      <w:szCs w:val="20"/>
    </w:rPr>
  </w:style>
  <w:style w:type="paragraph" w:customStyle="1" w:styleId="ListNumber3Level4">
    <w:name w:val="List Number 3 (Level 4)"/>
    <w:basedOn w:val="Normal"/>
    <w:rsid w:val="001958EE"/>
    <w:pPr>
      <w:numPr>
        <w:ilvl w:val="3"/>
        <w:numId w:val="30"/>
      </w:numPr>
      <w:spacing w:before="0" w:after="240"/>
    </w:pPr>
    <w:rPr>
      <w:szCs w:val="20"/>
    </w:rPr>
  </w:style>
  <w:style w:type="paragraph" w:customStyle="1" w:styleId="ListNumber4Level4">
    <w:name w:val="List Number 4 (Level 4)"/>
    <w:basedOn w:val="Normal"/>
    <w:rsid w:val="001958EE"/>
    <w:pPr>
      <w:numPr>
        <w:ilvl w:val="3"/>
        <w:numId w:val="31"/>
      </w:numPr>
      <w:spacing w:before="0" w:after="240"/>
    </w:pPr>
    <w:rPr>
      <w:szCs w:val="20"/>
    </w:rPr>
  </w:style>
  <w:style w:type="paragraph" w:styleId="TOC5">
    <w:name w:val="toc 5"/>
    <w:basedOn w:val="Normal"/>
    <w:next w:val="Normal"/>
    <w:semiHidden/>
    <w:rsid w:val="001958EE"/>
    <w:pPr>
      <w:tabs>
        <w:tab w:val="right" w:leader="dot" w:pos="8641"/>
      </w:tabs>
      <w:spacing w:before="240"/>
      <w:ind w:right="720"/>
    </w:pPr>
    <w:rPr>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12849">
      <w:bodyDiv w:val="1"/>
      <w:marLeft w:val="0"/>
      <w:marRight w:val="0"/>
      <w:marTop w:val="0"/>
      <w:marBottom w:val="0"/>
      <w:divBdr>
        <w:top w:val="none" w:sz="0" w:space="0" w:color="auto"/>
        <w:left w:val="none" w:sz="0" w:space="0" w:color="auto"/>
        <w:bottom w:val="none" w:sz="0" w:space="0" w:color="auto"/>
        <w:right w:val="none" w:sz="0" w:space="0" w:color="auto"/>
      </w:divBdr>
    </w:div>
    <w:div w:id="1118839765">
      <w:bodyDiv w:val="1"/>
      <w:marLeft w:val="0"/>
      <w:marRight w:val="0"/>
      <w:marTop w:val="0"/>
      <w:marBottom w:val="0"/>
      <w:divBdr>
        <w:top w:val="none" w:sz="0" w:space="0" w:color="auto"/>
        <w:left w:val="none" w:sz="0" w:space="0" w:color="auto"/>
        <w:bottom w:val="none" w:sz="0" w:space="0" w:color="auto"/>
        <w:right w:val="none" w:sz="0" w:space="0" w:color="auto"/>
      </w:divBdr>
    </w:div>
    <w:div w:id="166488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chart" Target="charts/chart4.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hyperlink" Target="http://www.esade.edu/research-webs/eng/igdp/debate/fraud-prevention" TargetMode="External"/><Relationship Id="rId30" Type="http://schemas.openxmlformats.org/officeDocument/2006/relationships/footer" Target="footer7.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anti_fraud/about-us/funding/index_en.htm" TargetMode="External"/><Relationship Id="rId1" Type="http://schemas.openxmlformats.org/officeDocument/2006/relationships/hyperlink" Target="http://ec.europa.eu/anti_fraud/policy/hercule-iii/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baseline="0"/>
              <a:t>Budget 2014  </a:t>
            </a:r>
            <a:endParaRPr lang="en-GB" sz="1200"/>
          </a:p>
        </c:rich>
      </c:tx>
      <c:layout>
        <c:manualLayout>
          <c:xMode val="edge"/>
          <c:yMode val="edge"/>
          <c:x val="0.32441620763069851"/>
          <c:y val="3.593435867245566E-2"/>
        </c:manualLayout>
      </c:layout>
      <c:overlay val="1"/>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Lbls>
            <c:dLbl>
              <c:idx val="0"/>
              <c:layout>
                <c:manualLayout>
                  <c:x val="-1.8079933105093697E-2"/>
                  <c:y val="0.1113412267103592"/>
                </c:manualLayout>
              </c:layout>
              <c:showLegendKey val="0"/>
              <c:showVal val="1"/>
              <c:showCatName val="0"/>
              <c:showSerName val="0"/>
              <c:showPercent val="1"/>
              <c:showBubbleSize val="0"/>
              <c:separator>
</c:separator>
            </c:dLbl>
            <c:dLbl>
              <c:idx val="1"/>
              <c:showLegendKey val="0"/>
              <c:showVal val="1"/>
              <c:showCatName val="0"/>
              <c:showSerName val="0"/>
              <c:showPercent val="1"/>
              <c:showBubbleSize val="0"/>
              <c:separator>
</c:separator>
            </c:dLbl>
            <c:txPr>
              <a:bodyPr/>
              <a:lstStyle/>
              <a:p>
                <a:pPr>
                  <a:defRPr sz="800"/>
                </a:pPr>
                <a:endParaRPr lang="en-US"/>
              </a:p>
            </c:txPr>
            <c:showLegendKey val="0"/>
            <c:showVal val="1"/>
            <c:showCatName val="0"/>
            <c:showSerName val="0"/>
            <c:showPercent val="0"/>
            <c:showBubbleSize val="0"/>
            <c:showLeaderLines val="0"/>
          </c:dLbls>
          <c:cat>
            <c:strRef>
              <c:f>Graphs!$I$15:$I$16</c:f>
              <c:strCache>
                <c:ptCount val="2"/>
                <c:pt idx="0">
                  <c:v>Grants</c:v>
                </c:pt>
                <c:pt idx="1">
                  <c:v>Procurement</c:v>
                </c:pt>
              </c:strCache>
            </c:strRef>
          </c:cat>
          <c:val>
            <c:numRef>
              <c:f>Graphs!$J$15:$J$16</c:f>
              <c:numCache>
                <c:formatCode>#,##0</c:formatCode>
                <c:ptCount val="2"/>
                <c:pt idx="0">
                  <c:v>8927700</c:v>
                </c:pt>
                <c:pt idx="1">
                  <c:v>4750000</c:v>
                </c:pt>
              </c:numCache>
            </c:numRef>
          </c:val>
        </c:ser>
        <c:dLbls>
          <c:showLegendKey val="0"/>
          <c:showVal val="0"/>
          <c:showCatName val="0"/>
          <c:showSerName val="0"/>
          <c:showPercent val="0"/>
          <c:showBubbleSize val="0"/>
          <c:showLeaderLines val="0"/>
        </c:dLbls>
      </c:pie3DChart>
      <c:spPr>
        <a:noFill/>
        <a:ln w="25400">
          <a:noFill/>
        </a:ln>
      </c:spPr>
    </c:plotArea>
    <c:legend>
      <c:legendPos val="r"/>
      <c:legendEntry>
        <c:idx val="0"/>
        <c:txPr>
          <a:bodyPr/>
          <a:lstStyle/>
          <a:p>
            <a:pPr>
              <a:defRPr sz="800"/>
            </a:pPr>
            <a:endParaRPr lang="en-US"/>
          </a:p>
        </c:txPr>
      </c:legendEntry>
      <c:legendEntry>
        <c:idx val="1"/>
        <c:txPr>
          <a:bodyPr/>
          <a:lstStyle/>
          <a:p>
            <a:pPr>
              <a:defRPr sz="800"/>
            </a:pPr>
            <a:endParaRPr lang="en-US"/>
          </a:p>
        </c:txPr>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Commitments</a:t>
            </a:r>
            <a:r>
              <a:rPr lang="en-GB" sz="1200" baseline="0"/>
              <a:t> 2014 </a:t>
            </a:r>
            <a:endParaRPr lang="en-GB" sz="1200"/>
          </a:p>
        </c:rich>
      </c:tx>
      <c:layout>
        <c:manualLayout>
          <c:xMode val="edge"/>
          <c:yMode val="edge"/>
          <c:x val="0.29675000000000001"/>
          <c:y val="3.9331366764995081E-2"/>
        </c:manualLayout>
      </c:layout>
      <c:overlay val="1"/>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9787182852143479E-2"/>
          <c:y val="9.4011468845265497E-2"/>
          <c:w val="0.62813451443569557"/>
          <c:h val="0.78834338798336212"/>
        </c:manualLayout>
      </c:layout>
      <c:pie3DChart>
        <c:varyColors val="1"/>
        <c:ser>
          <c:idx val="0"/>
          <c:order val="0"/>
          <c:explosion val="25"/>
          <c:dPt>
            <c:idx val="0"/>
            <c:bubble3D val="0"/>
            <c:explosion val="44"/>
          </c:dPt>
          <c:dPt>
            <c:idx val="1"/>
            <c:bubble3D val="0"/>
          </c:dPt>
          <c:dLbls>
            <c:dLbl>
              <c:idx val="0"/>
              <c:tx>
                <c:rich>
                  <a:bodyPr/>
                  <a:lstStyle/>
                  <a:p>
                    <a:r>
                      <a:rPr lang="en-US" sz="800"/>
                      <a:t>9,800,771
72%</a:t>
                    </a:r>
                    <a:endParaRPr lang="en-US"/>
                  </a:p>
                </c:rich>
              </c:tx>
              <c:showLegendKey val="0"/>
              <c:showVal val="1"/>
              <c:showCatName val="0"/>
              <c:showSerName val="0"/>
              <c:showPercent val="1"/>
              <c:showBubbleSize val="0"/>
              <c:separator>
</c:separator>
            </c:dLbl>
            <c:dLbl>
              <c:idx val="1"/>
              <c:layout>
                <c:manualLayout>
                  <c:x val="2.9387171648232457E-2"/>
                  <c:y val="-5.2697060758757637E-2"/>
                </c:manualLayout>
              </c:layout>
              <c:tx>
                <c:rich>
                  <a:bodyPr/>
                  <a:lstStyle/>
                  <a:p>
                    <a:pPr algn="just">
                      <a:defRPr sz="800"/>
                    </a:pPr>
                    <a:r>
                      <a:rPr lang="en-US" sz="800"/>
                      <a:t>3,875,252
    28%</a:t>
                    </a:r>
                    <a:endParaRPr lang="en-US"/>
                  </a:p>
                </c:rich>
              </c:tx>
              <c:spPr/>
              <c:showLegendKey val="0"/>
              <c:showVal val="1"/>
              <c:showCatName val="0"/>
              <c:showSerName val="0"/>
              <c:showPercent val="1"/>
              <c:showBubbleSize val="0"/>
              <c:separator>
</c:separator>
            </c:dLbl>
            <c:txPr>
              <a:bodyPr/>
              <a:lstStyle/>
              <a:p>
                <a:pPr>
                  <a:defRPr sz="800"/>
                </a:pPr>
                <a:endParaRPr lang="en-US"/>
              </a:p>
            </c:txPr>
            <c:showLegendKey val="0"/>
            <c:showVal val="0"/>
            <c:showCatName val="0"/>
            <c:showSerName val="0"/>
            <c:showPercent val="1"/>
            <c:showBubbleSize val="0"/>
            <c:showLeaderLines val="0"/>
          </c:dLbls>
          <c:cat>
            <c:strRef>
              <c:f>Graphs!$I$24:$I$25</c:f>
              <c:strCache>
                <c:ptCount val="2"/>
                <c:pt idx="0">
                  <c:v>Grants</c:v>
                </c:pt>
                <c:pt idx="1">
                  <c:v>Procurement</c:v>
                </c:pt>
              </c:strCache>
            </c:strRef>
          </c:cat>
          <c:val>
            <c:numRef>
              <c:f>Graphs!$J$24:$J$25</c:f>
              <c:numCache>
                <c:formatCode>#,##0.00</c:formatCode>
                <c:ptCount val="2"/>
                <c:pt idx="0">
                  <c:v>9800771.2100000009</c:v>
                </c:pt>
                <c:pt idx="1">
                  <c:v>3875251.67</c:v>
                </c:pt>
              </c:numCache>
            </c:numRef>
          </c:val>
        </c:ser>
        <c:dLbls>
          <c:showLegendKey val="0"/>
          <c:showVal val="0"/>
          <c:showCatName val="0"/>
          <c:showSerName val="0"/>
          <c:showPercent val="0"/>
          <c:showBubbleSize val="0"/>
          <c:showLeaderLines val="0"/>
        </c:dLbls>
      </c:pie3DChart>
      <c:spPr>
        <a:noFill/>
        <a:ln w="25400">
          <a:noFill/>
        </a:ln>
      </c:spPr>
    </c:plotArea>
    <c:legend>
      <c:legendPos val="r"/>
      <c:overlay val="0"/>
      <c:txPr>
        <a:bodyPr/>
        <a:lstStyle/>
        <a:p>
          <a:pPr>
            <a:defRPr sz="8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baseline="0"/>
              <a:t>Budget 2014</a:t>
            </a:r>
            <a:endParaRPr lang="en-GB" sz="1200"/>
          </a:p>
        </c:rich>
      </c:tx>
      <c:overlay val="1"/>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0.14133569236163565"/>
                  <c:y val="0.19925627430822448"/>
                </c:manualLayout>
              </c:layout>
              <c:dLblPos val="bestFit"/>
              <c:showLegendKey val="0"/>
              <c:showVal val="1"/>
              <c:showCatName val="0"/>
              <c:showSerName val="0"/>
              <c:showPercent val="1"/>
              <c:showBubbleSize val="0"/>
              <c:separator>
</c:separator>
            </c:dLbl>
            <c:dLbl>
              <c:idx val="1"/>
              <c:layout>
                <c:manualLayout>
                  <c:x val="8.8719054537056682E-2"/>
                  <c:y val="0.14304451405448412"/>
                </c:manualLayout>
              </c:layout>
              <c:dLblPos val="bestFit"/>
              <c:showLegendKey val="0"/>
              <c:showVal val="1"/>
              <c:showCatName val="0"/>
              <c:showSerName val="0"/>
              <c:showPercent val="1"/>
              <c:showBubbleSize val="0"/>
              <c:separator>
</c:separator>
            </c:dLbl>
            <c:dLbl>
              <c:idx val="2"/>
              <c:layout>
                <c:manualLayout>
                  <c:x val="3.016277525460127E-2"/>
                  <c:y val="-0.10400144185986446"/>
                </c:manualLayout>
              </c:layout>
              <c:dLblPos val="bestFit"/>
              <c:showLegendKey val="0"/>
              <c:showVal val="1"/>
              <c:showCatName val="0"/>
              <c:showSerName val="0"/>
              <c:showPercent val="1"/>
              <c:showBubbleSize val="0"/>
              <c:separator>
</c:separator>
            </c:dLbl>
            <c:dLbl>
              <c:idx val="3"/>
              <c:layout>
                <c:manualLayout>
                  <c:x val="0.13702388172790803"/>
                  <c:y val="8.0194772372426337E-2"/>
                </c:manualLayout>
              </c:layout>
              <c:dLblPos val="bestFit"/>
              <c:showLegendKey val="0"/>
              <c:showVal val="1"/>
              <c:showCatName val="0"/>
              <c:showSerName val="0"/>
              <c:showPercent val="1"/>
              <c:showBubbleSize val="0"/>
              <c:separator>
</c:separator>
            </c:dLbl>
            <c:txPr>
              <a:bodyPr/>
              <a:lstStyle/>
              <a:p>
                <a:pPr>
                  <a:defRPr sz="800"/>
                </a:pPr>
                <a:endParaRPr lang="en-US"/>
              </a:p>
            </c:txPr>
            <c:dLblPos val="ctr"/>
            <c:showLegendKey val="0"/>
            <c:showVal val="1"/>
            <c:showCatName val="0"/>
            <c:showSerName val="0"/>
            <c:showPercent val="1"/>
            <c:showBubbleSize val="0"/>
            <c:separator>
</c:separator>
            <c:showLeaderLines val="0"/>
          </c:dLbls>
          <c:cat>
            <c:strRef>
              <c:f>Graphs!$J$33:$K$36</c:f>
              <c:strCache>
                <c:ptCount val="4"/>
                <c:pt idx="0">
                  <c:v>Technical Assistance</c:v>
                </c:pt>
                <c:pt idx="1">
                  <c:v>IT Support</c:v>
                </c:pt>
                <c:pt idx="2">
                  <c:v>Anti-fraud Training</c:v>
                </c:pt>
                <c:pt idx="3">
                  <c:v>Legal Training</c:v>
                </c:pt>
              </c:strCache>
            </c:strRef>
          </c:cat>
          <c:val>
            <c:numRef>
              <c:f>Graphs!$L$33:$L$36</c:f>
              <c:numCache>
                <c:formatCode>#,##0</c:formatCode>
                <c:ptCount val="4"/>
                <c:pt idx="0">
                  <c:v>7477700</c:v>
                </c:pt>
                <c:pt idx="1">
                  <c:v>2800000</c:v>
                </c:pt>
                <c:pt idx="2">
                  <c:v>2800000</c:v>
                </c:pt>
                <c:pt idx="3">
                  <c:v>600000</c:v>
                </c:pt>
              </c:numCache>
            </c:numRef>
          </c:val>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8946336070230707"/>
          <c:y val="0.24578498657710582"/>
          <c:w val="0.29104856941071222"/>
          <c:h val="0.72261434796547841"/>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Commitments 2014</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2379483814523184E-2"/>
          <c:y val="0.15258967629046369"/>
          <c:w val="0.67164698162729664"/>
          <c:h val="0.74153361038203547"/>
        </c:manualLayout>
      </c:layout>
      <c:pie3DChart>
        <c:varyColors val="1"/>
        <c:ser>
          <c:idx val="0"/>
          <c:order val="0"/>
          <c:tx>
            <c:strRef>
              <c:f>Graphs!$J$45:$J$48</c:f>
              <c:strCache>
                <c:ptCount val="1"/>
                <c:pt idx="0">
                  <c:v>Technical Assistance IT Support Anti-fraud Training Legal Training</c:v>
                </c:pt>
              </c:strCache>
            </c:strRef>
          </c:tx>
          <c:explosion val="24"/>
          <c:dPt>
            <c:idx val="0"/>
            <c:bubble3D val="0"/>
            <c:explosion val="37"/>
          </c:dPt>
          <c:dLbls>
            <c:dLbl>
              <c:idx val="0"/>
              <c:layout>
                <c:manualLayout>
                  <c:x val="-0.21250878998263878"/>
                  <c:y val="0.18599781649174366"/>
                </c:manualLayout>
              </c:layout>
              <c:showLegendKey val="0"/>
              <c:showVal val="1"/>
              <c:showCatName val="0"/>
              <c:showSerName val="0"/>
              <c:showPercent val="1"/>
              <c:showBubbleSize val="0"/>
              <c:separator>
</c:separator>
            </c:dLbl>
            <c:dLbl>
              <c:idx val="1"/>
              <c:layout>
                <c:manualLayout>
                  <c:x val="5.2795561276627379E-2"/>
                  <c:y val="0.19363333181152839"/>
                </c:manualLayout>
              </c:layout>
              <c:showLegendKey val="0"/>
              <c:showVal val="1"/>
              <c:showCatName val="0"/>
              <c:showSerName val="0"/>
              <c:showPercent val="1"/>
              <c:showBubbleSize val="0"/>
              <c:separator>
</c:separator>
            </c:dLbl>
            <c:dLbl>
              <c:idx val="3"/>
              <c:layout>
                <c:manualLayout>
                  <c:x val="0.11215075269283808"/>
                  <c:y val="9.2124997675020248E-2"/>
                </c:manualLayout>
              </c:layout>
              <c:showLegendKey val="0"/>
              <c:showVal val="1"/>
              <c:showCatName val="0"/>
              <c:showSerName val="0"/>
              <c:showPercent val="1"/>
              <c:showBubbleSize val="0"/>
              <c:separator>
</c:separator>
            </c:dLbl>
            <c:txPr>
              <a:bodyPr/>
              <a:lstStyle/>
              <a:p>
                <a:pPr>
                  <a:defRPr sz="800"/>
                </a:pPr>
                <a:endParaRPr lang="en-US"/>
              </a:p>
            </c:txPr>
            <c:showLegendKey val="0"/>
            <c:showVal val="1"/>
            <c:showCatName val="0"/>
            <c:showSerName val="0"/>
            <c:showPercent val="1"/>
            <c:showBubbleSize val="0"/>
            <c:separator>
</c:separator>
            <c:showLeaderLines val="0"/>
          </c:dLbls>
          <c:cat>
            <c:strRef>
              <c:f>Graphs!$J$45:$K$48</c:f>
              <c:strCache>
                <c:ptCount val="4"/>
                <c:pt idx="0">
                  <c:v>Technical Assistance</c:v>
                </c:pt>
                <c:pt idx="1">
                  <c:v>IT Support</c:v>
                </c:pt>
                <c:pt idx="2">
                  <c:v>Anti-fraud Training</c:v>
                </c:pt>
                <c:pt idx="3">
                  <c:v>Legal Training</c:v>
                </c:pt>
              </c:strCache>
            </c:strRef>
          </c:cat>
          <c:val>
            <c:numRef>
              <c:f>Graphs!$L$45:$L$48</c:f>
              <c:numCache>
                <c:formatCode>#,##0</c:formatCode>
                <c:ptCount val="4"/>
                <c:pt idx="0">
                  <c:v>8683356</c:v>
                </c:pt>
                <c:pt idx="1">
                  <c:v>1956480</c:v>
                </c:pt>
                <c:pt idx="2">
                  <c:v>2540519</c:v>
                </c:pt>
                <c:pt idx="3">
                  <c:v>495668</c:v>
                </c:pt>
              </c:numCache>
            </c:numRef>
          </c:val>
        </c:ser>
        <c:dLbls>
          <c:showLegendKey val="0"/>
          <c:showVal val="1"/>
          <c:showCatName val="0"/>
          <c:showSerName val="0"/>
          <c:showPercent val="0"/>
          <c:showBubbleSize val="0"/>
          <c:showLeaderLines val="0"/>
        </c:dLbls>
      </c:pie3DChart>
    </c:plotArea>
    <c:legend>
      <c:legendPos val="r"/>
      <c:layout>
        <c:manualLayout>
          <c:xMode val="edge"/>
          <c:yMode val="edge"/>
          <c:x val="0.69628720381270937"/>
          <c:y val="0.25058590117180235"/>
          <c:w val="0.30371279618729063"/>
          <c:h val="0.72539368248047442"/>
        </c:manualLayout>
      </c:layout>
      <c:overlay val="0"/>
      <c:txPr>
        <a:bodyPr/>
        <a:lstStyle/>
        <a:p>
          <a:pPr rtl="0">
            <a:defRPr sz="80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793046702495521"/>
          <c:y val="9.5430180279111682E-2"/>
          <c:w val="0.84012046494188231"/>
          <c:h val="0.82283431994193668"/>
        </c:manualLayout>
      </c:layout>
      <c:barChart>
        <c:barDir val="col"/>
        <c:grouping val="clustered"/>
        <c:varyColors val="0"/>
        <c:ser>
          <c:idx val="0"/>
          <c:order val="0"/>
          <c:invertIfNegative val="0"/>
          <c:cat>
            <c:strRef>
              <c:f>Graphs!$J$3:$J$30</c:f>
              <c:strCache>
                <c:ptCount val="28"/>
                <c:pt idx="0">
                  <c:v>LT</c:v>
                </c:pt>
                <c:pt idx="1">
                  <c:v>BG</c:v>
                </c:pt>
                <c:pt idx="2">
                  <c:v>PL</c:v>
                </c:pt>
                <c:pt idx="3">
                  <c:v>PT</c:v>
                </c:pt>
                <c:pt idx="4">
                  <c:v>MT</c:v>
                </c:pt>
                <c:pt idx="5">
                  <c:v>FR</c:v>
                </c:pt>
                <c:pt idx="6">
                  <c:v>ES</c:v>
                </c:pt>
                <c:pt idx="7">
                  <c:v>IT</c:v>
                </c:pt>
                <c:pt idx="8">
                  <c:v>RO</c:v>
                </c:pt>
                <c:pt idx="9">
                  <c:v>NL</c:v>
                </c:pt>
                <c:pt idx="10">
                  <c:v>SE</c:v>
                </c:pt>
                <c:pt idx="11">
                  <c:v>LV</c:v>
                </c:pt>
                <c:pt idx="12">
                  <c:v>EL</c:v>
                </c:pt>
                <c:pt idx="13">
                  <c:v>DE</c:v>
                </c:pt>
                <c:pt idx="14">
                  <c:v>HR</c:v>
                </c:pt>
                <c:pt idx="15">
                  <c:v>SK</c:v>
                </c:pt>
                <c:pt idx="16">
                  <c:v>HU</c:v>
                </c:pt>
                <c:pt idx="17">
                  <c:v>CZ</c:v>
                </c:pt>
                <c:pt idx="18">
                  <c:v>BE</c:v>
                </c:pt>
                <c:pt idx="19">
                  <c:v>DK</c:v>
                </c:pt>
                <c:pt idx="20">
                  <c:v>EE</c:v>
                </c:pt>
                <c:pt idx="21">
                  <c:v>IE</c:v>
                </c:pt>
                <c:pt idx="22">
                  <c:v>CY</c:v>
                </c:pt>
                <c:pt idx="23">
                  <c:v>LU</c:v>
                </c:pt>
                <c:pt idx="24">
                  <c:v>AT</c:v>
                </c:pt>
                <c:pt idx="25">
                  <c:v>SI</c:v>
                </c:pt>
                <c:pt idx="26">
                  <c:v>FI</c:v>
                </c:pt>
                <c:pt idx="27">
                  <c:v>UK</c:v>
                </c:pt>
              </c:strCache>
            </c:strRef>
          </c:cat>
          <c:val>
            <c:numRef>
              <c:f>Graphs!$K$3:$K$30</c:f>
              <c:numCache>
                <c:formatCode>#,##0.00</c:formatCode>
                <c:ptCount val="28"/>
                <c:pt idx="0">
                  <c:v>2279629</c:v>
                </c:pt>
                <c:pt idx="1">
                  <c:v>1797680.66</c:v>
                </c:pt>
                <c:pt idx="2">
                  <c:v>1115794.3999999999</c:v>
                </c:pt>
                <c:pt idx="3">
                  <c:v>931017</c:v>
                </c:pt>
                <c:pt idx="4">
                  <c:v>584000</c:v>
                </c:pt>
                <c:pt idx="5">
                  <c:v>567614</c:v>
                </c:pt>
                <c:pt idx="6">
                  <c:v>564105</c:v>
                </c:pt>
                <c:pt idx="7">
                  <c:v>391658.91000000003</c:v>
                </c:pt>
                <c:pt idx="8">
                  <c:v>273523.17</c:v>
                </c:pt>
                <c:pt idx="9">
                  <c:v>261180</c:v>
                </c:pt>
                <c:pt idx="10">
                  <c:v>224000</c:v>
                </c:pt>
                <c:pt idx="11">
                  <c:v>210764.2</c:v>
                </c:pt>
                <c:pt idx="12">
                  <c:v>200000</c:v>
                </c:pt>
                <c:pt idx="13">
                  <c:v>118673.1</c:v>
                </c:pt>
                <c:pt idx="14">
                  <c:v>87630.5</c:v>
                </c:pt>
                <c:pt idx="15">
                  <c:v>61500</c:v>
                </c:pt>
                <c:pt idx="16">
                  <c:v>45759.27</c:v>
                </c:pt>
                <c:pt idx="17">
                  <c:v>43722</c:v>
                </c:pt>
                <c:pt idx="18">
                  <c:v>42520</c:v>
                </c:pt>
                <c:pt idx="19">
                  <c:v>0</c:v>
                </c:pt>
                <c:pt idx="20">
                  <c:v>0</c:v>
                </c:pt>
                <c:pt idx="21">
                  <c:v>0</c:v>
                </c:pt>
                <c:pt idx="22">
                  <c:v>0</c:v>
                </c:pt>
                <c:pt idx="23">
                  <c:v>0</c:v>
                </c:pt>
                <c:pt idx="24">
                  <c:v>0</c:v>
                </c:pt>
                <c:pt idx="25">
                  <c:v>0</c:v>
                </c:pt>
                <c:pt idx="26">
                  <c:v>0</c:v>
                </c:pt>
                <c:pt idx="27">
                  <c:v>0</c:v>
                </c:pt>
              </c:numCache>
            </c:numRef>
          </c:val>
        </c:ser>
        <c:dLbls>
          <c:showLegendKey val="0"/>
          <c:showVal val="0"/>
          <c:showCatName val="0"/>
          <c:showSerName val="0"/>
          <c:showPercent val="0"/>
          <c:showBubbleSize val="0"/>
        </c:dLbls>
        <c:gapWidth val="150"/>
        <c:axId val="345654784"/>
        <c:axId val="345656320"/>
      </c:barChart>
      <c:catAx>
        <c:axId val="345654784"/>
        <c:scaling>
          <c:orientation val="minMax"/>
        </c:scaling>
        <c:delete val="0"/>
        <c:axPos val="b"/>
        <c:numFmt formatCode="General" sourceLinked="1"/>
        <c:majorTickMark val="out"/>
        <c:minorTickMark val="none"/>
        <c:tickLblPos val="nextTo"/>
        <c:txPr>
          <a:bodyPr/>
          <a:lstStyle/>
          <a:p>
            <a:pPr>
              <a:defRPr sz="900"/>
            </a:pPr>
            <a:endParaRPr lang="en-US"/>
          </a:p>
        </c:txPr>
        <c:crossAx val="345656320"/>
        <c:crosses val="autoZero"/>
        <c:auto val="1"/>
        <c:lblAlgn val="ctr"/>
        <c:lblOffset val="100"/>
        <c:noMultiLvlLbl val="0"/>
      </c:catAx>
      <c:valAx>
        <c:axId val="345656320"/>
        <c:scaling>
          <c:orientation val="minMax"/>
        </c:scaling>
        <c:delete val="0"/>
        <c:axPos val="l"/>
        <c:majorGridlines/>
        <c:numFmt formatCode="#,##0.00" sourceLinked="1"/>
        <c:majorTickMark val="out"/>
        <c:minorTickMark val="none"/>
        <c:tickLblPos val="nextTo"/>
        <c:txPr>
          <a:bodyPr/>
          <a:lstStyle/>
          <a:p>
            <a:pPr>
              <a:defRPr sz="900"/>
            </a:pPr>
            <a:endParaRPr lang="en-US"/>
          </a:p>
        </c:txPr>
        <c:crossAx val="345654784"/>
        <c:crosses val="autoZero"/>
        <c:crossBetween val="between"/>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0.13791</cdr:x>
      <cdr:y>0.11699</cdr:y>
    </cdr:from>
    <cdr:to>
      <cdr:x>0.17176</cdr:x>
      <cdr:y>0.17598</cdr:y>
    </cdr:to>
    <cdr:sp macro="" textlink="">
      <cdr:nvSpPr>
        <cdr:cNvPr id="2" name="TextBox 1"/>
        <cdr:cNvSpPr txBox="1"/>
      </cdr:nvSpPr>
      <cdr:spPr>
        <a:xfrm xmlns:a="http://schemas.openxmlformats.org/drawingml/2006/main">
          <a:off x="794455" y="412819"/>
          <a:ext cx="195007" cy="20815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900"/>
            <a:t> 3</a:t>
          </a:r>
        </a:p>
      </cdr:txBody>
    </cdr:sp>
  </cdr:relSizeAnchor>
  <cdr:relSizeAnchor xmlns:cdr="http://schemas.openxmlformats.org/drawingml/2006/chartDrawing">
    <cdr:from>
      <cdr:x>0.17808</cdr:x>
      <cdr:y>0.27357</cdr:y>
    </cdr:from>
    <cdr:to>
      <cdr:x>0.20137</cdr:x>
      <cdr:y>0.33455</cdr:y>
    </cdr:to>
    <cdr:sp macro="" textlink="">
      <cdr:nvSpPr>
        <cdr:cNvPr id="3" name="TextBox 2"/>
        <cdr:cNvSpPr txBox="1"/>
      </cdr:nvSpPr>
      <cdr:spPr>
        <a:xfrm xmlns:a="http://schemas.openxmlformats.org/drawingml/2006/main">
          <a:off x="1025852" y="965351"/>
          <a:ext cx="134207" cy="21518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900"/>
            <a:t>3</a:t>
          </a:r>
        </a:p>
      </cdr:txBody>
    </cdr:sp>
  </cdr:relSizeAnchor>
  <cdr:relSizeAnchor xmlns:cdr="http://schemas.openxmlformats.org/drawingml/2006/chartDrawing">
    <cdr:from>
      <cdr:x>0.1995</cdr:x>
      <cdr:y>0.49172</cdr:y>
    </cdr:from>
    <cdr:to>
      <cdr:x>0.23217</cdr:x>
      <cdr:y>0.54534</cdr:y>
    </cdr:to>
    <cdr:sp macro="" textlink="">
      <cdr:nvSpPr>
        <cdr:cNvPr id="4" name="TextBox 3"/>
        <cdr:cNvSpPr txBox="1"/>
      </cdr:nvSpPr>
      <cdr:spPr>
        <a:xfrm xmlns:a="http://schemas.openxmlformats.org/drawingml/2006/main">
          <a:off x="1149237" y="1735145"/>
          <a:ext cx="188244" cy="1891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900"/>
            <a:t>4</a:t>
          </a:r>
        </a:p>
      </cdr:txBody>
    </cdr:sp>
  </cdr:relSizeAnchor>
  <cdr:relSizeAnchor xmlns:cdr="http://schemas.openxmlformats.org/drawingml/2006/chartDrawing">
    <cdr:from>
      <cdr:x>0.2386</cdr:x>
      <cdr:y>0.54963</cdr:y>
    </cdr:from>
    <cdr:to>
      <cdr:x>0.25918</cdr:x>
      <cdr:y>0.60373</cdr:y>
    </cdr:to>
    <cdr:sp macro="" textlink="">
      <cdr:nvSpPr>
        <cdr:cNvPr id="5" name="TextBox 4"/>
        <cdr:cNvSpPr txBox="1"/>
      </cdr:nvSpPr>
      <cdr:spPr>
        <a:xfrm xmlns:a="http://schemas.openxmlformats.org/drawingml/2006/main">
          <a:off x="1374523" y="1939470"/>
          <a:ext cx="118555" cy="19090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900"/>
            <a:t>1</a:t>
          </a:r>
        </a:p>
      </cdr:txBody>
    </cdr:sp>
  </cdr:relSizeAnchor>
  <cdr:relSizeAnchor xmlns:cdr="http://schemas.openxmlformats.org/drawingml/2006/chartDrawing">
    <cdr:from>
      <cdr:x>0.26726</cdr:x>
      <cdr:y>0.65936</cdr:y>
    </cdr:from>
    <cdr:to>
      <cdr:x>0.2914</cdr:x>
      <cdr:y>0.71358</cdr:y>
    </cdr:to>
    <cdr:sp macro="" textlink="">
      <cdr:nvSpPr>
        <cdr:cNvPr id="6" name="TextBox 5"/>
        <cdr:cNvSpPr txBox="1"/>
      </cdr:nvSpPr>
      <cdr:spPr>
        <a:xfrm xmlns:a="http://schemas.openxmlformats.org/drawingml/2006/main">
          <a:off x="1539620" y="2326675"/>
          <a:ext cx="139054" cy="19133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900"/>
            <a:t>1</a:t>
          </a:r>
        </a:p>
      </cdr:txBody>
    </cdr:sp>
  </cdr:relSizeAnchor>
  <cdr:relSizeAnchor xmlns:cdr="http://schemas.openxmlformats.org/drawingml/2006/chartDrawing">
    <cdr:from>
      <cdr:x>0.28548</cdr:x>
      <cdr:y>0.66524</cdr:y>
    </cdr:from>
    <cdr:to>
      <cdr:x>0.33523</cdr:x>
      <cdr:y>0.73679</cdr:y>
    </cdr:to>
    <cdr:sp macro="" textlink="">
      <cdr:nvSpPr>
        <cdr:cNvPr id="7" name="TextBox 6"/>
        <cdr:cNvSpPr txBox="1"/>
      </cdr:nvSpPr>
      <cdr:spPr>
        <a:xfrm xmlns:a="http://schemas.openxmlformats.org/drawingml/2006/main">
          <a:off x="1644555" y="2347414"/>
          <a:ext cx="286603" cy="25248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t> </a:t>
          </a:r>
          <a:r>
            <a:rPr lang="en-GB" sz="900"/>
            <a:t>5</a:t>
          </a:r>
        </a:p>
      </cdr:txBody>
    </cdr:sp>
  </cdr:relSizeAnchor>
  <cdr:relSizeAnchor xmlns:cdr="http://schemas.openxmlformats.org/drawingml/2006/chartDrawing">
    <cdr:from>
      <cdr:x>0.32318</cdr:x>
      <cdr:y>0.67262</cdr:y>
    </cdr:from>
    <cdr:to>
      <cdr:x>0.35518</cdr:x>
      <cdr:y>0.74839</cdr:y>
    </cdr:to>
    <cdr:sp macro="" textlink="">
      <cdr:nvSpPr>
        <cdr:cNvPr id="8" name="TextBox 7"/>
        <cdr:cNvSpPr txBox="1"/>
      </cdr:nvSpPr>
      <cdr:spPr>
        <a:xfrm xmlns:a="http://schemas.openxmlformats.org/drawingml/2006/main">
          <a:off x="1861764" y="2373472"/>
          <a:ext cx="184343" cy="26737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900"/>
            <a:t>2</a:t>
          </a:r>
        </a:p>
      </cdr:txBody>
    </cdr:sp>
  </cdr:relSizeAnchor>
  <cdr:relSizeAnchor xmlns:cdr="http://schemas.openxmlformats.org/drawingml/2006/chartDrawing">
    <cdr:from>
      <cdr:x>0.35412</cdr:x>
      <cdr:y>0.73292</cdr:y>
    </cdr:from>
    <cdr:to>
      <cdr:x>0.38616</cdr:x>
      <cdr:y>0.79478</cdr:y>
    </cdr:to>
    <cdr:sp macro="" textlink="">
      <cdr:nvSpPr>
        <cdr:cNvPr id="9" name="TextBox 8"/>
        <cdr:cNvSpPr txBox="1"/>
      </cdr:nvSpPr>
      <cdr:spPr>
        <a:xfrm xmlns:a="http://schemas.openxmlformats.org/drawingml/2006/main">
          <a:off x="2039995" y="2586251"/>
          <a:ext cx="184589" cy="21828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900"/>
            <a:t>5</a:t>
          </a:r>
        </a:p>
      </cdr:txBody>
    </cdr:sp>
  </cdr:relSizeAnchor>
  <cdr:relSizeAnchor xmlns:cdr="http://schemas.openxmlformats.org/drawingml/2006/chartDrawing">
    <cdr:from>
      <cdr:x>0.38375</cdr:x>
      <cdr:y>0.77351</cdr:y>
    </cdr:from>
    <cdr:to>
      <cdr:x>0.41232</cdr:x>
      <cdr:y>0.82201</cdr:y>
    </cdr:to>
    <cdr:sp macro="" textlink="">
      <cdr:nvSpPr>
        <cdr:cNvPr id="10" name="TextBox 9"/>
        <cdr:cNvSpPr txBox="1"/>
      </cdr:nvSpPr>
      <cdr:spPr>
        <a:xfrm xmlns:a="http://schemas.openxmlformats.org/drawingml/2006/main">
          <a:off x="2210692" y="2729473"/>
          <a:ext cx="164584" cy="17114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900"/>
            <a:t>5</a:t>
          </a:r>
        </a:p>
      </cdr:txBody>
    </cdr:sp>
  </cdr:relSizeAnchor>
  <cdr:relSizeAnchor xmlns:cdr="http://schemas.openxmlformats.org/drawingml/2006/chartDrawing">
    <cdr:from>
      <cdr:x>0.41459</cdr:x>
      <cdr:y>0.77546</cdr:y>
    </cdr:from>
    <cdr:to>
      <cdr:x>0.44302</cdr:x>
      <cdr:y>0.82574</cdr:y>
    </cdr:to>
    <cdr:sp macro="" textlink="">
      <cdr:nvSpPr>
        <cdr:cNvPr id="11" name="TextBox 10"/>
        <cdr:cNvSpPr txBox="1"/>
      </cdr:nvSpPr>
      <cdr:spPr>
        <a:xfrm xmlns:a="http://schemas.openxmlformats.org/drawingml/2006/main">
          <a:off x="2388358" y="2736376"/>
          <a:ext cx="163773" cy="1774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900"/>
            <a:t>1</a:t>
          </a:r>
        </a:p>
      </cdr:txBody>
    </cdr:sp>
  </cdr:relSizeAnchor>
  <cdr:relSizeAnchor xmlns:cdr="http://schemas.openxmlformats.org/drawingml/2006/chartDrawing">
    <cdr:from>
      <cdr:x>0.47314</cdr:x>
      <cdr:y>0.8209</cdr:y>
    </cdr:from>
    <cdr:to>
      <cdr:x>0.58286</cdr:x>
      <cdr:y>1</cdr:y>
    </cdr:to>
    <cdr:sp macro="" textlink="">
      <cdr:nvSpPr>
        <cdr:cNvPr id="12" name="TextBox 11"/>
        <cdr:cNvSpPr txBox="1"/>
      </cdr:nvSpPr>
      <cdr:spPr>
        <a:xfrm xmlns:a="http://schemas.openxmlformats.org/drawingml/2006/main">
          <a:off x="3943350" y="42481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0.44674</cdr:x>
      <cdr:y>0.78456</cdr:y>
    </cdr:from>
    <cdr:to>
      <cdr:x>0.47382</cdr:x>
      <cdr:y>0.83928</cdr:y>
    </cdr:to>
    <cdr:sp macro="" textlink="">
      <cdr:nvSpPr>
        <cdr:cNvPr id="13" name="TextBox 12"/>
        <cdr:cNvSpPr txBox="1"/>
      </cdr:nvSpPr>
      <cdr:spPr>
        <a:xfrm xmlns:a="http://schemas.openxmlformats.org/drawingml/2006/main">
          <a:off x="2573522" y="2768473"/>
          <a:ext cx="156029" cy="1930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t>1</a:t>
          </a:r>
        </a:p>
      </cdr:txBody>
    </cdr:sp>
  </cdr:relSizeAnchor>
  <cdr:relSizeAnchor xmlns:cdr="http://schemas.openxmlformats.org/drawingml/2006/chartDrawing">
    <cdr:from>
      <cdr:x>0.47048</cdr:x>
      <cdr:y>0.79009</cdr:y>
    </cdr:from>
    <cdr:to>
      <cdr:x>0.50225</cdr:x>
      <cdr:y>0.84233</cdr:y>
    </cdr:to>
    <cdr:sp macro="" textlink="">
      <cdr:nvSpPr>
        <cdr:cNvPr id="14" name="TextBox 13"/>
        <cdr:cNvSpPr txBox="1"/>
      </cdr:nvSpPr>
      <cdr:spPr>
        <a:xfrm xmlns:a="http://schemas.openxmlformats.org/drawingml/2006/main">
          <a:off x="2710298" y="2787974"/>
          <a:ext cx="183027" cy="1843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t>2</a:t>
          </a:r>
        </a:p>
      </cdr:txBody>
    </cdr:sp>
  </cdr:relSizeAnchor>
  <cdr:relSizeAnchor xmlns:cdr="http://schemas.openxmlformats.org/drawingml/2006/chartDrawing">
    <cdr:from>
      <cdr:x>0.50699</cdr:x>
      <cdr:y>0.7948</cdr:y>
    </cdr:from>
    <cdr:to>
      <cdr:x>0.53068</cdr:x>
      <cdr:y>0.84702</cdr:y>
    </cdr:to>
    <cdr:sp macro="" textlink="">
      <cdr:nvSpPr>
        <cdr:cNvPr id="15" name="TextBox 14"/>
        <cdr:cNvSpPr txBox="1"/>
      </cdr:nvSpPr>
      <cdr:spPr>
        <a:xfrm xmlns:a="http://schemas.openxmlformats.org/drawingml/2006/main">
          <a:off x="2920622" y="2804615"/>
          <a:ext cx="136477" cy="1842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t>1</a:t>
          </a:r>
        </a:p>
      </cdr:txBody>
    </cdr:sp>
  </cdr:relSizeAnchor>
  <cdr:relSizeAnchor xmlns:cdr="http://schemas.openxmlformats.org/drawingml/2006/chartDrawing">
    <cdr:from>
      <cdr:x>0.53702</cdr:x>
      <cdr:y>0.82007</cdr:y>
    </cdr:from>
    <cdr:to>
      <cdr:x>0.56029</cdr:x>
      <cdr:y>0.87409</cdr:y>
    </cdr:to>
    <cdr:sp macro="" textlink="">
      <cdr:nvSpPr>
        <cdr:cNvPr id="16" name="TextBox 15"/>
        <cdr:cNvSpPr txBox="1"/>
      </cdr:nvSpPr>
      <cdr:spPr>
        <a:xfrm xmlns:a="http://schemas.openxmlformats.org/drawingml/2006/main">
          <a:off x="3093601" y="2893791"/>
          <a:ext cx="134095" cy="1906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t>2</a:t>
          </a:r>
        </a:p>
      </cdr:txBody>
    </cdr:sp>
  </cdr:relSizeAnchor>
  <cdr:relSizeAnchor xmlns:cdr="http://schemas.openxmlformats.org/drawingml/2006/chartDrawing">
    <cdr:from>
      <cdr:x>0.56437</cdr:x>
      <cdr:y>0.83106</cdr:y>
    </cdr:from>
    <cdr:to>
      <cdr:x>0.58991</cdr:x>
      <cdr:y>0.88763</cdr:y>
    </cdr:to>
    <cdr:sp macro="" textlink="">
      <cdr:nvSpPr>
        <cdr:cNvPr id="17" name="TextBox 16"/>
        <cdr:cNvSpPr txBox="1"/>
      </cdr:nvSpPr>
      <cdr:spPr>
        <a:xfrm xmlns:a="http://schemas.openxmlformats.org/drawingml/2006/main">
          <a:off x="3251162" y="2932567"/>
          <a:ext cx="147130" cy="1995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t>1</a:t>
          </a:r>
        </a:p>
      </cdr:txBody>
    </cdr:sp>
  </cdr:relSizeAnchor>
  <cdr:relSizeAnchor xmlns:cdr="http://schemas.openxmlformats.org/drawingml/2006/chartDrawing">
    <cdr:from>
      <cdr:x>0.59996</cdr:x>
      <cdr:y>0.8426</cdr:y>
    </cdr:from>
    <cdr:to>
      <cdr:x>0.61952</cdr:x>
      <cdr:y>0.88956</cdr:y>
    </cdr:to>
    <cdr:sp macro="" textlink="">
      <cdr:nvSpPr>
        <cdr:cNvPr id="18" name="TextBox 17"/>
        <cdr:cNvSpPr txBox="1"/>
      </cdr:nvSpPr>
      <cdr:spPr>
        <a:xfrm xmlns:a="http://schemas.openxmlformats.org/drawingml/2006/main">
          <a:off x="3456175" y="2973284"/>
          <a:ext cx="112715" cy="1657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t>1</a:t>
          </a:r>
        </a:p>
      </cdr:txBody>
    </cdr:sp>
  </cdr:relSizeAnchor>
  <cdr:relSizeAnchor xmlns:cdr="http://schemas.openxmlformats.org/drawingml/2006/chartDrawing">
    <cdr:from>
      <cdr:x>0.62603</cdr:x>
      <cdr:y>0.85014</cdr:y>
    </cdr:from>
    <cdr:to>
      <cdr:x>0.65269</cdr:x>
      <cdr:y>0.91277</cdr:y>
    </cdr:to>
    <cdr:sp macro="" textlink="">
      <cdr:nvSpPr>
        <cdr:cNvPr id="19" name="TextBox 18"/>
        <cdr:cNvSpPr txBox="1"/>
      </cdr:nvSpPr>
      <cdr:spPr>
        <a:xfrm xmlns:a="http://schemas.openxmlformats.org/drawingml/2006/main">
          <a:off x="3606399" y="2999869"/>
          <a:ext cx="153560" cy="2210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t>1</a:t>
          </a:r>
        </a:p>
      </cdr:txBody>
    </cdr:sp>
  </cdr:relSizeAnchor>
  <cdr:relSizeAnchor xmlns:cdr="http://schemas.openxmlformats.org/drawingml/2006/chartDrawing">
    <cdr:from>
      <cdr:x>0.65812</cdr:x>
      <cdr:y>0.84627</cdr:y>
    </cdr:from>
    <cdr:to>
      <cdr:x>0.67993</cdr:x>
      <cdr:y>0.90116</cdr:y>
    </cdr:to>
    <cdr:sp macro="" textlink="">
      <cdr:nvSpPr>
        <cdr:cNvPr id="20" name="TextBox 19"/>
        <cdr:cNvSpPr txBox="1"/>
      </cdr:nvSpPr>
      <cdr:spPr>
        <a:xfrm xmlns:a="http://schemas.openxmlformats.org/drawingml/2006/main">
          <a:off x="3791254" y="2986222"/>
          <a:ext cx="125654" cy="1937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t>1</a:t>
          </a:r>
        </a:p>
      </cdr:txBody>
    </cdr:sp>
  </cdr:relSizeAnchor>
  <cdr:relSizeAnchor xmlns:cdr="http://schemas.openxmlformats.org/drawingml/2006/chartDrawing">
    <cdr:from>
      <cdr:x>0.682</cdr:x>
      <cdr:y>0.84992</cdr:y>
    </cdr:from>
    <cdr:to>
      <cdr:x>0.70955</cdr:x>
      <cdr:y>0.90116</cdr:y>
    </cdr:to>
    <cdr:sp macro="" textlink="">
      <cdr:nvSpPr>
        <cdr:cNvPr id="21" name="TextBox 20"/>
        <cdr:cNvSpPr txBox="1"/>
      </cdr:nvSpPr>
      <cdr:spPr>
        <a:xfrm xmlns:a="http://schemas.openxmlformats.org/drawingml/2006/main">
          <a:off x="3928800" y="2999122"/>
          <a:ext cx="158705" cy="1808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t>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14EE1-A039-4140-ADCB-D73EA166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27</Pages>
  <Words>10705</Words>
  <Characters>61025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17</cp:revision>
  <cp:lastPrinted>2015-06-11T14:45:00Z</cp:lastPrinted>
  <dcterms:created xsi:type="dcterms:W3CDTF">2015-07-09T14:07:00Z</dcterms:created>
  <dcterms:modified xsi:type="dcterms:W3CDTF">2015-07-24T13:36:00Z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ELDocType">
    <vt:lpwstr>REP.DOT</vt:lpwstr>
  </property>
  <property fmtid="{D5CDD505-2E9C-101B-9397-08002B2CF9AE}" pid="7" name="Created using">
    <vt:lpwstr>3.0</vt:lpwstr>
  </property>
  <property fmtid="{D5CDD505-2E9C-101B-9397-08002B2CF9AE}" pid="8" name="Last edited using">
    <vt:lpwstr>EL 4.6 Build 40001</vt:lpwstr>
  </property>
</Properties>
</file>