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0C" w:rsidRDefault="005C4691" w:rsidP="005C4691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CA96A29E4E614E518DD2C012EB8316A6" style="width:450.25pt;height:408.35pt">
            <v:imagedata r:id="rId9" o:title=""/>
          </v:shape>
        </w:pict>
      </w:r>
    </w:p>
    <w:bookmarkEnd w:id="0"/>
    <w:p w:rsidR="005C4691" w:rsidRPr="005C4691" w:rsidRDefault="005C4691" w:rsidP="005C4691">
      <w:pPr>
        <w:pStyle w:val="Pagedecouverture"/>
        <w:sectPr w:rsidR="005C4691" w:rsidRPr="005C4691" w:rsidSect="005C46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6278B" w:rsidRDefault="00AD6732" w:rsidP="005C4691">
      <w:pPr>
        <w:pStyle w:val="Heading1"/>
        <w:numPr>
          <w:ilvl w:val="0"/>
          <w:numId w:val="1"/>
        </w:numPr>
        <w:spacing w:line="240" w:lineRule="auto"/>
        <w:rPr>
          <w:rFonts w:hint="eastAsia"/>
        </w:rPr>
      </w:pPr>
      <w:bookmarkStart w:id="1" w:name="_GoBack"/>
      <w:bookmarkEnd w:id="1"/>
      <w:r>
        <w:lastRenderedPageBreak/>
        <w:t>P</w:t>
      </w:r>
      <w:r w:rsidR="005D186F">
        <w:t>roblem definition</w:t>
      </w:r>
    </w:p>
    <w:p w:rsidR="00B01D02" w:rsidRDefault="005D186F" w:rsidP="00DE12F9">
      <w:pPr>
        <w:spacing w:line="240" w:lineRule="auto"/>
      </w:pPr>
      <w:r>
        <w:t>The g</w:t>
      </w:r>
      <w:r w:rsidRPr="005D186F">
        <w:t xml:space="preserve">eneral problem analysis </w:t>
      </w:r>
      <w:r w:rsidR="00B01D02">
        <w:t xml:space="preserve">on </w:t>
      </w:r>
      <w:r w:rsidR="00B01D02" w:rsidRPr="00B01D02">
        <w:t xml:space="preserve">EU climate policy targets for 2030 and the ETS </w:t>
      </w:r>
      <w:r w:rsidR="00076571">
        <w:t xml:space="preserve">was </w:t>
      </w:r>
      <w:r>
        <w:t>carried out</w:t>
      </w:r>
      <w:r w:rsidRPr="005D186F">
        <w:t xml:space="preserve"> in the Impact Assessment</w:t>
      </w:r>
      <w:r>
        <w:rPr>
          <w:rStyle w:val="FootnoteReference"/>
        </w:rPr>
        <w:footnoteReference w:id="1"/>
      </w:r>
      <w:r w:rsidRPr="005D186F">
        <w:t xml:space="preserve"> </w:t>
      </w:r>
      <w:r>
        <w:t xml:space="preserve">for the </w:t>
      </w:r>
      <w:r w:rsidR="00B01D02">
        <w:t>2030</w:t>
      </w:r>
      <w:r>
        <w:t xml:space="preserve"> </w:t>
      </w:r>
      <w:r w:rsidR="00B01D02">
        <w:t xml:space="preserve">climate and energy </w:t>
      </w:r>
      <w:r>
        <w:t>framework</w:t>
      </w:r>
      <w:r>
        <w:rPr>
          <w:rStyle w:val="FootnoteReference"/>
        </w:rPr>
        <w:footnoteReference w:id="2"/>
      </w:r>
      <w:r w:rsidRPr="005D186F">
        <w:t xml:space="preserve">. </w:t>
      </w:r>
      <w:r w:rsidR="00076571">
        <w:t>I</w:t>
      </w:r>
      <w:r w:rsidR="00076571" w:rsidRPr="00B01D02">
        <w:t xml:space="preserve">n October 2014, </w:t>
      </w:r>
      <w:r w:rsidR="00076571">
        <w:t>t</w:t>
      </w:r>
      <w:r w:rsidR="00B01D02" w:rsidRPr="00B01D02">
        <w:t xml:space="preserve">he European Council agreed on the 2030 framework </w:t>
      </w:r>
      <w:r w:rsidR="00B01D02">
        <w:t>including a</w:t>
      </w:r>
      <w:r w:rsidRPr="005D186F">
        <w:t xml:space="preserve"> binding domestic reduction </w:t>
      </w:r>
      <w:r w:rsidR="00B01D02" w:rsidRPr="005D186F">
        <w:t xml:space="preserve">of at least 40% </w:t>
      </w:r>
      <w:r w:rsidRPr="005D186F">
        <w:t>by 2030 compared to 1990</w:t>
      </w:r>
      <w:r w:rsidR="00DE12F9" w:rsidRPr="00B01D02">
        <w:t>, and a corresponding emission reduction target for the EU Emissions Trading System (ETS) of 43% compared to 2005</w:t>
      </w:r>
      <w:r w:rsidR="00076571">
        <w:t xml:space="preserve">, as well as </w:t>
      </w:r>
      <w:r w:rsidR="00854BFC">
        <w:t>continue</w:t>
      </w:r>
      <w:r w:rsidR="00076571">
        <w:t>d</w:t>
      </w:r>
      <w:r w:rsidR="00B01D02" w:rsidRPr="00B01D02">
        <w:t xml:space="preserve"> free allocation to industry and </w:t>
      </w:r>
      <w:r w:rsidR="00854BFC">
        <w:t>establish</w:t>
      </w:r>
      <w:r w:rsidR="00076571">
        <w:t xml:space="preserve">ing </w:t>
      </w:r>
      <w:r w:rsidR="00B01D02" w:rsidRPr="00B01D02">
        <w:t>funding mechanisms to ensure EU's low-carbon transition. The problem to be addressed is how to adapt the respective provisions</w:t>
      </w:r>
      <w:r w:rsidR="00076571">
        <w:t xml:space="preserve"> of the</w:t>
      </w:r>
      <w:r w:rsidR="00B01D02" w:rsidRPr="00B01D02">
        <w:t xml:space="preserve"> </w:t>
      </w:r>
      <w:r w:rsidR="00076571" w:rsidRPr="00B01D02">
        <w:t xml:space="preserve">ETS Directive </w:t>
      </w:r>
      <w:r w:rsidR="00076571">
        <w:t xml:space="preserve">for after </w:t>
      </w:r>
      <w:r w:rsidR="00B01D02" w:rsidRPr="00B01D02">
        <w:t>2020</w:t>
      </w:r>
      <w:r w:rsidR="00076571">
        <w:t xml:space="preserve"> while </w:t>
      </w:r>
      <w:r w:rsidR="00B01D02" w:rsidRPr="00B01D02">
        <w:t>further improv</w:t>
      </w:r>
      <w:r w:rsidR="00854BFC">
        <w:t>ing</w:t>
      </w:r>
      <w:r w:rsidR="00B01D02" w:rsidRPr="00B01D02">
        <w:t xml:space="preserve"> the system based on lessons learnt.</w:t>
      </w:r>
    </w:p>
    <w:p w:rsidR="00AD6732" w:rsidRPr="00AD6732" w:rsidRDefault="00AD6732" w:rsidP="0055206F">
      <w:pPr>
        <w:pStyle w:val="Heading2"/>
        <w:spacing w:line="240" w:lineRule="auto"/>
      </w:pPr>
      <w:r w:rsidRPr="00AD6732">
        <w:t>Free allocation and addressing the risk of carbon leakage</w:t>
      </w:r>
    </w:p>
    <w:p w:rsidR="001F43DC" w:rsidRPr="009D5E49" w:rsidRDefault="00AD6732" w:rsidP="009D5E49">
      <w:pPr>
        <w:pStyle w:val="Default"/>
        <w:rPr>
          <w:rFonts w:eastAsia="Times New Roman"/>
          <w:b/>
          <w:lang w:eastAsia="de-DE"/>
        </w:rPr>
      </w:pPr>
      <w:r w:rsidRPr="00EB32A9">
        <w:t xml:space="preserve">Free allowances to industry </w:t>
      </w:r>
      <w:r w:rsidR="00854BFC">
        <w:t>are given</w:t>
      </w:r>
      <w:r w:rsidRPr="00EB32A9">
        <w:t xml:space="preserve"> to address the potential risk of carbon leakage</w:t>
      </w:r>
      <w:r w:rsidR="00076571">
        <w:rPr>
          <w:rStyle w:val="FootnoteReference"/>
        </w:rPr>
        <w:footnoteReference w:id="3"/>
      </w:r>
      <w:r w:rsidR="00076571">
        <w:t xml:space="preserve"> in the absence of</w:t>
      </w:r>
      <w:r w:rsidR="00854BFC">
        <w:t xml:space="preserve"> </w:t>
      </w:r>
      <w:r w:rsidRPr="00EB32A9">
        <w:t xml:space="preserve">comparable climate policy measures </w:t>
      </w:r>
      <w:r w:rsidR="00854BFC">
        <w:t>in</w:t>
      </w:r>
      <w:r>
        <w:t xml:space="preserve"> other major economies.</w:t>
      </w:r>
      <w:r w:rsidR="001F43DC">
        <w:t xml:space="preserve"> </w:t>
      </w:r>
      <w:r w:rsidR="001F43DC" w:rsidRPr="001F43DC">
        <w:rPr>
          <w:rFonts w:eastAsia="Times New Roman"/>
          <w:lang w:eastAsia="de-DE"/>
        </w:rPr>
        <w:t xml:space="preserve">The problem to be addressed </w:t>
      </w:r>
      <w:r w:rsidR="00854BFC">
        <w:rPr>
          <w:rFonts w:eastAsia="Times New Roman"/>
          <w:lang w:eastAsia="de-DE"/>
        </w:rPr>
        <w:t xml:space="preserve">is </w:t>
      </w:r>
      <w:r w:rsidR="00076571">
        <w:rPr>
          <w:rFonts w:eastAsia="Times New Roman"/>
          <w:lang w:eastAsia="de-DE"/>
        </w:rPr>
        <w:t xml:space="preserve">how </w:t>
      </w:r>
      <w:r w:rsidR="00854BFC">
        <w:rPr>
          <w:rFonts w:eastAsia="Times New Roman"/>
          <w:lang w:eastAsia="de-DE"/>
        </w:rPr>
        <w:t>to establish</w:t>
      </w:r>
      <w:r w:rsidR="00DF2A36" w:rsidRPr="001F43DC">
        <w:rPr>
          <w:rFonts w:eastAsia="Times New Roman"/>
          <w:lang w:eastAsia="de-DE"/>
        </w:rPr>
        <w:t xml:space="preserve"> </w:t>
      </w:r>
      <w:r w:rsidR="001F43DC" w:rsidRPr="001F43DC">
        <w:rPr>
          <w:rFonts w:eastAsia="Times New Roman"/>
          <w:lang w:eastAsia="de-DE"/>
        </w:rPr>
        <w:t>future rules for free allocation</w:t>
      </w:r>
      <w:r w:rsidR="00DF2A36">
        <w:rPr>
          <w:rFonts w:eastAsia="Times New Roman"/>
          <w:lang w:eastAsia="de-DE"/>
        </w:rPr>
        <w:t xml:space="preserve"> to industry, </w:t>
      </w:r>
      <w:r w:rsidR="00076571" w:rsidRPr="009D5E49">
        <w:rPr>
          <w:rFonts w:eastAsia="Times New Roman"/>
          <w:lang w:eastAsia="de-DE"/>
        </w:rPr>
        <w:t xml:space="preserve">to optimally allocate the </w:t>
      </w:r>
      <w:r w:rsidR="00076571">
        <w:rPr>
          <w:rFonts w:eastAsia="Times New Roman"/>
          <w:lang w:eastAsia="de-DE"/>
        </w:rPr>
        <w:t>about</w:t>
      </w:r>
      <w:r w:rsidR="00076571" w:rsidRPr="009D5E49">
        <w:rPr>
          <w:rFonts w:eastAsia="Times New Roman"/>
          <w:lang w:eastAsia="de-DE"/>
        </w:rPr>
        <w:t xml:space="preserve"> 6.3 billion free allowances available </w:t>
      </w:r>
      <w:r w:rsidR="00DF2A36" w:rsidRPr="009D5E49">
        <w:rPr>
          <w:rFonts w:eastAsia="Times New Roman"/>
          <w:lang w:eastAsia="de-DE"/>
        </w:rPr>
        <w:t>based on the principles defined by the European Council</w:t>
      </w:r>
      <w:r w:rsidR="001F43DC" w:rsidRPr="001F43DC">
        <w:rPr>
          <w:rFonts w:eastAsia="Times New Roman"/>
          <w:lang w:eastAsia="de-DE"/>
        </w:rPr>
        <w:t>.</w:t>
      </w:r>
    </w:p>
    <w:p w:rsidR="001F43DC" w:rsidRDefault="001F43DC" w:rsidP="0055206F">
      <w:pPr>
        <w:pStyle w:val="Heading2"/>
        <w:spacing w:line="240" w:lineRule="auto"/>
      </w:pPr>
      <w:r>
        <w:t>Low-carbon funding mechanisms</w:t>
      </w:r>
    </w:p>
    <w:p w:rsidR="005E4CCE" w:rsidRDefault="00076571" w:rsidP="00781478">
      <w:pPr>
        <w:spacing w:line="240" w:lineRule="auto"/>
      </w:pPr>
      <w:r>
        <w:t>A</w:t>
      </w:r>
      <w:r w:rsidRPr="00960839">
        <w:t>s part of the 2030 framework</w:t>
      </w:r>
      <w:r>
        <w:t>,</w:t>
      </w:r>
      <w:r w:rsidRPr="00960839">
        <w:t xml:space="preserve"> </w:t>
      </w:r>
      <w:r>
        <w:t>t</w:t>
      </w:r>
      <w:r w:rsidR="00DF2A36">
        <w:t xml:space="preserve">he European Council </w:t>
      </w:r>
      <w:r w:rsidR="00781478">
        <w:t xml:space="preserve">agreed to create three low carbon funding mechanisms. First, an Innovation Fund of 400 million allowances to support </w:t>
      </w:r>
      <w:r w:rsidR="0092150A" w:rsidRPr="0092150A">
        <w:t xml:space="preserve">highly innovative, low-carbon first-of-a-kind projects in European </w:t>
      </w:r>
      <w:r w:rsidR="008F308B">
        <w:t xml:space="preserve">industry and </w:t>
      </w:r>
      <w:r w:rsidR="0092150A" w:rsidRPr="0092150A">
        <w:t>energy,</w:t>
      </w:r>
      <w:r w:rsidR="00DF2A36">
        <w:t xml:space="preserve"> </w:t>
      </w:r>
      <w:r w:rsidR="002920E6">
        <w:t>building on the existing NER 300 facility</w:t>
      </w:r>
      <w:r w:rsidR="0092150A">
        <w:t>.</w:t>
      </w:r>
      <w:r w:rsidR="00781478">
        <w:t xml:space="preserve"> In addition, </w:t>
      </w:r>
      <w:r w:rsidR="00E66D81">
        <w:t>some 3</w:t>
      </w:r>
      <w:r w:rsidR="00446A55">
        <w:t>1</w:t>
      </w:r>
      <w:r w:rsidR="00E66D81">
        <w:t>0 million</w:t>
      </w:r>
      <w:r w:rsidR="00DF2A36" w:rsidRPr="00960839">
        <w:t xml:space="preserve"> </w:t>
      </w:r>
      <w:r w:rsidR="005E4CCE" w:rsidRPr="00960839">
        <w:t xml:space="preserve">allowances will be used </w:t>
      </w:r>
      <w:r w:rsidR="00E22ED7">
        <w:t>for</w:t>
      </w:r>
      <w:r w:rsidR="005E4CCE" w:rsidRPr="00960839">
        <w:t xml:space="preserve"> a Modernisation Fund to support </w:t>
      </w:r>
      <w:r w:rsidR="00E22ED7" w:rsidRPr="00960839">
        <w:t xml:space="preserve">lower income </w:t>
      </w:r>
      <w:r w:rsidR="005E4CCE" w:rsidRPr="00960839">
        <w:t>EU Member States</w:t>
      </w:r>
      <w:r w:rsidR="009F3CB7">
        <w:rPr>
          <w:rStyle w:val="FootnoteReference"/>
        </w:rPr>
        <w:footnoteReference w:id="4"/>
      </w:r>
      <w:r w:rsidR="005E4CCE" w:rsidRPr="00960839">
        <w:t xml:space="preserve"> in improving energy efficiency and modernising energy systems</w:t>
      </w:r>
      <w:r w:rsidR="00DF2A36">
        <w:t xml:space="preserve">. </w:t>
      </w:r>
      <w:r w:rsidR="00781478">
        <w:t xml:space="preserve">Finally, the </w:t>
      </w:r>
      <w:r w:rsidR="005E4CCE" w:rsidRPr="00960839">
        <w:t>existing option for low</w:t>
      </w:r>
      <w:r w:rsidR="00E311BE">
        <w:t xml:space="preserve">er </w:t>
      </w:r>
      <w:r w:rsidR="005E4CCE" w:rsidRPr="00960839">
        <w:t xml:space="preserve">income Member States to </w:t>
      </w:r>
      <w:r w:rsidR="00DF2A36">
        <w:t>give</w:t>
      </w:r>
      <w:r w:rsidR="00DF2A36" w:rsidRPr="00960839">
        <w:t xml:space="preserve"> </w:t>
      </w:r>
      <w:r w:rsidR="005E4CCE" w:rsidRPr="00960839">
        <w:t xml:space="preserve">free allowances to their power sector is continued, </w:t>
      </w:r>
      <w:r w:rsidR="00DF2A36">
        <w:t xml:space="preserve">with a limit of </w:t>
      </w:r>
      <w:r w:rsidR="005E4CCE" w:rsidRPr="00960839">
        <w:t>up to maximum 40% of their allowances</w:t>
      </w:r>
      <w:r w:rsidR="00781478" w:rsidRPr="00781478">
        <w:t xml:space="preserve"> </w:t>
      </w:r>
      <w:r w:rsidR="00781478">
        <w:t>for auctioning</w:t>
      </w:r>
      <w:r w:rsidR="00DD02F3">
        <w:t xml:space="preserve"> before redistribution</w:t>
      </w:r>
      <w:r w:rsidR="005E4CCE" w:rsidRPr="00960839">
        <w:t>.</w:t>
      </w:r>
      <w:r w:rsidR="009F3CB7">
        <w:t xml:space="preserve"> </w:t>
      </w:r>
      <w:r w:rsidR="00781478">
        <w:t xml:space="preserve">This impact assessment analyses the optimal choices for the design of these low carbon funding mechanisms. </w:t>
      </w:r>
    </w:p>
    <w:p w:rsidR="00C71D74" w:rsidRDefault="00C71D74" w:rsidP="0055206F">
      <w:pPr>
        <w:pStyle w:val="Heading2"/>
        <w:spacing w:line="240" w:lineRule="auto"/>
      </w:pPr>
      <w:r>
        <w:t>Further improvements to the current set of rules</w:t>
      </w:r>
    </w:p>
    <w:p w:rsidR="00C71D74" w:rsidRPr="00C71D74" w:rsidRDefault="00E22ED7" w:rsidP="0055206F">
      <w:pPr>
        <w:spacing w:line="240" w:lineRule="auto"/>
      </w:pPr>
      <w:r>
        <w:t>The</w:t>
      </w:r>
      <w:r w:rsidR="006B7EEF">
        <w:t xml:space="preserve"> current </w:t>
      </w:r>
      <w:r w:rsidR="00DF2A36">
        <w:t xml:space="preserve">rules for </w:t>
      </w:r>
      <w:r w:rsidR="006B7EEF">
        <w:t xml:space="preserve">the EU ETS </w:t>
      </w:r>
      <w:r w:rsidR="00DF2A36">
        <w:t xml:space="preserve">are in force since 2013 and are </w:t>
      </w:r>
      <w:r w:rsidR="006B7EEF">
        <w:t xml:space="preserve">relatively recent, </w:t>
      </w:r>
      <w:r>
        <w:t xml:space="preserve">but </w:t>
      </w:r>
      <w:r w:rsidR="006B7EEF">
        <w:t>based on experience, certain limited changes should be considered post-2020</w:t>
      </w:r>
      <w:r>
        <w:t xml:space="preserve"> for </w:t>
      </w:r>
      <w:r w:rsidR="006B7EEF">
        <w:t>core aspects of the ETS</w:t>
      </w:r>
      <w:r>
        <w:t xml:space="preserve"> (</w:t>
      </w:r>
      <w:r w:rsidR="006B7EEF">
        <w:t xml:space="preserve">validity of allowances, the Union registry </w:t>
      </w:r>
      <w:r w:rsidR="008F308B">
        <w:t xml:space="preserve">and </w:t>
      </w:r>
      <w:r w:rsidR="006B7EEF">
        <w:t>small emitters</w:t>
      </w:r>
      <w:r>
        <w:t>)</w:t>
      </w:r>
      <w:r w:rsidR="006B7EEF">
        <w:t>.</w:t>
      </w:r>
    </w:p>
    <w:p w:rsidR="00832AEC" w:rsidRDefault="00832AEC" w:rsidP="005C4691">
      <w:pPr>
        <w:pStyle w:val="Heading1"/>
        <w:numPr>
          <w:ilvl w:val="0"/>
          <w:numId w:val="1"/>
        </w:numPr>
        <w:spacing w:line="240" w:lineRule="auto"/>
        <w:rPr>
          <w:rFonts w:hint="eastAsia"/>
        </w:rPr>
      </w:pPr>
      <w:r>
        <w:t>Objective</w:t>
      </w:r>
      <w:r w:rsidR="000F09F0">
        <w:t>s</w:t>
      </w:r>
    </w:p>
    <w:p w:rsidR="002E16C4" w:rsidRDefault="00832AEC" w:rsidP="002E16C4">
      <w:pPr>
        <w:spacing w:line="240" w:lineRule="auto"/>
      </w:pPr>
      <w:r w:rsidRPr="00F77EE3">
        <w:t xml:space="preserve">The general objective </w:t>
      </w:r>
      <w:r>
        <w:t xml:space="preserve">of </w:t>
      </w:r>
      <w:r w:rsidR="002E16C4">
        <w:t xml:space="preserve">EU </w:t>
      </w:r>
      <w:r>
        <w:t xml:space="preserve">climate policy, and of EU ETS as </w:t>
      </w:r>
      <w:r w:rsidR="002E16C4">
        <w:t xml:space="preserve">its </w:t>
      </w:r>
      <w:r>
        <w:t>key instrument, is</w:t>
      </w:r>
      <w:r w:rsidRPr="00F77EE3">
        <w:t xml:space="preserve"> to</w:t>
      </w:r>
      <w:r>
        <w:t xml:space="preserve"> contribute to</w:t>
      </w:r>
      <w:r w:rsidRPr="00F77EE3">
        <w:t xml:space="preserve"> </w:t>
      </w:r>
      <w:r>
        <w:t xml:space="preserve">limiting global average </w:t>
      </w:r>
      <w:r w:rsidRPr="00F77EE3">
        <w:t>temperature increase to no more than 2 degrees Celsius above</w:t>
      </w:r>
      <w:r>
        <w:t xml:space="preserve"> pre-industrial level. The specific policy objective is to </w:t>
      </w:r>
      <w:r w:rsidR="002E16C4">
        <w:t xml:space="preserve">refine and improve the </w:t>
      </w:r>
      <w:r>
        <w:t xml:space="preserve">EU ETS </w:t>
      </w:r>
      <w:r w:rsidR="002E16C4">
        <w:t xml:space="preserve">rules post-2020, aligning them </w:t>
      </w:r>
      <w:r>
        <w:t xml:space="preserve">with the 2030 emission reduction </w:t>
      </w:r>
      <w:r w:rsidR="002E16C4">
        <w:t>target</w:t>
      </w:r>
      <w:r>
        <w:t>.</w:t>
      </w:r>
      <w:r w:rsidR="002E16C4" w:rsidRPr="002E16C4">
        <w:t xml:space="preserve"> </w:t>
      </w:r>
      <w:r w:rsidR="00781478">
        <w:t>O</w:t>
      </w:r>
      <w:r w:rsidR="009C427B">
        <w:t xml:space="preserve">perational </w:t>
      </w:r>
      <w:r w:rsidR="009C427B">
        <w:lastRenderedPageBreak/>
        <w:t xml:space="preserve">objectives for the </w:t>
      </w:r>
      <w:r w:rsidR="00781478">
        <w:t xml:space="preserve">three </w:t>
      </w:r>
      <w:r w:rsidR="009C427B">
        <w:t>clusters (free allocation, low-carbon funding mechanisms and further improvements to the current rules) aim to address the problems as defined above.</w:t>
      </w:r>
    </w:p>
    <w:p w:rsidR="008671B1" w:rsidRDefault="006B7EEF" w:rsidP="005C4691">
      <w:pPr>
        <w:pStyle w:val="Heading1"/>
        <w:numPr>
          <w:ilvl w:val="0"/>
          <w:numId w:val="1"/>
        </w:numPr>
        <w:spacing w:line="240" w:lineRule="auto"/>
        <w:rPr>
          <w:rFonts w:hint="eastAsia"/>
        </w:rPr>
      </w:pPr>
      <w:r>
        <w:t>Options and impacts</w:t>
      </w:r>
    </w:p>
    <w:p w:rsidR="00C72A86" w:rsidRPr="00C72A86" w:rsidRDefault="006B7EEF" w:rsidP="009D5E49">
      <w:pPr>
        <w:pStyle w:val="Heading2"/>
        <w:spacing w:line="240" w:lineRule="auto"/>
      </w:pPr>
      <w:r>
        <w:t>Free allocation and addressing the risk of carbon leakage</w:t>
      </w:r>
    </w:p>
    <w:p w:rsidR="002146FF" w:rsidRDefault="00AC5A99" w:rsidP="0055206F">
      <w:pPr>
        <w:spacing w:before="0" w:after="200" w:line="240" w:lineRule="auto"/>
      </w:pPr>
      <w:r>
        <w:t>Several p</w:t>
      </w:r>
      <w:r w:rsidR="000C0F2C">
        <w:t xml:space="preserve">olicy options </w:t>
      </w:r>
      <w:r w:rsidR="009B4CF9">
        <w:t>were</w:t>
      </w:r>
      <w:r w:rsidR="000C0F2C">
        <w:t xml:space="preserve"> developed for each of the elements of </w:t>
      </w:r>
      <w:r w:rsidR="00E66D81">
        <w:t xml:space="preserve">the </w:t>
      </w:r>
      <w:r w:rsidR="000C0F2C">
        <w:t xml:space="preserve">free allocation </w:t>
      </w:r>
      <w:r w:rsidR="00617CD6">
        <w:t>system</w:t>
      </w:r>
      <w:r w:rsidR="000C0F2C">
        <w:t xml:space="preserve"> and for compensation for indirect costs,</w:t>
      </w:r>
      <w:r w:rsidR="00C72A86">
        <w:t xml:space="preserve"> following the guiding principles of th</w:t>
      </w:r>
      <w:r w:rsidR="0065557F">
        <w:t>e European Council conclusions</w:t>
      </w:r>
      <w:r w:rsidR="002146FF">
        <w:t>.</w:t>
      </w:r>
      <w:r w:rsidR="00B45083">
        <w:t xml:space="preserve"> </w:t>
      </w:r>
    </w:p>
    <w:p w:rsidR="00DA0487" w:rsidRDefault="00C72A86" w:rsidP="0055206F">
      <w:pPr>
        <w:spacing w:before="0" w:after="200" w:line="240" w:lineRule="auto"/>
      </w:pPr>
      <w:r>
        <w:rPr>
          <w:b/>
        </w:rPr>
        <w:t>B</w:t>
      </w:r>
      <w:r w:rsidR="002146FF" w:rsidRPr="00B45083">
        <w:rPr>
          <w:b/>
        </w:rPr>
        <w:t>enchmark</w:t>
      </w:r>
      <w:r>
        <w:rPr>
          <w:b/>
        </w:rPr>
        <w:t xml:space="preserve"> values</w:t>
      </w:r>
      <w:r w:rsidR="009B4CF9">
        <w:rPr>
          <w:b/>
        </w:rPr>
        <w:t xml:space="preserve">. </w:t>
      </w:r>
      <w:r w:rsidRPr="00C72A86">
        <w:t>There are various options how and how frequently to update the benchmark values</w:t>
      </w:r>
      <w:r w:rsidR="009B4CF9">
        <w:t xml:space="preserve"> (</w:t>
      </w:r>
      <w:r w:rsidR="009B4CF9" w:rsidRPr="002146FF">
        <w:t>allowances per tonne of product</w:t>
      </w:r>
      <w:r w:rsidR="009B4CF9">
        <w:t>).</w:t>
      </w:r>
      <w:r>
        <w:t xml:space="preserve"> </w:t>
      </w:r>
      <w:r w:rsidR="002146FF">
        <w:t xml:space="preserve">The impact assessment considers </w:t>
      </w:r>
      <w:r>
        <w:t>the baseline option (update based on new data reported by operators), a single flat rate update</w:t>
      </w:r>
      <w:r w:rsidR="009B5521">
        <w:t xml:space="preserve">, a </w:t>
      </w:r>
      <w:r w:rsidR="00BB1D15">
        <w:t>recurrent</w:t>
      </w:r>
      <w:r w:rsidR="009B5521">
        <w:t xml:space="preserve"> flat rate update,</w:t>
      </w:r>
      <w:r>
        <w:t xml:space="preserve"> </w:t>
      </w:r>
      <w:r w:rsidR="009B5521">
        <w:t xml:space="preserve">an update based on new data combined with a flat rate update </w:t>
      </w:r>
      <w:r>
        <w:t xml:space="preserve">and a </w:t>
      </w:r>
      <w:r w:rsidR="00BB1D15">
        <w:t>recurrent</w:t>
      </w:r>
      <w:r w:rsidR="009B5521">
        <w:t xml:space="preserve"> </w:t>
      </w:r>
      <w:r>
        <w:t>full data collection update.</w:t>
      </w:r>
      <w:r w:rsidR="000C0F2C">
        <w:t xml:space="preserve"> </w:t>
      </w:r>
    </w:p>
    <w:p w:rsidR="00B45083" w:rsidRDefault="00B45083" w:rsidP="0086379D">
      <w:pPr>
        <w:spacing w:before="0" w:after="200" w:line="240" w:lineRule="auto"/>
      </w:pPr>
      <w:r w:rsidRPr="00B45083">
        <w:rPr>
          <w:b/>
        </w:rPr>
        <w:t>Production level and adjustments</w:t>
      </w:r>
      <w:r>
        <w:rPr>
          <w:b/>
        </w:rPr>
        <w:t xml:space="preserve">. </w:t>
      </w:r>
      <w:r w:rsidRPr="00B45083">
        <w:t xml:space="preserve">The </w:t>
      </w:r>
      <w:r>
        <w:t xml:space="preserve">production level is </w:t>
      </w:r>
      <w:r w:rsidR="0038179E">
        <w:t>multiplied with the benchmark value to</w:t>
      </w:r>
      <w:r w:rsidRPr="00B45083">
        <w:t xml:space="preserve"> determine </w:t>
      </w:r>
      <w:r w:rsidR="0065557F">
        <w:t xml:space="preserve">the amount of </w:t>
      </w:r>
      <w:r w:rsidR="0038179E">
        <w:t xml:space="preserve">allowances per installation. </w:t>
      </w:r>
      <w:r w:rsidR="0065557F">
        <w:t xml:space="preserve">There are various options on how many years to use for the </w:t>
      </w:r>
      <w:r w:rsidR="0038179E">
        <w:t>production levels</w:t>
      </w:r>
      <w:r w:rsidR="0065557F">
        <w:t xml:space="preserve">, how frequently to update these years, and how to deal with </w:t>
      </w:r>
      <w:r w:rsidR="00BB1D15">
        <w:t xml:space="preserve">annual </w:t>
      </w:r>
      <w:r w:rsidR="0065557F">
        <w:t>changes in production levels. The impact assessment considers the baseline option</w:t>
      </w:r>
      <w:r w:rsidR="00781478">
        <w:t xml:space="preserve"> </w:t>
      </w:r>
      <w:r w:rsidR="0065557F">
        <w:t>(production levels determined once and current rules for production changes), an alternative with historical production levels defined once and based on five years (</w:t>
      </w:r>
      <w:r w:rsidR="00BB1D15">
        <w:t>2013</w:t>
      </w:r>
      <w:r w:rsidR="0065557F">
        <w:t>-1</w:t>
      </w:r>
      <w:r w:rsidR="00BB1D15">
        <w:t>7</w:t>
      </w:r>
      <w:r w:rsidR="0065557F">
        <w:t>) for the entire 10-year period and another alternative with production levels for two five-year periods (</w:t>
      </w:r>
      <w:r w:rsidR="00BB1D15">
        <w:t>2013</w:t>
      </w:r>
      <w:r w:rsidR="0065557F">
        <w:t>-1</w:t>
      </w:r>
      <w:r w:rsidR="00BB1D15">
        <w:t>7</w:t>
      </w:r>
      <w:r w:rsidR="0065557F">
        <w:t xml:space="preserve">, respectively </w:t>
      </w:r>
      <w:r w:rsidR="00BB1D15">
        <w:t>2018</w:t>
      </w:r>
      <w:r w:rsidR="0065557F">
        <w:t>-</w:t>
      </w:r>
      <w:r w:rsidR="00BB1D15">
        <w:t>22</w:t>
      </w:r>
      <w:r w:rsidR="0065557F">
        <w:t>)</w:t>
      </w:r>
      <w:r w:rsidR="0086379D">
        <w:t xml:space="preserve">. </w:t>
      </w:r>
      <w:r w:rsidR="0065557F">
        <w:t xml:space="preserve">Significant production increases and decreases are addressed through same thresholds for increased and decreased production. </w:t>
      </w:r>
      <w:r w:rsidR="0086379D">
        <w:t>T</w:t>
      </w:r>
      <w:r w:rsidR="0086379D" w:rsidRPr="0086379D">
        <w:t>he increased allocation for increased production comes</w:t>
      </w:r>
      <w:r w:rsidR="004D2F20">
        <w:t xml:space="preserve"> from the new entrants' reserve, which is either a fixed amount (baseline) or is replenished from unused allowances during the period.</w:t>
      </w:r>
      <w:r w:rsidR="009B5521">
        <w:t xml:space="preserve"> It can be funded from phase 4 allowances, or from 250 million </w:t>
      </w:r>
      <w:r w:rsidR="00BB1D15">
        <w:t>allowances that were</w:t>
      </w:r>
      <w:r w:rsidR="009B5521">
        <w:t xml:space="preserve"> unallocated </w:t>
      </w:r>
      <w:r w:rsidR="00BB1D15">
        <w:t xml:space="preserve">in </w:t>
      </w:r>
      <w:r w:rsidR="009B5521">
        <w:t>phase 3.</w:t>
      </w:r>
    </w:p>
    <w:p w:rsidR="004D2F20" w:rsidRPr="00CE3EAD" w:rsidRDefault="004D2F20" w:rsidP="004D2F20">
      <w:pPr>
        <w:spacing w:before="0" w:after="200" w:line="240" w:lineRule="auto"/>
        <w:rPr>
          <w:b/>
        </w:rPr>
      </w:pPr>
      <w:r w:rsidRPr="00CE3EAD">
        <w:rPr>
          <w:b/>
        </w:rPr>
        <w:t>Carbon leakage groups and criteria</w:t>
      </w:r>
      <w:r>
        <w:rPr>
          <w:b/>
        </w:rPr>
        <w:t xml:space="preserve">. </w:t>
      </w:r>
      <w:r>
        <w:t>S</w:t>
      </w:r>
      <w:r w:rsidRPr="007502AD">
        <w:t>ectors deemed to be exposed to a significant risk of carbon leakage</w:t>
      </w:r>
      <w:r w:rsidR="0038179E">
        <w:t xml:space="preserve"> </w:t>
      </w:r>
      <w:r w:rsidR="00694943">
        <w:t xml:space="preserve">because of their carbon intensity and trade </w:t>
      </w:r>
      <w:r>
        <w:t xml:space="preserve">receive </w:t>
      </w:r>
      <w:r w:rsidR="00694943">
        <w:t xml:space="preserve">more </w:t>
      </w:r>
      <w:r>
        <w:t>free allowances</w:t>
      </w:r>
      <w:r w:rsidR="00694943">
        <w:t xml:space="preserve">. Currently, there is very limited differentiation among sectors, as 97% are on the carbon leakage list. </w:t>
      </w:r>
      <w:r>
        <w:t xml:space="preserve">The impact assessment </w:t>
      </w:r>
      <w:r w:rsidR="00694943">
        <w:t xml:space="preserve">explores </w:t>
      </w:r>
      <w:r>
        <w:t xml:space="preserve">options </w:t>
      </w:r>
      <w:r w:rsidR="00694943">
        <w:t xml:space="preserve">for a more targeted approach, based on differentiation of sectors </w:t>
      </w:r>
      <w:r>
        <w:t>depending on the</w:t>
      </w:r>
      <w:r w:rsidR="00694943">
        <w:t>ir</w:t>
      </w:r>
      <w:r>
        <w:t xml:space="preserve"> </w:t>
      </w:r>
      <w:r w:rsidRPr="007502AD">
        <w:t>degree of exposure</w:t>
      </w:r>
      <w:r>
        <w:t xml:space="preserve"> to carbon leakage risk</w:t>
      </w:r>
      <w:r w:rsidR="00694943">
        <w:t xml:space="preserve"> – slight modif</w:t>
      </w:r>
      <w:r w:rsidR="00B232CF">
        <w:t>ication of the current criteria;</w:t>
      </w:r>
      <w:r w:rsidR="00694943">
        <w:t xml:space="preserve"> a</w:t>
      </w:r>
      <w:r w:rsidR="00B232CF">
        <w:t xml:space="preserve">pplying a uniform factor to all; </w:t>
      </w:r>
      <w:r w:rsidR="00694943">
        <w:t>differentiating sectors into 4 groups.</w:t>
      </w:r>
    </w:p>
    <w:p w:rsidR="00CE3EAD" w:rsidRDefault="00CE3EAD" w:rsidP="0055206F">
      <w:pPr>
        <w:spacing w:before="0" w:after="200" w:line="240" w:lineRule="auto"/>
      </w:pPr>
      <w:r w:rsidRPr="00CE3EAD">
        <w:rPr>
          <w:b/>
        </w:rPr>
        <w:t xml:space="preserve">Indirect cost compensation. </w:t>
      </w:r>
      <w:r w:rsidRPr="00CE3EAD">
        <w:t>Indirect carbon costs are the costs of CO</w:t>
      </w:r>
      <w:r w:rsidRPr="009D5E49">
        <w:rPr>
          <w:vertAlign w:val="subscript"/>
        </w:rPr>
        <w:t>2</w:t>
      </w:r>
      <w:r w:rsidRPr="00CE3EAD">
        <w:t xml:space="preserve"> emissions related to producing </w:t>
      </w:r>
      <w:r w:rsidR="00694943">
        <w:t>electricity</w:t>
      </w:r>
      <w:r w:rsidR="00694943" w:rsidRPr="00CE3EAD">
        <w:t xml:space="preserve"> </w:t>
      </w:r>
      <w:r w:rsidRPr="00CE3EAD">
        <w:t xml:space="preserve">which are passed through to industrial consumers of electricity. </w:t>
      </w:r>
      <w:r w:rsidR="00694943">
        <w:t>Currently,</w:t>
      </w:r>
      <w:r w:rsidRPr="00CE3EAD">
        <w:t xml:space="preserve"> Member States </w:t>
      </w:r>
      <w:r w:rsidR="00694943">
        <w:t xml:space="preserve">can give subsidies to </w:t>
      </w:r>
      <w:r w:rsidRPr="00CE3EAD">
        <w:t xml:space="preserve">certain electro-intensive industries </w:t>
      </w:r>
      <w:r w:rsidR="00694943">
        <w:t xml:space="preserve">to </w:t>
      </w:r>
      <w:r w:rsidR="009B5521">
        <w:t>p</w:t>
      </w:r>
      <w:r w:rsidR="00446A55">
        <w:t>ar</w:t>
      </w:r>
      <w:r w:rsidR="009B5521">
        <w:t xml:space="preserve">tially </w:t>
      </w:r>
      <w:r w:rsidR="00694943">
        <w:t>compensate them for these indirect costs</w:t>
      </w:r>
      <w:r>
        <w:t xml:space="preserve">, subject to </w:t>
      </w:r>
      <w:r w:rsidR="00694943">
        <w:t>S</w:t>
      </w:r>
      <w:r>
        <w:t xml:space="preserve">tate aid rules. The impact assessment considers </w:t>
      </w:r>
      <w:r w:rsidR="00B232CF">
        <w:t xml:space="preserve">the baseline </w:t>
      </w:r>
      <w:r w:rsidR="006B2A79">
        <w:t>(</w:t>
      </w:r>
      <w:r w:rsidR="00694943">
        <w:t>continuing the current approach</w:t>
      </w:r>
      <w:r w:rsidR="006B2A79">
        <w:t>)</w:t>
      </w:r>
      <w:r w:rsidR="009B5521">
        <w:t xml:space="preserve">, </w:t>
      </w:r>
      <w:r w:rsidR="00B232CF">
        <w:t xml:space="preserve">an option </w:t>
      </w:r>
      <w:r w:rsidR="00694943">
        <w:t>establishing a m</w:t>
      </w:r>
      <w:r w:rsidR="00694943" w:rsidRPr="007B416A">
        <w:t xml:space="preserve">andatory </w:t>
      </w:r>
      <w:r w:rsidR="00694943">
        <w:t>EU</w:t>
      </w:r>
      <w:r w:rsidR="00694943" w:rsidRPr="007B416A">
        <w:t xml:space="preserve">-wide compensation scheme, financed </w:t>
      </w:r>
      <w:r w:rsidR="00694943">
        <w:t>from</w:t>
      </w:r>
      <w:r w:rsidR="00694943" w:rsidRPr="007B416A">
        <w:t xml:space="preserve"> national auctioning revenues</w:t>
      </w:r>
      <w:r w:rsidR="009B5521">
        <w:t xml:space="preserve"> or from free allocation, and a combination of an EU-wide compensation scheme financed through free allocation plus an optional compensation at national level</w:t>
      </w:r>
      <w:r>
        <w:t xml:space="preserve">. </w:t>
      </w:r>
    </w:p>
    <w:p w:rsidR="000C0F2C" w:rsidRDefault="00AC5A99" w:rsidP="0055206F">
      <w:pPr>
        <w:spacing w:before="0" w:after="200" w:line="240" w:lineRule="auto"/>
      </w:pPr>
      <w:r w:rsidRPr="00AC5A99">
        <w:t xml:space="preserve">The options </w:t>
      </w:r>
      <w:r w:rsidR="00694943">
        <w:t>for each element were</w:t>
      </w:r>
      <w:r w:rsidRPr="00AC5A99">
        <w:t xml:space="preserve"> screened </w:t>
      </w:r>
      <w:r w:rsidR="00694943">
        <w:t xml:space="preserve">using </w:t>
      </w:r>
      <w:r w:rsidRPr="00AC5A99">
        <w:t>operational objectives</w:t>
      </w:r>
      <w:r w:rsidR="00FB0BB2">
        <w:t xml:space="preserve"> linked to the European Council conclusions</w:t>
      </w:r>
      <w:r w:rsidR="00694943">
        <w:t>, and t</w:t>
      </w:r>
      <w:r w:rsidRPr="00AC5A99">
        <w:t xml:space="preserve">he high-scoring </w:t>
      </w:r>
      <w:r w:rsidR="00694943">
        <w:t xml:space="preserve">ones were </w:t>
      </w:r>
      <w:r w:rsidRPr="00AC5A99">
        <w:t>combin</w:t>
      </w:r>
      <w:r>
        <w:t>ed into option packages:</w:t>
      </w:r>
    </w:p>
    <w:p w:rsidR="008C225D" w:rsidRPr="00AC5A99" w:rsidRDefault="00AC5A99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 w:rsidRPr="00AC5A99">
        <w:rPr>
          <w:b/>
        </w:rPr>
        <w:lastRenderedPageBreak/>
        <w:t>'Baseline A'</w:t>
      </w:r>
      <w:r w:rsidRPr="00AC5A99">
        <w:t xml:space="preserve"> reflects the unchanged </w:t>
      </w:r>
      <w:r w:rsidR="00694943">
        <w:t xml:space="preserve">ETS </w:t>
      </w:r>
      <w:r w:rsidRPr="00AC5A99">
        <w:t>Directive</w:t>
      </w:r>
      <w:r w:rsidR="00694943">
        <w:t>, but does not correspond to the European Council conclusions and is not assessed</w:t>
      </w:r>
      <w:r w:rsidRPr="00AC5A99">
        <w:t xml:space="preserve">. </w:t>
      </w:r>
    </w:p>
    <w:p w:rsidR="00694943" w:rsidRDefault="008C225D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 w:rsidRPr="00AC5A99">
        <w:rPr>
          <w:b/>
        </w:rPr>
        <w:t>'Baseline B'</w:t>
      </w:r>
      <w:r>
        <w:t xml:space="preserve"> </w:t>
      </w:r>
      <w:r w:rsidR="00AC5A99">
        <w:t>assumes</w:t>
      </w:r>
      <w:r>
        <w:t xml:space="preserve"> </w:t>
      </w:r>
      <w:r w:rsidR="00694943" w:rsidRPr="00672DE5">
        <w:t>the current rules are prolonged to the next phase</w:t>
      </w:r>
      <w:r w:rsidR="00694943">
        <w:t xml:space="preserve"> and all packages are assessed compared to it. </w:t>
      </w:r>
    </w:p>
    <w:p w:rsidR="008C225D" w:rsidRDefault="008C225D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 w:rsidRPr="00AC5A99">
        <w:rPr>
          <w:b/>
        </w:rPr>
        <w:t>'Baseline Bbis'</w:t>
      </w:r>
      <w:r>
        <w:t xml:space="preserve"> </w:t>
      </w:r>
      <w:r w:rsidR="00694943">
        <w:t xml:space="preserve">is very similar to "Baseline B" </w:t>
      </w:r>
      <w:r>
        <w:t xml:space="preserve">with </w:t>
      </w:r>
      <w:r w:rsidR="0088458E">
        <w:t xml:space="preserve">limited </w:t>
      </w:r>
      <w:r w:rsidR="00290962">
        <w:t xml:space="preserve">adjustments to the carbon leakage criteria. </w:t>
      </w:r>
    </w:p>
    <w:p w:rsidR="008C225D" w:rsidRDefault="009A131F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>
        <w:t xml:space="preserve">The </w:t>
      </w:r>
      <w:r w:rsidR="008C225D" w:rsidRPr="008C225D">
        <w:rPr>
          <w:b/>
        </w:rPr>
        <w:t>'Simple</w:t>
      </w:r>
      <w:r w:rsidR="008C225D">
        <w:t xml:space="preserve">' </w:t>
      </w:r>
      <w:r>
        <w:t xml:space="preserve">package </w:t>
      </w:r>
      <w:r w:rsidR="00694943" w:rsidRPr="00D86704">
        <w:rPr>
          <w:rFonts w:eastAsia="Times New Roman"/>
        </w:rPr>
        <w:t xml:space="preserve">is </w:t>
      </w:r>
      <w:r w:rsidR="006B2A79">
        <w:rPr>
          <w:rFonts w:eastAsia="Times New Roman"/>
        </w:rPr>
        <w:t xml:space="preserve">designed to minimise the </w:t>
      </w:r>
      <w:r w:rsidR="00694943">
        <w:t>administrative burden and complexity</w:t>
      </w:r>
      <w:r w:rsidR="008C225D">
        <w:t>.</w:t>
      </w:r>
    </w:p>
    <w:p w:rsidR="009A131F" w:rsidRDefault="009A131F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>
        <w:t xml:space="preserve">The </w:t>
      </w:r>
      <w:r w:rsidR="008C225D" w:rsidRPr="008C225D">
        <w:rPr>
          <w:b/>
        </w:rPr>
        <w:t>'Targeted'</w:t>
      </w:r>
      <w:r w:rsidR="008C225D">
        <w:t xml:space="preserve"> package is based on policy options </w:t>
      </w:r>
      <w:r w:rsidR="006B2A79">
        <w:t xml:space="preserve">aimed at </w:t>
      </w:r>
      <w:r w:rsidR="008C225D">
        <w:t>ensur</w:t>
      </w:r>
      <w:r w:rsidR="006B2A79">
        <w:t>ing</w:t>
      </w:r>
      <w:r w:rsidR="008C225D">
        <w:t xml:space="preserve"> that the most efficient installations </w:t>
      </w:r>
      <w:r w:rsidR="006B2A79">
        <w:t xml:space="preserve">do </w:t>
      </w:r>
      <w:r w:rsidR="008C225D">
        <w:t xml:space="preserve">not </w:t>
      </w:r>
      <w:r w:rsidR="006B2A79">
        <w:t xml:space="preserve">face </w:t>
      </w:r>
      <w:r w:rsidR="008C225D">
        <w:t xml:space="preserve">undue costs, while, at the same time, avoiding windfall profits. </w:t>
      </w:r>
    </w:p>
    <w:p w:rsidR="008C225D" w:rsidRDefault="009A131F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>
        <w:t>The</w:t>
      </w:r>
      <w:r w:rsidR="008C225D">
        <w:t xml:space="preserve"> 'Simple' and 'Targeted' </w:t>
      </w:r>
      <w:r w:rsidRPr="00104AE4">
        <w:t>represent different ways to address the trade-offs between the guiding principles</w:t>
      </w:r>
      <w:r w:rsidR="008C225D">
        <w:t xml:space="preserve">, as most of the policy options </w:t>
      </w:r>
      <w:r>
        <w:t>in the</w:t>
      </w:r>
      <w:r w:rsidR="008C225D">
        <w:t xml:space="preserve"> 'Targeted' require data collection.</w:t>
      </w:r>
    </w:p>
    <w:p w:rsidR="008C225D" w:rsidRDefault="008C225D" w:rsidP="005C4691">
      <w:pPr>
        <w:pStyle w:val="ListParagraph"/>
        <w:numPr>
          <w:ilvl w:val="0"/>
          <w:numId w:val="4"/>
        </w:numPr>
        <w:spacing w:before="0" w:after="200" w:line="240" w:lineRule="auto"/>
      </w:pPr>
      <w:r>
        <w:t xml:space="preserve">The </w:t>
      </w:r>
      <w:r w:rsidRPr="008C225D">
        <w:rPr>
          <w:b/>
        </w:rPr>
        <w:t>'Limited</w:t>
      </w:r>
      <w:r>
        <w:t xml:space="preserve"> </w:t>
      </w:r>
      <w:r w:rsidRPr="008C225D">
        <w:rPr>
          <w:b/>
        </w:rPr>
        <w:t>changes'</w:t>
      </w:r>
      <w:r>
        <w:rPr>
          <w:b/>
        </w:rPr>
        <w:t xml:space="preserve"> </w:t>
      </w:r>
      <w:r>
        <w:t xml:space="preserve">package </w:t>
      </w:r>
      <w:r w:rsidR="0069165F">
        <w:t xml:space="preserve">is a combination of 'Simple' and 'Targeted' </w:t>
      </w:r>
      <w:r w:rsidR="009A131F">
        <w:t>packages</w:t>
      </w:r>
      <w:r>
        <w:t xml:space="preserve">. </w:t>
      </w:r>
    </w:p>
    <w:p w:rsidR="008C225D" w:rsidRPr="007D5361" w:rsidRDefault="008C225D" w:rsidP="0055206F">
      <w:pPr>
        <w:tabs>
          <w:tab w:val="right" w:pos="9026"/>
        </w:tabs>
        <w:spacing w:before="0" w:after="200" w:line="240" w:lineRule="auto"/>
        <w:rPr>
          <w:b/>
        </w:rPr>
      </w:pPr>
      <w:r w:rsidRPr="007D5361">
        <w:rPr>
          <w:b/>
        </w:rPr>
        <w:t>Impacts</w:t>
      </w:r>
      <w:r w:rsidR="00EB38E7">
        <w:rPr>
          <w:b/>
        </w:rPr>
        <w:tab/>
      </w:r>
    </w:p>
    <w:p w:rsidR="00485250" w:rsidRDefault="00485250" w:rsidP="0055206F">
      <w:pPr>
        <w:spacing w:before="0" w:after="200" w:line="240" w:lineRule="auto"/>
      </w:pPr>
      <w:r w:rsidRPr="00B62A27">
        <w:t>Free allocation</w:t>
      </w:r>
      <w:r>
        <w:t xml:space="preserve"> addressing the risk of </w:t>
      </w:r>
      <w:r w:rsidRPr="00B62A27">
        <w:t xml:space="preserve">carbon leakage </w:t>
      </w:r>
      <w:r w:rsidR="006B2A79">
        <w:t xml:space="preserve">directly </w:t>
      </w:r>
      <w:r>
        <w:t>impact</w:t>
      </w:r>
      <w:r w:rsidR="006B2A79">
        <w:t>s</w:t>
      </w:r>
      <w:r>
        <w:t xml:space="preserve"> </w:t>
      </w:r>
      <w:r w:rsidRPr="00B62A27">
        <w:t xml:space="preserve">industrial installations covered by </w:t>
      </w:r>
      <w:r>
        <w:t xml:space="preserve">the </w:t>
      </w:r>
      <w:r w:rsidRPr="00B62A27">
        <w:t xml:space="preserve">ETS and </w:t>
      </w:r>
      <w:r w:rsidR="006B2A79">
        <w:t xml:space="preserve">Member State </w:t>
      </w:r>
      <w:r>
        <w:t>budgets</w:t>
      </w:r>
      <w:r w:rsidRPr="00B62A27">
        <w:t>.</w:t>
      </w:r>
    </w:p>
    <w:p w:rsidR="00485250" w:rsidRDefault="00485250" w:rsidP="0055206F">
      <w:pPr>
        <w:spacing w:before="0" w:after="200" w:line="240" w:lineRule="auto"/>
      </w:pPr>
      <w:r>
        <w:t xml:space="preserve">The order of magnitude of the </w:t>
      </w:r>
      <w:r w:rsidRPr="00B62A27">
        <w:t>economic impact</w:t>
      </w:r>
      <w:r>
        <w:t xml:space="preserve">s of </w:t>
      </w:r>
      <w:r w:rsidR="00B232CF">
        <w:t xml:space="preserve">the </w:t>
      </w:r>
      <w:r>
        <w:t xml:space="preserve">free allocation rules is </w:t>
      </w:r>
      <w:r w:rsidRPr="00B62A27">
        <w:t>about 6.3 billion</w:t>
      </w:r>
      <w:r>
        <w:t xml:space="preserve"> allowances, which</w:t>
      </w:r>
      <w:r w:rsidRPr="00B62A27">
        <w:t xml:space="preserve"> could amount </w:t>
      </w:r>
      <w:r>
        <w:t>to some</w:t>
      </w:r>
      <w:r w:rsidRPr="00B62A27">
        <w:t xml:space="preserve"> </w:t>
      </w:r>
      <w:r>
        <w:t>€</w:t>
      </w:r>
      <w:r w:rsidRPr="00B62A27">
        <w:t>1</w:t>
      </w:r>
      <w:r>
        <w:t>5</w:t>
      </w:r>
      <w:r w:rsidRPr="00B62A27">
        <w:t xml:space="preserve">0 </w:t>
      </w:r>
      <w:r>
        <w:t>billion</w:t>
      </w:r>
      <w:r w:rsidRPr="00B62A27">
        <w:rPr>
          <w:vertAlign w:val="superscript"/>
        </w:rPr>
        <w:footnoteReference w:id="5"/>
      </w:r>
      <w:r w:rsidRPr="00B62A27">
        <w:t>.</w:t>
      </w:r>
      <w:r w:rsidRPr="00DB40DE">
        <w:t xml:space="preserve"> </w:t>
      </w:r>
      <w:r>
        <w:t xml:space="preserve">These public resources need to be allocated in an optimal way and it needs to be ensured that they do not undermine the polluter pays principle. </w:t>
      </w:r>
    </w:p>
    <w:p w:rsidR="00485250" w:rsidRDefault="00485250" w:rsidP="00485250">
      <w:pPr>
        <w:pStyle w:val="Default"/>
      </w:pPr>
      <w:r w:rsidRPr="00B62A27">
        <w:t xml:space="preserve">The </w:t>
      </w:r>
      <w:r>
        <w:t xml:space="preserve">compliance costs for sectors </w:t>
      </w:r>
      <w:r w:rsidRPr="00B62A27">
        <w:t>depend on the carbon price</w:t>
      </w:r>
      <w:r>
        <w:t>, the level of free allocation, and the emissions from production</w:t>
      </w:r>
      <w:r w:rsidRPr="00B62A27">
        <w:t>.</w:t>
      </w:r>
      <w:r w:rsidRPr="00485250">
        <w:t xml:space="preserve"> The carbon price is not directly impacted by </w:t>
      </w:r>
      <w:r w:rsidR="00B232CF">
        <w:t xml:space="preserve">the rules for </w:t>
      </w:r>
      <w:r w:rsidRPr="00485250">
        <w:t xml:space="preserve">free allocation, as the total amount of allowances available (the cap) </w:t>
      </w:r>
      <w:r w:rsidR="00B232CF">
        <w:t>is</w:t>
      </w:r>
      <w:r w:rsidRPr="00485250">
        <w:t xml:space="preserve"> fixed in advance</w:t>
      </w:r>
      <w:r>
        <w:t>.</w:t>
      </w:r>
      <w:r w:rsidRPr="00485250">
        <w:t xml:space="preserve"> </w:t>
      </w:r>
      <w:r>
        <w:t>T</w:t>
      </w:r>
      <w:r w:rsidRPr="00485250">
        <w:t xml:space="preserve">he total carbon costs at macro level are determined by the 40 % overall </w:t>
      </w:r>
      <w:r w:rsidR="00B232CF">
        <w:t>emission</w:t>
      </w:r>
      <w:r w:rsidRPr="00485250">
        <w:t xml:space="preserve"> reduction target, and the specific 4</w:t>
      </w:r>
      <w:r>
        <w:t xml:space="preserve">3% reduction target for the ETS, as </w:t>
      </w:r>
      <w:r w:rsidRPr="00485250">
        <w:t>analysed in the impact assessment for the 2030 climate and energy framework.</w:t>
      </w:r>
    </w:p>
    <w:p w:rsidR="002E37BF" w:rsidRPr="00E23718" w:rsidRDefault="002E37BF" w:rsidP="002E37BF">
      <w:pPr>
        <w:pStyle w:val="Default"/>
      </w:pPr>
      <w:r>
        <w:t xml:space="preserve">No significant differences have been identified between policy option packages </w:t>
      </w:r>
      <w:r w:rsidR="00B232CF">
        <w:t xml:space="preserve">for free allocation </w:t>
      </w:r>
      <w:r>
        <w:t xml:space="preserve">in terms of </w:t>
      </w:r>
      <w:r w:rsidRPr="00646606">
        <w:t>environmental impac</w:t>
      </w:r>
      <w:r w:rsidRPr="009B5521">
        <w:t>ts</w:t>
      </w:r>
      <w:r>
        <w:t xml:space="preserve"> because the</w:t>
      </w:r>
      <w:r w:rsidR="00B232CF">
        <w:t>se</w:t>
      </w:r>
      <w:r>
        <w:t xml:space="preserve"> </w:t>
      </w:r>
      <w:r w:rsidR="00BB1D15">
        <w:t xml:space="preserve">mainly </w:t>
      </w:r>
      <w:r w:rsidR="00B232CF">
        <w:t>depend on the overall</w:t>
      </w:r>
      <w:r>
        <w:t xml:space="preserve"> </w:t>
      </w:r>
      <w:r w:rsidRPr="00B62A27">
        <w:t>emission</w:t>
      </w:r>
      <w:r>
        <w:t xml:space="preserve"> reduction of 43% in 2030 </w:t>
      </w:r>
      <w:r w:rsidR="00B232CF">
        <w:t>determined by the cap</w:t>
      </w:r>
      <w:r>
        <w:t xml:space="preserve">. </w:t>
      </w:r>
    </w:p>
    <w:p w:rsidR="002E37BF" w:rsidRDefault="002E37BF" w:rsidP="002E37BF">
      <w:pPr>
        <w:pStyle w:val="Default"/>
      </w:pPr>
      <w:r>
        <w:t>For social impacts, the</w:t>
      </w:r>
      <w:r w:rsidR="00B232CF">
        <w:t xml:space="preserve"> differences between the option</w:t>
      </w:r>
      <w:r>
        <w:t xml:space="preserve"> packages are rather small</w:t>
      </w:r>
      <w:r w:rsidR="00B232CF">
        <w:t>, and concern only district heating prices</w:t>
      </w:r>
      <w:r>
        <w:t xml:space="preserve">. </w:t>
      </w:r>
    </w:p>
    <w:p w:rsidR="00225146" w:rsidRDefault="002E37BF" w:rsidP="002E37BF">
      <w:pPr>
        <w:pStyle w:val="Default"/>
      </w:pPr>
      <w:r>
        <w:t xml:space="preserve">Concerning </w:t>
      </w:r>
      <w:r w:rsidR="00B232CF">
        <w:t>the operational objective</w:t>
      </w:r>
      <w:r w:rsidR="00225146">
        <w:t>s and their link to the elements of the option packages, the following can be noted:</w:t>
      </w:r>
    </w:p>
    <w:p w:rsidR="00225146" w:rsidRDefault="00225146" w:rsidP="005C4691">
      <w:pPr>
        <w:pStyle w:val="Default"/>
        <w:numPr>
          <w:ilvl w:val="0"/>
          <w:numId w:val="6"/>
        </w:numPr>
      </w:pPr>
      <w:r>
        <w:t>Regular</w:t>
      </w:r>
      <w:r w:rsidR="002E37BF">
        <w:t xml:space="preserve"> benchmark updates based on </w:t>
      </w:r>
      <w:r w:rsidR="009B5521">
        <w:t xml:space="preserve">a full </w:t>
      </w:r>
      <w:r w:rsidR="002E37BF">
        <w:t xml:space="preserve">data collection ('Baseline', 'Limited changes' and 'Targeted' packages) will most closely align the benchmark values to technological progress. Updates based on a single flat rate ('Simple' package) will yield a </w:t>
      </w:r>
      <w:r w:rsidR="000E63C7">
        <w:t xml:space="preserve">more demanding </w:t>
      </w:r>
      <w:r w:rsidR="002E37BF">
        <w:t xml:space="preserve">benchmark value for sectors with below-average technological capabilities than for sectors with above-average technological capabilities. A more nuanced approach, for instance with an update based on multiple </w:t>
      </w:r>
      <w:r w:rsidR="002E37BF">
        <w:lastRenderedPageBreak/>
        <w:t>flat rates (e.g. low, medium, high) and/or complemented with data collection, could bring a closer alignment to achieved technological progress in different sectors.</w:t>
      </w:r>
    </w:p>
    <w:p w:rsidR="00225146" w:rsidRDefault="002E37BF" w:rsidP="005C4691">
      <w:pPr>
        <w:pStyle w:val="Default"/>
        <w:numPr>
          <w:ilvl w:val="0"/>
          <w:numId w:val="6"/>
        </w:numPr>
      </w:pPr>
      <w:r w:rsidRPr="002E37BF">
        <w:t>A too close alignment of free allocation to the characteristics of an industry (technological progress, production or emission levels) may reduce the incentives to innovate</w:t>
      </w:r>
      <w:r w:rsidR="000E63C7">
        <w:t>.</w:t>
      </w:r>
    </w:p>
    <w:p w:rsidR="00225146" w:rsidRDefault="00225146" w:rsidP="005C4691">
      <w:pPr>
        <w:pStyle w:val="Default"/>
        <w:numPr>
          <w:ilvl w:val="0"/>
          <w:numId w:val="6"/>
        </w:numPr>
      </w:pPr>
      <w:r>
        <w:t>T</w:t>
      </w:r>
      <w:r w:rsidR="002E37BF">
        <w:t xml:space="preserve">o better target free allocation towards those installations that are best performers and most </w:t>
      </w:r>
      <w:r>
        <w:t>exposed to carbon leakage risks, t</w:t>
      </w:r>
      <w:r w:rsidR="002E37BF">
        <w:t xml:space="preserve">he amount of free allocation has to be </w:t>
      </w:r>
      <w:r>
        <w:t>aligned</w:t>
      </w:r>
      <w:r w:rsidR="002E37BF">
        <w:t xml:space="preserve"> with the degree of carbon leakage risk to which the sectors are exposed. The 'Baseline' packages fail to achieve a targeted allocation because the correction factor – that may increase to around 35% in 2030 – decreases free allocation across sectors irrespective of their carbon leakage risks. The option packages 'Limited changes' and 'Targeted' better address the differences in carbon leakage risk by classifying sectors into 4 carbon leakage groups and possibly avoiding the correction factor.</w:t>
      </w:r>
    </w:p>
    <w:p w:rsidR="00225146" w:rsidRDefault="00225146" w:rsidP="005C4691">
      <w:pPr>
        <w:pStyle w:val="Default"/>
        <w:numPr>
          <w:ilvl w:val="0"/>
          <w:numId w:val="6"/>
        </w:numPr>
      </w:pPr>
      <w:r>
        <w:t>T</w:t>
      </w:r>
      <w:r w:rsidR="002E37BF" w:rsidRPr="002E37BF">
        <w:t xml:space="preserve">he rules for adjustments to </w:t>
      </w:r>
      <w:r w:rsidRPr="002E37BF">
        <w:t xml:space="preserve">production levels </w:t>
      </w:r>
      <w:r w:rsidR="002E37BF" w:rsidRPr="002E37BF">
        <w:t>changes and t</w:t>
      </w:r>
      <w:r>
        <w:t>he new entrants r</w:t>
      </w:r>
      <w:r w:rsidR="002E37BF" w:rsidRPr="002E37BF">
        <w:t xml:space="preserve">eserve can be improved (as in 'Simple', 'Limited changes', </w:t>
      </w:r>
      <w:r>
        <w:t>and 'Targeted' option packages), and thus</w:t>
      </w:r>
      <w:r w:rsidR="002E37BF" w:rsidRPr="002E37BF">
        <w:t xml:space="preserve"> contribute to reduce the correction factor and provide more free allowances for fast-growing companies.</w:t>
      </w:r>
    </w:p>
    <w:p w:rsidR="00225146" w:rsidRDefault="002E37BF" w:rsidP="005C4691">
      <w:pPr>
        <w:pStyle w:val="Default"/>
        <w:numPr>
          <w:ilvl w:val="0"/>
          <w:numId w:val="6"/>
        </w:numPr>
      </w:pPr>
      <w:r w:rsidRPr="002E37BF">
        <w:t xml:space="preserve">A better targeted allocation system (as with the 'Limited changes' and 'Targeted' packages) will also reduce the </w:t>
      </w:r>
      <w:r w:rsidR="00225146">
        <w:t xml:space="preserve">likelihood for windfall profits, </w:t>
      </w:r>
      <w:r w:rsidR="009B5521">
        <w:t xml:space="preserve">while </w:t>
      </w:r>
      <w:r w:rsidR="00225146">
        <w:t>a</w:t>
      </w:r>
      <w:r w:rsidRPr="002E37BF">
        <w:t xml:space="preserve"> fully targeted allocation system comes at the cost of </w:t>
      </w:r>
      <w:r w:rsidR="009B5521">
        <w:t>excessive</w:t>
      </w:r>
      <w:r w:rsidR="009B5521" w:rsidRPr="002E37BF">
        <w:t xml:space="preserve"> </w:t>
      </w:r>
      <w:r w:rsidRPr="002E37BF">
        <w:t>administrative complexity.</w:t>
      </w:r>
    </w:p>
    <w:p w:rsidR="002E37BF" w:rsidRDefault="00225146" w:rsidP="005C4691">
      <w:pPr>
        <w:pStyle w:val="Default"/>
        <w:numPr>
          <w:ilvl w:val="0"/>
          <w:numId w:val="6"/>
        </w:numPr>
      </w:pPr>
      <w:r>
        <w:t xml:space="preserve">A </w:t>
      </w:r>
      <w:r w:rsidR="002E37BF" w:rsidRPr="00170338">
        <w:t>more harmoni</w:t>
      </w:r>
      <w:r w:rsidR="002E37BF">
        <w:t>s</w:t>
      </w:r>
      <w:r w:rsidR="002E37BF" w:rsidRPr="00170338">
        <w:t xml:space="preserve">ed compensation of indirect carbon costs – </w:t>
      </w:r>
      <w:r w:rsidR="000E63C7">
        <w:t>funded by</w:t>
      </w:r>
      <w:r w:rsidR="002E37BF" w:rsidRPr="00170338">
        <w:t xml:space="preserve"> the EU ETS auction revenues </w:t>
      </w:r>
      <w:r w:rsidR="002E37BF">
        <w:t xml:space="preserve">for Member States </w:t>
      </w:r>
      <w:r w:rsidR="002E37BF" w:rsidRPr="00170338">
        <w:t>–</w:t>
      </w:r>
      <w:r w:rsidR="00BB1D15">
        <w:t xml:space="preserve"> </w:t>
      </w:r>
      <w:r w:rsidR="002E37BF" w:rsidRPr="00170338">
        <w:t>offer</w:t>
      </w:r>
      <w:r>
        <w:t>s</w:t>
      </w:r>
      <w:r w:rsidR="002E37BF" w:rsidRPr="00170338">
        <w:t xml:space="preserve"> </w:t>
      </w:r>
      <w:r w:rsidR="000E63C7">
        <w:t xml:space="preserve">higher </w:t>
      </w:r>
      <w:r w:rsidR="002E37BF" w:rsidRPr="00170338">
        <w:t>protection for electro-int</w:t>
      </w:r>
      <w:r>
        <w:t>ensive industries, b</w:t>
      </w:r>
      <w:r w:rsidR="002E37BF" w:rsidRPr="00170338">
        <w:t xml:space="preserve">ut at the cost </w:t>
      </w:r>
      <w:r w:rsidR="000E63C7">
        <w:t xml:space="preserve">of </w:t>
      </w:r>
      <w:r w:rsidR="002E37BF" w:rsidRPr="00170338">
        <w:t xml:space="preserve">auction revenues cannot be used </w:t>
      </w:r>
      <w:r w:rsidR="000E63C7">
        <w:t>for other purpose</w:t>
      </w:r>
      <w:r w:rsidR="00F73AB8">
        <w:t>s</w:t>
      </w:r>
      <w:r w:rsidR="000E63C7">
        <w:t xml:space="preserve">, e.g. </w:t>
      </w:r>
      <w:r w:rsidR="002E37BF" w:rsidRPr="00170338">
        <w:t xml:space="preserve">to support renewable electricity generation that may </w:t>
      </w:r>
      <w:r w:rsidR="000E63C7" w:rsidRPr="00170338">
        <w:t>reduce carbon costs</w:t>
      </w:r>
      <w:r w:rsidR="000E63C7">
        <w:t xml:space="preserve"> further</w:t>
      </w:r>
      <w:r w:rsidR="000E63C7" w:rsidRPr="00170338">
        <w:t xml:space="preserve"> </w:t>
      </w:r>
      <w:r w:rsidR="002E37BF" w:rsidRPr="00170338">
        <w:t xml:space="preserve">in the long term </w:t>
      </w:r>
      <w:r>
        <w:t>.</w:t>
      </w:r>
    </w:p>
    <w:p w:rsidR="002E37BF" w:rsidRPr="00B62A27" w:rsidRDefault="00DA212F" w:rsidP="002E37BF">
      <w:pPr>
        <w:pStyle w:val="Default"/>
      </w:pPr>
      <w:r>
        <w:rPr>
          <w:rFonts w:eastAsia="Times New Roman"/>
        </w:rPr>
        <w:t xml:space="preserve">Given </w:t>
      </w:r>
      <w:r w:rsidR="002E37BF">
        <w:rPr>
          <w:rFonts w:eastAsia="Times New Roman"/>
        </w:rPr>
        <w:t>the advantages and disadvantages of the different packages</w:t>
      </w:r>
      <w:r>
        <w:rPr>
          <w:rFonts w:eastAsia="Times New Roman"/>
        </w:rPr>
        <w:t>, a combination</w:t>
      </w:r>
      <w:r w:rsidR="002E37BF">
        <w:rPr>
          <w:rFonts w:eastAsia="Times New Roman"/>
        </w:rPr>
        <w:t xml:space="preserve"> could also be considered</w:t>
      </w:r>
      <w:r>
        <w:rPr>
          <w:rFonts w:eastAsia="Times New Roman"/>
        </w:rPr>
        <w:t xml:space="preserve">, for example </w:t>
      </w:r>
      <w:r w:rsidR="002E37BF">
        <w:rPr>
          <w:rFonts w:eastAsia="Times New Roman"/>
        </w:rPr>
        <w:t>certain measures of the 'Simple' package that perform well with regard to economic incentives and administrative simplicity – e.g. benchmark values based on (multiple) flat rate(s) and closer alignment to production data –combine</w:t>
      </w:r>
      <w:r>
        <w:rPr>
          <w:rFonts w:eastAsia="Times New Roman"/>
        </w:rPr>
        <w:t>d</w:t>
      </w:r>
      <w:r w:rsidR="002E37BF">
        <w:rPr>
          <w:rFonts w:eastAsia="Times New Roman"/>
        </w:rPr>
        <w:t xml:space="preserve"> with carbon leakage rules (from the 'Limited changes' and 'Targeted' packages) </w:t>
      </w:r>
      <w:r w:rsidR="002E37BF" w:rsidRPr="00153BD2">
        <w:rPr>
          <w:rFonts w:eastAsia="Times New Roman"/>
        </w:rPr>
        <w:t xml:space="preserve">to better target free allowances towards those sectors that are most exposed to carbon leakage rules. However, </w:t>
      </w:r>
      <w:r w:rsidR="002E37BF" w:rsidRPr="008A0608">
        <w:t>the policy choice ultimately depends on what emphasis decision-makers put on the different objectives.</w:t>
      </w:r>
    </w:p>
    <w:p w:rsidR="00485250" w:rsidRPr="00FE167A" w:rsidRDefault="00485250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bookmarkStart w:id="2" w:name="_Toc416457573"/>
      <w:bookmarkStart w:id="3" w:name="_Toc415839923"/>
      <w:bookmarkStart w:id="4" w:name="_Toc415841020"/>
      <w:bookmarkStart w:id="5" w:name="_Toc416445723"/>
      <w:bookmarkStart w:id="6" w:name="_Toc416450961"/>
      <w:bookmarkStart w:id="7" w:name="_Toc416457589"/>
      <w:bookmarkStart w:id="8" w:name="_Toc416463085"/>
      <w:bookmarkStart w:id="9" w:name="_Toc416463356"/>
      <w:bookmarkStart w:id="10" w:name="_Toc415839929"/>
      <w:bookmarkStart w:id="11" w:name="_Toc415841026"/>
      <w:bookmarkStart w:id="12" w:name="_Toc416445729"/>
      <w:bookmarkStart w:id="13" w:name="_Toc416450967"/>
      <w:bookmarkStart w:id="14" w:name="_Toc416457595"/>
      <w:bookmarkStart w:id="15" w:name="_Toc416463091"/>
      <w:bookmarkStart w:id="16" w:name="_Toc416463362"/>
      <w:bookmarkStart w:id="17" w:name="_Toc416445732"/>
      <w:bookmarkStart w:id="18" w:name="_Toc416457597"/>
      <w:bookmarkStart w:id="19" w:name="_Toc417499775"/>
      <w:bookmarkStart w:id="20" w:name="_Toc417552765"/>
      <w:bookmarkStart w:id="21" w:name="_Toc417552976"/>
      <w:bookmarkStart w:id="22" w:name="_Toc417553212"/>
      <w:bookmarkStart w:id="23" w:name="_Toc417553414"/>
      <w:bookmarkStart w:id="24" w:name="_Toc417553622"/>
      <w:bookmarkStart w:id="25" w:name="_Toc417553822"/>
      <w:bookmarkStart w:id="26" w:name="_Toc417580829"/>
      <w:bookmarkStart w:id="27" w:name="_Toc417499776"/>
      <w:bookmarkStart w:id="28" w:name="_Toc417552766"/>
      <w:bookmarkStart w:id="29" w:name="_Toc417552977"/>
      <w:bookmarkStart w:id="30" w:name="_Toc417553213"/>
      <w:bookmarkStart w:id="31" w:name="_Toc417553415"/>
      <w:bookmarkStart w:id="32" w:name="_Toc417553623"/>
      <w:bookmarkStart w:id="33" w:name="_Toc417553823"/>
      <w:bookmarkStart w:id="34" w:name="_Toc417580830"/>
      <w:bookmarkStart w:id="35" w:name="_Toc417499777"/>
      <w:bookmarkStart w:id="36" w:name="_Toc417552767"/>
      <w:bookmarkStart w:id="37" w:name="_Toc417552978"/>
      <w:bookmarkStart w:id="38" w:name="_Toc417553214"/>
      <w:bookmarkStart w:id="39" w:name="_Toc417553416"/>
      <w:bookmarkStart w:id="40" w:name="_Toc417553624"/>
      <w:bookmarkStart w:id="41" w:name="_Toc417553824"/>
      <w:bookmarkStart w:id="42" w:name="_Toc417580831"/>
      <w:bookmarkStart w:id="43" w:name="_Toc417499778"/>
      <w:bookmarkStart w:id="44" w:name="_Toc417552768"/>
      <w:bookmarkStart w:id="45" w:name="_Toc417552979"/>
      <w:bookmarkStart w:id="46" w:name="_Toc417553215"/>
      <w:bookmarkStart w:id="47" w:name="_Toc417553417"/>
      <w:bookmarkStart w:id="48" w:name="_Toc417553625"/>
      <w:bookmarkStart w:id="49" w:name="_Toc417553825"/>
      <w:bookmarkStart w:id="50" w:name="_Toc417580832"/>
      <w:bookmarkStart w:id="51" w:name="_Toc417499779"/>
      <w:bookmarkStart w:id="52" w:name="_Toc417552769"/>
      <w:bookmarkStart w:id="53" w:name="_Toc417552980"/>
      <w:bookmarkStart w:id="54" w:name="_Toc417553216"/>
      <w:bookmarkStart w:id="55" w:name="_Toc417553418"/>
      <w:bookmarkStart w:id="56" w:name="_Toc417553626"/>
      <w:bookmarkStart w:id="57" w:name="_Toc417553826"/>
      <w:bookmarkStart w:id="58" w:name="_Toc417580833"/>
      <w:bookmarkStart w:id="59" w:name="_Toc417499780"/>
      <w:bookmarkStart w:id="60" w:name="_Toc417552770"/>
      <w:bookmarkStart w:id="61" w:name="_Toc417552981"/>
      <w:bookmarkStart w:id="62" w:name="_Toc417553217"/>
      <w:bookmarkStart w:id="63" w:name="_Toc417553419"/>
      <w:bookmarkStart w:id="64" w:name="_Toc417553627"/>
      <w:bookmarkStart w:id="65" w:name="_Toc417553827"/>
      <w:bookmarkStart w:id="66" w:name="_Toc417580834"/>
      <w:bookmarkStart w:id="67" w:name="_Toc417499781"/>
      <w:bookmarkStart w:id="68" w:name="_Toc417552771"/>
      <w:bookmarkStart w:id="69" w:name="_Toc417552982"/>
      <w:bookmarkStart w:id="70" w:name="_Toc417553218"/>
      <w:bookmarkStart w:id="71" w:name="_Toc417553420"/>
      <w:bookmarkStart w:id="72" w:name="_Toc417553628"/>
      <w:bookmarkStart w:id="73" w:name="_Toc417553828"/>
      <w:bookmarkStart w:id="74" w:name="_Toc417580835"/>
      <w:bookmarkStart w:id="75" w:name="_Toc417499782"/>
      <w:bookmarkStart w:id="76" w:name="_Toc417552772"/>
      <w:bookmarkStart w:id="77" w:name="_Toc417552983"/>
      <w:bookmarkStart w:id="78" w:name="_Toc417553219"/>
      <w:bookmarkStart w:id="79" w:name="_Toc417553421"/>
      <w:bookmarkStart w:id="80" w:name="_Toc417553629"/>
      <w:bookmarkStart w:id="81" w:name="_Toc417553829"/>
      <w:bookmarkStart w:id="82" w:name="_Toc417580836"/>
      <w:bookmarkStart w:id="83" w:name="_Toc417499783"/>
      <w:bookmarkStart w:id="84" w:name="_Toc417552773"/>
      <w:bookmarkStart w:id="85" w:name="_Toc417552984"/>
      <w:bookmarkStart w:id="86" w:name="_Toc417553220"/>
      <w:bookmarkStart w:id="87" w:name="_Toc417553422"/>
      <w:bookmarkStart w:id="88" w:name="_Toc417553630"/>
      <w:bookmarkStart w:id="89" w:name="_Toc417553830"/>
      <w:bookmarkStart w:id="90" w:name="_Toc417580837"/>
      <w:bookmarkStart w:id="91" w:name="_Toc417499784"/>
      <w:bookmarkStart w:id="92" w:name="_Toc417552774"/>
      <w:bookmarkStart w:id="93" w:name="_Toc417552985"/>
      <w:bookmarkStart w:id="94" w:name="_Toc417553221"/>
      <w:bookmarkStart w:id="95" w:name="_Toc417553423"/>
      <w:bookmarkStart w:id="96" w:name="_Toc417553631"/>
      <w:bookmarkStart w:id="97" w:name="_Toc417553831"/>
      <w:bookmarkStart w:id="98" w:name="_Toc417580838"/>
      <w:bookmarkStart w:id="99" w:name="_Toc417499785"/>
      <w:bookmarkStart w:id="100" w:name="_Toc417552775"/>
      <w:bookmarkStart w:id="101" w:name="_Toc417552986"/>
      <w:bookmarkStart w:id="102" w:name="_Toc417553222"/>
      <w:bookmarkStart w:id="103" w:name="_Toc417553424"/>
      <w:bookmarkStart w:id="104" w:name="_Toc417553632"/>
      <w:bookmarkStart w:id="105" w:name="_Toc417553832"/>
      <w:bookmarkStart w:id="106" w:name="_Toc417580839"/>
      <w:bookmarkStart w:id="107" w:name="_Toc417499786"/>
      <w:bookmarkStart w:id="108" w:name="_Toc417552776"/>
      <w:bookmarkStart w:id="109" w:name="_Toc417552987"/>
      <w:bookmarkStart w:id="110" w:name="_Toc417553223"/>
      <w:bookmarkStart w:id="111" w:name="_Toc417553425"/>
      <w:bookmarkStart w:id="112" w:name="_Toc417553633"/>
      <w:bookmarkStart w:id="113" w:name="_Toc417553833"/>
      <w:bookmarkStart w:id="114" w:name="_Toc417580840"/>
      <w:bookmarkStart w:id="115" w:name="_Toc417499787"/>
      <w:bookmarkStart w:id="116" w:name="_Toc417552777"/>
      <w:bookmarkStart w:id="117" w:name="_Toc417552988"/>
      <w:bookmarkStart w:id="118" w:name="_Toc417553224"/>
      <w:bookmarkStart w:id="119" w:name="_Toc417553426"/>
      <w:bookmarkStart w:id="120" w:name="_Toc417553634"/>
      <w:bookmarkStart w:id="121" w:name="_Toc417553834"/>
      <w:bookmarkStart w:id="122" w:name="_Toc417580841"/>
      <w:bookmarkStart w:id="123" w:name="_Toc41584103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7C109B" w:rsidRDefault="007C109B" w:rsidP="005C4691">
      <w:pPr>
        <w:pStyle w:val="Heading2"/>
        <w:numPr>
          <w:ilvl w:val="1"/>
          <w:numId w:val="5"/>
        </w:numPr>
        <w:spacing w:line="240" w:lineRule="auto"/>
      </w:pPr>
      <w:r>
        <w:t>Low Carbon Funding Mechanisms</w:t>
      </w:r>
    </w:p>
    <w:p w:rsidR="00D46DF8" w:rsidRDefault="007C109B" w:rsidP="0055206F">
      <w:pPr>
        <w:spacing w:line="240" w:lineRule="auto"/>
      </w:pPr>
      <w:r>
        <w:t xml:space="preserve">For the </w:t>
      </w:r>
      <w:r w:rsidRPr="00FE167A">
        <w:rPr>
          <w:b/>
        </w:rPr>
        <w:t>Innovation fund</w:t>
      </w:r>
      <w:r>
        <w:t xml:space="preserve">, </w:t>
      </w:r>
      <w:r w:rsidR="00E862DA">
        <w:t xml:space="preserve">changes to the current NER 300 rules are </w:t>
      </w:r>
      <w:r>
        <w:t xml:space="preserve">considered </w:t>
      </w:r>
      <w:r w:rsidR="00E862DA">
        <w:t xml:space="preserve">for </w:t>
      </w:r>
      <w:r>
        <w:t>the screening of projects and the risk sharing approach</w:t>
      </w:r>
      <w:r w:rsidR="00E862DA">
        <w:t xml:space="preserve">, in particular </w:t>
      </w:r>
      <w:r w:rsidR="00B46994">
        <w:t>for</w:t>
      </w:r>
      <w:r w:rsidR="00D46DF8">
        <w:t xml:space="preserve"> industry projects. </w:t>
      </w:r>
    </w:p>
    <w:p w:rsidR="00D46DF8" w:rsidRDefault="00B46994" w:rsidP="0055206F">
      <w:pPr>
        <w:spacing w:line="240" w:lineRule="auto"/>
      </w:pPr>
      <w:r>
        <w:t>For</w:t>
      </w:r>
      <w:r w:rsidR="00D46DF8" w:rsidRPr="00E862DA">
        <w:t xml:space="preserve"> the screening of the projects</w:t>
      </w:r>
      <w:r>
        <w:t>,</w:t>
      </w:r>
      <w:r w:rsidR="00D46DF8">
        <w:t xml:space="preserve"> the current framework </w:t>
      </w:r>
      <w:r>
        <w:t xml:space="preserve">is </w:t>
      </w:r>
      <w:r w:rsidR="00D46DF8">
        <w:t xml:space="preserve">based on an eligibility assessment </w:t>
      </w:r>
      <w:r>
        <w:t>for</w:t>
      </w:r>
      <w:r w:rsidR="00D46DF8">
        <w:t xml:space="preserve"> innovative potential and technical and economic viability</w:t>
      </w:r>
      <w:r>
        <w:t xml:space="preserve"> and</w:t>
      </w:r>
      <w:r w:rsidR="00D46DF8">
        <w:t xml:space="preserve"> a selection based</w:t>
      </w:r>
      <w:r>
        <w:t xml:space="preserve"> </w:t>
      </w:r>
      <w:r w:rsidR="00D46DF8">
        <w:t xml:space="preserve">on cost per unit performance </w:t>
      </w:r>
      <w:r>
        <w:t xml:space="preserve">ranking. This </w:t>
      </w:r>
      <w:r w:rsidR="00E862DA">
        <w:t xml:space="preserve">could be maintained </w:t>
      </w:r>
      <w:r w:rsidR="00D46DF8">
        <w:t xml:space="preserve">or </w:t>
      </w:r>
      <w:r w:rsidR="00E862DA">
        <w:t>changed</w:t>
      </w:r>
      <w:r w:rsidR="00D46DF8">
        <w:t xml:space="preserve"> for industry by </w:t>
      </w:r>
      <w:r>
        <w:t xml:space="preserve">adding </w:t>
      </w:r>
      <w:r w:rsidR="00D46DF8">
        <w:t xml:space="preserve">criteria </w:t>
      </w:r>
      <w:r>
        <w:t>on</w:t>
      </w:r>
      <w:r w:rsidR="00D46DF8">
        <w:t xml:space="preserve"> replicability and rank</w:t>
      </w:r>
      <w:r w:rsidR="00E862DA">
        <w:t>ing of</w:t>
      </w:r>
      <w:r w:rsidR="00D46DF8">
        <w:t xml:space="preserve"> projects based on innovation.</w:t>
      </w:r>
    </w:p>
    <w:p w:rsidR="00A40D74" w:rsidRDefault="00E862DA" w:rsidP="0055206F">
      <w:pPr>
        <w:spacing w:line="240" w:lineRule="auto"/>
      </w:pPr>
      <w:r>
        <w:t>Potential</w:t>
      </w:r>
      <w:r w:rsidR="00D46DF8">
        <w:t xml:space="preserve"> changes </w:t>
      </w:r>
      <w:r>
        <w:t xml:space="preserve">to the way financial support is provided </w:t>
      </w:r>
      <w:r w:rsidR="00D13ACB">
        <w:t>are</w:t>
      </w:r>
      <w:r w:rsidR="00D46DF8">
        <w:t xml:space="preserve"> </w:t>
      </w:r>
      <w:r w:rsidR="00D13ACB">
        <w:t xml:space="preserve">to </w:t>
      </w:r>
      <w:r w:rsidR="00D46DF8">
        <w:t xml:space="preserve">increase the </w:t>
      </w:r>
      <w:r>
        <w:t xml:space="preserve">maximum </w:t>
      </w:r>
      <w:r w:rsidR="00D13ACB">
        <w:t xml:space="preserve">funding </w:t>
      </w:r>
      <w:r w:rsidR="00C17581">
        <w:t xml:space="preserve">rate </w:t>
      </w:r>
      <w:r w:rsidR="00D46DF8">
        <w:t xml:space="preserve">and to tie </w:t>
      </w:r>
      <w:r w:rsidR="004B2D77">
        <w:t>part of the support</w:t>
      </w:r>
      <w:r w:rsidR="00D46DF8">
        <w:t xml:space="preserve"> to earlier stages in the project's lifecycle such as milestones during the construction phase.</w:t>
      </w:r>
      <w:r w:rsidR="0043206F">
        <w:t xml:space="preserve"> </w:t>
      </w:r>
      <w:r w:rsidR="00D46DF8">
        <w:t xml:space="preserve">A more far-reaching change </w:t>
      </w:r>
      <w:r w:rsidR="00D13ACB">
        <w:t>is to</w:t>
      </w:r>
      <w:r w:rsidR="00D46DF8">
        <w:t xml:space="preserve"> replace the current non-reimbursable performance</w:t>
      </w:r>
      <w:r w:rsidR="00D13ACB">
        <w:t>-</w:t>
      </w:r>
      <w:r w:rsidR="00D46DF8">
        <w:t xml:space="preserve">based grant by a financial instrument such as a </w:t>
      </w:r>
      <w:r w:rsidR="00D46DF8">
        <w:lastRenderedPageBreak/>
        <w:t xml:space="preserve">guarantee or </w:t>
      </w:r>
      <w:r w:rsidR="00FE167A">
        <w:t>equity</w:t>
      </w:r>
      <w:r w:rsidR="00D46DF8">
        <w:t xml:space="preserve"> participation. </w:t>
      </w:r>
      <w:r w:rsidR="00C65665">
        <w:t>Based on these aspects, two options packages are considered</w:t>
      </w:r>
      <w:r w:rsidR="00D13ACB">
        <w:t>:</w:t>
      </w:r>
      <w:r w:rsidR="00C65665">
        <w:t xml:space="preserve"> </w:t>
      </w:r>
    </w:p>
    <w:p w:rsidR="00A40D74" w:rsidRPr="00D13ACB" w:rsidRDefault="00C65665" w:rsidP="005C4691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D13ACB">
        <w:rPr>
          <w:b/>
        </w:rPr>
        <w:t>Option 1</w:t>
      </w:r>
      <w:r>
        <w:t xml:space="preserve"> </w:t>
      </w:r>
      <w:r w:rsidR="00D13ACB">
        <w:t xml:space="preserve">- </w:t>
      </w:r>
      <w:r>
        <w:t xml:space="preserve">changes to the current rules </w:t>
      </w:r>
      <w:r w:rsidR="00D13ACB">
        <w:t xml:space="preserve">with </w:t>
      </w:r>
      <w:r>
        <w:t xml:space="preserve">a more tailored approach for industry projects and </w:t>
      </w:r>
      <w:r w:rsidR="00D13ACB">
        <w:t>increasing the funding rate</w:t>
      </w:r>
      <w:r>
        <w:t>.</w:t>
      </w:r>
      <w:r w:rsidRPr="00D13ACB">
        <w:rPr>
          <w:b/>
        </w:rPr>
        <w:t xml:space="preserve"> </w:t>
      </w:r>
      <w:r w:rsidR="0043206F">
        <w:t>The</w:t>
      </w:r>
      <w:r w:rsidR="00D13ACB">
        <w:t xml:space="preserve"> impacts</w:t>
      </w:r>
      <w:r w:rsidR="0043206F">
        <w:t xml:space="preserve"> of a </w:t>
      </w:r>
      <w:r w:rsidR="00D13ACB">
        <w:t xml:space="preserve">funding rate </w:t>
      </w:r>
      <w:r w:rsidR="0043206F">
        <w:t>increase are considered in this impact assessment,</w:t>
      </w:r>
      <w:r w:rsidR="0043206F" w:rsidRPr="0043206F">
        <w:t xml:space="preserve"> </w:t>
      </w:r>
      <w:r w:rsidR="0043206F">
        <w:t xml:space="preserve">but </w:t>
      </w:r>
      <w:r w:rsidR="00D13ACB" w:rsidRPr="0043206F">
        <w:t>more extensive market testing in the context of the implementing legislation</w:t>
      </w:r>
      <w:r w:rsidR="00D13ACB">
        <w:t xml:space="preserve"> is needed </w:t>
      </w:r>
      <w:r w:rsidR="0043206F" w:rsidRPr="0043206F">
        <w:t>for RES, CCS and industry</w:t>
      </w:r>
      <w:r w:rsidR="00D13ACB">
        <w:t>.</w:t>
      </w:r>
    </w:p>
    <w:p w:rsidR="00144348" w:rsidRDefault="00C65665" w:rsidP="005C4691">
      <w:pPr>
        <w:pStyle w:val="ListParagraph"/>
        <w:numPr>
          <w:ilvl w:val="0"/>
          <w:numId w:val="7"/>
        </w:numPr>
        <w:spacing w:line="240" w:lineRule="auto"/>
      </w:pPr>
      <w:r w:rsidRPr="00144348">
        <w:rPr>
          <w:b/>
        </w:rPr>
        <w:t>Option 2</w:t>
      </w:r>
      <w:r>
        <w:t xml:space="preserve"> </w:t>
      </w:r>
      <w:r w:rsidR="00144348">
        <w:t>-</w:t>
      </w:r>
      <w:r>
        <w:t xml:space="preserve"> changes to the current </w:t>
      </w:r>
      <w:r w:rsidR="00144348">
        <w:t xml:space="preserve">rules: </w:t>
      </w:r>
      <w:r>
        <w:t xml:space="preserve">support provided </w:t>
      </w:r>
      <w:r w:rsidR="00144348">
        <w:t>by</w:t>
      </w:r>
      <w:r>
        <w:t xml:space="preserve"> a permanent financial facility through a financial instrument. </w:t>
      </w:r>
    </w:p>
    <w:p w:rsidR="006E3FCD" w:rsidRDefault="00C65665" w:rsidP="0055206F">
      <w:pPr>
        <w:spacing w:line="240" w:lineRule="auto"/>
        <w:rPr>
          <w:lang w:eastAsia="en-GB"/>
        </w:rPr>
      </w:pPr>
      <w:r>
        <w:t xml:space="preserve">The </w:t>
      </w:r>
      <w:r>
        <w:rPr>
          <w:lang w:eastAsia="en-GB"/>
        </w:rPr>
        <w:t>analysis of the options shows several trade-offs</w:t>
      </w:r>
      <w:r w:rsidR="007D6EA1">
        <w:rPr>
          <w:lang w:eastAsia="en-GB"/>
        </w:rPr>
        <w:t xml:space="preserve">: </w:t>
      </w:r>
      <w:r w:rsidR="0043206F">
        <w:rPr>
          <w:lang w:eastAsia="en-GB"/>
        </w:rPr>
        <w:t>achieving</w:t>
      </w:r>
      <w:r w:rsidR="0043206F" w:rsidRPr="0043206F">
        <w:rPr>
          <w:lang w:eastAsia="en-GB"/>
        </w:rPr>
        <w:t xml:space="preserve"> breakthrough innovation while targeting support </w:t>
      </w:r>
      <w:r w:rsidR="0043206F">
        <w:rPr>
          <w:lang w:eastAsia="en-GB"/>
        </w:rPr>
        <w:t xml:space="preserve">for </w:t>
      </w:r>
      <w:r w:rsidR="0043206F" w:rsidRPr="0043206F">
        <w:rPr>
          <w:lang w:eastAsia="en-GB"/>
        </w:rPr>
        <w:t>best use of limited funds</w:t>
      </w:r>
      <w:r w:rsidR="007D6EA1">
        <w:rPr>
          <w:lang w:eastAsia="en-GB"/>
        </w:rPr>
        <w:t xml:space="preserve">; </w:t>
      </w:r>
      <w:r w:rsidR="0043206F">
        <w:rPr>
          <w:lang w:eastAsia="en-GB"/>
        </w:rPr>
        <w:t xml:space="preserve">addressing financial barriers for low carbon innovation </w:t>
      </w:r>
      <w:r w:rsidR="007D6EA1">
        <w:rPr>
          <w:lang w:eastAsia="en-GB"/>
        </w:rPr>
        <w:t>while</w:t>
      </w:r>
      <w:r w:rsidR="0043206F">
        <w:rPr>
          <w:lang w:eastAsia="en-GB"/>
        </w:rPr>
        <w:t xml:space="preserve"> setting up </w:t>
      </w:r>
      <w:r w:rsidR="0043206F">
        <w:t>an efficient, simple management structure</w:t>
      </w:r>
      <w:r>
        <w:rPr>
          <w:lang w:eastAsia="en-GB"/>
        </w:rPr>
        <w:t xml:space="preserve">. Option 1 would be effective in addressing specific </w:t>
      </w:r>
      <w:r w:rsidR="007D6EA1">
        <w:rPr>
          <w:lang w:eastAsia="en-GB"/>
        </w:rPr>
        <w:t xml:space="preserve">financial </w:t>
      </w:r>
      <w:r>
        <w:rPr>
          <w:lang w:eastAsia="en-GB"/>
        </w:rPr>
        <w:t xml:space="preserve">barriers for low-carbon innovation for project sponsors. </w:t>
      </w:r>
      <w:r w:rsidR="001D52F8">
        <w:rPr>
          <w:lang w:eastAsia="en-GB"/>
        </w:rPr>
        <w:t>I</w:t>
      </w:r>
      <w:r>
        <w:rPr>
          <w:lang w:eastAsia="en-GB"/>
        </w:rPr>
        <w:t xml:space="preserve">t </w:t>
      </w:r>
      <w:r w:rsidR="001D52F8">
        <w:rPr>
          <w:lang w:eastAsia="en-GB"/>
        </w:rPr>
        <w:t>c</w:t>
      </w:r>
      <w:r>
        <w:rPr>
          <w:lang w:eastAsia="en-GB"/>
        </w:rPr>
        <w:t xml:space="preserve">ould result in a lower leverage and a lower number of projects being supported than the </w:t>
      </w:r>
      <w:r w:rsidR="00FE167A">
        <w:rPr>
          <w:lang w:eastAsia="en-GB"/>
        </w:rPr>
        <w:t xml:space="preserve">continuation of current rules </w:t>
      </w:r>
      <w:r>
        <w:rPr>
          <w:lang w:eastAsia="en-GB"/>
        </w:rPr>
        <w:t xml:space="preserve">or Option 2, </w:t>
      </w:r>
      <w:r w:rsidR="001D52F8">
        <w:rPr>
          <w:lang w:eastAsia="en-GB"/>
        </w:rPr>
        <w:t>but it has</w:t>
      </w:r>
      <w:r>
        <w:rPr>
          <w:lang w:eastAsia="en-GB"/>
        </w:rPr>
        <w:t xml:space="preserve"> the highest potential to address the specific barriers to support the commercialization of break-through innovation for CCS, RES and industry</w:t>
      </w:r>
      <w:r w:rsidR="001D52F8">
        <w:rPr>
          <w:lang w:eastAsia="en-GB"/>
        </w:rPr>
        <w:t xml:space="preserve">. It </w:t>
      </w:r>
      <w:r>
        <w:rPr>
          <w:lang w:eastAsia="en-GB"/>
        </w:rPr>
        <w:t>could deliver significant EU added value by taking into account replicability of industry projects. Similar outcomes could also be realised by the first-come-first-serve selection process provided by Option 2</w:t>
      </w:r>
      <w:r w:rsidR="00DA212F">
        <w:rPr>
          <w:lang w:eastAsia="en-GB"/>
        </w:rPr>
        <w:t>, but t</w:t>
      </w:r>
      <w:r>
        <w:rPr>
          <w:lang w:eastAsia="en-GB"/>
        </w:rPr>
        <w:t xml:space="preserve">his option would </w:t>
      </w:r>
      <w:r w:rsidR="001D52F8">
        <w:rPr>
          <w:lang w:eastAsia="en-GB"/>
        </w:rPr>
        <w:t>limit the</w:t>
      </w:r>
      <w:r>
        <w:rPr>
          <w:lang w:eastAsia="en-GB"/>
        </w:rPr>
        <w:t xml:space="preserve"> comparison between project proposals and may need to be combined with additional </w:t>
      </w:r>
      <w:r w:rsidR="009B5521">
        <w:rPr>
          <w:lang w:eastAsia="en-GB"/>
        </w:rPr>
        <w:t>means</w:t>
      </w:r>
      <w:r>
        <w:rPr>
          <w:lang w:eastAsia="en-GB"/>
        </w:rPr>
        <w:t xml:space="preserve"> to </w:t>
      </w:r>
      <w:r w:rsidR="00DA212F">
        <w:rPr>
          <w:lang w:eastAsia="en-GB"/>
        </w:rPr>
        <w:t xml:space="preserve">support highly </w:t>
      </w:r>
      <w:r>
        <w:rPr>
          <w:lang w:eastAsia="en-GB"/>
        </w:rPr>
        <w:t>innovative projects.</w:t>
      </w:r>
    </w:p>
    <w:p w:rsidR="00C65665" w:rsidRDefault="006E3FCD" w:rsidP="0055206F">
      <w:pPr>
        <w:spacing w:line="240" w:lineRule="auto"/>
        <w:rPr>
          <w:lang w:eastAsia="en-GB"/>
        </w:rPr>
      </w:pPr>
      <w:r>
        <w:rPr>
          <w:lang w:eastAsia="en-GB"/>
        </w:rPr>
        <w:t xml:space="preserve">For the </w:t>
      </w:r>
      <w:r w:rsidRPr="00FE167A">
        <w:rPr>
          <w:b/>
          <w:lang w:eastAsia="en-GB"/>
        </w:rPr>
        <w:t>Modernisation Fund</w:t>
      </w:r>
      <w:r w:rsidR="002D446C">
        <w:rPr>
          <w:lang w:eastAsia="en-GB"/>
        </w:rPr>
        <w:t xml:space="preserve">, the main options considered </w:t>
      </w:r>
      <w:r w:rsidR="009F2A37">
        <w:rPr>
          <w:lang w:eastAsia="en-GB"/>
        </w:rPr>
        <w:t xml:space="preserve">relate to the </w:t>
      </w:r>
      <w:r w:rsidR="002D446C">
        <w:rPr>
          <w:lang w:eastAsia="en-GB"/>
        </w:rPr>
        <w:t xml:space="preserve">governance structure, </w:t>
      </w:r>
      <w:r w:rsidR="002D446C" w:rsidRPr="002D446C">
        <w:rPr>
          <w:lang w:eastAsia="en-GB"/>
        </w:rPr>
        <w:t xml:space="preserve">and the different roles that Member States, the European Commission and the EIB can play to advance </w:t>
      </w:r>
      <w:r w:rsidR="0008221B">
        <w:rPr>
          <w:lang w:eastAsia="en-GB"/>
        </w:rPr>
        <w:t>the</w:t>
      </w:r>
      <w:r w:rsidR="0008221B" w:rsidRPr="002D446C">
        <w:rPr>
          <w:lang w:eastAsia="en-GB"/>
        </w:rPr>
        <w:t xml:space="preserve"> </w:t>
      </w:r>
      <w:r w:rsidR="002D446C" w:rsidRPr="002D446C">
        <w:rPr>
          <w:lang w:eastAsia="en-GB"/>
        </w:rPr>
        <w:t>objectives</w:t>
      </w:r>
      <w:r w:rsidR="0008221B">
        <w:rPr>
          <w:lang w:eastAsia="en-GB"/>
        </w:rPr>
        <w:t xml:space="preserve"> of the Fund</w:t>
      </w:r>
      <w:r w:rsidR="002D446C">
        <w:rPr>
          <w:lang w:eastAsia="en-GB"/>
        </w:rPr>
        <w:t>.</w:t>
      </w:r>
      <w:r w:rsidR="00142E59" w:rsidRPr="00142E59">
        <w:rPr>
          <w:rFonts w:eastAsia="Calibri"/>
          <w:color w:val="000000"/>
          <w:lang w:eastAsia="en-GB"/>
        </w:rPr>
        <w:t xml:space="preserve"> </w:t>
      </w:r>
    </w:p>
    <w:p w:rsidR="002D446C" w:rsidRDefault="0008221B" w:rsidP="0055206F">
      <w:pPr>
        <w:spacing w:line="240" w:lineRule="auto"/>
        <w:rPr>
          <w:lang w:eastAsia="en-GB"/>
        </w:rPr>
      </w:pPr>
      <w:r>
        <w:rPr>
          <w:lang w:eastAsia="en-GB"/>
        </w:rPr>
        <w:t>T</w:t>
      </w:r>
      <w:r w:rsidR="002D446C" w:rsidRPr="002D446C">
        <w:rPr>
          <w:lang w:eastAsia="en-GB"/>
        </w:rPr>
        <w:t>wo main factors can be varied</w:t>
      </w:r>
      <w:r w:rsidRPr="0008221B">
        <w:t xml:space="preserve"> </w:t>
      </w:r>
      <w:r>
        <w:t xml:space="preserve">regarding the </w:t>
      </w:r>
      <w:r w:rsidRPr="0008221B">
        <w:rPr>
          <w:lang w:eastAsia="en-GB"/>
        </w:rPr>
        <w:t>role of Member States and the Commission</w:t>
      </w:r>
      <w:r w:rsidR="002D446C" w:rsidRPr="002D446C">
        <w:rPr>
          <w:lang w:eastAsia="en-GB"/>
        </w:rPr>
        <w:t>: the extent to which eligibility, selection and investment guidelines are defined in the implementing legislation by the Commission</w:t>
      </w:r>
      <w:r>
        <w:rPr>
          <w:lang w:eastAsia="en-GB"/>
        </w:rPr>
        <w:t>;</w:t>
      </w:r>
      <w:r w:rsidR="002D446C" w:rsidRPr="002D446C">
        <w:rPr>
          <w:lang w:eastAsia="en-GB"/>
        </w:rPr>
        <w:t xml:space="preserve"> and the composition of the Steering Board </w:t>
      </w:r>
      <w:r w:rsidR="009F2A37">
        <w:rPr>
          <w:lang w:eastAsia="en-GB"/>
        </w:rPr>
        <w:t xml:space="preserve">that further </w:t>
      </w:r>
      <w:r w:rsidR="002D446C" w:rsidRPr="002D446C">
        <w:rPr>
          <w:lang w:eastAsia="en-GB"/>
        </w:rPr>
        <w:t>define</w:t>
      </w:r>
      <w:r w:rsidR="009F2A37">
        <w:rPr>
          <w:lang w:eastAsia="en-GB"/>
        </w:rPr>
        <w:t>s</w:t>
      </w:r>
      <w:r w:rsidR="002D446C" w:rsidRPr="002D446C">
        <w:rPr>
          <w:lang w:eastAsia="en-GB"/>
        </w:rPr>
        <w:t xml:space="preserve"> the rules and guidelines. </w:t>
      </w:r>
    </w:p>
    <w:p w:rsidR="00C65665" w:rsidRDefault="0008221B" w:rsidP="0055206F">
      <w:pPr>
        <w:spacing w:line="240" w:lineRule="auto"/>
        <w:rPr>
          <w:lang w:eastAsia="en-GB"/>
        </w:rPr>
      </w:pPr>
      <w:r>
        <w:rPr>
          <w:lang w:eastAsia="en-GB"/>
        </w:rPr>
        <w:t>The</w:t>
      </w:r>
      <w:r w:rsidR="002D446C" w:rsidRPr="002D446C">
        <w:rPr>
          <w:lang w:eastAsia="en-GB"/>
        </w:rPr>
        <w:t xml:space="preserve"> Steering Board </w:t>
      </w:r>
      <w:r>
        <w:rPr>
          <w:lang w:eastAsia="en-GB"/>
        </w:rPr>
        <w:t xml:space="preserve">can include </w:t>
      </w:r>
      <w:r w:rsidR="002D446C" w:rsidRPr="002D446C">
        <w:rPr>
          <w:lang w:eastAsia="en-GB"/>
        </w:rPr>
        <w:t>the beneficiary Member States, or all Member States (donors and beneficiaries) and the Commission.</w:t>
      </w:r>
      <w:r w:rsidR="003D682F">
        <w:rPr>
          <w:lang w:eastAsia="en-GB"/>
        </w:rPr>
        <w:t xml:space="preserve"> </w:t>
      </w:r>
      <w:r w:rsidR="00142E59">
        <w:rPr>
          <w:lang w:eastAsia="en-GB"/>
        </w:rPr>
        <w:t>The</w:t>
      </w:r>
      <w:r w:rsidR="002D446C">
        <w:rPr>
          <w:lang w:eastAsia="en-GB"/>
        </w:rPr>
        <w:t xml:space="preserve"> EIB could either </w:t>
      </w:r>
      <w:r w:rsidR="003D682F">
        <w:rPr>
          <w:lang w:eastAsia="en-GB"/>
        </w:rPr>
        <w:t>do only the</w:t>
      </w:r>
      <w:r w:rsidR="002D446C">
        <w:rPr>
          <w:lang w:eastAsia="en-GB"/>
        </w:rPr>
        <w:t xml:space="preserve"> due diligence and</w:t>
      </w:r>
      <w:r w:rsidR="003D682F">
        <w:rPr>
          <w:lang w:eastAsia="en-GB"/>
        </w:rPr>
        <w:t xml:space="preserve"> have</w:t>
      </w:r>
      <w:r w:rsidR="002D446C">
        <w:rPr>
          <w:lang w:eastAsia="en-GB"/>
        </w:rPr>
        <w:t xml:space="preserve"> an advisory role, or</w:t>
      </w:r>
      <w:r w:rsidR="003D682F">
        <w:rPr>
          <w:lang w:eastAsia="en-GB"/>
        </w:rPr>
        <w:t xml:space="preserve"> </w:t>
      </w:r>
      <w:r w:rsidR="009F2A37">
        <w:rPr>
          <w:lang w:eastAsia="en-GB"/>
        </w:rPr>
        <w:t xml:space="preserve">act as </w:t>
      </w:r>
      <w:r w:rsidR="002D446C">
        <w:rPr>
          <w:lang w:eastAsia="en-GB"/>
        </w:rPr>
        <w:t xml:space="preserve">fund manager on behalf of the beneficiary Member States and the Commission. </w:t>
      </w:r>
      <w:r w:rsidR="003D682F">
        <w:rPr>
          <w:lang w:eastAsia="en-GB"/>
        </w:rPr>
        <w:t xml:space="preserve">The options below reflect different </w:t>
      </w:r>
      <w:r w:rsidR="002D446C" w:rsidRPr="002D446C">
        <w:rPr>
          <w:lang w:eastAsia="en-GB"/>
        </w:rPr>
        <w:t>combinations</w:t>
      </w:r>
      <w:r w:rsidR="003D682F">
        <w:rPr>
          <w:lang w:eastAsia="en-GB"/>
        </w:rPr>
        <w:t>:</w:t>
      </w:r>
      <w:r w:rsidR="002D446C" w:rsidRPr="002D446C">
        <w:rPr>
          <w:lang w:eastAsia="en-GB"/>
        </w:rPr>
        <w:t xml:space="preserve"> </w:t>
      </w:r>
      <w:r w:rsidR="002D446C">
        <w:rPr>
          <w:lang w:eastAsia="en-GB"/>
        </w:rPr>
        <w:t xml:space="preserve"> </w:t>
      </w:r>
    </w:p>
    <w:p w:rsidR="00142E59" w:rsidRDefault="002D446C" w:rsidP="0055206F">
      <w:pPr>
        <w:spacing w:line="240" w:lineRule="auto"/>
        <w:rPr>
          <w:lang w:eastAsia="en-GB"/>
        </w:rPr>
      </w:pPr>
      <w:r w:rsidRPr="00FE167A">
        <w:rPr>
          <w:b/>
          <w:lang w:eastAsia="en-GB"/>
        </w:rPr>
        <w:t>Option 1</w:t>
      </w:r>
      <w:r w:rsidR="003D682F">
        <w:rPr>
          <w:lang w:eastAsia="en-GB"/>
        </w:rPr>
        <w:t xml:space="preserve">: </w:t>
      </w:r>
      <w:r>
        <w:rPr>
          <w:lang w:eastAsia="en-GB"/>
        </w:rPr>
        <w:t xml:space="preserve">large discretion and responsibility </w:t>
      </w:r>
      <w:r w:rsidR="009F2A37">
        <w:rPr>
          <w:lang w:eastAsia="en-GB"/>
        </w:rPr>
        <w:t xml:space="preserve">for </w:t>
      </w:r>
      <w:r>
        <w:rPr>
          <w:lang w:eastAsia="en-GB"/>
        </w:rPr>
        <w:t>the beneficiary Member States</w:t>
      </w:r>
      <w:r w:rsidR="003D682F">
        <w:rPr>
          <w:lang w:eastAsia="en-GB"/>
        </w:rPr>
        <w:t>,</w:t>
      </w:r>
      <w:r>
        <w:rPr>
          <w:lang w:eastAsia="en-GB"/>
        </w:rPr>
        <w:t xml:space="preserve"> Modernisation Fund t</w:t>
      </w:r>
      <w:r w:rsidR="003D682F">
        <w:rPr>
          <w:lang w:eastAsia="en-GB"/>
        </w:rPr>
        <w:t>ailored t</w:t>
      </w:r>
      <w:r>
        <w:rPr>
          <w:lang w:eastAsia="en-GB"/>
        </w:rPr>
        <w:t>o</w:t>
      </w:r>
      <w:r w:rsidR="003D682F">
        <w:rPr>
          <w:lang w:eastAsia="en-GB"/>
        </w:rPr>
        <w:t xml:space="preserve"> </w:t>
      </w:r>
      <w:r>
        <w:rPr>
          <w:lang w:eastAsia="en-GB"/>
        </w:rPr>
        <w:t xml:space="preserve">specific national needs. </w:t>
      </w:r>
      <w:r w:rsidR="009F2A37">
        <w:rPr>
          <w:lang w:eastAsia="en-GB"/>
        </w:rPr>
        <w:t xml:space="preserve">A </w:t>
      </w:r>
      <w:r>
        <w:rPr>
          <w:lang w:eastAsia="en-GB"/>
        </w:rPr>
        <w:t>Steering Board</w:t>
      </w:r>
      <w:r w:rsidR="003D682F">
        <w:rPr>
          <w:lang w:eastAsia="en-GB"/>
        </w:rPr>
        <w:t xml:space="preserve"> of beneficiary Member States </w:t>
      </w:r>
      <w:r w:rsidR="009F2A37">
        <w:rPr>
          <w:lang w:eastAsia="en-GB"/>
        </w:rPr>
        <w:t xml:space="preserve">defines </w:t>
      </w:r>
      <w:r>
        <w:rPr>
          <w:lang w:eastAsia="en-GB"/>
        </w:rPr>
        <w:t>eligibility criteria and projects. The implementing legislation include</w:t>
      </w:r>
      <w:r w:rsidR="009F2A37">
        <w:rPr>
          <w:lang w:eastAsia="en-GB"/>
        </w:rPr>
        <w:t>s</w:t>
      </w:r>
      <w:r>
        <w:rPr>
          <w:lang w:eastAsia="en-GB"/>
        </w:rPr>
        <w:t xml:space="preserve"> general guidance</w:t>
      </w:r>
      <w:r w:rsidR="009F2A37">
        <w:rPr>
          <w:lang w:eastAsia="en-GB"/>
        </w:rPr>
        <w:t xml:space="preserve"> with</w:t>
      </w:r>
      <w:r>
        <w:rPr>
          <w:lang w:eastAsia="en-GB"/>
        </w:rPr>
        <w:t xml:space="preserve"> detailed decisions taken by the Steering Board. The Commission help</w:t>
      </w:r>
      <w:r w:rsidR="008A31B9">
        <w:rPr>
          <w:lang w:eastAsia="en-GB"/>
        </w:rPr>
        <w:t>s</w:t>
      </w:r>
      <w:r>
        <w:rPr>
          <w:lang w:eastAsia="en-GB"/>
        </w:rPr>
        <w:t xml:space="preserve"> </w:t>
      </w:r>
      <w:r w:rsidR="003D682F">
        <w:rPr>
          <w:lang w:eastAsia="en-GB"/>
        </w:rPr>
        <w:t>in administration,</w:t>
      </w:r>
      <w:r>
        <w:rPr>
          <w:lang w:eastAsia="en-GB"/>
        </w:rPr>
        <w:t xml:space="preserve"> </w:t>
      </w:r>
      <w:r w:rsidR="003D682F">
        <w:rPr>
          <w:lang w:eastAsia="en-GB"/>
        </w:rPr>
        <w:t xml:space="preserve">the </w:t>
      </w:r>
      <w:r>
        <w:rPr>
          <w:lang w:eastAsia="en-GB"/>
        </w:rPr>
        <w:t>EIB perform</w:t>
      </w:r>
      <w:r w:rsidR="003D682F">
        <w:rPr>
          <w:lang w:eastAsia="en-GB"/>
        </w:rPr>
        <w:t xml:space="preserve">s </w:t>
      </w:r>
      <w:r>
        <w:rPr>
          <w:lang w:eastAsia="en-GB"/>
        </w:rPr>
        <w:t xml:space="preserve">due diligence. </w:t>
      </w:r>
    </w:p>
    <w:p w:rsidR="00142E59" w:rsidRDefault="002D446C" w:rsidP="0055206F">
      <w:pPr>
        <w:spacing w:line="240" w:lineRule="auto"/>
        <w:rPr>
          <w:lang w:eastAsia="en-GB"/>
        </w:rPr>
      </w:pPr>
      <w:r w:rsidRPr="00FE167A">
        <w:rPr>
          <w:b/>
          <w:lang w:eastAsia="en-GB"/>
        </w:rPr>
        <w:t>Option 2</w:t>
      </w:r>
      <w:r w:rsidR="008A31B9">
        <w:rPr>
          <w:lang w:eastAsia="en-GB"/>
        </w:rPr>
        <w:t xml:space="preserve">: more </w:t>
      </w:r>
      <w:r>
        <w:rPr>
          <w:lang w:eastAsia="en-GB"/>
        </w:rPr>
        <w:t>cooperation</w:t>
      </w:r>
      <w:r w:rsidR="008A31B9">
        <w:rPr>
          <w:lang w:eastAsia="en-GB"/>
        </w:rPr>
        <w:t xml:space="preserve">. </w:t>
      </w:r>
      <w:r w:rsidR="00045E7F">
        <w:rPr>
          <w:lang w:eastAsia="en-GB"/>
        </w:rPr>
        <w:t>The i</w:t>
      </w:r>
      <w:r>
        <w:rPr>
          <w:lang w:eastAsia="en-GB"/>
        </w:rPr>
        <w:t xml:space="preserve">nvestment guidelines </w:t>
      </w:r>
      <w:r w:rsidR="008A31B9">
        <w:rPr>
          <w:lang w:eastAsia="en-GB"/>
        </w:rPr>
        <w:t>are</w:t>
      </w:r>
      <w:r>
        <w:rPr>
          <w:lang w:eastAsia="en-GB"/>
        </w:rPr>
        <w:t xml:space="preserve"> agreed by the Steering Board</w:t>
      </w:r>
      <w:r w:rsidR="008A31B9">
        <w:rPr>
          <w:lang w:eastAsia="en-GB"/>
        </w:rPr>
        <w:t xml:space="preserve"> of</w:t>
      </w:r>
      <w:r w:rsidR="00142E59">
        <w:rPr>
          <w:lang w:eastAsia="en-GB"/>
        </w:rPr>
        <w:t xml:space="preserve"> a</w:t>
      </w:r>
      <w:r>
        <w:rPr>
          <w:lang w:eastAsia="en-GB"/>
        </w:rPr>
        <w:t xml:space="preserve">ll Member States </w:t>
      </w:r>
      <w:r w:rsidR="008A31B9">
        <w:rPr>
          <w:lang w:eastAsia="en-GB"/>
        </w:rPr>
        <w:t>and</w:t>
      </w:r>
      <w:r>
        <w:rPr>
          <w:lang w:eastAsia="en-GB"/>
        </w:rPr>
        <w:t xml:space="preserve"> the Commission. </w:t>
      </w:r>
      <w:r w:rsidR="008A31B9">
        <w:rPr>
          <w:lang w:eastAsia="en-GB"/>
        </w:rPr>
        <w:t xml:space="preserve">The Commission helps in administration, the EIB performs due diligence. </w:t>
      </w:r>
      <w:r>
        <w:rPr>
          <w:lang w:eastAsia="en-GB"/>
        </w:rPr>
        <w:t xml:space="preserve">EIB </w:t>
      </w:r>
      <w:r w:rsidR="008A31B9">
        <w:rPr>
          <w:lang w:eastAsia="en-GB"/>
        </w:rPr>
        <w:t>has</w:t>
      </w:r>
      <w:r>
        <w:rPr>
          <w:lang w:eastAsia="en-GB"/>
        </w:rPr>
        <w:t xml:space="preserve"> an enhanced role as fund manager</w:t>
      </w:r>
      <w:r w:rsidR="008A31B9" w:rsidRPr="008A31B9">
        <w:rPr>
          <w:lang w:eastAsia="en-GB"/>
        </w:rPr>
        <w:t xml:space="preserve"> </w:t>
      </w:r>
      <w:r w:rsidR="008A31B9">
        <w:rPr>
          <w:lang w:eastAsia="en-GB"/>
        </w:rPr>
        <w:t>and remains accountable to the Steering Board</w:t>
      </w:r>
      <w:r>
        <w:rPr>
          <w:lang w:eastAsia="en-GB"/>
        </w:rPr>
        <w:t xml:space="preserve">, </w:t>
      </w:r>
      <w:r w:rsidR="008A31B9">
        <w:rPr>
          <w:lang w:eastAsia="en-GB"/>
        </w:rPr>
        <w:t xml:space="preserve">assesses </w:t>
      </w:r>
      <w:r>
        <w:rPr>
          <w:lang w:eastAsia="en-GB"/>
        </w:rPr>
        <w:t xml:space="preserve">individual programmes, projects, and financial instruments, and </w:t>
      </w:r>
      <w:r w:rsidR="008A31B9">
        <w:rPr>
          <w:lang w:eastAsia="en-GB"/>
        </w:rPr>
        <w:t xml:space="preserve">monitors </w:t>
      </w:r>
      <w:r>
        <w:rPr>
          <w:lang w:eastAsia="en-GB"/>
        </w:rPr>
        <w:t xml:space="preserve">performance indicators. </w:t>
      </w:r>
    </w:p>
    <w:p w:rsidR="002D446C" w:rsidRPr="009D5E49" w:rsidRDefault="002D446C" w:rsidP="0055206F">
      <w:pPr>
        <w:spacing w:line="240" w:lineRule="auto"/>
        <w:rPr>
          <w:b/>
          <w:lang w:eastAsia="en-GB"/>
        </w:rPr>
      </w:pPr>
      <w:r w:rsidRPr="00FE167A">
        <w:rPr>
          <w:b/>
          <w:lang w:eastAsia="en-GB"/>
        </w:rPr>
        <w:t>Option 3</w:t>
      </w:r>
      <w:r w:rsidR="00587DAD">
        <w:rPr>
          <w:b/>
          <w:lang w:eastAsia="en-GB"/>
        </w:rPr>
        <w:t>:</w:t>
      </w:r>
      <w:r>
        <w:rPr>
          <w:lang w:eastAsia="en-GB"/>
        </w:rPr>
        <w:t xml:space="preserve"> beneficiary Member States identify a pipeline of projects to be </w:t>
      </w:r>
      <w:r w:rsidR="00587DAD">
        <w:rPr>
          <w:lang w:eastAsia="en-GB"/>
        </w:rPr>
        <w:t xml:space="preserve">funded via financial instruments, conforming </w:t>
      </w:r>
      <w:r>
        <w:rPr>
          <w:lang w:eastAsia="en-GB"/>
        </w:rPr>
        <w:t>to eligibility criteria and general principles for project selection set in the implementing legislation.</w:t>
      </w:r>
      <w:r w:rsidR="00587DAD" w:rsidRPr="00587DAD">
        <w:rPr>
          <w:lang w:eastAsia="en-GB"/>
        </w:rPr>
        <w:t xml:space="preserve"> </w:t>
      </w:r>
      <w:r w:rsidR="00587DAD">
        <w:rPr>
          <w:lang w:eastAsia="en-GB"/>
        </w:rPr>
        <w:t>The Commission helps in administration, the EIB performs due diligence</w:t>
      </w:r>
      <w:r w:rsidR="00142E59">
        <w:rPr>
          <w:lang w:eastAsia="en-GB"/>
        </w:rPr>
        <w:t>.</w:t>
      </w:r>
    </w:p>
    <w:p w:rsidR="00142E59" w:rsidRDefault="00E6278B" w:rsidP="00E6278B">
      <w:pPr>
        <w:autoSpaceDE w:val="0"/>
        <w:autoSpaceDN w:val="0"/>
        <w:adjustRightInd w:val="0"/>
        <w:spacing w:line="240" w:lineRule="auto"/>
        <w:rPr>
          <w:lang w:eastAsia="en-GB"/>
        </w:rPr>
      </w:pPr>
      <w:r w:rsidRPr="009D5E49">
        <w:rPr>
          <w:lang w:eastAsia="en-GB"/>
        </w:rPr>
        <w:lastRenderedPageBreak/>
        <w:t>The</w:t>
      </w:r>
      <w:r w:rsidR="00252D71" w:rsidRPr="009D5E49">
        <w:rPr>
          <w:lang w:eastAsia="en-GB"/>
        </w:rPr>
        <w:t xml:space="preserve"> Modernisation Fund is expected to trigger investments that</w:t>
      </w:r>
      <w:r w:rsidR="00AA1702">
        <w:rPr>
          <w:lang w:eastAsia="en-GB"/>
        </w:rPr>
        <w:t>, depending on the type of project supported, could</w:t>
      </w:r>
      <w:r w:rsidR="00252D71" w:rsidRPr="009D5E49">
        <w:rPr>
          <w:lang w:eastAsia="en-GB"/>
        </w:rPr>
        <w:t xml:space="preserve"> create employment opportunities, lower greenhouse gas emissions and improve local air quality. </w:t>
      </w:r>
      <w:r w:rsidR="00142E59" w:rsidRPr="009D5E49">
        <w:rPr>
          <w:rFonts w:eastAsia="Calibri"/>
          <w:lang w:eastAsia="en-GB"/>
        </w:rPr>
        <w:t xml:space="preserve">The three options </w:t>
      </w:r>
      <w:r w:rsidRPr="009D5E49">
        <w:rPr>
          <w:rFonts w:eastAsia="Calibri"/>
          <w:lang w:eastAsia="en-GB"/>
        </w:rPr>
        <w:t xml:space="preserve">are compared based on effectiveness, coherence, market distortion and administrative </w:t>
      </w:r>
      <w:r w:rsidRPr="00142E59">
        <w:rPr>
          <w:rFonts w:eastAsia="Calibri"/>
          <w:color w:val="000000"/>
          <w:lang w:eastAsia="en-GB"/>
        </w:rPr>
        <w:t xml:space="preserve">burden </w:t>
      </w:r>
      <w:r>
        <w:rPr>
          <w:rFonts w:eastAsia="Calibri"/>
          <w:color w:val="000000"/>
          <w:lang w:eastAsia="en-GB"/>
        </w:rPr>
        <w:t xml:space="preserve">and there are </w:t>
      </w:r>
      <w:r w:rsidR="00142E59" w:rsidRPr="00142E59">
        <w:rPr>
          <w:rFonts w:eastAsia="Calibri"/>
          <w:color w:val="000000"/>
          <w:lang w:eastAsia="en-GB"/>
        </w:rPr>
        <w:t>trade-offs</w:t>
      </w:r>
      <w:r>
        <w:rPr>
          <w:rFonts w:eastAsia="Calibri"/>
          <w:color w:val="000000"/>
          <w:lang w:eastAsia="en-GB"/>
        </w:rPr>
        <w:t>. "E</w:t>
      </w:r>
      <w:r w:rsidR="00142E59" w:rsidRPr="00142E59">
        <w:rPr>
          <w:rFonts w:eastAsia="Calibri"/>
          <w:color w:val="000000"/>
          <w:lang w:eastAsia="en-GB"/>
        </w:rPr>
        <w:t>ffectiveness</w:t>
      </w:r>
      <w:r>
        <w:rPr>
          <w:rFonts w:eastAsia="Calibri"/>
          <w:color w:val="000000"/>
          <w:lang w:eastAsia="en-GB"/>
        </w:rPr>
        <w:t>"</w:t>
      </w:r>
      <w:r w:rsidR="00142E59" w:rsidRPr="00142E59">
        <w:rPr>
          <w:rFonts w:eastAsia="Calibri"/>
          <w:color w:val="000000"/>
          <w:lang w:eastAsia="en-GB"/>
        </w:rPr>
        <w:t xml:space="preserve"> is key in ensuring the governance structure contributes towards the </w:t>
      </w:r>
      <w:r>
        <w:rPr>
          <w:rFonts w:eastAsia="Calibri"/>
          <w:color w:val="000000"/>
          <w:lang w:eastAsia="en-GB"/>
        </w:rPr>
        <w:t>F</w:t>
      </w:r>
      <w:r w:rsidR="00142E59" w:rsidRPr="00142E59">
        <w:rPr>
          <w:rFonts w:eastAsia="Calibri"/>
          <w:color w:val="000000"/>
          <w:lang w:eastAsia="en-GB"/>
        </w:rPr>
        <w:t>und objectives.</w:t>
      </w:r>
      <w:r w:rsidR="00FE167A">
        <w:rPr>
          <w:rFonts w:eastAsia="Calibri"/>
          <w:color w:val="000000"/>
          <w:lang w:eastAsia="en-GB"/>
        </w:rPr>
        <w:t xml:space="preserve"> </w:t>
      </w:r>
      <w:r w:rsidR="00142E59" w:rsidRPr="00142E59">
        <w:rPr>
          <w:rFonts w:eastAsia="Calibri"/>
          <w:color w:val="000000"/>
          <w:lang w:eastAsia="en-GB"/>
        </w:rPr>
        <w:t xml:space="preserve">Option 3 </w:t>
      </w:r>
      <w:r>
        <w:rPr>
          <w:rFonts w:eastAsia="Calibri"/>
          <w:color w:val="000000"/>
          <w:lang w:eastAsia="en-GB"/>
        </w:rPr>
        <w:t>has</w:t>
      </w:r>
      <w:r w:rsidR="00142E59" w:rsidRPr="00142E59">
        <w:rPr>
          <w:rFonts w:eastAsia="Calibri"/>
          <w:color w:val="000000"/>
          <w:lang w:eastAsia="en-GB"/>
        </w:rPr>
        <w:t xml:space="preserve"> a simple governance structure, </w:t>
      </w:r>
      <w:r>
        <w:rPr>
          <w:rFonts w:eastAsia="Calibri"/>
          <w:color w:val="000000"/>
          <w:lang w:eastAsia="en-GB"/>
        </w:rPr>
        <w:t xml:space="preserve">but </w:t>
      </w:r>
      <w:r w:rsidR="00142E59" w:rsidRPr="00142E59">
        <w:rPr>
          <w:rFonts w:eastAsia="Calibri"/>
          <w:color w:val="000000"/>
          <w:lang w:eastAsia="en-GB"/>
        </w:rPr>
        <w:t>may mobili</w:t>
      </w:r>
      <w:r>
        <w:rPr>
          <w:rFonts w:eastAsia="Calibri"/>
          <w:color w:val="000000"/>
          <w:lang w:eastAsia="en-GB"/>
        </w:rPr>
        <w:t xml:space="preserve">se </w:t>
      </w:r>
      <w:r w:rsidR="009F2A37">
        <w:rPr>
          <w:rFonts w:eastAsia="Calibri"/>
          <w:color w:val="000000"/>
          <w:lang w:eastAsia="en-GB"/>
        </w:rPr>
        <w:t xml:space="preserve">fewer </w:t>
      </w:r>
      <w:r w:rsidR="00142E59" w:rsidRPr="00142E59">
        <w:rPr>
          <w:rFonts w:eastAsia="Calibri"/>
          <w:color w:val="000000"/>
          <w:lang w:eastAsia="en-GB"/>
        </w:rPr>
        <w:t>private investments. Option 1 address</w:t>
      </w:r>
      <w:r>
        <w:rPr>
          <w:rFonts w:eastAsia="Calibri"/>
          <w:color w:val="000000"/>
          <w:lang w:eastAsia="en-GB"/>
        </w:rPr>
        <w:t>es</w:t>
      </w:r>
      <w:r w:rsidR="00142E59" w:rsidRPr="00142E59">
        <w:rPr>
          <w:rFonts w:eastAsia="Calibri"/>
          <w:color w:val="000000"/>
          <w:lang w:eastAsia="en-GB"/>
        </w:rPr>
        <w:t xml:space="preserve"> national priorities, but may not fully reflect European priorities</w:t>
      </w:r>
      <w:r w:rsidR="009F2A37">
        <w:rPr>
          <w:rFonts w:eastAsia="Calibri"/>
          <w:color w:val="000000"/>
          <w:lang w:eastAsia="en-GB"/>
        </w:rPr>
        <w:t>.</w:t>
      </w:r>
      <w:r>
        <w:rPr>
          <w:rFonts w:eastAsia="Calibri"/>
          <w:color w:val="000000"/>
          <w:lang w:eastAsia="en-GB"/>
        </w:rPr>
        <w:t xml:space="preserve"> </w:t>
      </w:r>
      <w:r w:rsidR="009F2A37">
        <w:rPr>
          <w:rFonts w:eastAsia="Calibri"/>
          <w:color w:val="000000"/>
          <w:lang w:eastAsia="en-GB"/>
        </w:rPr>
        <w:t>T</w:t>
      </w:r>
      <w:r>
        <w:rPr>
          <w:rFonts w:eastAsia="Calibri"/>
          <w:color w:val="000000"/>
          <w:lang w:eastAsia="en-GB"/>
        </w:rPr>
        <w:t xml:space="preserve">here may be a </w:t>
      </w:r>
      <w:r w:rsidR="00142E59" w:rsidRPr="00142E59">
        <w:rPr>
          <w:rFonts w:eastAsia="Calibri"/>
          <w:color w:val="000000"/>
          <w:lang w:eastAsia="en-GB"/>
        </w:rPr>
        <w:t xml:space="preserve">risk of </w:t>
      </w:r>
      <w:r w:rsidRPr="00142E59">
        <w:rPr>
          <w:rFonts w:eastAsia="Calibri"/>
          <w:color w:val="000000"/>
          <w:lang w:eastAsia="en-GB"/>
        </w:rPr>
        <w:t xml:space="preserve">internal energy market </w:t>
      </w:r>
      <w:r w:rsidR="00142E59" w:rsidRPr="00142E59">
        <w:rPr>
          <w:rFonts w:eastAsia="Calibri"/>
          <w:color w:val="000000"/>
          <w:lang w:eastAsia="en-GB"/>
        </w:rPr>
        <w:t xml:space="preserve">distortions and </w:t>
      </w:r>
      <w:r w:rsidR="009F2A37">
        <w:rPr>
          <w:rFonts w:eastAsia="Calibri"/>
          <w:color w:val="000000"/>
          <w:lang w:eastAsia="en-GB"/>
        </w:rPr>
        <w:t xml:space="preserve">burdensome </w:t>
      </w:r>
      <w:r w:rsidR="00142E59" w:rsidRPr="00142E59">
        <w:rPr>
          <w:rFonts w:eastAsia="Calibri"/>
          <w:color w:val="000000"/>
          <w:lang w:eastAsia="en-GB"/>
        </w:rPr>
        <w:t xml:space="preserve">fragmentation for investors resulting in lower effectiveness. Option 2 </w:t>
      </w:r>
      <w:r>
        <w:rPr>
          <w:rFonts w:eastAsia="Calibri"/>
          <w:color w:val="000000"/>
          <w:lang w:eastAsia="en-GB"/>
        </w:rPr>
        <w:t>is</w:t>
      </w:r>
      <w:r w:rsidRPr="00142E59">
        <w:rPr>
          <w:rFonts w:eastAsia="Calibri"/>
          <w:color w:val="000000"/>
          <w:lang w:eastAsia="en-GB"/>
        </w:rPr>
        <w:t xml:space="preserve"> </w:t>
      </w:r>
      <w:r w:rsidR="00142E59" w:rsidRPr="00142E59">
        <w:rPr>
          <w:rFonts w:eastAsia="Calibri"/>
          <w:color w:val="000000"/>
          <w:lang w:eastAsia="en-GB"/>
        </w:rPr>
        <w:t xml:space="preserve">a balanced approach </w:t>
      </w:r>
      <w:r w:rsidR="00045E7F" w:rsidRPr="00045E7F">
        <w:rPr>
          <w:rFonts w:eastAsia="Calibri"/>
          <w:color w:val="000000"/>
          <w:lang w:eastAsia="en-GB"/>
        </w:rPr>
        <w:t>enabl</w:t>
      </w:r>
      <w:r>
        <w:rPr>
          <w:rFonts w:eastAsia="Calibri"/>
          <w:color w:val="000000"/>
          <w:lang w:eastAsia="en-GB"/>
        </w:rPr>
        <w:t>ing</w:t>
      </w:r>
      <w:r w:rsidR="00045E7F" w:rsidRPr="00045E7F">
        <w:rPr>
          <w:rFonts w:eastAsia="Calibri"/>
          <w:color w:val="000000"/>
          <w:lang w:eastAsia="en-GB"/>
        </w:rPr>
        <w:t xml:space="preserve"> </w:t>
      </w:r>
      <w:r w:rsidR="009F2A37">
        <w:rPr>
          <w:rFonts w:eastAsia="Calibri"/>
          <w:color w:val="000000"/>
          <w:lang w:eastAsia="en-GB"/>
        </w:rPr>
        <w:t xml:space="preserve">a </w:t>
      </w:r>
      <w:r w:rsidR="00045E7F" w:rsidRPr="00045E7F">
        <w:rPr>
          <w:rFonts w:eastAsia="Calibri"/>
          <w:color w:val="000000"/>
          <w:lang w:eastAsia="en-GB"/>
        </w:rPr>
        <w:t>maximum amount of private investment</w:t>
      </w:r>
      <w:r>
        <w:rPr>
          <w:rFonts w:eastAsia="Calibri"/>
          <w:color w:val="000000"/>
          <w:lang w:eastAsia="en-GB"/>
        </w:rPr>
        <w:t xml:space="preserve"> and</w:t>
      </w:r>
      <w:r w:rsidR="00142E59" w:rsidRPr="00142E59">
        <w:rPr>
          <w:rFonts w:eastAsia="Calibri"/>
          <w:color w:val="000000"/>
          <w:lang w:eastAsia="en-GB"/>
        </w:rPr>
        <w:t xml:space="preserve"> taking in</w:t>
      </w:r>
      <w:r>
        <w:rPr>
          <w:rFonts w:eastAsia="Calibri"/>
          <w:color w:val="000000"/>
          <w:lang w:eastAsia="en-GB"/>
        </w:rPr>
        <w:t>to</w:t>
      </w:r>
      <w:r w:rsidR="00142E59" w:rsidRPr="00142E59">
        <w:rPr>
          <w:rFonts w:eastAsia="Calibri"/>
          <w:color w:val="000000"/>
          <w:lang w:eastAsia="en-GB"/>
        </w:rPr>
        <w:t xml:space="preserve"> account both national and European priorities. </w:t>
      </w:r>
    </w:p>
    <w:p w:rsidR="00142E59" w:rsidRDefault="00142E59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 xml:space="preserve">For the </w:t>
      </w:r>
      <w:r w:rsidRPr="00C17581">
        <w:rPr>
          <w:rFonts w:eastAsia="Calibri"/>
          <w:color w:val="000000"/>
          <w:lang w:eastAsia="en-GB"/>
        </w:rPr>
        <w:t>optional</w:t>
      </w:r>
      <w:r w:rsidRPr="00142E59">
        <w:rPr>
          <w:rFonts w:eastAsia="Calibri"/>
          <w:b/>
          <w:color w:val="000000"/>
          <w:lang w:eastAsia="en-GB"/>
        </w:rPr>
        <w:t xml:space="preserve"> free allocation to promote investments for modernising the energy sector</w:t>
      </w:r>
      <w:r w:rsidR="002C6102">
        <w:rPr>
          <w:rFonts w:eastAsia="Calibri"/>
          <w:b/>
          <w:color w:val="000000"/>
          <w:lang w:eastAsia="en-GB"/>
        </w:rPr>
        <w:t xml:space="preserve">, </w:t>
      </w:r>
      <w:r w:rsidR="002C6102" w:rsidRPr="00FE167A">
        <w:rPr>
          <w:rFonts w:eastAsia="Calibri"/>
          <w:color w:val="000000"/>
          <w:lang w:eastAsia="en-GB"/>
        </w:rPr>
        <w:t>the</w:t>
      </w:r>
      <w:r>
        <w:rPr>
          <w:rFonts w:eastAsia="Calibri"/>
          <w:color w:val="000000"/>
          <w:lang w:eastAsia="en-GB"/>
        </w:rPr>
        <w:t xml:space="preserve"> </w:t>
      </w:r>
      <w:r w:rsidR="002C6102" w:rsidRPr="002C6102">
        <w:rPr>
          <w:rFonts w:eastAsia="Calibri"/>
          <w:color w:val="000000"/>
          <w:lang w:eastAsia="en-GB"/>
        </w:rPr>
        <w:t xml:space="preserve">main </w:t>
      </w:r>
      <w:r w:rsidR="00FE167A">
        <w:rPr>
          <w:rFonts w:eastAsia="Calibri"/>
          <w:color w:val="000000"/>
          <w:lang w:eastAsia="en-GB"/>
        </w:rPr>
        <w:t xml:space="preserve">aspects </w:t>
      </w:r>
      <w:r w:rsidR="002C6102" w:rsidRPr="002C6102">
        <w:rPr>
          <w:rFonts w:eastAsia="Calibri"/>
          <w:color w:val="000000"/>
          <w:lang w:eastAsia="en-GB"/>
        </w:rPr>
        <w:t xml:space="preserve">assessed </w:t>
      </w:r>
      <w:r w:rsidR="00E6278B">
        <w:rPr>
          <w:rFonts w:eastAsia="Calibri"/>
          <w:color w:val="000000"/>
          <w:lang w:eastAsia="en-GB"/>
        </w:rPr>
        <w:t>are</w:t>
      </w:r>
      <w:r w:rsidR="002C6102" w:rsidRPr="002C6102">
        <w:rPr>
          <w:rFonts w:eastAsia="Calibri"/>
          <w:color w:val="000000"/>
          <w:lang w:eastAsia="en-GB"/>
        </w:rPr>
        <w:t xml:space="preserve"> timing, selection of investments and </w:t>
      </w:r>
      <w:r w:rsidR="002C6102">
        <w:rPr>
          <w:rFonts w:eastAsia="Calibri"/>
          <w:color w:val="000000"/>
          <w:lang w:eastAsia="en-GB"/>
        </w:rPr>
        <w:t>reporting</w:t>
      </w:r>
      <w:r w:rsidR="00E6278B">
        <w:rPr>
          <w:rFonts w:eastAsia="Calibri"/>
          <w:color w:val="000000"/>
          <w:lang w:eastAsia="en-GB"/>
        </w:rPr>
        <w:t>, because</w:t>
      </w:r>
      <w:r w:rsidR="002C6102" w:rsidRPr="002C6102">
        <w:rPr>
          <w:rFonts w:eastAsia="Calibri"/>
          <w:color w:val="000000"/>
          <w:lang w:eastAsia="en-GB"/>
        </w:rPr>
        <w:t xml:space="preserve"> </w:t>
      </w:r>
      <w:r w:rsidR="00E6278B">
        <w:rPr>
          <w:rFonts w:eastAsia="Calibri"/>
          <w:color w:val="000000"/>
          <w:lang w:eastAsia="en-GB"/>
        </w:rPr>
        <w:t>currently the</w:t>
      </w:r>
      <w:r w:rsidR="009F2A37">
        <w:rPr>
          <w:rFonts w:eastAsia="Calibri"/>
          <w:color w:val="000000"/>
          <w:lang w:eastAsia="en-GB"/>
        </w:rPr>
        <w:t>se</w:t>
      </w:r>
      <w:r w:rsidR="00E6278B">
        <w:rPr>
          <w:rFonts w:eastAsia="Calibri"/>
          <w:color w:val="000000"/>
          <w:lang w:eastAsia="en-GB"/>
        </w:rPr>
        <w:t xml:space="preserve"> </w:t>
      </w:r>
      <w:r w:rsidR="009F2A37">
        <w:rPr>
          <w:rFonts w:eastAsia="Calibri"/>
          <w:color w:val="000000"/>
          <w:lang w:eastAsia="en-GB"/>
        </w:rPr>
        <w:t xml:space="preserve">either </w:t>
      </w:r>
      <w:r w:rsidR="00E6278B">
        <w:rPr>
          <w:rFonts w:eastAsia="Calibri"/>
          <w:color w:val="000000"/>
          <w:lang w:eastAsia="en-GB"/>
        </w:rPr>
        <w:t xml:space="preserve">vary between </w:t>
      </w:r>
      <w:r w:rsidR="002C6102" w:rsidRPr="002C6102">
        <w:rPr>
          <w:rFonts w:eastAsia="Calibri"/>
          <w:color w:val="000000"/>
          <w:lang w:eastAsia="en-GB"/>
        </w:rPr>
        <w:t>Member</w:t>
      </w:r>
      <w:r w:rsidR="00FE167A">
        <w:rPr>
          <w:rFonts w:eastAsia="Calibri"/>
          <w:color w:val="000000"/>
          <w:lang w:eastAsia="en-GB"/>
        </w:rPr>
        <w:t xml:space="preserve"> States </w:t>
      </w:r>
      <w:r w:rsidR="009F2A37">
        <w:rPr>
          <w:rFonts w:eastAsia="Calibri"/>
          <w:color w:val="000000"/>
          <w:lang w:eastAsia="en-GB"/>
        </w:rPr>
        <w:t xml:space="preserve">using this option, affecting </w:t>
      </w:r>
      <w:r w:rsidR="002C6102" w:rsidRPr="002C6102">
        <w:rPr>
          <w:rFonts w:eastAsia="Calibri"/>
          <w:color w:val="000000"/>
          <w:lang w:eastAsia="en-GB"/>
        </w:rPr>
        <w:t xml:space="preserve">the volume and timing of allowances </w:t>
      </w:r>
      <w:r w:rsidR="00FE167A">
        <w:rPr>
          <w:rFonts w:eastAsia="Calibri"/>
          <w:color w:val="000000"/>
          <w:lang w:eastAsia="en-GB"/>
        </w:rPr>
        <w:t xml:space="preserve">to be auctioned </w:t>
      </w:r>
      <w:r w:rsidR="009F2A37">
        <w:rPr>
          <w:rFonts w:eastAsia="Calibri"/>
          <w:color w:val="000000"/>
          <w:lang w:eastAsia="en-GB"/>
        </w:rPr>
        <w:t xml:space="preserve">or negatively impact </w:t>
      </w:r>
      <w:r w:rsidR="002C6102" w:rsidRPr="002C6102">
        <w:rPr>
          <w:rFonts w:eastAsia="Calibri"/>
          <w:color w:val="000000"/>
          <w:lang w:eastAsia="en-GB"/>
        </w:rPr>
        <w:t>the operational objectives</w:t>
      </w:r>
      <w:r w:rsidR="00E6278B">
        <w:rPr>
          <w:rFonts w:eastAsia="Calibri"/>
          <w:color w:val="000000"/>
          <w:lang w:eastAsia="en-GB"/>
        </w:rPr>
        <w:t xml:space="preserve"> (</w:t>
      </w:r>
      <w:r w:rsidR="002C6102" w:rsidRPr="002C6102">
        <w:rPr>
          <w:rFonts w:eastAsia="Calibri"/>
          <w:color w:val="000000"/>
          <w:lang w:eastAsia="en-GB"/>
        </w:rPr>
        <w:t>transparency</w:t>
      </w:r>
      <w:r w:rsidR="00E6278B">
        <w:rPr>
          <w:rFonts w:eastAsia="Calibri"/>
          <w:color w:val="000000"/>
          <w:lang w:eastAsia="en-GB"/>
        </w:rPr>
        <w:t xml:space="preserve">, </w:t>
      </w:r>
      <w:r w:rsidR="002C6102" w:rsidRPr="002C6102">
        <w:rPr>
          <w:rFonts w:eastAsia="Calibri"/>
          <w:color w:val="000000"/>
          <w:lang w:eastAsia="en-GB"/>
        </w:rPr>
        <w:t>simplicity and potential distortion of the energy market</w:t>
      </w:r>
      <w:r w:rsidR="009F2A37">
        <w:rPr>
          <w:rFonts w:eastAsia="Calibri"/>
          <w:color w:val="000000"/>
          <w:lang w:eastAsia="en-GB"/>
        </w:rPr>
        <w:t>)</w:t>
      </w:r>
      <w:r w:rsidR="00E6278B">
        <w:rPr>
          <w:rFonts w:eastAsia="Calibri"/>
          <w:color w:val="000000"/>
          <w:lang w:eastAsia="en-GB"/>
        </w:rPr>
        <w:t xml:space="preserve">. </w:t>
      </w:r>
    </w:p>
    <w:p w:rsidR="00705770" w:rsidRDefault="009F2A37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>Possible changes include replacing t</w:t>
      </w:r>
      <w:r w:rsidR="00705770" w:rsidRPr="00705770">
        <w:rPr>
          <w:rFonts w:eastAsia="Calibri"/>
          <w:color w:val="000000"/>
          <w:lang w:eastAsia="en-GB"/>
        </w:rPr>
        <w:t xml:space="preserve">he </w:t>
      </w:r>
      <w:r w:rsidR="00705770">
        <w:rPr>
          <w:rFonts w:eastAsia="Calibri"/>
          <w:color w:val="000000"/>
          <w:lang w:eastAsia="en-GB"/>
        </w:rPr>
        <w:t xml:space="preserve">current national plans with an </w:t>
      </w:r>
      <w:r w:rsidR="00705770" w:rsidRPr="00705770">
        <w:rPr>
          <w:rFonts w:eastAsia="Calibri"/>
          <w:color w:val="000000"/>
          <w:lang w:eastAsia="en-GB"/>
        </w:rPr>
        <w:t>open competition based on targeted performance</w:t>
      </w:r>
      <w:r w:rsidR="00E6278B">
        <w:rPr>
          <w:rFonts w:eastAsia="Calibri"/>
          <w:color w:val="000000"/>
          <w:lang w:eastAsia="en-GB"/>
        </w:rPr>
        <w:t xml:space="preserve"> (</w:t>
      </w:r>
      <w:r w:rsidR="00705770" w:rsidRPr="00705770">
        <w:rPr>
          <w:rFonts w:eastAsia="Calibri"/>
          <w:color w:val="000000"/>
          <w:lang w:eastAsia="en-GB"/>
        </w:rPr>
        <w:t xml:space="preserve">a tender or competitive bidding with </w:t>
      </w:r>
      <w:r w:rsidR="00717E2C" w:rsidRPr="00705770">
        <w:rPr>
          <w:rFonts w:eastAsia="Calibri"/>
          <w:color w:val="000000"/>
          <w:lang w:eastAsia="en-GB"/>
        </w:rPr>
        <w:t>investmen</w:t>
      </w:r>
      <w:r w:rsidR="00717E2C">
        <w:rPr>
          <w:rFonts w:eastAsia="Calibri"/>
          <w:color w:val="000000"/>
          <w:lang w:eastAsia="en-GB"/>
        </w:rPr>
        <w:t>t</w:t>
      </w:r>
      <w:r w:rsidR="00717E2C" w:rsidRPr="00705770">
        <w:rPr>
          <w:rFonts w:eastAsia="Calibri"/>
          <w:color w:val="000000"/>
          <w:lang w:eastAsia="en-GB"/>
        </w:rPr>
        <w:t>s</w:t>
      </w:r>
      <w:r w:rsidR="00705770" w:rsidRPr="00705770">
        <w:rPr>
          <w:rFonts w:eastAsia="Calibri"/>
          <w:color w:val="000000"/>
          <w:lang w:eastAsia="en-GB"/>
        </w:rPr>
        <w:t xml:space="preserve"> representing the best value for money being selected / prioritised</w:t>
      </w:r>
      <w:r w:rsidR="00E6278B">
        <w:rPr>
          <w:rFonts w:eastAsia="Calibri"/>
          <w:color w:val="000000"/>
          <w:lang w:eastAsia="en-GB"/>
        </w:rPr>
        <w:t>)</w:t>
      </w:r>
      <w:r>
        <w:rPr>
          <w:rFonts w:eastAsia="Calibri"/>
          <w:color w:val="000000"/>
          <w:lang w:eastAsia="en-GB"/>
        </w:rPr>
        <w:t xml:space="preserve">, or publication by the </w:t>
      </w:r>
      <w:r w:rsidR="00705770" w:rsidRPr="00705770">
        <w:rPr>
          <w:rFonts w:eastAsia="Calibri"/>
          <w:color w:val="000000"/>
          <w:lang w:eastAsia="en-GB"/>
        </w:rPr>
        <w:t xml:space="preserve">Commission </w:t>
      </w:r>
      <w:r>
        <w:rPr>
          <w:rFonts w:eastAsia="Calibri"/>
          <w:color w:val="000000"/>
          <w:lang w:eastAsia="en-GB"/>
        </w:rPr>
        <w:t>instead of reporting by Member States</w:t>
      </w:r>
      <w:r w:rsidR="00705770" w:rsidRPr="00705770">
        <w:rPr>
          <w:rFonts w:eastAsia="Calibri"/>
          <w:color w:val="000000"/>
          <w:lang w:eastAsia="en-GB"/>
        </w:rPr>
        <w:t xml:space="preserve">. </w:t>
      </w:r>
      <w:r w:rsidR="003F2BA2">
        <w:rPr>
          <w:rFonts w:eastAsia="Calibri"/>
          <w:color w:val="000000"/>
          <w:lang w:eastAsia="en-GB"/>
        </w:rPr>
        <w:t>A</w:t>
      </w:r>
      <w:r w:rsidR="006E2E94">
        <w:rPr>
          <w:rFonts w:eastAsia="Calibri"/>
          <w:color w:val="000000"/>
          <w:lang w:eastAsia="en-GB"/>
        </w:rPr>
        <w:t xml:space="preserve">n </w:t>
      </w:r>
      <w:r w:rsidR="00705770" w:rsidRPr="00705770">
        <w:rPr>
          <w:rFonts w:eastAsia="Calibri"/>
          <w:color w:val="000000"/>
          <w:lang w:eastAsia="en-GB"/>
        </w:rPr>
        <w:t xml:space="preserve">equal amount </w:t>
      </w:r>
      <w:r w:rsidR="006E2E94" w:rsidRPr="00705770">
        <w:rPr>
          <w:rFonts w:eastAsia="Calibri"/>
          <w:color w:val="000000"/>
          <w:lang w:eastAsia="en-GB"/>
        </w:rPr>
        <w:t xml:space="preserve">of free allocation </w:t>
      </w:r>
      <w:r w:rsidR="00705770" w:rsidRPr="00705770">
        <w:rPr>
          <w:rFonts w:eastAsia="Calibri"/>
          <w:color w:val="000000"/>
          <w:lang w:eastAsia="en-GB"/>
        </w:rPr>
        <w:t>per year</w:t>
      </w:r>
      <w:r w:rsidR="006E2E94">
        <w:rPr>
          <w:rFonts w:eastAsia="Calibri"/>
          <w:color w:val="000000"/>
          <w:lang w:eastAsia="en-GB"/>
        </w:rPr>
        <w:t xml:space="preserve"> </w:t>
      </w:r>
      <w:r w:rsidR="003F2BA2">
        <w:rPr>
          <w:rFonts w:eastAsia="Calibri"/>
          <w:color w:val="000000"/>
          <w:lang w:eastAsia="en-GB"/>
        </w:rPr>
        <w:t xml:space="preserve">could be chosen to </w:t>
      </w:r>
      <w:r w:rsidR="00717E2C">
        <w:rPr>
          <w:rFonts w:eastAsia="Calibri"/>
          <w:color w:val="000000"/>
          <w:lang w:eastAsia="en-GB"/>
        </w:rPr>
        <w:t xml:space="preserve">replace </w:t>
      </w:r>
      <w:r w:rsidR="00705770" w:rsidRPr="00705770">
        <w:rPr>
          <w:rFonts w:eastAsia="Calibri"/>
          <w:color w:val="000000"/>
          <w:lang w:eastAsia="en-GB"/>
        </w:rPr>
        <w:t>the current approach</w:t>
      </w:r>
      <w:r w:rsidR="00FE167A">
        <w:rPr>
          <w:rFonts w:eastAsia="Calibri"/>
          <w:color w:val="000000"/>
          <w:lang w:eastAsia="en-GB"/>
        </w:rPr>
        <w:t xml:space="preserve"> with a declining trajectory</w:t>
      </w:r>
      <w:r w:rsidR="006E2E94">
        <w:rPr>
          <w:rFonts w:eastAsia="Calibri"/>
          <w:color w:val="000000"/>
          <w:lang w:eastAsia="en-GB"/>
        </w:rPr>
        <w:t>, affecting</w:t>
      </w:r>
      <w:r w:rsidR="00705770" w:rsidRPr="00705770">
        <w:rPr>
          <w:rFonts w:eastAsia="Calibri"/>
          <w:color w:val="000000"/>
          <w:lang w:eastAsia="en-GB"/>
        </w:rPr>
        <w:t xml:space="preserve"> the distribution of investments over the period and the supply of allowances to the market. </w:t>
      </w:r>
      <w:r w:rsidR="00A40D74">
        <w:rPr>
          <w:rFonts w:eastAsia="Calibri"/>
          <w:color w:val="000000"/>
          <w:lang w:eastAsia="en-GB"/>
        </w:rPr>
        <w:t>Finally, c</w:t>
      </w:r>
      <w:r w:rsidR="00705770">
        <w:rPr>
          <w:rFonts w:eastAsia="Calibri"/>
          <w:color w:val="000000"/>
          <w:lang w:eastAsia="en-GB"/>
        </w:rPr>
        <w:t xml:space="preserve">onsistent </w:t>
      </w:r>
      <w:r w:rsidR="00705770" w:rsidRPr="00705770">
        <w:rPr>
          <w:rFonts w:eastAsia="Calibri"/>
          <w:color w:val="000000"/>
          <w:lang w:eastAsia="en-GB"/>
        </w:rPr>
        <w:t xml:space="preserve">rules on auctioning if allowances are not given for free </w:t>
      </w:r>
      <w:r w:rsidR="006E2E94">
        <w:rPr>
          <w:rFonts w:eastAsia="Calibri"/>
          <w:color w:val="000000"/>
          <w:lang w:eastAsia="en-GB"/>
        </w:rPr>
        <w:t>can</w:t>
      </w:r>
      <w:r w:rsidR="005F4F90">
        <w:rPr>
          <w:rFonts w:eastAsia="Calibri"/>
          <w:color w:val="000000"/>
          <w:lang w:eastAsia="en-GB"/>
        </w:rPr>
        <w:t xml:space="preserve"> reduc</w:t>
      </w:r>
      <w:r w:rsidR="006E2E94">
        <w:rPr>
          <w:rFonts w:eastAsia="Calibri"/>
          <w:color w:val="000000"/>
          <w:lang w:eastAsia="en-GB"/>
        </w:rPr>
        <w:t>e</w:t>
      </w:r>
      <w:r w:rsidR="005F4F90">
        <w:rPr>
          <w:rFonts w:eastAsia="Calibri"/>
          <w:color w:val="000000"/>
          <w:lang w:eastAsia="en-GB"/>
        </w:rPr>
        <w:t xml:space="preserve"> </w:t>
      </w:r>
      <w:r w:rsidR="00705770" w:rsidRPr="00705770">
        <w:rPr>
          <w:rFonts w:eastAsia="Calibri"/>
          <w:color w:val="000000"/>
          <w:lang w:eastAsia="en-GB"/>
        </w:rPr>
        <w:t xml:space="preserve">the </w:t>
      </w:r>
      <w:r w:rsidR="005F4F90">
        <w:rPr>
          <w:rFonts w:eastAsia="Calibri"/>
          <w:color w:val="000000"/>
          <w:lang w:eastAsia="en-GB"/>
        </w:rPr>
        <w:t xml:space="preserve">current </w:t>
      </w:r>
      <w:r w:rsidR="00705770" w:rsidRPr="00705770">
        <w:rPr>
          <w:rFonts w:eastAsia="Calibri"/>
          <w:color w:val="000000"/>
          <w:lang w:eastAsia="en-GB"/>
        </w:rPr>
        <w:t>variation between Member States and set a clear timetable for auctioning of unused allowances.</w:t>
      </w:r>
      <w:r w:rsidR="00E965AF">
        <w:rPr>
          <w:rFonts w:eastAsia="Calibri"/>
          <w:color w:val="000000"/>
          <w:lang w:eastAsia="en-GB"/>
        </w:rPr>
        <w:t xml:space="preserve"> </w:t>
      </w:r>
      <w:r w:rsidR="00705770">
        <w:rPr>
          <w:rFonts w:eastAsia="Calibri"/>
          <w:color w:val="000000"/>
          <w:lang w:eastAsia="en-GB"/>
        </w:rPr>
        <w:t>Based on these aspects, three options packages are considered.</w:t>
      </w:r>
    </w:p>
    <w:p w:rsidR="007A5420" w:rsidRDefault="00705770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>
        <w:rPr>
          <w:rFonts w:eastAsia="Calibri"/>
          <w:b/>
          <w:color w:val="000000"/>
          <w:lang w:eastAsia="en-GB"/>
        </w:rPr>
        <w:t>Option 1</w:t>
      </w:r>
      <w:r w:rsidR="006E2E94">
        <w:rPr>
          <w:rFonts w:eastAsia="Calibri"/>
          <w:b/>
          <w:color w:val="000000"/>
          <w:lang w:eastAsia="en-GB"/>
        </w:rPr>
        <w:t xml:space="preserve">: </w:t>
      </w:r>
      <w:r>
        <w:rPr>
          <w:rFonts w:eastAsia="Calibri"/>
          <w:color w:val="000000"/>
          <w:lang w:eastAsia="en-GB"/>
        </w:rPr>
        <w:t xml:space="preserve">a streamlined approach with </w:t>
      </w:r>
      <w:r w:rsidRPr="00705770">
        <w:rPr>
          <w:rFonts w:eastAsia="Calibri"/>
          <w:color w:val="000000"/>
          <w:lang w:eastAsia="en-GB"/>
        </w:rPr>
        <w:t xml:space="preserve">more consistent rules and procedures, </w:t>
      </w:r>
      <w:r w:rsidR="007C3D3D">
        <w:rPr>
          <w:rFonts w:eastAsia="Calibri"/>
          <w:color w:val="000000"/>
          <w:lang w:eastAsia="en-GB"/>
        </w:rPr>
        <w:t xml:space="preserve">limiting </w:t>
      </w:r>
      <w:r w:rsidRPr="00705770">
        <w:rPr>
          <w:rFonts w:eastAsia="Calibri"/>
          <w:color w:val="000000"/>
          <w:lang w:eastAsia="en-GB"/>
        </w:rPr>
        <w:t>delays for investments</w:t>
      </w:r>
      <w:r w:rsidR="003F2BA2">
        <w:rPr>
          <w:rFonts w:eastAsia="Calibri"/>
          <w:color w:val="000000"/>
          <w:lang w:eastAsia="en-GB"/>
        </w:rPr>
        <w:t xml:space="preserve"> and</w:t>
      </w:r>
      <w:r w:rsidR="006E2E94">
        <w:rPr>
          <w:rFonts w:eastAsia="Calibri"/>
          <w:color w:val="000000"/>
          <w:lang w:eastAsia="en-GB"/>
        </w:rPr>
        <w:t xml:space="preserve"> </w:t>
      </w:r>
      <w:r w:rsidRPr="00705770">
        <w:rPr>
          <w:rFonts w:eastAsia="Calibri"/>
          <w:color w:val="000000"/>
          <w:lang w:eastAsia="en-GB"/>
        </w:rPr>
        <w:t xml:space="preserve">reports published by the Commission. </w:t>
      </w:r>
      <w:r>
        <w:rPr>
          <w:rFonts w:eastAsia="Calibri"/>
          <w:color w:val="000000"/>
          <w:lang w:eastAsia="en-GB"/>
        </w:rPr>
        <w:t>T</w:t>
      </w:r>
      <w:r w:rsidRPr="00705770">
        <w:rPr>
          <w:rFonts w:eastAsia="Calibri"/>
          <w:color w:val="000000"/>
          <w:lang w:eastAsia="en-GB"/>
        </w:rPr>
        <w:t xml:space="preserve">his </w:t>
      </w:r>
      <w:r>
        <w:rPr>
          <w:rFonts w:eastAsia="Calibri"/>
          <w:color w:val="000000"/>
          <w:lang w:eastAsia="en-GB"/>
        </w:rPr>
        <w:t>would reduce</w:t>
      </w:r>
      <w:r w:rsidRPr="00705770">
        <w:rPr>
          <w:rFonts w:eastAsia="Calibri"/>
          <w:color w:val="000000"/>
          <w:lang w:eastAsia="en-GB"/>
        </w:rPr>
        <w:t xml:space="preserve"> differences in methodologies between Member States while </w:t>
      </w:r>
      <w:r w:rsidR="006E2E94">
        <w:rPr>
          <w:rFonts w:eastAsia="Calibri"/>
          <w:color w:val="000000"/>
          <w:lang w:eastAsia="en-GB"/>
        </w:rPr>
        <w:t>keeping</w:t>
      </w:r>
      <w:r w:rsidRPr="00705770">
        <w:rPr>
          <w:rFonts w:eastAsia="Calibri"/>
          <w:color w:val="000000"/>
          <w:lang w:eastAsia="en-GB"/>
        </w:rPr>
        <w:t xml:space="preserve"> most of the principles.</w:t>
      </w:r>
      <w:r>
        <w:rPr>
          <w:rFonts w:eastAsia="Calibri"/>
          <w:color w:val="000000"/>
          <w:lang w:eastAsia="en-GB"/>
        </w:rPr>
        <w:t xml:space="preserve"> </w:t>
      </w:r>
    </w:p>
    <w:p w:rsidR="00705770" w:rsidRDefault="00705770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 w:rsidRPr="00FE167A">
        <w:rPr>
          <w:rFonts w:eastAsia="Calibri"/>
          <w:b/>
          <w:color w:val="000000"/>
          <w:lang w:eastAsia="en-GB"/>
        </w:rPr>
        <w:t>Option 2</w:t>
      </w:r>
      <w:r w:rsidR="006E2E94">
        <w:rPr>
          <w:rFonts w:eastAsia="Calibri"/>
          <w:b/>
          <w:color w:val="000000"/>
          <w:lang w:eastAsia="en-GB"/>
        </w:rPr>
        <w:t>:</w:t>
      </w:r>
      <w:r w:rsidR="006E2E94">
        <w:rPr>
          <w:rFonts w:eastAsia="Calibri"/>
          <w:color w:val="000000"/>
          <w:lang w:eastAsia="en-GB"/>
        </w:rPr>
        <w:t xml:space="preserve"> </w:t>
      </w:r>
      <w:r w:rsidRPr="00705770">
        <w:rPr>
          <w:rFonts w:eastAsia="Calibri"/>
          <w:color w:val="000000"/>
          <w:lang w:eastAsia="en-GB"/>
        </w:rPr>
        <w:t xml:space="preserve">changes </w:t>
      </w:r>
      <w:r w:rsidR="00D62165">
        <w:rPr>
          <w:rFonts w:eastAsia="Calibri"/>
          <w:color w:val="000000"/>
          <w:lang w:eastAsia="en-GB"/>
        </w:rPr>
        <w:t xml:space="preserve">focussing on a competitive and open </w:t>
      </w:r>
      <w:r w:rsidRPr="00705770">
        <w:rPr>
          <w:rFonts w:eastAsia="Calibri"/>
          <w:color w:val="000000"/>
          <w:lang w:eastAsia="en-GB"/>
        </w:rPr>
        <w:t xml:space="preserve">selection of investments. </w:t>
      </w:r>
      <w:r w:rsidR="003F2BA2">
        <w:rPr>
          <w:rFonts w:eastAsia="Calibri"/>
          <w:color w:val="000000"/>
          <w:lang w:eastAsia="en-GB"/>
        </w:rPr>
        <w:t xml:space="preserve">An </w:t>
      </w:r>
      <w:r w:rsidR="006E2E94" w:rsidRPr="00705770">
        <w:rPr>
          <w:rFonts w:eastAsia="Calibri"/>
          <w:color w:val="000000"/>
          <w:lang w:eastAsia="en-GB"/>
        </w:rPr>
        <w:t xml:space="preserve">open competition </w:t>
      </w:r>
      <w:r w:rsidR="006E2E94">
        <w:rPr>
          <w:rFonts w:eastAsia="Calibri"/>
          <w:color w:val="000000"/>
          <w:lang w:eastAsia="en-GB"/>
        </w:rPr>
        <w:t>reduces</w:t>
      </w:r>
      <w:r w:rsidR="006E2E94" w:rsidRPr="00705770">
        <w:rPr>
          <w:rFonts w:eastAsia="Calibri"/>
          <w:color w:val="000000"/>
          <w:lang w:eastAsia="en-GB"/>
        </w:rPr>
        <w:t xml:space="preserve"> </w:t>
      </w:r>
      <w:r w:rsidR="006E2E94">
        <w:rPr>
          <w:rFonts w:eastAsia="Calibri"/>
          <w:color w:val="000000"/>
          <w:lang w:eastAsia="en-GB"/>
        </w:rPr>
        <w:t xml:space="preserve">the </w:t>
      </w:r>
      <w:r w:rsidR="006E2E94" w:rsidRPr="00705770">
        <w:rPr>
          <w:rFonts w:eastAsia="Calibri"/>
          <w:color w:val="000000"/>
          <w:lang w:eastAsia="en-GB"/>
        </w:rPr>
        <w:t>potential risk of market distortion</w:t>
      </w:r>
      <w:r w:rsidR="006E2E94">
        <w:rPr>
          <w:rFonts w:eastAsia="Calibri"/>
          <w:color w:val="000000"/>
          <w:lang w:eastAsia="en-GB"/>
        </w:rPr>
        <w:t xml:space="preserve"> f</w:t>
      </w:r>
      <w:r w:rsidRPr="00705770">
        <w:rPr>
          <w:rFonts w:eastAsia="Calibri"/>
          <w:color w:val="000000"/>
          <w:lang w:eastAsia="en-GB"/>
        </w:rPr>
        <w:t>or large investments</w:t>
      </w:r>
      <w:r w:rsidR="006E2E94">
        <w:rPr>
          <w:rFonts w:eastAsia="Calibri"/>
          <w:color w:val="000000"/>
          <w:lang w:eastAsia="en-GB"/>
        </w:rPr>
        <w:t>,</w:t>
      </w:r>
      <w:r w:rsidRPr="00705770">
        <w:rPr>
          <w:rFonts w:eastAsia="Calibri"/>
          <w:color w:val="000000"/>
          <w:lang w:eastAsia="en-GB"/>
        </w:rPr>
        <w:t xml:space="preserve"> compare</w:t>
      </w:r>
      <w:r w:rsidR="006E2E94">
        <w:rPr>
          <w:rFonts w:eastAsia="Calibri"/>
          <w:color w:val="000000"/>
          <w:lang w:eastAsia="en-GB"/>
        </w:rPr>
        <w:t>d</w:t>
      </w:r>
      <w:r w:rsidRPr="00705770">
        <w:rPr>
          <w:rFonts w:eastAsia="Calibri"/>
          <w:color w:val="000000"/>
          <w:lang w:eastAsia="en-GB"/>
        </w:rPr>
        <w:t xml:space="preserve"> based on value for money</w:t>
      </w:r>
      <w:r w:rsidR="006E2E94">
        <w:rPr>
          <w:rFonts w:eastAsia="Calibri"/>
          <w:color w:val="000000"/>
          <w:lang w:eastAsia="en-GB"/>
        </w:rPr>
        <w:t>.</w:t>
      </w:r>
      <w:r w:rsidRPr="00705770">
        <w:rPr>
          <w:rFonts w:eastAsia="Calibri"/>
          <w:color w:val="000000"/>
          <w:lang w:eastAsia="en-GB"/>
        </w:rPr>
        <w:t xml:space="preserve"> </w:t>
      </w:r>
      <w:r w:rsidR="006E2E94">
        <w:rPr>
          <w:rFonts w:eastAsia="Calibri"/>
          <w:color w:val="000000"/>
          <w:lang w:eastAsia="en-GB"/>
        </w:rPr>
        <w:t>S</w:t>
      </w:r>
      <w:r w:rsidRPr="00705770">
        <w:rPr>
          <w:rFonts w:eastAsia="Calibri"/>
          <w:color w:val="000000"/>
          <w:lang w:eastAsia="en-GB"/>
        </w:rPr>
        <w:t xml:space="preserve">maller investments could be approved </w:t>
      </w:r>
      <w:r w:rsidR="006E2E94">
        <w:rPr>
          <w:rFonts w:eastAsia="Calibri"/>
          <w:color w:val="000000"/>
          <w:lang w:eastAsia="en-GB"/>
        </w:rPr>
        <w:t>under</w:t>
      </w:r>
      <w:r w:rsidRPr="00705770">
        <w:rPr>
          <w:rFonts w:eastAsia="Calibri"/>
          <w:color w:val="000000"/>
          <w:lang w:eastAsia="en-GB"/>
        </w:rPr>
        <w:t xml:space="preserve"> </w:t>
      </w:r>
      <w:r w:rsidR="00AA1702">
        <w:rPr>
          <w:rFonts w:eastAsia="Calibri"/>
          <w:color w:val="000000"/>
          <w:lang w:eastAsia="en-GB"/>
        </w:rPr>
        <w:t xml:space="preserve">a possible future </w:t>
      </w:r>
      <w:r w:rsidRPr="00705770">
        <w:rPr>
          <w:rFonts w:eastAsia="Calibri"/>
          <w:color w:val="000000"/>
          <w:lang w:eastAsia="en-GB"/>
        </w:rPr>
        <w:t xml:space="preserve">general block exemption </w:t>
      </w:r>
      <w:r w:rsidR="006E2E94">
        <w:rPr>
          <w:rFonts w:eastAsia="Calibri"/>
          <w:color w:val="000000"/>
          <w:lang w:eastAsia="en-GB"/>
        </w:rPr>
        <w:t>for</w:t>
      </w:r>
      <w:r w:rsidR="006E2E94" w:rsidRPr="00705770">
        <w:rPr>
          <w:rFonts w:eastAsia="Calibri"/>
          <w:color w:val="000000"/>
          <w:lang w:eastAsia="en-GB"/>
        </w:rPr>
        <w:t xml:space="preserve"> </w:t>
      </w:r>
      <w:r w:rsidRPr="00705770">
        <w:rPr>
          <w:rFonts w:eastAsia="Calibri"/>
          <w:color w:val="000000"/>
          <w:lang w:eastAsia="en-GB"/>
        </w:rPr>
        <w:t>state aid rules.</w:t>
      </w:r>
      <w:r w:rsidRPr="00705770">
        <w:t xml:space="preserve"> </w:t>
      </w:r>
      <w:r w:rsidR="006E2E94">
        <w:rPr>
          <w:rFonts w:eastAsia="Calibri"/>
          <w:color w:val="000000"/>
          <w:lang w:eastAsia="en-GB"/>
        </w:rPr>
        <w:t>A</w:t>
      </w:r>
      <w:r w:rsidRPr="00705770">
        <w:rPr>
          <w:rFonts w:eastAsia="Calibri"/>
          <w:color w:val="000000"/>
          <w:lang w:eastAsia="en-GB"/>
        </w:rPr>
        <w:t xml:space="preserve">uctioning of unused allowances </w:t>
      </w:r>
      <w:r w:rsidR="006E2E94">
        <w:rPr>
          <w:rFonts w:eastAsia="Calibri"/>
          <w:color w:val="000000"/>
          <w:lang w:eastAsia="en-GB"/>
        </w:rPr>
        <w:t xml:space="preserve">can be delayed </w:t>
      </w:r>
      <w:r w:rsidRPr="00705770">
        <w:rPr>
          <w:rFonts w:eastAsia="Calibri"/>
          <w:color w:val="000000"/>
          <w:lang w:eastAsia="en-GB"/>
        </w:rPr>
        <w:t>for 1 or 2 years</w:t>
      </w:r>
      <w:r w:rsidR="007A5420">
        <w:rPr>
          <w:rFonts w:eastAsia="Calibri"/>
          <w:color w:val="000000"/>
          <w:lang w:eastAsia="en-GB"/>
        </w:rPr>
        <w:t>.</w:t>
      </w:r>
    </w:p>
    <w:p w:rsidR="00705770" w:rsidRPr="007A5420" w:rsidRDefault="00705770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 w:rsidRPr="00FE167A">
        <w:rPr>
          <w:rFonts w:eastAsia="Calibri"/>
          <w:b/>
          <w:color w:val="000000"/>
          <w:lang w:eastAsia="en-GB"/>
        </w:rPr>
        <w:t>Option 3</w:t>
      </w:r>
      <w:r w:rsidR="00195E24">
        <w:rPr>
          <w:rFonts w:eastAsia="Calibri"/>
          <w:b/>
          <w:color w:val="000000"/>
          <w:lang w:eastAsia="en-GB"/>
        </w:rPr>
        <w:t>:</w:t>
      </w:r>
      <w:r w:rsidR="007A5420">
        <w:rPr>
          <w:rFonts w:eastAsia="Calibri"/>
          <w:b/>
          <w:color w:val="000000"/>
          <w:lang w:eastAsia="en-GB"/>
        </w:rPr>
        <w:t xml:space="preserve"> </w:t>
      </w:r>
      <w:r w:rsidR="007A5420" w:rsidRPr="00FE167A">
        <w:rPr>
          <w:rFonts w:eastAsia="Calibri"/>
          <w:color w:val="000000"/>
          <w:lang w:eastAsia="en-GB"/>
        </w:rPr>
        <w:t>greatest level of standardisation</w:t>
      </w:r>
      <w:r w:rsidR="00195E24">
        <w:rPr>
          <w:rFonts w:eastAsia="Calibri"/>
          <w:color w:val="000000"/>
          <w:lang w:eastAsia="en-GB"/>
        </w:rPr>
        <w:t xml:space="preserve"> with</w:t>
      </w:r>
      <w:r w:rsidR="007A5420" w:rsidRPr="00FE167A">
        <w:rPr>
          <w:rFonts w:eastAsia="Calibri"/>
          <w:color w:val="000000"/>
          <w:lang w:eastAsia="en-GB"/>
        </w:rPr>
        <w:t xml:space="preserve"> </w:t>
      </w:r>
      <w:r w:rsidR="003F2BA2">
        <w:rPr>
          <w:rFonts w:eastAsia="Calibri"/>
          <w:color w:val="000000"/>
          <w:lang w:eastAsia="en-GB"/>
        </w:rPr>
        <w:t xml:space="preserve">fixed </w:t>
      </w:r>
      <w:r w:rsidR="007A5420" w:rsidRPr="00FE167A">
        <w:rPr>
          <w:rFonts w:eastAsia="Calibri"/>
          <w:color w:val="000000"/>
          <w:lang w:eastAsia="en-GB"/>
        </w:rPr>
        <w:t xml:space="preserve">percentage of free allocation on an annual basis. </w:t>
      </w:r>
      <w:r w:rsidR="00195E24">
        <w:rPr>
          <w:rFonts w:eastAsia="Calibri"/>
          <w:color w:val="000000"/>
          <w:lang w:eastAsia="en-GB"/>
        </w:rPr>
        <w:t>Approach is f</w:t>
      </w:r>
      <w:r w:rsidR="007A5420" w:rsidRPr="00FE167A">
        <w:rPr>
          <w:rFonts w:eastAsia="Calibri"/>
          <w:color w:val="000000"/>
          <w:lang w:eastAsia="en-GB"/>
        </w:rPr>
        <w:t>ully predictable for the market</w:t>
      </w:r>
      <w:r w:rsidR="00195E24">
        <w:rPr>
          <w:rFonts w:eastAsia="Calibri"/>
          <w:color w:val="000000"/>
          <w:lang w:eastAsia="en-GB"/>
        </w:rPr>
        <w:t>. S</w:t>
      </w:r>
      <w:r w:rsidR="007A5420" w:rsidRPr="00FE167A">
        <w:rPr>
          <w:rFonts w:eastAsia="Calibri"/>
          <w:color w:val="000000"/>
          <w:lang w:eastAsia="en-GB"/>
        </w:rPr>
        <w:t xml:space="preserve">election of </w:t>
      </w:r>
      <w:r w:rsidR="003F2BA2">
        <w:rPr>
          <w:rFonts w:eastAsia="Calibri"/>
          <w:color w:val="000000"/>
          <w:lang w:eastAsia="en-GB"/>
        </w:rPr>
        <w:t xml:space="preserve">all </w:t>
      </w:r>
      <w:r w:rsidR="007A5420">
        <w:rPr>
          <w:rFonts w:eastAsia="Calibri"/>
          <w:color w:val="000000"/>
          <w:lang w:eastAsia="en-GB"/>
        </w:rPr>
        <w:t xml:space="preserve">eligible </w:t>
      </w:r>
      <w:r w:rsidR="007A5420" w:rsidRPr="00FE167A">
        <w:rPr>
          <w:rFonts w:eastAsia="Calibri"/>
          <w:color w:val="000000"/>
          <w:lang w:eastAsia="en-GB"/>
        </w:rPr>
        <w:t xml:space="preserve">investments through an open competition based on best value for money. </w:t>
      </w:r>
    </w:p>
    <w:p w:rsidR="007A5420" w:rsidRDefault="007A5420" w:rsidP="0055206F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>The</w:t>
      </w:r>
      <w:r w:rsidR="007E5204">
        <w:rPr>
          <w:rFonts w:eastAsia="Calibri"/>
          <w:color w:val="000000"/>
          <w:lang w:eastAsia="en-GB"/>
        </w:rPr>
        <w:t>re are</w:t>
      </w:r>
      <w:r>
        <w:rPr>
          <w:rFonts w:eastAsia="Calibri"/>
          <w:color w:val="000000"/>
          <w:lang w:eastAsia="en-GB"/>
        </w:rPr>
        <w:t xml:space="preserve"> some key trade-offs </w:t>
      </w:r>
      <w:r w:rsidR="007E5204">
        <w:rPr>
          <w:rFonts w:eastAsia="Calibri"/>
          <w:color w:val="000000"/>
          <w:lang w:eastAsia="en-GB"/>
        </w:rPr>
        <w:t>for</w:t>
      </w:r>
      <w:r>
        <w:rPr>
          <w:rFonts w:eastAsia="Calibri"/>
          <w:color w:val="000000"/>
          <w:lang w:eastAsia="en-GB"/>
        </w:rPr>
        <w:t xml:space="preserve"> the options considered</w:t>
      </w:r>
      <w:r w:rsidR="007E5204">
        <w:rPr>
          <w:rFonts w:eastAsia="Calibri"/>
          <w:color w:val="000000"/>
          <w:lang w:eastAsia="en-GB"/>
        </w:rPr>
        <w:t>: t</w:t>
      </w:r>
      <w:r w:rsidRPr="007A5420">
        <w:rPr>
          <w:rFonts w:eastAsia="Calibri"/>
          <w:color w:val="000000"/>
          <w:lang w:eastAsia="en-GB"/>
        </w:rPr>
        <w:t xml:space="preserve">he streamlined approach </w:t>
      </w:r>
      <w:r w:rsidR="00D62165">
        <w:rPr>
          <w:rFonts w:eastAsia="Calibri"/>
          <w:color w:val="000000"/>
          <w:lang w:eastAsia="en-GB"/>
        </w:rPr>
        <w:t xml:space="preserve">in Option 1 </w:t>
      </w:r>
      <w:r w:rsidRPr="007A5420">
        <w:rPr>
          <w:rFonts w:eastAsia="Calibri"/>
          <w:color w:val="000000"/>
          <w:lang w:eastAsia="en-GB"/>
        </w:rPr>
        <w:t>provide</w:t>
      </w:r>
      <w:r w:rsidR="007E5204">
        <w:rPr>
          <w:rFonts w:eastAsia="Calibri"/>
          <w:color w:val="000000"/>
          <w:lang w:eastAsia="en-GB"/>
        </w:rPr>
        <w:t>s</w:t>
      </w:r>
      <w:r w:rsidRPr="007A5420">
        <w:rPr>
          <w:rFonts w:eastAsia="Calibri"/>
          <w:color w:val="000000"/>
          <w:lang w:eastAsia="en-GB"/>
        </w:rPr>
        <w:t xml:space="preserve"> </w:t>
      </w:r>
      <w:r>
        <w:rPr>
          <w:rFonts w:eastAsia="Calibri"/>
          <w:color w:val="000000"/>
          <w:lang w:eastAsia="en-GB"/>
        </w:rPr>
        <w:t xml:space="preserve">limited </w:t>
      </w:r>
      <w:r w:rsidRPr="007A5420">
        <w:rPr>
          <w:rFonts w:eastAsia="Calibri"/>
          <w:color w:val="000000"/>
          <w:lang w:eastAsia="en-GB"/>
        </w:rPr>
        <w:t>improvements to transparency and reduce</w:t>
      </w:r>
      <w:r w:rsidR="007E5204">
        <w:rPr>
          <w:rFonts w:eastAsia="Calibri"/>
          <w:color w:val="000000"/>
          <w:lang w:eastAsia="en-GB"/>
        </w:rPr>
        <w:t>s</w:t>
      </w:r>
      <w:r w:rsidRPr="007A5420">
        <w:rPr>
          <w:rFonts w:eastAsia="Calibri"/>
          <w:color w:val="000000"/>
          <w:lang w:eastAsia="en-GB"/>
        </w:rPr>
        <w:t xml:space="preserve"> the administrative burden</w:t>
      </w:r>
      <w:r w:rsidR="007E5204">
        <w:rPr>
          <w:rFonts w:eastAsia="Calibri"/>
          <w:color w:val="000000"/>
          <w:lang w:eastAsia="en-GB"/>
        </w:rPr>
        <w:t xml:space="preserve">, but does </w:t>
      </w:r>
      <w:r w:rsidRPr="007A5420">
        <w:rPr>
          <w:rFonts w:eastAsia="Calibri"/>
          <w:color w:val="000000"/>
          <w:lang w:eastAsia="en-GB"/>
        </w:rPr>
        <w:t>not change</w:t>
      </w:r>
      <w:r w:rsidR="007E5204">
        <w:rPr>
          <w:rFonts w:eastAsia="Calibri"/>
          <w:color w:val="000000"/>
          <w:lang w:eastAsia="en-GB"/>
        </w:rPr>
        <w:t xml:space="preserve"> the selection of</w:t>
      </w:r>
      <w:r w:rsidRPr="007A5420">
        <w:rPr>
          <w:rFonts w:eastAsia="Calibri"/>
          <w:color w:val="000000"/>
          <w:lang w:eastAsia="en-GB"/>
        </w:rPr>
        <w:t xml:space="preserve"> investments, </w:t>
      </w:r>
      <w:r>
        <w:rPr>
          <w:rFonts w:eastAsia="Calibri"/>
          <w:color w:val="000000"/>
          <w:lang w:eastAsia="en-GB"/>
        </w:rPr>
        <w:t xml:space="preserve">so </w:t>
      </w:r>
      <w:r w:rsidRPr="007A5420">
        <w:rPr>
          <w:rFonts w:eastAsia="Calibri"/>
          <w:color w:val="000000"/>
          <w:lang w:eastAsia="en-GB"/>
        </w:rPr>
        <w:t xml:space="preserve">the effectiveness </w:t>
      </w:r>
      <w:r w:rsidR="007E5204">
        <w:rPr>
          <w:rFonts w:eastAsia="Calibri"/>
          <w:color w:val="000000"/>
          <w:lang w:eastAsia="en-GB"/>
        </w:rPr>
        <w:t xml:space="preserve">does </w:t>
      </w:r>
      <w:r w:rsidRPr="007A5420">
        <w:rPr>
          <w:rFonts w:eastAsia="Calibri"/>
          <w:color w:val="000000"/>
          <w:lang w:eastAsia="en-GB"/>
        </w:rPr>
        <w:t xml:space="preserve">not change </w:t>
      </w:r>
      <w:r>
        <w:rPr>
          <w:rFonts w:eastAsia="Calibri"/>
          <w:color w:val="000000"/>
          <w:lang w:eastAsia="en-GB"/>
        </w:rPr>
        <w:t>significantly</w:t>
      </w:r>
      <w:r w:rsidRPr="007A5420">
        <w:rPr>
          <w:rFonts w:eastAsia="Calibri"/>
          <w:color w:val="000000"/>
          <w:lang w:eastAsia="en-GB"/>
        </w:rPr>
        <w:t xml:space="preserve">. </w:t>
      </w:r>
      <w:r w:rsidR="007E5204">
        <w:rPr>
          <w:rFonts w:eastAsia="Calibri"/>
          <w:color w:val="000000"/>
          <w:lang w:eastAsia="en-GB"/>
        </w:rPr>
        <w:t>C</w:t>
      </w:r>
      <w:r w:rsidRPr="007A5420">
        <w:rPr>
          <w:rFonts w:eastAsia="Calibri"/>
          <w:color w:val="000000"/>
          <w:lang w:eastAsia="en-GB"/>
        </w:rPr>
        <w:t>hang</w:t>
      </w:r>
      <w:r w:rsidR="007E5204">
        <w:rPr>
          <w:rFonts w:eastAsia="Calibri"/>
          <w:color w:val="000000"/>
          <w:lang w:eastAsia="en-GB"/>
        </w:rPr>
        <w:t xml:space="preserve">ing </w:t>
      </w:r>
      <w:r w:rsidRPr="007A5420">
        <w:rPr>
          <w:rFonts w:eastAsia="Calibri"/>
          <w:color w:val="000000"/>
          <w:lang w:eastAsia="en-GB"/>
        </w:rPr>
        <w:t>the trajectory of free allocation and includ</w:t>
      </w:r>
      <w:r w:rsidR="007E5204">
        <w:rPr>
          <w:rFonts w:eastAsia="Calibri"/>
          <w:color w:val="000000"/>
          <w:lang w:eastAsia="en-GB"/>
        </w:rPr>
        <w:t>ing</w:t>
      </w:r>
      <w:r w:rsidRPr="007A5420">
        <w:rPr>
          <w:rFonts w:eastAsia="Calibri"/>
          <w:color w:val="000000"/>
          <w:lang w:eastAsia="en-GB"/>
        </w:rPr>
        <w:t xml:space="preserve"> a competitive selection process may lead to a higher administrative burden,</w:t>
      </w:r>
      <w:r w:rsidR="007E5204">
        <w:rPr>
          <w:rFonts w:eastAsia="Calibri"/>
          <w:color w:val="000000"/>
          <w:lang w:eastAsia="en-GB"/>
        </w:rPr>
        <w:t xml:space="preserve"> but has </w:t>
      </w:r>
      <w:r w:rsidRPr="007A5420">
        <w:rPr>
          <w:rFonts w:eastAsia="Calibri"/>
          <w:color w:val="000000"/>
          <w:lang w:eastAsia="en-GB"/>
        </w:rPr>
        <w:t xml:space="preserve">greater potential to improve </w:t>
      </w:r>
      <w:r w:rsidR="00D62165">
        <w:rPr>
          <w:rFonts w:eastAsia="Calibri"/>
          <w:color w:val="000000"/>
          <w:lang w:eastAsia="en-GB"/>
        </w:rPr>
        <w:t xml:space="preserve">effectiveness and </w:t>
      </w:r>
      <w:r w:rsidRPr="007A5420">
        <w:rPr>
          <w:rFonts w:eastAsia="Calibri"/>
          <w:color w:val="000000"/>
          <w:lang w:eastAsia="en-GB"/>
        </w:rPr>
        <w:t>transparency</w:t>
      </w:r>
      <w:r w:rsidR="003F2BA2">
        <w:rPr>
          <w:rFonts w:eastAsia="Calibri"/>
          <w:color w:val="000000"/>
          <w:lang w:eastAsia="en-GB"/>
        </w:rPr>
        <w:t>.</w:t>
      </w:r>
      <w:r w:rsidRPr="007A5420">
        <w:rPr>
          <w:rFonts w:eastAsia="Calibri"/>
          <w:color w:val="000000"/>
          <w:lang w:eastAsia="en-GB"/>
        </w:rPr>
        <w:t xml:space="preserve"> </w:t>
      </w:r>
      <w:r w:rsidR="007E5204">
        <w:rPr>
          <w:rFonts w:eastAsia="Calibri"/>
          <w:color w:val="000000"/>
          <w:lang w:eastAsia="en-GB"/>
        </w:rPr>
        <w:t>For</w:t>
      </w:r>
      <w:r w:rsidR="005F4F90">
        <w:rPr>
          <w:rFonts w:eastAsia="Calibri"/>
          <w:color w:val="000000"/>
          <w:lang w:eastAsia="en-GB"/>
        </w:rPr>
        <w:t xml:space="preserve"> all three options </w:t>
      </w:r>
      <w:r w:rsidR="003F2BA2">
        <w:rPr>
          <w:rFonts w:eastAsia="Calibri"/>
          <w:color w:val="000000"/>
          <w:lang w:eastAsia="en-GB"/>
        </w:rPr>
        <w:t xml:space="preserve">allowing </w:t>
      </w:r>
      <w:r w:rsidRPr="007A5420">
        <w:rPr>
          <w:rFonts w:eastAsia="Calibri"/>
          <w:color w:val="000000"/>
          <w:lang w:eastAsia="en-GB"/>
        </w:rPr>
        <w:t xml:space="preserve">Member States </w:t>
      </w:r>
      <w:r w:rsidR="007E5204">
        <w:rPr>
          <w:rFonts w:eastAsia="Calibri"/>
          <w:color w:val="000000"/>
          <w:lang w:eastAsia="en-GB"/>
        </w:rPr>
        <w:t>to</w:t>
      </w:r>
      <w:r w:rsidR="007E5204" w:rsidRPr="007A5420">
        <w:rPr>
          <w:rFonts w:eastAsia="Calibri"/>
          <w:color w:val="000000"/>
          <w:lang w:eastAsia="en-GB"/>
        </w:rPr>
        <w:t xml:space="preserve"> </w:t>
      </w:r>
      <w:r w:rsidR="007E5204">
        <w:rPr>
          <w:rFonts w:eastAsia="Calibri"/>
          <w:color w:val="000000"/>
          <w:lang w:eastAsia="en-GB"/>
        </w:rPr>
        <w:t>"</w:t>
      </w:r>
      <w:r w:rsidR="005F4F90">
        <w:rPr>
          <w:rFonts w:eastAsia="Calibri"/>
          <w:color w:val="000000"/>
          <w:lang w:eastAsia="en-GB"/>
        </w:rPr>
        <w:t>opt in</w:t>
      </w:r>
      <w:r w:rsidR="007E5204">
        <w:rPr>
          <w:rFonts w:eastAsia="Calibri"/>
          <w:color w:val="000000"/>
          <w:lang w:eastAsia="en-GB"/>
        </w:rPr>
        <w:t>"</w:t>
      </w:r>
      <w:r w:rsidR="005F4F90">
        <w:rPr>
          <w:rFonts w:eastAsia="Calibri"/>
          <w:color w:val="000000"/>
          <w:lang w:eastAsia="en-GB"/>
        </w:rPr>
        <w:t xml:space="preserve"> their allowances from free allocation </w:t>
      </w:r>
      <w:r w:rsidR="007E5204">
        <w:rPr>
          <w:rFonts w:eastAsia="Calibri"/>
          <w:color w:val="000000"/>
          <w:lang w:eastAsia="en-GB"/>
        </w:rPr>
        <w:t>in</w:t>
      </w:r>
      <w:r w:rsidRPr="007A5420">
        <w:rPr>
          <w:rFonts w:eastAsia="Calibri"/>
          <w:color w:val="000000"/>
          <w:lang w:eastAsia="en-GB"/>
        </w:rPr>
        <w:t xml:space="preserve"> the Modernisation Fund</w:t>
      </w:r>
      <w:r w:rsidR="003F2BA2">
        <w:rPr>
          <w:rFonts w:eastAsia="Calibri"/>
          <w:color w:val="000000"/>
          <w:lang w:eastAsia="en-GB"/>
        </w:rPr>
        <w:t xml:space="preserve"> could be considered</w:t>
      </w:r>
      <w:r w:rsidR="007E5204">
        <w:rPr>
          <w:rFonts w:eastAsia="Calibri"/>
          <w:color w:val="000000"/>
          <w:lang w:eastAsia="en-GB"/>
        </w:rPr>
        <w:t xml:space="preserve">, </w:t>
      </w:r>
      <w:r w:rsidRPr="007A5420">
        <w:rPr>
          <w:rFonts w:eastAsia="Calibri"/>
          <w:color w:val="000000"/>
          <w:lang w:eastAsia="en-GB"/>
        </w:rPr>
        <w:t>provid</w:t>
      </w:r>
      <w:r w:rsidR="007E5204">
        <w:rPr>
          <w:rFonts w:eastAsia="Calibri"/>
          <w:color w:val="000000"/>
          <w:lang w:eastAsia="en-GB"/>
        </w:rPr>
        <w:t>ing</w:t>
      </w:r>
      <w:r w:rsidRPr="007A5420">
        <w:rPr>
          <w:rFonts w:eastAsia="Calibri"/>
          <w:color w:val="000000"/>
          <w:lang w:eastAsia="en-GB"/>
        </w:rPr>
        <w:t xml:space="preserve"> a single structure for potential investors.</w:t>
      </w:r>
    </w:p>
    <w:p w:rsidR="00B5503A" w:rsidRDefault="00B5503A" w:rsidP="00B5503A">
      <w:pPr>
        <w:autoSpaceDE w:val="0"/>
        <w:autoSpaceDN w:val="0"/>
        <w:adjustRightInd w:val="0"/>
        <w:spacing w:line="240" w:lineRule="auto"/>
      </w:pPr>
      <w:r w:rsidRPr="00960839">
        <w:t>Three main inter</w:t>
      </w:r>
      <w:r>
        <w:t>-</w:t>
      </w:r>
      <w:r w:rsidRPr="00960839">
        <w:t>linkages can be identified between the low</w:t>
      </w:r>
      <w:r>
        <w:t>-</w:t>
      </w:r>
      <w:r w:rsidRPr="00960839">
        <w:t>carbon funding mechanisms</w:t>
      </w:r>
      <w:r w:rsidR="00B33126">
        <w:t xml:space="preserve">: </w:t>
      </w:r>
      <w:r w:rsidR="009246C8">
        <w:t xml:space="preserve">the </w:t>
      </w:r>
      <w:r w:rsidR="00B33126">
        <w:t>need for balanced monetisation of</w:t>
      </w:r>
      <w:r w:rsidR="009246C8">
        <w:t xml:space="preserve"> allow</w:t>
      </w:r>
      <w:r w:rsidR="00B33126">
        <w:t>a</w:t>
      </w:r>
      <w:r w:rsidR="009246C8">
        <w:t xml:space="preserve">nces </w:t>
      </w:r>
      <w:r w:rsidR="003F2BA2">
        <w:t xml:space="preserve">to </w:t>
      </w:r>
      <w:r w:rsidR="00B33126">
        <w:t>enabl</w:t>
      </w:r>
      <w:r w:rsidR="003F2BA2">
        <w:t>e</w:t>
      </w:r>
      <w:r w:rsidR="00B33126">
        <w:t xml:space="preserve"> a timely start </w:t>
      </w:r>
      <w:r w:rsidR="003F2BA2">
        <w:t xml:space="preserve">while </w:t>
      </w:r>
      <w:r w:rsidR="00B33126">
        <w:t>minimising the impact on the carbon market (</w:t>
      </w:r>
      <w:r>
        <w:t>Innovation Fund and the Modernisation Fund</w:t>
      </w:r>
      <w:r w:rsidR="00B33126">
        <w:t>)</w:t>
      </w:r>
      <w:r w:rsidR="009246C8">
        <w:t xml:space="preserve">, </w:t>
      </w:r>
      <w:r w:rsidR="00B33126">
        <w:t xml:space="preserve">a similarity </w:t>
      </w:r>
      <w:r w:rsidR="00B33126">
        <w:lastRenderedPageBreak/>
        <w:t xml:space="preserve">between the targeted investments in energy efficiency and energy sector modernisation underlining </w:t>
      </w:r>
      <w:r w:rsidR="003F2BA2">
        <w:t xml:space="preserve">the need to take into account </w:t>
      </w:r>
      <w:r w:rsidR="00B33126">
        <w:t>potential accumulation (</w:t>
      </w:r>
      <w:r>
        <w:t>Modernisation Fund and optional free allocation to the power sector</w:t>
      </w:r>
      <w:r w:rsidR="00B33126">
        <w:t>)</w:t>
      </w:r>
      <w:r w:rsidR="009246C8">
        <w:t xml:space="preserve">, and the </w:t>
      </w:r>
      <w:r w:rsidR="003F2BA2">
        <w:t xml:space="preserve">impact </w:t>
      </w:r>
      <w:r w:rsidR="007E5204">
        <w:t xml:space="preserve">of transposition and implementation rules for </w:t>
      </w:r>
      <w:r w:rsidRPr="00B5503A">
        <w:t xml:space="preserve">the </w:t>
      </w:r>
      <w:r w:rsidR="003F2BA2">
        <w:t xml:space="preserve">beneficiary Member States of the </w:t>
      </w:r>
      <w:r w:rsidRPr="00B5503A">
        <w:t>Modernisation Fund and optional free allocation to power.</w:t>
      </w:r>
    </w:p>
    <w:p w:rsidR="00B5503A" w:rsidRPr="007A5420" w:rsidRDefault="00B5503A" w:rsidP="00B5503A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lang w:eastAsia="en-GB"/>
        </w:rPr>
      </w:pPr>
    </w:p>
    <w:bookmarkEnd w:id="123"/>
    <w:p w:rsidR="00457716" w:rsidRDefault="00457716" w:rsidP="0055206F">
      <w:pPr>
        <w:pStyle w:val="Heading2"/>
        <w:spacing w:line="240" w:lineRule="auto"/>
      </w:pPr>
      <w:r>
        <w:t>Further improvements to the current set of rules</w:t>
      </w:r>
    </w:p>
    <w:p w:rsidR="00457716" w:rsidRDefault="009B5521" w:rsidP="0055206F">
      <w:pPr>
        <w:spacing w:line="240" w:lineRule="auto"/>
      </w:pPr>
      <w:r>
        <w:t>The</w:t>
      </w:r>
      <w:r w:rsidR="00457716">
        <w:t xml:space="preserve"> </w:t>
      </w:r>
      <w:r>
        <w:t xml:space="preserve">EU ETS </w:t>
      </w:r>
      <w:r w:rsidR="00457716">
        <w:t xml:space="preserve">current architecture is relatively recent, </w:t>
      </w:r>
      <w:r>
        <w:t xml:space="preserve">but </w:t>
      </w:r>
      <w:r w:rsidR="00457716">
        <w:t>based on experience, certain limited changes should be considered post-2020.</w:t>
      </w:r>
    </w:p>
    <w:p w:rsidR="00943697" w:rsidRDefault="00457716" w:rsidP="0055206F">
      <w:pPr>
        <w:spacing w:line="240" w:lineRule="auto"/>
      </w:pPr>
      <w:r w:rsidRPr="007D3858">
        <w:t>The</w:t>
      </w:r>
      <w:r w:rsidR="009B5521">
        <w:t>se can concern</w:t>
      </w:r>
      <w:r w:rsidR="00943697">
        <w:t>:</w:t>
      </w:r>
    </w:p>
    <w:p w:rsidR="00943697" w:rsidRDefault="009B5521" w:rsidP="005C4691">
      <w:pPr>
        <w:pStyle w:val="ListParagraph"/>
        <w:numPr>
          <w:ilvl w:val="0"/>
          <w:numId w:val="8"/>
        </w:numPr>
        <w:spacing w:line="240" w:lineRule="auto"/>
      </w:pPr>
      <w:r>
        <w:t xml:space="preserve">the validity of allowances </w:t>
      </w:r>
      <w:r w:rsidR="00446A55">
        <w:t xml:space="preserve">across </w:t>
      </w:r>
      <w:r>
        <w:t>ETS phase</w:t>
      </w:r>
      <w:r w:rsidR="00446A55">
        <w:t>s</w:t>
      </w:r>
      <w:r>
        <w:t>;</w:t>
      </w:r>
    </w:p>
    <w:p w:rsidR="00943697" w:rsidRDefault="00943697" w:rsidP="005C4691">
      <w:pPr>
        <w:pStyle w:val="ListParagraph"/>
        <w:numPr>
          <w:ilvl w:val="0"/>
          <w:numId w:val="8"/>
        </w:numPr>
        <w:spacing w:line="240" w:lineRule="auto"/>
      </w:pPr>
      <w:r>
        <w:t xml:space="preserve">the possibility for </w:t>
      </w:r>
      <w:r w:rsidR="00457716" w:rsidRPr="002359C4">
        <w:t xml:space="preserve">Member States to exclude </w:t>
      </w:r>
      <w:r w:rsidR="00A07FCF">
        <w:t xml:space="preserve">certain small </w:t>
      </w:r>
      <w:r w:rsidR="00457716" w:rsidRPr="002359C4">
        <w:t xml:space="preserve">installations </w:t>
      </w:r>
      <w:r>
        <w:t xml:space="preserve">from the EU ETS and subjecting them </w:t>
      </w:r>
      <w:r w:rsidR="00457716">
        <w:t>to equivalent measures</w:t>
      </w:r>
      <w:r>
        <w:t>;</w:t>
      </w:r>
    </w:p>
    <w:p w:rsidR="007D5361" w:rsidRPr="00943697" w:rsidRDefault="00943697" w:rsidP="005C4691">
      <w:pPr>
        <w:pStyle w:val="ListParagraph"/>
        <w:numPr>
          <w:ilvl w:val="0"/>
          <w:numId w:val="8"/>
        </w:numPr>
        <w:spacing w:line="240" w:lineRule="auto"/>
        <w:rPr>
          <w:rFonts w:ascii="TimesNewRoman" w:hAnsi="TimesNewRoman" w:cs="TimesNewRoman"/>
        </w:rPr>
      </w:pPr>
      <w:r>
        <w:t xml:space="preserve">the </w:t>
      </w:r>
      <w:r w:rsidR="00446A55">
        <w:t xml:space="preserve">sustainable </w:t>
      </w:r>
      <w:r>
        <w:t xml:space="preserve">funding of the </w:t>
      </w:r>
      <w:r w:rsidR="00457716" w:rsidRPr="008F0918">
        <w:t>Union-wide single registry for the EU ETS</w:t>
      </w:r>
      <w:r w:rsidR="00457716">
        <w:t>.</w:t>
      </w:r>
    </w:p>
    <w:sectPr w:rsidR="007D5361" w:rsidRPr="00943697" w:rsidSect="00964C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CD" w:rsidRDefault="002C38CD" w:rsidP="005D186F">
      <w:r>
        <w:separator/>
      </w:r>
    </w:p>
  </w:endnote>
  <w:endnote w:type="continuationSeparator" w:id="0">
    <w:p w:rsidR="002C38CD" w:rsidRDefault="002C38CD" w:rsidP="005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FooterCoverPage"/>
      <w:rPr>
        <w:rFonts w:ascii="Arial" w:hAnsi="Arial" w:cs="Arial"/>
        <w:b/>
        <w:sz w:val="48"/>
      </w:rPr>
    </w:pPr>
    <w:r w:rsidRPr="005C4691">
      <w:rPr>
        <w:rFonts w:ascii="Arial" w:hAnsi="Arial" w:cs="Arial"/>
        <w:b/>
        <w:sz w:val="48"/>
      </w:rPr>
      <w:t>EN</w:t>
    </w:r>
    <w:r w:rsidRPr="005C4691">
      <w:rPr>
        <w:rFonts w:ascii="Arial" w:hAnsi="Arial" w:cs="Arial"/>
        <w:b/>
        <w:sz w:val="48"/>
      </w:rPr>
      <w:tab/>
    </w:r>
    <w:r w:rsidRPr="005C4691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C4691">
      <w:tab/>
    </w:r>
    <w:r w:rsidRPr="005C4691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Default="00E6278B" w:rsidP="005D18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435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A46" w:rsidRDefault="009F3A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78B" w:rsidRDefault="00E6278B" w:rsidP="005D186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Default="00E6278B" w:rsidP="005D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CD" w:rsidRDefault="002C38CD" w:rsidP="005D186F">
      <w:r>
        <w:separator/>
      </w:r>
    </w:p>
  </w:footnote>
  <w:footnote w:type="continuationSeparator" w:id="0">
    <w:p w:rsidR="002C38CD" w:rsidRDefault="002C38CD" w:rsidP="005D186F">
      <w:r>
        <w:continuationSeparator/>
      </w:r>
    </w:p>
  </w:footnote>
  <w:footnote w:id="1">
    <w:p w:rsidR="00E6278B" w:rsidRDefault="00E6278B">
      <w:pPr>
        <w:pStyle w:val="FootnoteText"/>
      </w:pPr>
      <w:r>
        <w:rPr>
          <w:rStyle w:val="FootnoteReference"/>
        </w:rPr>
        <w:footnoteRef/>
      </w:r>
      <w:r>
        <w:t xml:space="preserve"> Impact Assessment on A policy framework for climate and energy in the period from 2020 up to 2030, SWD(2014) 15 final.</w:t>
      </w:r>
    </w:p>
  </w:footnote>
  <w:footnote w:id="2">
    <w:p w:rsidR="00E6278B" w:rsidRDefault="00E6278B">
      <w:pPr>
        <w:pStyle w:val="FootnoteText"/>
      </w:pPr>
      <w:r>
        <w:rPr>
          <w:rStyle w:val="FootnoteReference"/>
        </w:rPr>
        <w:footnoteRef/>
      </w:r>
      <w:r>
        <w:t xml:space="preserve"> Communication from the Commission on A policy framework for climate and energy in the period from 2020 up to 2030.</w:t>
      </w:r>
    </w:p>
  </w:footnote>
  <w:footnote w:id="3">
    <w:p w:rsidR="00076571" w:rsidRDefault="00076571">
      <w:pPr>
        <w:pStyle w:val="FootnoteText"/>
      </w:pPr>
      <w:r>
        <w:rPr>
          <w:rStyle w:val="FootnoteReference"/>
        </w:rPr>
        <w:footnoteRef/>
      </w:r>
      <w:r>
        <w:t xml:space="preserve"> An </w:t>
      </w:r>
      <w:r w:rsidRPr="00EB32A9">
        <w:t>increase in greenhouse gas emissions in third countries where industry is not subject t</w:t>
      </w:r>
      <w:r>
        <w:t>o comparable carbon constraints.</w:t>
      </w:r>
    </w:p>
  </w:footnote>
  <w:footnote w:id="4">
    <w:p w:rsidR="00E6278B" w:rsidRDefault="00E6278B">
      <w:pPr>
        <w:pStyle w:val="FootnoteText"/>
      </w:pPr>
      <w:r>
        <w:rPr>
          <w:rStyle w:val="FootnoteReference"/>
        </w:rPr>
        <w:footnoteRef/>
      </w:r>
      <w:r>
        <w:t xml:space="preserve"> 10 Member States, </w:t>
      </w:r>
      <w:r w:rsidRPr="009F3CB7">
        <w:t>with GDP per capita</w:t>
      </w:r>
      <w:r>
        <w:t xml:space="preserve"> at market prices</w:t>
      </w:r>
      <w:r w:rsidRPr="009F3CB7">
        <w:t xml:space="preserve"> in 2013 below 60% of the EU average</w:t>
      </w:r>
      <w:r>
        <w:t>.</w:t>
      </w:r>
    </w:p>
  </w:footnote>
  <w:footnote w:id="5">
    <w:p w:rsidR="00E6278B" w:rsidRPr="00F27CFB" w:rsidRDefault="00E6278B" w:rsidP="00485250">
      <w:pPr>
        <w:pStyle w:val="FootnoteText"/>
      </w:pPr>
      <w:r w:rsidRPr="00D85901">
        <w:rPr>
          <w:rStyle w:val="FootnoteReference"/>
        </w:rPr>
        <w:footnoteRef/>
      </w:r>
      <w:r w:rsidRPr="00D85901">
        <w:t xml:space="preserve"> Calculated with the </w:t>
      </w:r>
      <w:r w:rsidRPr="00F27CFB">
        <w:t>allowance prices estimated in the "EU Energy, Transport and GHG emissions Trends to 2050 – Reference scenario 2013 (</w:t>
      </w:r>
      <w:hyperlink r:id="rId1" w:history="1">
        <w:r w:rsidRPr="00911107">
          <w:rPr>
            <w:rStyle w:val="Hyperlink"/>
          </w:rPr>
          <w:t>http://ec.europa.eu/clima/policies/2030/docs/eu_trends_2050_en.pdf</w:t>
        </w:r>
      </w:hyperlink>
      <w:r>
        <w:t xml:space="preserve"> </w:t>
      </w:r>
      <w:r w:rsidRPr="00F27CFB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1" w:rsidRPr="005C4691" w:rsidRDefault="005C4691" w:rsidP="005C469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Default="00E6278B" w:rsidP="005D18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Default="00E6278B" w:rsidP="005D186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8B" w:rsidRDefault="00E6278B" w:rsidP="005D18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>
    <w:nsid w:val="1B0C5878"/>
    <w:multiLevelType w:val="hybridMultilevel"/>
    <w:tmpl w:val="5D90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5">
    <w:nsid w:val="2803288D"/>
    <w:multiLevelType w:val="hybridMultilevel"/>
    <w:tmpl w:val="B8D4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3E144406"/>
    <w:multiLevelType w:val="multilevel"/>
    <w:tmpl w:val="85BCEBDA"/>
    <w:styleLink w:val="NumbLstBullet"/>
    <w:lvl w:ilvl="0">
      <w:start w:val="1"/>
      <w:numFmt w:val="bullet"/>
      <w:pStyle w:val="Bullet1"/>
      <w:lvlText w:val="■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67AC"/>
        <w:sz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0067AC"/>
      </w:rPr>
    </w:lvl>
    <w:lvl w:ilvl="2">
      <w:start w:val="1"/>
      <w:numFmt w:val="bullet"/>
      <w:pStyle w:val="Bullet3"/>
      <w:lvlText w:val="○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0067AC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5A611787"/>
    <w:multiLevelType w:val="multilevel"/>
    <w:tmpl w:val="85BCEBDA"/>
    <w:numStyleLink w:val="NumbLstBullet"/>
  </w:abstractNum>
  <w:abstractNum w:abstractNumId="15">
    <w:nsid w:val="5D875DDB"/>
    <w:multiLevelType w:val="hybridMultilevel"/>
    <w:tmpl w:val="BAE8E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8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>
    <w:nsid w:val="6A6276BB"/>
    <w:multiLevelType w:val="hybridMultilevel"/>
    <w:tmpl w:val="72B0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1">
    <w:nsid w:val="7069382B"/>
    <w:multiLevelType w:val="multilevel"/>
    <w:tmpl w:val="9F2A7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6"/>
  </w:num>
  <w:num w:numId="15">
    <w:abstractNumId w:val="18"/>
  </w:num>
  <w:num w:numId="16">
    <w:abstractNumId w:val="17"/>
  </w:num>
  <w:num w:numId="17">
    <w:abstractNumId w:val="20"/>
  </w:num>
  <w:num w:numId="18">
    <w:abstractNumId w:val="4"/>
  </w:num>
  <w:num w:numId="19">
    <w:abstractNumId w:val="9"/>
  </w:num>
  <w:num w:numId="20">
    <w:abstractNumId w:val="11"/>
  </w:num>
  <w:num w:numId="21">
    <w:abstractNumId w:val="10"/>
  </w:num>
  <w:num w:numId="22">
    <w:abstractNumId w:val="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ccompanying the document"/>
    <w:docVar w:name="LW_CONFIDENCE" w:val=" "/>
    <w:docVar w:name="LW_CONST_RESTREINT_UE" w:val="RESTREINT UE/EU RESTRICTED"/>
    <w:docVar w:name="LW_CORRIGENDUM" w:val="&lt;UNUSED&gt;"/>
    <w:docVar w:name="LW_COVERPAGE_GUID" w:val="CA96A29E4E614E518DD2C012EB8316A6"/>
    <w:docVar w:name="LW_CROSSREFERENCE" w:val="{COM(2015) 337 final}_x000a_{SWD(2015) 135 final}"/>
    <w:docVar w:name="LW_DocType" w:val="NORMAL"/>
    <w:docVar w:name="LW_EMISSION" w:val="15.7.2015"/>
    <w:docVar w:name="LW_EMISSION_ISODATE" w:val="2015-07-15"/>
    <w:docVar w:name="LW_EMISSION_LOCATION" w:val="BRX"/>
    <w:docVar w:name="LW_EMISSION_PREFIX" w:val="Brussels, "/>
    <w:docVar w:name="LW_EMISSION_SUFFIX" w:val=" "/>
    <w:docVar w:name="LW_ID_DOCTYPE_NONLW" w:val="CP-02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amending Directive 2003/87/EC to enhance cost-effective emission reductions and low-carbon investments"/>
    <w:docVar w:name="LW_PART_NBR" w:val="1"/>
    <w:docVar w:name="LW_PART_NBR_TOTAL" w:val="1"/>
    <w:docVar w:name="LW_REF.INST.NEW" w:val="SWD"/>
    <w:docVar w:name="LW_REF.INST.NEW_ADOPTED" w:val="&lt;EMPTY&gt;"/>
    <w:docVar w:name="LW_REF.INST.NEW_TEXT" w:val="(2015) 136 final"/>
    <w:docVar w:name="LW_REF.INTERNE" w:val="&lt;UNUSED&gt;"/>
    <w:docVar w:name="LW_SUPERTITRE" w:val="&lt;UNUSED&gt;"/>
    <w:docVar w:name="LW_TITRE.OBJ.CP" w:val="&lt;UNUSED&gt;"/>
    <w:docVar w:name="LW_TYPE.DOC.CP" w:val="COMMISSION STAFF WORKING DOCUMENT_x000b__x000b_EXECUTIVE SUMMARY OF THE IMPACT ASSESSMENT_x000b_"/>
    <w:docVar w:name="LW_TYPEACTEPRINCIPAL.CP" w:val="Proposal for a Directive of the European Parliament and of the Council"/>
  </w:docVars>
  <w:rsids>
    <w:rsidRoot w:val="005D6354"/>
    <w:rsid w:val="00045E7F"/>
    <w:rsid w:val="00076571"/>
    <w:rsid w:val="0008221B"/>
    <w:rsid w:val="00090F6A"/>
    <w:rsid w:val="00091C5E"/>
    <w:rsid w:val="00093E74"/>
    <w:rsid w:val="000A6B3F"/>
    <w:rsid w:val="000B2D67"/>
    <w:rsid w:val="000C0F2C"/>
    <w:rsid w:val="000C5778"/>
    <w:rsid w:val="000E63C7"/>
    <w:rsid w:val="000F09F0"/>
    <w:rsid w:val="001304F1"/>
    <w:rsid w:val="00142E59"/>
    <w:rsid w:val="00144348"/>
    <w:rsid w:val="00195E24"/>
    <w:rsid w:val="001C2DF2"/>
    <w:rsid w:val="001C6B0B"/>
    <w:rsid w:val="001D52F8"/>
    <w:rsid w:val="001F43DC"/>
    <w:rsid w:val="002146FF"/>
    <w:rsid w:val="00225146"/>
    <w:rsid w:val="002325BF"/>
    <w:rsid w:val="002432E1"/>
    <w:rsid w:val="00252D71"/>
    <w:rsid w:val="00290962"/>
    <w:rsid w:val="002920E6"/>
    <w:rsid w:val="002C38CD"/>
    <w:rsid w:val="002C6102"/>
    <w:rsid w:val="002D446C"/>
    <w:rsid w:val="002E16C4"/>
    <w:rsid w:val="002E37BF"/>
    <w:rsid w:val="0033560A"/>
    <w:rsid w:val="0038179E"/>
    <w:rsid w:val="00393ABC"/>
    <w:rsid w:val="003D09A2"/>
    <w:rsid w:val="003D5A13"/>
    <w:rsid w:val="003D682F"/>
    <w:rsid w:val="003F2BA2"/>
    <w:rsid w:val="00423838"/>
    <w:rsid w:val="0043206F"/>
    <w:rsid w:val="00446A55"/>
    <w:rsid w:val="00457716"/>
    <w:rsid w:val="00485250"/>
    <w:rsid w:val="00494D21"/>
    <w:rsid w:val="004B2D77"/>
    <w:rsid w:val="004B4AA9"/>
    <w:rsid w:val="004D2F20"/>
    <w:rsid w:val="0055206F"/>
    <w:rsid w:val="00564F2A"/>
    <w:rsid w:val="00565272"/>
    <w:rsid w:val="00587DAD"/>
    <w:rsid w:val="005B3F04"/>
    <w:rsid w:val="005C4691"/>
    <w:rsid w:val="005C504A"/>
    <w:rsid w:val="005D186F"/>
    <w:rsid w:val="005D6354"/>
    <w:rsid w:val="005D63E6"/>
    <w:rsid w:val="005E4CCE"/>
    <w:rsid w:val="005F4F90"/>
    <w:rsid w:val="00617CD6"/>
    <w:rsid w:val="00626F1B"/>
    <w:rsid w:val="00631CB2"/>
    <w:rsid w:val="00646606"/>
    <w:rsid w:val="0065557F"/>
    <w:rsid w:val="00661F75"/>
    <w:rsid w:val="00675533"/>
    <w:rsid w:val="0069165F"/>
    <w:rsid w:val="00694943"/>
    <w:rsid w:val="00697064"/>
    <w:rsid w:val="006B2A79"/>
    <w:rsid w:val="006B300D"/>
    <w:rsid w:val="006B7EEF"/>
    <w:rsid w:val="006C3543"/>
    <w:rsid w:val="006E2E94"/>
    <w:rsid w:val="006E3FCD"/>
    <w:rsid w:val="00705770"/>
    <w:rsid w:val="00717E2C"/>
    <w:rsid w:val="007228EF"/>
    <w:rsid w:val="00723D62"/>
    <w:rsid w:val="00727AA2"/>
    <w:rsid w:val="00742CA4"/>
    <w:rsid w:val="007502AD"/>
    <w:rsid w:val="00781478"/>
    <w:rsid w:val="0078789C"/>
    <w:rsid w:val="007A5420"/>
    <w:rsid w:val="007C109B"/>
    <w:rsid w:val="007C3D3D"/>
    <w:rsid w:val="007D5361"/>
    <w:rsid w:val="007D6EA1"/>
    <w:rsid w:val="007E5204"/>
    <w:rsid w:val="007E5477"/>
    <w:rsid w:val="0080637B"/>
    <w:rsid w:val="0080737C"/>
    <w:rsid w:val="00832AEC"/>
    <w:rsid w:val="00854BFC"/>
    <w:rsid w:val="0086379D"/>
    <w:rsid w:val="008671B1"/>
    <w:rsid w:val="0088458E"/>
    <w:rsid w:val="008861FF"/>
    <w:rsid w:val="00890243"/>
    <w:rsid w:val="00890A4D"/>
    <w:rsid w:val="008A31B9"/>
    <w:rsid w:val="008C225D"/>
    <w:rsid w:val="008D02B4"/>
    <w:rsid w:val="008F0918"/>
    <w:rsid w:val="008F308B"/>
    <w:rsid w:val="0092150A"/>
    <w:rsid w:val="009246C8"/>
    <w:rsid w:val="00927EDB"/>
    <w:rsid w:val="00943697"/>
    <w:rsid w:val="00964C0C"/>
    <w:rsid w:val="00971B3E"/>
    <w:rsid w:val="00975F2A"/>
    <w:rsid w:val="0098023C"/>
    <w:rsid w:val="009A131F"/>
    <w:rsid w:val="009B4CF9"/>
    <w:rsid w:val="009B5521"/>
    <w:rsid w:val="009C427B"/>
    <w:rsid w:val="009D5E49"/>
    <w:rsid w:val="009E4B7C"/>
    <w:rsid w:val="009F2A37"/>
    <w:rsid w:val="009F3A46"/>
    <w:rsid w:val="009F3CB7"/>
    <w:rsid w:val="009F7719"/>
    <w:rsid w:val="00A07FCF"/>
    <w:rsid w:val="00A13685"/>
    <w:rsid w:val="00A40D74"/>
    <w:rsid w:val="00A7732E"/>
    <w:rsid w:val="00AA1702"/>
    <w:rsid w:val="00AC5A99"/>
    <w:rsid w:val="00AD6732"/>
    <w:rsid w:val="00B01D02"/>
    <w:rsid w:val="00B04CF3"/>
    <w:rsid w:val="00B232CF"/>
    <w:rsid w:val="00B33126"/>
    <w:rsid w:val="00B44575"/>
    <w:rsid w:val="00B45083"/>
    <w:rsid w:val="00B46994"/>
    <w:rsid w:val="00B5503A"/>
    <w:rsid w:val="00B60168"/>
    <w:rsid w:val="00B6670E"/>
    <w:rsid w:val="00B75D94"/>
    <w:rsid w:val="00BB1D15"/>
    <w:rsid w:val="00BC648C"/>
    <w:rsid w:val="00BF59F1"/>
    <w:rsid w:val="00C17581"/>
    <w:rsid w:val="00C52190"/>
    <w:rsid w:val="00C65665"/>
    <w:rsid w:val="00C71D74"/>
    <w:rsid w:val="00C72A86"/>
    <w:rsid w:val="00CA0BA7"/>
    <w:rsid w:val="00CA3C88"/>
    <w:rsid w:val="00CE1E28"/>
    <w:rsid w:val="00CE3EAD"/>
    <w:rsid w:val="00D13ACB"/>
    <w:rsid w:val="00D46DF8"/>
    <w:rsid w:val="00D62165"/>
    <w:rsid w:val="00D9237B"/>
    <w:rsid w:val="00D97B2B"/>
    <w:rsid w:val="00DA0487"/>
    <w:rsid w:val="00DA212F"/>
    <w:rsid w:val="00DD02F3"/>
    <w:rsid w:val="00DD4519"/>
    <w:rsid w:val="00DE12F9"/>
    <w:rsid w:val="00DF2A36"/>
    <w:rsid w:val="00E10557"/>
    <w:rsid w:val="00E12EF3"/>
    <w:rsid w:val="00E22ED7"/>
    <w:rsid w:val="00E311BE"/>
    <w:rsid w:val="00E6278B"/>
    <w:rsid w:val="00E64666"/>
    <w:rsid w:val="00E66D81"/>
    <w:rsid w:val="00E862DA"/>
    <w:rsid w:val="00E965AF"/>
    <w:rsid w:val="00EB38E7"/>
    <w:rsid w:val="00EC0AE6"/>
    <w:rsid w:val="00F424DF"/>
    <w:rsid w:val="00F73AB8"/>
    <w:rsid w:val="00F81B22"/>
    <w:rsid w:val="00F9206B"/>
    <w:rsid w:val="00F94CCC"/>
    <w:rsid w:val="00FB0BB2"/>
    <w:rsid w:val="00FB454F"/>
    <w:rsid w:val="00FC50E8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D186F"/>
    <w:pPr>
      <w:spacing w:before="12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86F"/>
    <w:pPr>
      <w:keepNext/>
      <w:keepLines/>
      <w:spacing w:before="480"/>
      <w:outlineLvl w:val="0"/>
    </w:pPr>
    <w:rPr>
      <w:rFonts w:ascii="Times New Roman Bold" w:eastAsiaTheme="majorEastAsia" w:hAnsi="Times New Roman Bold"/>
      <w:b/>
      <w:bCs/>
      <w:smallCap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7EEF"/>
    <w:pPr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454F"/>
    <w:pPr>
      <w:numPr>
        <w:ilvl w:val="2"/>
      </w:numPr>
      <w:outlineLvl w:val="2"/>
    </w:pPr>
    <w:rPr>
      <w:b w:val="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D6354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D6354"/>
    <w:pPr>
      <w:spacing w:line="240" w:lineRule="auto"/>
    </w:pPr>
  </w:style>
  <w:style w:type="paragraph" w:styleId="Header">
    <w:name w:val="header"/>
    <w:basedOn w:val="Normal"/>
    <w:link w:val="HeaderChar"/>
    <w:unhideWhenUsed/>
    <w:rsid w:val="005D63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54"/>
  </w:style>
  <w:style w:type="paragraph" w:styleId="Footer">
    <w:name w:val="footer"/>
    <w:basedOn w:val="Normal"/>
    <w:link w:val="FooterChar"/>
    <w:uiPriority w:val="99"/>
    <w:unhideWhenUsed/>
    <w:rsid w:val="005D63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54"/>
  </w:style>
  <w:style w:type="paragraph" w:customStyle="1" w:styleId="FooterCoverPage">
    <w:name w:val="Footer Cover Page"/>
    <w:basedOn w:val="Normal"/>
    <w:link w:val="FooterCoverPageChar"/>
    <w:rsid w:val="005D6354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  <w:jc w:val="left"/>
    </w:pPr>
    <w:rPr>
      <w:szCs w:val="22"/>
    </w:rPr>
  </w:style>
  <w:style w:type="character" w:customStyle="1" w:styleId="FooterCoverPageChar">
    <w:name w:val="Footer Cover Page Char"/>
    <w:basedOn w:val="DefaultParagraphFont"/>
    <w:link w:val="FooterCoverPage"/>
    <w:rsid w:val="005D635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5D6354"/>
    <w:pPr>
      <w:tabs>
        <w:tab w:val="center" w:pos="4535"/>
        <w:tab w:val="right" w:pos="9071"/>
      </w:tabs>
      <w:spacing w:before="0" w:after="120" w:line="240" w:lineRule="auto"/>
    </w:pPr>
    <w:rPr>
      <w:szCs w:val="22"/>
    </w:rPr>
  </w:style>
  <w:style w:type="character" w:customStyle="1" w:styleId="HeaderCoverPageChar">
    <w:name w:val="Header Cover Page Char"/>
    <w:basedOn w:val="DefaultParagraphFont"/>
    <w:link w:val="HeaderCoverPage"/>
    <w:rsid w:val="005D6354"/>
    <w:rPr>
      <w:rFonts w:ascii="Times New Roman" w:hAnsi="Times New Roman" w:cs="Times New Roman"/>
      <w:sz w:val="24"/>
    </w:rPr>
  </w:style>
  <w:style w:type="paragraph" w:styleId="ListParagraph">
    <w:name w:val="List Paragraph"/>
    <w:aliases w:val="FooterText,Paragraphe de liste1,List Paragraph (numbered (a)),List Paragraph1,List Paragraph11,List Paragraph (bulleted list),Bullet 1 List"/>
    <w:basedOn w:val="Normal"/>
    <w:link w:val="ListParagraphChar"/>
    <w:uiPriority w:val="34"/>
    <w:qFormat/>
    <w:rsid w:val="005D1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186F"/>
    <w:rPr>
      <w:rFonts w:ascii="Times New Roman Bold" w:eastAsiaTheme="majorEastAsia" w:hAnsi="Times New Roman Bold" w:cs="Times New Roman"/>
      <w:b/>
      <w:bCs/>
      <w:smallCaps/>
      <w:sz w:val="24"/>
      <w:szCs w:val="24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,f"/>
    <w:basedOn w:val="Normal"/>
    <w:link w:val="FootnoteTextChar"/>
    <w:unhideWhenUsed/>
    <w:qFormat/>
    <w:rsid w:val="005D186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link w:val="FootnoteText"/>
    <w:rsid w:val="005D186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number,SUPERS,Footnote Reference Superscript,Footnote number,-E Fußnotenzeichen,EN Footnote Reference,-E Fuﬂnotenzeichen,-E Fuûnotenzeichen,stylish,Footnote symbol,(Footnote Reference),Footnote reference number,note TESI,BVI fnr,fr,o"/>
    <w:basedOn w:val="DefaultParagraphFont"/>
    <w:unhideWhenUsed/>
    <w:qFormat/>
    <w:rsid w:val="005D18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B7EEF"/>
    <w:rPr>
      <w:rFonts w:ascii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832AE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FooterText Char,Paragraphe de liste1 Char,List Paragraph (numbered (a)) Char,List Paragraph1 Char,List Paragraph11 Char,List Paragraph (bulleted list) Char,Bullet 1 List Char"/>
    <w:link w:val="ListParagraph"/>
    <w:uiPriority w:val="34"/>
    <w:locked/>
    <w:rsid w:val="006B7EE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454F"/>
    <w:rPr>
      <w:rFonts w:ascii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A9"/>
    <w:pPr>
      <w:spacing w:before="0" w:line="240" w:lineRule="auto"/>
      <w:jc w:val="left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A9"/>
    <w:rPr>
      <w:rFonts w:ascii="Tahoma" w:eastAsia="Calibri" w:hAnsi="Tahoma" w:cs="Tahoma"/>
      <w:sz w:val="16"/>
      <w:szCs w:val="16"/>
      <w:lang w:eastAsia="en-GB"/>
    </w:rPr>
  </w:style>
  <w:style w:type="paragraph" w:customStyle="1" w:styleId="Bullet1">
    <w:name w:val="Bullet1"/>
    <w:basedOn w:val="Normal"/>
    <w:uiPriority w:val="6"/>
    <w:qFormat/>
    <w:rsid w:val="004B4AA9"/>
    <w:pPr>
      <w:numPr>
        <w:numId w:val="3"/>
      </w:numPr>
      <w:spacing w:before="0" w:line="240" w:lineRule="atLeast"/>
      <w:jc w:val="left"/>
    </w:pPr>
    <w:rPr>
      <w:rFonts w:ascii="Arial" w:eastAsia="Calibri" w:hAnsi="Arial"/>
      <w:sz w:val="20"/>
    </w:rPr>
  </w:style>
  <w:style w:type="paragraph" w:customStyle="1" w:styleId="Bullet2">
    <w:name w:val="Bullet2"/>
    <w:basedOn w:val="Normal"/>
    <w:uiPriority w:val="6"/>
    <w:qFormat/>
    <w:rsid w:val="004B4AA9"/>
    <w:pPr>
      <w:numPr>
        <w:ilvl w:val="1"/>
        <w:numId w:val="3"/>
      </w:numPr>
      <w:tabs>
        <w:tab w:val="num" w:pos="360"/>
      </w:tabs>
      <w:spacing w:before="0" w:line="240" w:lineRule="atLeast"/>
      <w:ind w:left="0" w:firstLine="0"/>
      <w:jc w:val="left"/>
    </w:pPr>
    <w:rPr>
      <w:rFonts w:ascii="Arial" w:eastAsia="Calibri" w:hAnsi="Arial"/>
      <w:sz w:val="20"/>
    </w:rPr>
  </w:style>
  <w:style w:type="paragraph" w:customStyle="1" w:styleId="Bullet3">
    <w:name w:val="Bullet3"/>
    <w:basedOn w:val="Normal"/>
    <w:uiPriority w:val="6"/>
    <w:qFormat/>
    <w:rsid w:val="004B4AA9"/>
    <w:pPr>
      <w:numPr>
        <w:ilvl w:val="2"/>
        <w:numId w:val="3"/>
      </w:numPr>
      <w:tabs>
        <w:tab w:val="num" w:pos="360"/>
      </w:tabs>
      <w:spacing w:before="0" w:line="240" w:lineRule="atLeast"/>
      <w:ind w:left="0" w:firstLine="0"/>
      <w:jc w:val="left"/>
    </w:pPr>
    <w:rPr>
      <w:rFonts w:ascii="Arial" w:eastAsia="Calibri" w:hAnsi="Arial"/>
      <w:sz w:val="20"/>
    </w:rPr>
  </w:style>
  <w:style w:type="numbering" w:customStyle="1" w:styleId="NumbLstBullet">
    <w:name w:val="NumbLstBullet"/>
    <w:uiPriority w:val="99"/>
    <w:rsid w:val="004B4AA9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3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1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1B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485250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2E37BF"/>
    <w:pPr>
      <w:spacing w:after="120" w:line="240" w:lineRule="auto"/>
    </w:pPr>
    <w:rPr>
      <w:rFonts w:eastAsia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964C0C"/>
    <w:pPr>
      <w:spacing w:before="0"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64C0C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5C4691"/>
    <w:pPr>
      <w:numPr>
        <w:numId w:val="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NoteHead">
    <w:name w:val="NoteHead"/>
    <w:basedOn w:val="Normal"/>
    <w:next w:val="Subject"/>
    <w:rsid w:val="00964C0C"/>
    <w:pPr>
      <w:spacing w:before="720" w:after="720" w:line="240" w:lineRule="auto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rsid w:val="00964C0C"/>
    <w:pPr>
      <w:spacing w:before="0" w:after="480" w:line="240" w:lineRule="auto"/>
      <w:ind w:left="1531" w:hanging="1531"/>
      <w:jc w:val="left"/>
    </w:pPr>
    <w:rPr>
      <w:rFonts w:eastAsia="Times New Roman"/>
      <w:b/>
      <w:szCs w:val="20"/>
    </w:rPr>
  </w:style>
  <w:style w:type="paragraph" w:customStyle="1" w:styleId="Contact">
    <w:name w:val="Contact"/>
    <w:basedOn w:val="Normal"/>
    <w:next w:val="Normal"/>
    <w:rsid w:val="005C4691"/>
    <w:pPr>
      <w:spacing w:before="480" w:line="240" w:lineRule="auto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Normal"/>
    <w:rsid w:val="005C4691"/>
    <w:pPr>
      <w:numPr>
        <w:numId w:val="10"/>
      </w:numPr>
      <w:spacing w:before="0" w:after="240" w:line="240" w:lineRule="auto"/>
    </w:pPr>
    <w:rPr>
      <w:rFonts w:eastAsia="Times New Roman"/>
      <w:szCs w:val="20"/>
    </w:rPr>
  </w:style>
  <w:style w:type="paragraph" w:styleId="ListBullet2">
    <w:name w:val="List Bullet 2"/>
    <w:basedOn w:val="Normal"/>
    <w:rsid w:val="005C4691"/>
    <w:pPr>
      <w:numPr>
        <w:numId w:val="11"/>
      </w:numPr>
      <w:spacing w:before="0" w:after="240" w:line="240" w:lineRule="auto"/>
    </w:pPr>
    <w:rPr>
      <w:rFonts w:eastAsia="Times New Roman"/>
      <w:szCs w:val="20"/>
    </w:rPr>
  </w:style>
  <w:style w:type="paragraph" w:styleId="ListBullet3">
    <w:name w:val="List Bullet 3"/>
    <w:basedOn w:val="Normal"/>
    <w:rsid w:val="005C4691"/>
    <w:pPr>
      <w:numPr>
        <w:numId w:val="12"/>
      </w:numPr>
      <w:spacing w:before="0" w:after="240" w:line="240" w:lineRule="auto"/>
    </w:pPr>
    <w:rPr>
      <w:rFonts w:eastAsia="Times New Roman"/>
      <w:szCs w:val="20"/>
    </w:rPr>
  </w:style>
  <w:style w:type="paragraph" w:styleId="ListBullet4">
    <w:name w:val="List Bullet 4"/>
    <w:basedOn w:val="Normal"/>
    <w:rsid w:val="005C4691"/>
    <w:pPr>
      <w:numPr>
        <w:numId w:val="1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5C4691"/>
    <w:pPr>
      <w:numPr>
        <w:numId w:val="14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1">
    <w:name w:val="List Dash 1"/>
    <w:basedOn w:val="Normal"/>
    <w:rsid w:val="005C4691"/>
    <w:pPr>
      <w:numPr>
        <w:numId w:val="15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2">
    <w:name w:val="List Dash 2"/>
    <w:basedOn w:val="Normal"/>
    <w:rsid w:val="005C4691"/>
    <w:pPr>
      <w:numPr>
        <w:numId w:val="16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3">
    <w:name w:val="List Dash 3"/>
    <w:basedOn w:val="Normal"/>
    <w:rsid w:val="005C4691"/>
    <w:pPr>
      <w:numPr>
        <w:numId w:val="17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4">
    <w:name w:val="List Dash 4"/>
    <w:basedOn w:val="Normal"/>
    <w:rsid w:val="005C4691"/>
    <w:pPr>
      <w:numPr>
        <w:numId w:val="18"/>
      </w:numPr>
      <w:spacing w:before="0" w:after="240" w:line="240" w:lineRule="auto"/>
    </w:pPr>
    <w:rPr>
      <w:rFonts w:eastAsia="Times New Roman"/>
      <w:szCs w:val="20"/>
    </w:rPr>
  </w:style>
  <w:style w:type="paragraph" w:styleId="ListNumber">
    <w:name w:val="List Number"/>
    <w:basedOn w:val="Normal"/>
    <w:rsid w:val="005C4691"/>
    <w:pPr>
      <w:numPr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">
    <w:name w:val="List Number 1"/>
    <w:basedOn w:val="Normal"/>
    <w:rsid w:val="005C4691"/>
    <w:pPr>
      <w:numPr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styleId="ListNumber2">
    <w:name w:val="List Number 2"/>
    <w:basedOn w:val="Normal"/>
    <w:rsid w:val="005C4691"/>
    <w:pPr>
      <w:numPr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styleId="ListNumber3">
    <w:name w:val="List Number 3"/>
    <w:basedOn w:val="Normal"/>
    <w:rsid w:val="005C4691"/>
    <w:pPr>
      <w:numPr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styleId="ListNumber4">
    <w:name w:val="List Number 4"/>
    <w:basedOn w:val="Normal"/>
    <w:rsid w:val="005C4691"/>
    <w:pPr>
      <w:numPr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5C4691"/>
    <w:pPr>
      <w:numPr>
        <w:ilvl w:val="1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2">
    <w:name w:val="List Number 1 (Level 2)"/>
    <w:basedOn w:val="Normal"/>
    <w:rsid w:val="005C4691"/>
    <w:pPr>
      <w:numPr>
        <w:ilvl w:val="1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2">
    <w:name w:val="List Number 2 (Level 2)"/>
    <w:basedOn w:val="Normal"/>
    <w:rsid w:val="005C4691"/>
    <w:pPr>
      <w:numPr>
        <w:ilvl w:val="1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2">
    <w:name w:val="List Number 3 (Level 2)"/>
    <w:basedOn w:val="Normal"/>
    <w:rsid w:val="005C4691"/>
    <w:pPr>
      <w:numPr>
        <w:ilvl w:val="1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2">
    <w:name w:val="List Number 4 (Level 2)"/>
    <w:basedOn w:val="Normal"/>
    <w:rsid w:val="005C4691"/>
    <w:pPr>
      <w:numPr>
        <w:ilvl w:val="1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5C4691"/>
    <w:pPr>
      <w:numPr>
        <w:ilvl w:val="2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3">
    <w:name w:val="List Number 1 (Level 3)"/>
    <w:basedOn w:val="Normal"/>
    <w:rsid w:val="005C4691"/>
    <w:pPr>
      <w:numPr>
        <w:ilvl w:val="2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3">
    <w:name w:val="List Number 2 (Level 3)"/>
    <w:basedOn w:val="Normal"/>
    <w:rsid w:val="005C4691"/>
    <w:pPr>
      <w:numPr>
        <w:ilvl w:val="2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3">
    <w:name w:val="List Number 3 (Level 3)"/>
    <w:basedOn w:val="Normal"/>
    <w:rsid w:val="005C4691"/>
    <w:pPr>
      <w:numPr>
        <w:ilvl w:val="2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3">
    <w:name w:val="List Number 4 (Level 3)"/>
    <w:basedOn w:val="Normal"/>
    <w:rsid w:val="005C4691"/>
    <w:pPr>
      <w:numPr>
        <w:ilvl w:val="2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5C4691"/>
    <w:pPr>
      <w:numPr>
        <w:ilvl w:val="3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4">
    <w:name w:val="List Number 1 (Level 4)"/>
    <w:basedOn w:val="Normal"/>
    <w:rsid w:val="005C4691"/>
    <w:pPr>
      <w:numPr>
        <w:ilvl w:val="3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4">
    <w:name w:val="List Number 2 (Level 4)"/>
    <w:basedOn w:val="Normal"/>
    <w:rsid w:val="005C4691"/>
    <w:pPr>
      <w:numPr>
        <w:ilvl w:val="3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4">
    <w:name w:val="List Number 3 (Level 4)"/>
    <w:basedOn w:val="Normal"/>
    <w:rsid w:val="005C4691"/>
    <w:pPr>
      <w:numPr>
        <w:ilvl w:val="3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4">
    <w:name w:val="List Number 4 (Level 4)"/>
    <w:basedOn w:val="Normal"/>
    <w:rsid w:val="005C4691"/>
    <w:pPr>
      <w:numPr>
        <w:ilvl w:val="3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styleId="TOC5">
    <w:name w:val="toc 5"/>
    <w:basedOn w:val="Normal"/>
    <w:next w:val="Normal"/>
    <w:semiHidden/>
    <w:rsid w:val="005C4691"/>
    <w:pPr>
      <w:tabs>
        <w:tab w:val="right" w:leader="dot" w:pos="8641"/>
      </w:tabs>
      <w:spacing w:before="240" w:after="120" w:line="240" w:lineRule="auto"/>
      <w:ind w:right="720"/>
    </w:pPr>
    <w:rPr>
      <w:rFonts w:eastAsia="Times New Roman"/>
      <w:caps/>
      <w:szCs w:val="20"/>
    </w:rPr>
  </w:style>
  <w:style w:type="paragraph" w:styleId="TOCHeading">
    <w:name w:val="TOC Heading"/>
    <w:basedOn w:val="Normal"/>
    <w:next w:val="Normal"/>
    <w:qFormat/>
    <w:rsid w:val="005C4691"/>
    <w:pPr>
      <w:keepNext/>
      <w:spacing w:before="240" w:after="240" w:line="240" w:lineRule="auto"/>
      <w:jc w:val="center"/>
    </w:pPr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D186F"/>
    <w:pPr>
      <w:spacing w:before="12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86F"/>
    <w:pPr>
      <w:keepNext/>
      <w:keepLines/>
      <w:spacing w:before="480"/>
      <w:outlineLvl w:val="0"/>
    </w:pPr>
    <w:rPr>
      <w:rFonts w:ascii="Times New Roman Bold" w:eastAsiaTheme="majorEastAsia" w:hAnsi="Times New Roman Bold"/>
      <w:b/>
      <w:bCs/>
      <w:smallCap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7EEF"/>
    <w:pPr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454F"/>
    <w:pPr>
      <w:numPr>
        <w:ilvl w:val="2"/>
      </w:numPr>
      <w:outlineLvl w:val="2"/>
    </w:pPr>
    <w:rPr>
      <w:b w:val="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D6354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D6354"/>
    <w:pPr>
      <w:spacing w:line="240" w:lineRule="auto"/>
    </w:pPr>
  </w:style>
  <w:style w:type="paragraph" w:styleId="Header">
    <w:name w:val="header"/>
    <w:basedOn w:val="Normal"/>
    <w:link w:val="HeaderChar"/>
    <w:unhideWhenUsed/>
    <w:rsid w:val="005D63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54"/>
  </w:style>
  <w:style w:type="paragraph" w:styleId="Footer">
    <w:name w:val="footer"/>
    <w:basedOn w:val="Normal"/>
    <w:link w:val="FooterChar"/>
    <w:uiPriority w:val="99"/>
    <w:unhideWhenUsed/>
    <w:rsid w:val="005D63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54"/>
  </w:style>
  <w:style w:type="paragraph" w:customStyle="1" w:styleId="FooterCoverPage">
    <w:name w:val="Footer Cover Page"/>
    <w:basedOn w:val="Normal"/>
    <w:link w:val="FooterCoverPageChar"/>
    <w:rsid w:val="005D6354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  <w:jc w:val="left"/>
    </w:pPr>
    <w:rPr>
      <w:szCs w:val="22"/>
    </w:rPr>
  </w:style>
  <w:style w:type="character" w:customStyle="1" w:styleId="FooterCoverPageChar">
    <w:name w:val="Footer Cover Page Char"/>
    <w:basedOn w:val="DefaultParagraphFont"/>
    <w:link w:val="FooterCoverPage"/>
    <w:rsid w:val="005D635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5D6354"/>
    <w:pPr>
      <w:tabs>
        <w:tab w:val="center" w:pos="4535"/>
        <w:tab w:val="right" w:pos="9071"/>
      </w:tabs>
      <w:spacing w:before="0" w:after="120" w:line="240" w:lineRule="auto"/>
    </w:pPr>
    <w:rPr>
      <w:szCs w:val="22"/>
    </w:rPr>
  </w:style>
  <w:style w:type="character" w:customStyle="1" w:styleId="HeaderCoverPageChar">
    <w:name w:val="Header Cover Page Char"/>
    <w:basedOn w:val="DefaultParagraphFont"/>
    <w:link w:val="HeaderCoverPage"/>
    <w:rsid w:val="005D6354"/>
    <w:rPr>
      <w:rFonts w:ascii="Times New Roman" w:hAnsi="Times New Roman" w:cs="Times New Roman"/>
      <w:sz w:val="24"/>
    </w:rPr>
  </w:style>
  <w:style w:type="paragraph" w:styleId="ListParagraph">
    <w:name w:val="List Paragraph"/>
    <w:aliases w:val="FooterText,Paragraphe de liste1,List Paragraph (numbered (a)),List Paragraph1,List Paragraph11,List Paragraph (bulleted list),Bullet 1 List"/>
    <w:basedOn w:val="Normal"/>
    <w:link w:val="ListParagraphChar"/>
    <w:uiPriority w:val="34"/>
    <w:qFormat/>
    <w:rsid w:val="005D18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186F"/>
    <w:rPr>
      <w:rFonts w:ascii="Times New Roman Bold" w:eastAsiaTheme="majorEastAsia" w:hAnsi="Times New Roman Bold" w:cs="Times New Roman"/>
      <w:b/>
      <w:bCs/>
      <w:smallCaps/>
      <w:sz w:val="24"/>
      <w:szCs w:val="24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,f"/>
    <w:basedOn w:val="Normal"/>
    <w:link w:val="FootnoteTextChar"/>
    <w:unhideWhenUsed/>
    <w:qFormat/>
    <w:rsid w:val="005D186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link w:val="FootnoteText"/>
    <w:rsid w:val="005D186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number,SUPERS,Footnote Reference Superscript,Footnote number,-E Fußnotenzeichen,EN Footnote Reference,-E Fuﬂnotenzeichen,-E Fuûnotenzeichen,stylish,Footnote symbol,(Footnote Reference),Footnote reference number,note TESI,BVI fnr,fr,o"/>
    <w:basedOn w:val="DefaultParagraphFont"/>
    <w:unhideWhenUsed/>
    <w:qFormat/>
    <w:rsid w:val="005D18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B7EEF"/>
    <w:rPr>
      <w:rFonts w:ascii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832AEC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FooterText Char,Paragraphe de liste1 Char,List Paragraph (numbered (a)) Char,List Paragraph1 Char,List Paragraph11 Char,List Paragraph (bulleted list) Char,Bullet 1 List Char"/>
    <w:link w:val="ListParagraph"/>
    <w:uiPriority w:val="34"/>
    <w:locked/>
    <w:rsid w:val="006B7EE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454F"/>
    <w:rPr>
      <w:rFonts w:ascii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A9"/>
    <w:pPr>
      <w:spacing w:before="0" w:line="240" w:lineRule="auto"/>
      <w:jc w:val="left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A9"/>
    <w:rPr>
      <w:rFonts w:ascii="Tahoma" w:eastAsia="Calibri" w:hAnsi="Tahoma" w:cs="Tahoma"/>
      <w:sz w:val="16"/>
      <w:szCs w:val="16"/>
      <w:lang w:eastAsia="en-GB"/>
    </w:rPr>
  </w:style>
  <w:style w:type="paragraph" w:customStyle="1" w:styleId="Bullet1">
    <w:name w:val="Bullet1"/>
    <w:basedOn w:val="Normal"/>
    <w:uiPriority w:val="6"/>
    <w:qFormat/>
    <w:rsid w:val="004B4AA9"/>
    <w:pPr>
      <w:numPr>
        <w:numId w:val="3"/>
      </w:numPr>
      <w:spacing w:before="0" w:line="240" w:lineRule="atLeast"/>
      <w:jc w:val="left"/>
    </w:pPr>
    <w:rPr>
      <w:rFonts w:ascii="Arial" w:eastAsia="Calibri" w:hAnsi="Arial"/>
      <w:sz w:val="20"/>
    </w:rPr>
  </w:style>
  <w:style w:type="paragraph" w:customStyle="1" w:styleId="Bullet2">
    <w:name w:val="Bullet2"/>
    <w:basedOn w:val="Normal"/>
    <w:uiPriority w:val="6"/>
    <w:qFormat/>
    <w:rsid w:val="004B4AA9"/>
    <w:pPr>
      <w:numPr>
        <w:ilvl w:val="1"/>
        <w:numId w:val="3"/>
      </w:numPr>
      <w:tabs>
        <w:tab w:val="num" w:pos="360"/>
      </w:tabs>
      <w:spacing w:before="0" w:line="240" w:lineRule="atLeast"/>
      <w:ind w:left="0" w:firstLine="0"/>
      <w:jc w:val="left"/>
    </w:pPr>
    <w:rPr>
      <w:rFonts w:ascii="Arial" w:eastAsia="Calibri" w:hAnsi="Arial"/>
      <w:sz w:val="20"/>
    </w:rPr>
  </w:style>
  <w:style w:type="paragraph" w:customStyle="1" w:styleId="Bullet3">
    <w:name w:val="Bullet3"/>
    <w:basedOn w:val="Normal"/>
    <w:uiPriority w:val="6"/>
    <w:qFormat/>
    <w:rsid w:val="004B4AA9"/>
    <w:pPr>
      <w:numPr>
        <w:ilvl w:val="2"/>
        <w:numId w:val="3"/>
      </w:numPr>
      <w:tabs>
        <w:tab w:val="num" w:pos="360"/>
      </w:tabs>
      <w:spacing w:before="0" w:line="240" w:lineRule="atLeast"/>
      <w:ind w:left="0" w:firstLine="0"/>
      <w:jc w:val="left"/>
    </w:pPr>
    <w:rPr>
      <w:rFonts w:ascii="Arial" w:eastAsia="Calibri" w:hAnsi="Arial"/>
      <w:sz w:val="20"/>
    </w:rPr>
  </w:style>
  <w:style w:type="numbering" w:customStyle="1" w:styleId="NumbLstBullet">
    <w:name w:val="NumbLstBullet"/>
    <w:uiPriority w:val="99"/>
    <w:rsid w:val="004B4AA9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3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1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1B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485250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2E37BF"/>
    <w:pPr>
      <w:spacing w:after="120" w:line="240" w:lineRule="auto"/>
    </w:pPr>
    <w:rPr>
      <w:rFonts w:eastAsia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964C0C"/>
    <w:pPr>
      <w:spacing w:before="0" w:after="120" w:line="240" w:lineRule="auto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64C0C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5C4691"/>
    <w:pPr>
      <w:numPr>
        <w:numId w:val="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NoteHead">
    <w:name w:val="NoteHead"/>
    <w:basedOn w:val="Normal"/>
    <w:next w:val="Subject"/>
    <w:rsid w:val="00964C0C"/>
    <w:pPr>
      <w:spacing w:before="720" w:after="720" w:line="240" w:lineRule="auto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rsid w:val="00964C0C"/>
    <w:pPr>
      <w:spacing w:before="0" w:after="480" w:line="240" w:lineRule="auto"/>
      <w:ind w:left="1531" w:hanging="1531"/>
      <w:jc w:val="left"/>
    </w:pPr>
    <w:rPr>
      <w:rFonts w:eastAsia="Times New Roman"/>
      <w:b/>
      <w:szCs w:val="20"/>
    </w:rPr>
  </w:style>
  <w:style w:type="paragraph" w:customStyle="1" w:styleId="Contact">
    <w:name w:val="Contact"/>
    <w:basedOn w:val="Normal"/>
    <w:next w:val="Normal"/>
    <w:rsid w:val="005C4691"/>
    <w:pPr>
      <w:spacing w:before="480" w:line="240" w:lineRule="auto"/>
      <w:ind w:left="567" w:hanging="567"/>
      <w:jc w:val="left"/>
    </w:pPr>
    <w:rPr>
      <w:rFonts w:eastAsia="Times New Roman"/>
      <w:szCs w:val="20"/>
    </w:rPr>
  </w:style>
  <w:style w:type="paragraph" w:customStyle="1" w:styleId="ListBullet1">
    <w:name w:val="List Bullet 1"/>
    <w:basedOn w:val="Normal"/>
    <w:rsid w:val="005C4691"/>
    <w:pPr>
      <w:numPr>
        <w:numId w:val="10"/>
      </w:numPr>
      <w:spacing w:before="0" w:after="240" w:line="240" w:lineRule="auto"/>
    </w:pPr>
    <w:rPr>
      <w:rFonts w:eastAsia="Times New Roman"/>
      <w:szCs w:val="20"/>
    </w:rPr>
  </w:style>
  <w:style w:type="paragraph" w:styleId="ListBullet2">
    <w:name w:val="List Bullet 2"/>
    <w:basedOn w:val="Normal"/>
    <w:rsid w:val="005C4691"/>
    <w:pPr>
      <w:numPr>
        <w:numId w:val="11"/>
      </w:numPr>
      <w:spacing w:before="0" w:after="240" w:line="240" w:lineRule="auto"/>
    </w:pPr>
    <w:rPr>
      <w:rFonts w:eastAsia="Times New Roman"/>
      <w:szCs w:val="20"/>
    </w:rPr>
  </w:style>
  <w:style w:type="paragraph" w:styleId="ListBullet3">
    <w:name w:val="List Bullet 3"/>
    <w:basedOn w:val="Normal"/>
    <w:rsid w:val="005C4691"/>
    <w:pPr>
      <w:numPr>
        <w:numId w:val="12"/>
      </w:numPr>
      <w:spacing w:before="0" w:after="240" w:line="240" w:lineRule="auto"/>
    </w:pPr>
    <w:rPr>
      <w:rFonts w:eastAsia="Times New Roman"/>
      <w:szCs w:val="20"/>
    </w:rPr>
  </w:style>
  <w:style w:type="paragraph" w:styleId="ListBullet4">
    <w:name w:val="List Bullet 4"/>
    <w:basedOn w:val="Normal"/>
    <w:rsid w:val="005C4691"/>
    <w:pPr>
      <w:numPr>
        <w:numId w:val="1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">
    <w:name w:val="List Dash"/>
    <w:basedOn w:val="Normal"/>
    <w:rsid w:val="005C4691"/>
    <w:pPr>
      <w:numPr>
        <w:numId w:val="14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1">
    <w:name w:val="List Dash 1"/>
    <w:basedOn w:val="Normal"/>
    <w:rsid w:val="005C4691"/>
    <w:pPr>
      <w:numPr>
        <w:numId w:val="15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2">
    <w:name w:val="List Dash 2"/>
    <w:basedOn w:val="Normal"/>
    <w:rsid w:val="005C4691"/>
    <w:pPr>
      <w:numPr>
        <w:numId w:val="16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3">
    <w:name w:val="List Dash 3"/>
    <w:basedOn w:val="Normal"/>
    <w:rsid w:val="005C4691"/>
    <w:pPr>
      <w:numPr>
        <w:numId w:val="17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Dash4">
    <w:name w:val="List Dash 4"/>
    <w:basedOn w:val="Normal"/>
    <w:rsid w:val="005C4691"/>
    <w:pPr>
      <w:numPr>
        <w:numId w:val="18"/>
      </w:numPr>
      <w:spacing w:before="0" w:after="240" w:line="240" w:lineRule="auto"/>
    </w:pPr>
    <w:rPr>
      <w:rFonts w:eastAsia="Times New Roman"/>
      <w:szCs w:val="20"/>
    </w:rPr>
  </w:style>
  <w:style w:type="paragraph" w:styleId="ListNumber">
    <w:name w:val="List Number"/>
    <w:basedOn w:val="Normal"/>
    <w:rsid w:val="005C4691"/>
    <w:pPr>
      <w:numPr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">
    <w:name w:val="List Number 1"/>
    <w:basedOn w:val="Normal"/>
    <w:rsid w:val="005C4691"/>
    <w:pPr>
      <w:numPr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styleId="ListNumber2">
    <w:name w:val="List Number 2"/>
    <w:basedOn w:val="Normal"/>
    <w:rsid w:val="005C4691"/>
    <w:pPr>
      <w:numPr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styleId="ListNumber3">
    <w:name w:val="List Number 3"/>
    <w:basedOn w:val="Normal"/>
    <w:rsid w:val="005C4691"/>
    <w:pPr>
      <w:numPr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styleId="ListNumber4">
    <w:name w:val="List Number 4"/>
    <w:basedOn w:val="Normal"/>
    <w:rsid w:val="005C4691"/>
    <w:pPr>
      <w:numPr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rsid w:val="005C4691"/>
    <w:pPr>
      <w:numPr>
        <w:ilvl w:val="1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2">
    <w:name w:val="List Number 1 (Level 2)"/>
    <w:basedOn w:val="Normal"/>
    <w:rsid w:val="005C4691"/>
    <w:pPr>
      <w:numPr>
        <w:ilvl w:val="1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2">
    <w:name w:val="List Number 2 (Level 2)"/>
    <w:basedOn w:val="Normal"/>
    <w:rsid w:val="005C4691"/>
    <w:pPr>
      <w:numPr>
        <w:ilvl w:val="1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2">
    <w:name w:val="List Number 3 (Level 2)"/>
    <w:basedOn w:val="Normal"/>
    <w:rsid w:val="005C4691"/>
    <w:pPr>
      <w:numPr>
        <w:ilvl w:val="1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2">
    <w:name w:val="List Number 4 (Level 2)"/>
    <w:basedOn w:val="Normal"/>
    <w:rsid w:val="005C4691"/>
    <w:pPr>
      <w:numPr>
        <w:ilvl w:val="1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rsid w:val="005C4691"/>
    <w:pPr>
      <w:numPr>
        <w:ilvl w:val="2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3">
    <w:name w:val="List Number 1 (Level 3)"/>
    <w:basedOn w:val="Normal"/>
    <w:rsid w:val="005C4691"/>
    <w:pPr>
      <w:numPr>
        <w:ilvl w:val="2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3">
    <w:name w:val="List Number 2 (Level 3)"/>
    <w:basedOn w:val="Normal"/>
    <w:rsid w:val="005C4691"/>
    <w:pPr>
      <w:numPr>
        <w:ilvl w:val="2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3">
    <w:name w:val="List Number 3 (Level 3)"/>
    <w:basedOn w:val="Normal"/>
    <w:rsid w:val="005C4691"/>
    <w:pPr>
      <w:numPr>
        <w:ilvl w:val="2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3">
    <w:name w:val="List Number 4 (Level 3)"/>
    <w:basedOn w:val="Normal"/>
    <w:rsid w:val="005C4691"/>
    <w:pPr>
      <w:numPr>
        <w:ilvl w:val="2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rsid w:val="005C4691"/>
    <w:pPr>
      <w:numPr>
        <w:ilvl w:val="3"/>
        <w:numId w:val="19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1Level4">
    <w:name w:val="List Number 1 (Level 4)"/>
    <w:basedOn w:val="Normal"/>
    <w:rsid w:val="005C4691"/>
    <w:pPr>
      <w:numPr>
        <w:ilvl w:val="3"/>
        <w:numId w:val="20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2Level4">
    <w:name w:val="List Number 2 (Level 4)"/>
    <w:basedOn w:val="Normal"/>
    <w:rsid w:val="005C4691"/>
    <w:pPr>
      <w:numPr>
        <w:ilvl w:val="3"/>
        <w:numId w:val="21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3Level4">
    <w:name w:val="List Number 3 (Level 4)"/>
    <w:basedOn w:val="Normal"/>
    <w:rsid w:val="005C4691"/>
    <w:pPr>
      <w:numPr>
        <w:ilvl w:val="3"/>
        <w:numId w:val="22"/>
      </w:numPr>
      <w:spacing w:before="0" w:after="240" w:line="240" w:lineRule="auto"/>
    </w:pPr>
    <w:rPr>
      <w:rFonts w:eastAsia="Times New Roman"/>
      <w:szCs w:val="20"/>
    </w:rPr>
  </w:style>
  <w:style w:type="paragraph" w:customStyle="1" w:styleId="ListNumber4Level4">
    <w:name w:val="List Number 4 (Level 4)"/>
    <w:basedOn w:val="Normal"/>
    <w:rsid w:val="005C4691"/>
    <w:pPr>
      <w:numPr>
        <w:ilvl w:val="3"/>
        <w:numId w:val="23"/>
      </w:numPr>
      <w:spacing w:before="0" w:after="240" w:line="240" w:lineRule="auto"/>
    </w:pPr>
    <w:rPr>
      <w:rFonts w:eastAsia="Times New Roman"/>
      <w:szCs w:val="20"/>
    </w:rPr>
  </w:style>
  <w:style w:type="paragraph" w:styleId="TOC5">
    <w:name w:val="toc 5"/>
    <w:basedOn w:val="Normal"/>
    <w:next w:val="Normal"/>
    <w:semiHidden/>
    <w:rsid w:val="005C4691"/>
    <w:pPr>
      <w:tabs>
        <w:tab w:val="right" w:leader="dot" w:pos="8641"/>
      </w:tabs>
      <w:spacing w:before="240" w:after="120" w:line="240" w:lineRule="auto"/>
      <w:ind w:right="720"/>
    </w:pPr>
    <w:rPr>
      <w:rFonts w:eastAsia="Times New Roman"/>
      <w:caps/>
      <w:szCs w:val="20"/>
    </w:rPr>
  </w:style>
  <w:style w:type="paragraph" w:styleId="TOCHeading">
    <w:name w:val="TOC Heading"/>
    <w:basedOn w:val="Normal"/>
    <w:next w:val="Normal"/>
    <w:qFormat/>
    <w:rsid w:val="005C4691"/>
    <w:pPr>
      <w:keepNext/>
      <w:spacing w:before="240" w:after="240" w:line="240" w:lineRule="auto"/>
      <w:jc w:val="center"/>
    </w:pPr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clima/policies/2030/docs/eu_trends_205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3EAA-D689-4996-941A-9F852847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8</Pages>
  <Words>3093</Words>
  <Characters>17620</Characters>
  <Application>Microsoft Office Word</Application>
  <DocSecurity>0</DocSecurity>
  <Lines>272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GREGORIN Polona (CLIMA)</dc:creator>
  <cp:lastModifiedBy>Stefanie Heilemann</cp:lastModifiedBy>
  <cp:revision>2</cp:revision>
  <cp:lastPrinted>2015-07-06T08:10:00Z</cp:lastPrinted>
  <dcterms:created xsi:type="dcterms:W3CDTF">2015-07-15T08:02:00Z</dcterms:created>
  <dcterms:modified xsi:type="dcterms:W3CDTF">2015-07-15T08:02:00Z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3.0</vt:lpwstr>
  </property>
  <property fmtid="{D5CDD505-2E9C-101B-9397-08002B2CF9AE}" pid="7" name="Last edited using">
    <vt:lpwstr>EL 4.6 Build 40001</vt:lpwstr>
  </property>
  <property fmtid="{D5CDD505-2E9C-101B-9397-08002B2CF9AE}" pid="8" name="DocStatus">
    <vt:lpwstr>Green</vt:lpwstr>
  </property>
</Properties>
</file>